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General Counsel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03/19/2024</w:t>
            </w:r>
          </w:p>
        </w:tc>
        <w:tc>
          <w:tcPr>
            <w:tcW w:w="17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auto"/>
              </w:rPr>
              <w:t>Line)</w:t>
            </w: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36,174</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reported the gross number of shares to which the reporting person became entitled in settlement of certain dividend equivalent right (the "DER") proceeds, rather than the number of actual shares acquired net of withholding taxes, in connection with the settlement of restricted stock units ("RSUs") in respect of the issuer's Class A common stock (the "Class A Common Stock") held by the reporting person. This Form 4/A reports the correct number of shares acquired and the correct number of shares held by the reporting person following the transaction that occurred on March 18, 2024 and all subsequent transactions as reported on Form 4 for the reporting person through the date of filing of this Form 4/A.</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1,741 unvested RSUs in respect of Class A Common Stock which are scheduled to vest on March 15, 2025, (ii) 6,749 unvested RSUs in respect of Class A Common Stock that are scheduled to vest on January 1, 2025, (iii) 5,031 unvested RSUs in respect of Class A Common Stock which are scheduled to vest in equal installments on March 15, 2025 and March 15, 2026, (iv) 13,682 unvested RSUs in respect of Class A Common Stock which are scheduled to vest on January 1, 2026, and (v) 5,971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05/08/2024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2024-05-08T17:55:57Z</dcterms:created>
  <dcterms:modified xsi:type="dcterms:W3CDTF">2024-05-08T17:55:57Z</dcterms:modified>
</cp:coreProperties>
</file>