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57,309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 and all subsequent transactions as reported on Form 4 for the reporting person through the date of filing of this Form 4/A.</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(i)3,204 unvested RSUs in respect of Class A Common Stock which are scheduled to vest on March 15, 2025, (ii) 12,419 unvested RSUs in respect of Class A Common Stock that are scheduled to vest on January 1, 2025, (iii) 9,153 unvested RSUs in respect of Class A Common Stock which are scheduled to vest in equal installments on March 15, 2025 and March 15, 2026, (iv) 24,890 unvested RSUs in respect of Class A Common Stock, which are scheduled to vest on January 1, 2026, and (v) 7,643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2024-05-08T17:54:42Z</dcterms:created>
  <dcterms:modified xsi:type="dcterms:W3CDTF">2024-05-08T17:54:42Z</dcterms:modified>
</cp:coreProperties>
</file>