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220980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28"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February 10, 2021 (February 5,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208280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40"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Tradeweb Markets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tbl>
      <w:tblPr>
        <w:tblLayout w:type="fixed"/>
        <w:tblInd w:w="1024" w:type="dxa"/>
        <w:tblCellMar>
          <w:top w:w="0" w:type="dxa"/>
          <w:left w:w="0" w:type="dxa"/>
          <w:bottom w:w="0" w:type="dxa"/>
          <w:right w:w="0" w:type="dxa"/>
        </w:tblCellMar>
      </w:tblPr>
      <w:tr>
        <w:trPr>
          <w:trHeight w:val="212"/>
        </w:trPr>
        <w:tc>
          <w:tcPr>
            <w:tcW w:w="4040" w:type="dxa"/>
            <w:vAlign w:val="bottom"/>
          </w:tcPr>
          <w:p>
            <w:pPr>
              <w:jc w:val="center"/>
              <w:ind w:right="2279"/>
              <w:spacing w:after="0"/>
              <w:rPr>
                <w:sz w:val="20"/>
                <w:szCs w:val="20"/>
                <w:color w:val="auto"/>
              </w:rPr>
            </w:pPr>
            <w:r>
              <w:rPr>
                <w:rFonts w:ascii="Arial" w:cs="Arial" w:eastAsia="Arial" w:hAnsi="Arial"/>
                <w:sz w:val="18"/>
                <w:szCs w:val="18"/>
                <w:b w:val="1"/>
                <w:bCs w:val="1"/>
                <w:color w:val="auto"/>
                <w:w w:val="91"/>
              </w:rPr>
              <w:t>Delaware</w:t>
            </w:r>
          </w:p>
        </w:tc>
        <w:tc>
          <w:tcPr>
            <w:tcW w:w="2300" w:type="dxa"/>
            <w:vAlign w:val="bottom"/>
          </w:tcPr>
          <w:p>
            <w:pPr>
              <w:ind w:left="160"/>
              <w:spacing w:after="0"/>
              <w:rPr>
                <w:sz w:val="20"/>
                <w:szCs w:val="20"/>
                <w:color w:val="auto"/>
              </w:rPr>
            </w:pPr>
            <w:r>
              <w:rPr>
                <w:rFonts w:ascii="Arial" w:cs="Arial" w:eastAsia="Arial" w:hAnsi="Arial"/>
                <w:sz w:val="18"/>
                <w:szCs w:val="18"/>
                <w:b w:val="1"/>
                <w:bCs w:val="1"/>
                <w:color w:val="auto"/>
              </w:rPr>
              <w:t>001-38860</w:t>
            </w:r>
          </w:p>
        </w:tc>
        <w:tc>
          <w:tcPr>
            <w:tcW w:w="2460" w:type="dxa"/>
            <w:vAlign w:val="bottom"/>
          </w:tcPr>
          <w:p>
            <w:pPr>
              <w:jc w:val="right"/>
              <w:ind w:right="61"/>
              <w:spacing w:after="0"/>
              <w:rPr>
                <w:sz w:val="20"/>
                <w:szCs w:val="20"/>
                <w:color w:val="auto"/>
              </w:rPr>
            </w:pPr>
            <w:r>
              <w:rPr>
                <w:rFonts w:ascii="Arial" w:cs="Arial" w:eastAsia="Arial" w:hAnsi="Arial"/>
                <w:sz w:val="18"/>
                <w:szCs w:val="18"/>
                <w:b w:val="1"/>
                <w:bCs w:val="1"/>
                <w:color w:val="auto"/>
              </w:rPr>
              <w:t>83-2456358</w:t>
            </w:r>
          </w:p>
        </w:tc>
      </w:tr>
      <w:tr>
        <w:trPr>
          <w:trHeight w:val="148"/>
        </w:trPr>
        <w:tc>
          <w:tcPr>
            <w:tcW w:w="4040" w:type="dxa"/>
            <w:vAlign w:val="bottom"/>
          </w:tcPr>
          <w:p>
            <w:pPr>
              <w:jc w:val="center"/>
              <w:ind w:right="225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00" w:type="dxa"/>
            <w:vAlign w:val="bottom"/>
          </w:tcPr>
          <w:p>
            <w:pPr>
              <w:ind w:left="160"/>
              <w:spacing w:after="0" w:line="149" w:lineRule="exact"/>
              <w:rPr>
                <w:sz w:val="20"/>
                <w:szCs w:val="20"/>
                <w:color w:val="auto"/>
              </w:rPr>
            </w:pPr>
            <w:r>
              <w:rPr>
                <w:rFonts w:ascii="Arial" w:cs="Arial" w:eastAsia="Arial" w:hAnsi="Arial"/>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4040" w:type="dxa"/>
            <w:vAlign w:val="bottom"/>
          </w:tcPr>
          <w:p>
            <w:pPr>
              <w:jc w:val="center"/>
              <w:ind w:right="2259"/>
              <w:spacing w:after="0"/>
              <w:rPr>
                <w:sz w:val="20"/>
                <w:szCs w:val="20"/>
                <w:color w:val="auto"/>
              </w:rPr>
            </w:pPr>
            <w:r>
              <w:rPr>
                <w:rFonts w:ascii="Arial" w:cs="Arial" w:eastAsia="Arial" w:hAnsi="Arial"/>
                <w:sz w:val="14"/>
                <w:szCs w:val="14"/>
                <w:b w:val="1"/>
                <w:bCs w:val="1"/>
                <w:color w:val="auto"/>
                <w:w w:val="94"/>
              </w:rPr>
              <w:t>of Incorporation)</w:t>
            </w:r>
          </w:p>
        </w:tc>
        <w:tc>
          <w:tcPr>
            <w:tcW w:w="2300" w:type="dxa"/>
            <w:vAlign w:val="bottom"/>
          </w:tcPr>
          <w:p>
            <w:pPr>
              <w:ind w:left="140"/>
              <w:spacing w:after="0"/>
              <w:rPr>
                <w:sz w:val="20"/>
                <w:szCs w:val="20"/>
                <w:color w:val="auto"/>
              </w:rPr>
            </w:pPr>
            <w:r>
              <w:rPr>
                <w:rFonts w:ascii="Arial" w:cs="Arial" w:eastAsia="Arial" w:hAnsi="Arial"/>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88"/>
              </w:rPr>
              <w:t>1177 Avenue of the Americas</w:t>
            </w:r>
          </w:p>
        </w:tc>
        <w:tc>
          <w:tcPr>
            <w:tcW w:w="230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5"/>
        </w:trPr>
        <w:tc>
          <w:tcPr>
            <w:tcW w:w="4040" w:type="dxa"/>
            <w:vAlign w:val="bottom"/>
          </w:tcPr>
          <w:p>
            <w:pPr>
              <w:jc w:val="center"/>
              <w:ind w:left="1219"/>
              <w:spacing w:after="0"/>
              <w:rPr>
                <w:sz w:val="20"/>
                <w:szCs w:val="20"/>
                <w:color w:val="auto"/>
              </w:rPr>
            </w:pPr>
            <w:r>
              <w:rPr>
                <w:rFonts w:ascii="Arial" w:cs="Arial" w:eastAsia="Arial" w:hAnsi="Arial"/>
                <w:sz w:val="18"/>
                <w:szCs w:val="18"/>
                <w:b w:val="1"/>
                <w:bCs w:val="1"/>
                <w:color w:val="auto"/>
                <w:w w:val="93"/>
              </w:rPr>
              <w:t>New York, New York</w:t>
            </w:r>
          </w:p>
        </w:tc>
        <w:tc>
          <w:tcPr>
            <w:tcW w:w="230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Arial" w:cs="Arial" w:eastAsia="Arial" w:hAnsi="Arial"/>
                <w:sz w:val="18"/>
                <w:szCs w:val="18"/>
                <w:b w:val="1"/>
                <w:bCs w:val="1"/>
                <w:color w:val="auto"/>
              </w:rPr>
              <w:t>10036</w:t>
            </w:r>
          </w:p>
        </w:tc>
      </w:tr>
      <w:tr>
        <w:trPr>
          <w:trHeight w:val="186"/>
        </w:trPr>
        <w:tc>
          <w:tcPr>
            <w:tcW w:w="4040" w:type="dxa"/>
            <w:vAlign w:val="bottom"/>
          </w:tcPr>
          <w:p>
            <w:pPr>
              <w:jc w:val="center"/>
              <w:ind w:left="121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30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Arial" w:cs="Arial" w:eastAsia="Arial" w:hAnsi="Arial"/>
                <w:sz w:val="14"/>
                <w:szCs w:val="14"/>
                <w:b w:val="1"/>
                <w:bCs w:val="1"/>
                <w:color w:val="auto"/>
                <w:w w:val="95"/>
              </w:rPr>
              <w:t>(Zip Code)</w:t>
            </w:r>
          </w:p>
        </w:tc>
      </w:tr>
    </w:tbl>
    <w:p>
      <w:pPr>
        <w:spacing w:after="0" w:line="129"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including area code: (646) 430-6000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222885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93" w:lineRule="exact"/>
        <w:rPr>
          <w:sz w:val="24"/>
          <w:szCs w:val="24"/>
          <w:color w:val="auto"/>
        </w:rPr>
      </w:pPr>
    </w:p>
    <w:p>
      <w:pPr>
        <w:ind w:left="4" w:right="4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 w:right="2560" w:hanging="4"/>
        <w:spacing w:after="0" w:line="456" w:lineRule="auto"/>
        <w:tabs>
          <w:tab w:leader="none" w:pos="436"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4" w:type="dxa"/>
        <w:tblCellMar>
          <w:top w:w="0" w:type="dxa"/>
          <w:left w:w="0" w:type="dxa"/>
          <w:bottom w:w="0" w:type="dxa"/>
          <w:right w:w="0" w:type="dxa"/>
        </w:tblCellMar>
      </w:tblPr>
      <w:tr>
        <w:trPr>
          <w:trHeight w:val="150"/>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line="150" w:lineRule="exact"/>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line="150" w:lineRule="exact"/>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Class A common stock, par value $0.00001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TW</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Nasdaq Global Select Market</w:t>
            </w:r>
          </w:p>
        </w:tc>
        <w:tc>
          <w:tcPr>
            <w:tcW w:w="0" w:type="dxa"/>
            <w:vAlign w:val="bottom"/>
          </w:tcPr>
          <w:p>
            <w:pPr>
              <w:spacing w:after="0"/>
              <w:rPr>
                <w:sz w:val="1"/>
                <w:szCs w:val="1"/>
                <w:color w:val="auto"/>
              </w:rPr>
            </w:pPr>
          </w:p>
        </w:tc>
      </w:tr>
    </w:tbl>
    <w:p>
      <w:pPr>
        <w:spacing w:after="0" w:line="129"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4" w:lineRule="exact"/>
        <w:rPr>
          <w:sz w:val="24"/>
          <w:szCs w:val="24"/>
          <w:color w:val="auto"/>
        </w:rPr>
      </w:pPr>
    </w:p>
    <w:p>
      <w:pPr>
        <w:ind w:left="880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7"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bookmarkStart w:id="1" w:name="page2"/>
    <w:bookmarkEnd w:id="1"/>
    <w:p>
      <w:pPr>
        <w:ind w:left="1204" w:right="1000" w:hanging="1200"/>
        <w:spacing w:after="0" w:line="282" w:lineRule="auto"/>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4318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58" w:lineRule="exact"/>
        <w:rPr>
          <w:sz w:val="20"/>
          <w:szCs w:val="20"/>
          <w:color w:val="auto"/>
        </w:rPr>
      </w:pPr>
    </w:p>
    <w:p>
      <w:pPr>
        <w:ind w:left="4" w:right="60"/>
        <w:spacing w:after="0" w:line="342" w:lineRule="auto"/>
        <w:rPr>
          <w:sz w:val="20"/>
          <w:szCs w:val="20"/>
          <w:color w:val="auto"/>
        </w:rPr>
      </w:pPr>
      <w:r>
        <w:rPr>
          <w:rFonts w:ascii="Arial" w:cs="Arial" w:eastAsia="Arial" w:hAnsi="Arial"/>
          <w:sz w:val="16"/>
          <w:szCs w:val="16"/>
          <w:color w:val="auto"/>
        </w:rPr>
        <w:t>On February 5, 2021, the Board of Directors (the “Board”) of Tradeweb Markets Inc. (the “Company”) approved an increase in the size of the Board by one director and filled the vacancy created by such increase by appointing Mr. Von Hughes, age 51, as a Class I director, effective March 1, 2021.</w:t>
      </w:r>
    </w:p>
    <w:p>
      <w:pPr>
        <w:spacing w:after="0" w:line="124" w:lineRule="exact"/>
        <w:rPr>
          <w:sz w:val="20"/>
          <w:szCs w:val="20"/>
          <w:color w:val="auto"/>
        </w:rPr>
      </w:pPr>
    </w:p>
    <w:p>
      <w:pPr>
        <w:ind w:left="4" w:right="700"/>
        <w:spacing w:after="0" w:line="277" w:lineRule="auto"/>
        <w:rPr>
          <w:sz w:val="20"/>
          <w:szCs w:val="20"/>
          <w:color w:val="auto"/>
        </w:rPr>
      </w:pPr>
      <w:r>
        <w:rPr>
          <w:rFonts w:ascii="Arial" w:cs="Arial" w:eastAsia="Arial" w:hAnsi="Arial"/>
          <w:sz w:val="18"/>
          <w:szCs w:val="18"/>
          <w:color w:val="auto"/>
        </w:rPr>
        <w:t>Mr. Hughes has been appointed to serve as an independent member of the Board. With the addition of Mr. Hughes, the Board will consist of 11 members.</w:t>
      </w:r>
    </w:p>
    <w:p>
      <w:pPr>
        <w:spacing w:after="0" w:line="170" w:lineRule="exact"/>
        <w:rPr>
          <w:sz w:val="20"/>
          <w:szCs w:val="20"/>
          <w:color w:val="auto"/>
        </w:rPr>
      </w:pPr>
    </w:p>
    <w:p>
      <w:pPr>
        <w:ind w:left="4" w:right="80"/>
        <w:spacing w:after="0" w:line="277" w:lineRule="auto"/>
        <w:rPr>
          <w:sz w:val="20"/>
          <w:szCs w:val="20"/>
          <w:color w:val="auto"/>
        </w:rPr>
      </w:pPr>
      <w:r>
        <w:rPr>
          <w:rFonts w:ascii="Arial" w:cs="Arial" w:eastAsia="Arial" w:hAnsi="Arial"/>
          <w:sz w:val="18"/>
          <w:szCs w:val="18"/>
          <w:color w:val="auto"/>
        </w:rPr>
        <w:t>Mr. Hughes will hold office until the annual meeting of stockholders to be held in 2023 and until his successor shall be elected and qualified or until his earlier death, resignation, retirement, disqualification or removal.</w:t>
      </w:r>
    </w:p>
    <w:p>
      <w:pPr>
        <w:spacing w:after="0" w:line="170" w:lineRule="exact"/>
        <w:rPr>
          <w:sz w:val="20"/>
          <w:szCs w:val="20"/>
          <w:color w:val="auto"/>
        </w:rPr>
      </w:pPr>
    </w:p>
    <w:p>
      <w:pPr>
        <w:ind w:left="4" w:right="60"/>
        <w:spacing w:after="0" w:line="277" w:lineRule="auto"/>
        <w:rPr>
          <w:sz w:val="20"/>
          <w:szCs w:val="20"/>
          <w:color w:val="auto"/>
        </w:rPr>
      </w:pPr>
      <w:r>
        <w:rPr>
          <w:rFonts w:ascii="Arial" w:cs="Arial" w:eastAsia="Arial" w:hAnsi="Arial"/>
          <w:sz w:val="18"/>
          <w:szCs w:val="18"/>
          <w:color w:val="auto"/>
        </w:rPr>
        <w:t>In connection with the appointment of Mr. Hughes to the Board, the Board has determined that Mr. Hughes qualifies as an “independent director” under the rules and regulations of the NASDAQ Stock Market and the Securities and Exchange Act of 1934, as amended.</w:t>
      </w:r>
    </w:p>
    <w:p>
      <w:pPr>
        <w:spacing w:after="0" w:line="170" w:lineRule="exact"/>
        <w:rPr>
          <w:sz w:val="20"/>
          <w:szCs w:val="20"/>
          <w:color w:val="auto"/>
        </w:rPr>
      </w:pPr>
    </w:p>
    <w:p>
      <w:pPr>
        <w:ind w:left="4" w:right="100"/>
        <w:spacing w:after="0" w:line="263" w:lineRule="auto"/>
        <w:rPr>
          <w:sz w:val="20"/>
          <w:szCs w:val="20"/>
          <w:color w:val="auto"/>
        </w:rPr>
      </w:pPr>
      <w:r>
        <w:rPr>
          <w:rFonts w:ascii="Arial" w:cs="Arial" w:eastAsia="Arial" w:hAnsi="Arial"/>
          <w:sz w:val="18"/>
          <w:szCs w:val="18"/>
          <w:color w:val="auto"/>
        </w:rPr>
        <w:t>Mr. Hughes was not appointed to the Board pursuant to any arrangement or understanding with any other person. Mr. Hughes does not have any family relationships with any director or executive officer of the Company and there are no transactions in which Mr. Hughes has an interest requiring disclosure under Item 404(a) of Regulation S-K.</w:t>
      </w:r>
    </w:p>
    <w:p>
      <w:pPr>
        <w:spacing w:after="0" w:line="184" w:lineRule="exact"/>
        <w:rPr>
          <w:sz w:val="20"/>
          <w:szCs w:val="20"/>
          <w:color w:val="auto"/>
        </w:rPr>
      </w:pPr>
    </w:p>
    <w:p>
      <w:pPr>
        <w:ind w:left="4"/>
        <w:spacing w:after="0"/>
        <w:rPr>
          <w:sz w:val="20"/>
          <w:szCs w:val="20"/>
          <w:color w:val="auto"/>
        </w:rPr>
      </w:pPr>
      <w:r>
        <w:rPr>
          <w:rFonts w:ascii="Arial" w:cs="Arial" w:eastAsia="Arial" w:hAnsi="Arial"/>
          <w:sz w:val="16"/>
          <w:szCs w:val="16"/>
          <w:color w:val="auto"/>
        </w:rPr>
        <w:t>In connection with his appointment to the Board, Mr. Hughes will be entitled to (1) an annual fee of $100,000 based on his position on the Board and</w:t>
      </w:r>
    </w:p>
    <w:p>
      <w:pPr>
        <w:spacing w:after="0" w:line="46" w:lineRule="exact"/>
        <w:rPr>
          <w:sz w:val="20"/>
          <w:szCs w:val="20"/>
          <w:color w:val="auto"/>
        </w:rPr>
      </w:pPr>
    </w:p>
    <w:p>
      <w:pPr>
        <w:ind w:left="4" w:right="200" w:hanging="4"/>
        <w:spacing w:after="0" w:line="323" w:lineRule="auto"/>
        <w:tabs>
          <w:tab w:leader="none" w:pos="259" w:val="left"/>
        </w:tabs>
        <w:numPr>
          <w:ilvl w:val="0"/>
          <w:numId w:val="2"/>
        </w:numPr>
        <w:rPr>
          <w:rFonts w:ascii="Arial" w:cs="Arial" w:eastAsia="Arial" w:hAnsi="Arial"/>
          <w:sz w:val="16"/>
          <w:szCs w:val="16"/>
          <w:color w:val="auto"/>
        </w:rPr>
      </w:pPr>
      <w:r>
        <w:rPr>
          <w:rFonts w:ascii="Arial" w:cs="Arial" w:eastAsia="Arial" w:hAnsi="Arial"/>
          <w:sz w:val="16"/>
          <w:szCs w:val="16"/>
          <w:color w:val="auto"/>
        </w:rPr>
        <w:t>an annual equity award of restricted stock units with a value of $100,000, in accordance with the Company’s non-employee director compensation program as further described in the Company’s Definitive Proxy Statement filed with the Securities and Exchange Commission on April 9, 2020.</w:t>
      </w:r>
    </w:p>
    <w:p>
      <w:pPr>
        <w:spacing w:after="0" w:line="138" w:lineRule="exact"/>
        <w:rPr>
          <w:sz w:val="20"/>
          <w:szCs w:val="20"/>
          <w:color w:val="auto"/>
        </w:rPr>
      </w:pPr>
    </w:p>
    <w:p>
      <w:pPr>
        <w:ind w:left="4"/>
        <w:spacing w:after="0" w:line="254" w:lineRule="auto"/>
        <w:rPr>
          <w:sz w:val="20"/>
          <w:szCs w:val="20"/>
          <w:color w:val="auto"/>
        </w:rPr>
      </w:pPr>
      <w:r>
        <w:rPr>
          <w:rFonts w:ascii="Arial" w:cs="Arial" w:eastAsia="Arial" w:hAnsi="Arial"/>
          <w:sz w:val="18"/>
          <w:szCs w:val="18"/>
          <w:color w:val="auto"/>
        </w:rPr>
        <w:t>Mr. Hughes is a partner and managing director of PAAMCO Prisma, where he has served as Head of Strategic Advisory &amp; Client Acquisition since 2010. Mr. Hughes has also served as a director of PAAMCO Prisma Holdings LLC since 2018. Mr. Hughes has been with PAAMCO Prisma (formerly known as PAAMCO) since 2003, and has served in a number of senior roles at the firm. Prior to joining PAAMCO Prisma, Mr. Hughes held senior positions at Goldman Sachs and at Utendahl Capital Partners. Mr. Hughes is a board member of National Association of Investment Companies (NAIC), as well as Greenwich Roundtable. Mr. Hughes received a J.D. from Harvard Law School, a M.M.P. from the John F. Kennedy School of Government at Harvard University and a B.A. in Philosophy (cum laude) from Yale University. Mr. Hughes was selected to serve on our Board because of his extensive financial, industry and governance knowledge.</w:t>
      </w:r>
    </w:p>
    <w:p>
      <w:pPr>
        <w:spacing w:after="0" w:line="195" w:lineRule="exact"/>
        <w:rPr>
          <w:sz w:val="20"/>
          <w:szCs w:val="20"/>
          <w:color w:val="auto"/>
        </w:rPr>
      </w:pPr>
    </w:p>
    <w:p>
      <w:pPr>
        <w:ind w:left="4" w:right="140"/>
        <w:spacing w:after="0" w:line="342" w:lineRule="auto"/>
        <w:rPr>
          <w:sz w:val="20"/>
          <w:szCs w:val="20"/>
          <w:color w:val="auto"/>
        </w:rPr>
      </w:pPr>
      <w:r>
        <w:rPr>
          <w:rFonts w:ascii="Arial" w:cs="Arial" w:eastAsia="Arial" w:hAnsi="Arial"/>
          <w:sz w:val="16"/>
          <w:szCs w:val="16"/>
          <w:color w:val="auto"/>
        </w:rPr>
        <w:t>The Company will enter into its standard form of indemnification agreement for directors and officers, a copy of which was previously filed as Exhibit 10.16 to the Company’s Registration Statement on Form S-1 (File No. 333-230115) and is incorporated herein by reference, with Mr. Hughes.</w:t>
      </w:r>
    </w:p>
    <w:p>
      <w:pPr>
        <w:spacing w:after="0" w:line="268"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121" w:lineRule="exact"/>
        <w:rPr>
          <w:sz w:val="20"/>
          <w:szCs w:val="20"/>
          <w:color w:val="auto"/>
        </w:rPr>
      </w:pPr>
    </w:p>
    <w:p>
      <w:pPr>
        <w:ind w:left="4"/>
        <w:spacing w:after="0" w:line="277" w:lineRule="auto"/>
        <w:rPr>
          <w:sz w:val="20"/>
          <w:szCs w:val="20"/>
          <w:color w:val="auto"/>
        </w:rPr>
      </w:pPr>
      <w:r>
        <w:rPr>
          <w:rFonts w:ascii="Arial" w:cs="Arial" w:eastAsia="Arial" w:hAnsi="Arial"/>
          <w:sz w:val="18"/>
          <w:szCs w:val="18"/>
          <w:color w:val="auto"/>
        </w:rPr>
        <w:t>On February 10, 2021, the Company issued a press release announcing the appointment of Mr. Hughes. A copy of the press release is attached as Exhibit 99.1 hereto and is incorporated herein by reference.</w:t>
      </w:r>
    </w:p>
    <w:p>
      <w:pPr>
        <w:spacing w:after="0" w:line="170" w:lineRule="exact"/>
        <w:rPr>
          <w:sz w:val="20"/>
          <w:szCs w:val="20"/>
          <w:color w:val="auto"/>
        </w:rPr>
      </w:pPr>
    </w:p>
    <w:p>
      <w:pPr>
        <w:ind w:left="4" w:right="120"/>
        <w:spacing w:after="0" w:line="279" w:lineRule="auto"/>
        <w:rPr>
          <w:sz w:val="20"/>
          <w:szCs w:val="20"/>
          <w:color w:val="auto"/>
        </w:rPr>
      </w:pPr>
      <w:r>
        <w:rPr>
          <w:rFonts w:ascii="Arial" w:cs="Arial" w:eastAsia="Arial" w:hAnsi="Arial"/>
          <w:sz w:val="17"/>
          <w:szCs w:val="17"/>
          <w:color w:val="auto"/>
        </w:rPr>
        <w:t>In accordance with General Instruction B.2 of Form 8-K, the information in this Item 7.01 of this Current Report on Form 8-K, including Exhibit 99.1 attached hereto, shall not be deemed “filed” for the purposes of Section 18 of the Securities Exchange Act of 1934, as amended, or otherwise subject to the liabilities of that section, nor shall it be deemed incorporated by reference in any filing under the Securities Act of 1933, as amended, or the Securities Exchange Act of 1934, as amended, except as shall be expressly set forth by specific reference in such a filing.</w:t>
      </w:r>
    </w:p>
    <w:p>
      <w:pPr>
        <w:sectPr>
          <w:pgSz w:w="11900" w:h="16838" w:orient="portrait"/>
          <w:cols w:equalWidth="0" w:num="1">
            <w:col w:w="11004"/>
          </w:cols>
          <w:pgMar w:left="436" w:top="297" w:right="45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100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9740" w:type="dxa"/>
            <w:vAlign w:val="bottom"/>
            <w:gridSpan w:val="4"/>
          </w:tcPr>
          <w:p>
            <w:pPr>
              <w:ind w:left="2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324"/>
        </w:trPr>
        <w:tc>
          <w:tcPr>
            <w:tcW w:w="1000" w:type="dxa"/>
            <w:vAlign w:val="bottom"/>
            <w:gridSpan w:val="2"/>
          </w:tcPr>
          <w:p>
            <w:pPr>
              <w:spacing w:after="0"/>
              <w:rPr>
                <w:sz w:val="20"/>
                <w:szCs w:val="20"/>
                <w:color w:val="auto"/>
              </w:rPr>
            </w:pPr>
            <w:r>
              <w:rPr>
                <w:rFonts w:ascii="Arial" w:cs="Arial" w:eastAsia="Arial" w:hAnsi="Arial"/>
                <w:sz w:val="18"/>
                <w:szCs w:val="18"/>
                <w:color w:val="auto"/>
              </w:rPr>
              <w:t>(d) Exhibits:</w:t>
            </w:r>
          </w:p>
        </w:tc>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373"/>
        </w:trPr>
        <w:tc>
          <w:tcPr>
            <w:tcW w:w="10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7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160" w:type="dxa"/>
            <w:vAlign w:val="bottom"/>
          </w:tcPr>
          <w:p>
            <w:pPr>
              <w:spacing w:after="0"/>
              <w:rPr>
                <w:sz w:val="24"/>
                <w:szCs w:val="24"/>
                <w:color w:val="auto"/>
              </w:rPr>
            </w:pPr>
          </w:p>
        </w:tc>
      </w:tr>
      <w:tr>
        <w:trPr>
          <w:trHeight w:val="167"/>
        </w:trPr>
        <w:tc>
          <w:tcPr>
            <w:tcW w:w="1000" w:type="dxa"/>
            <w:vAlign w:val="bottom"/>
            <w:gridSpan w:val="2"/>
          </w:tcPr>
          <w:p>
            <w:pPr>
              <w:spacing w:after="0"/>
              <w:rPr>
                <w:sz w:val="20"/>
                <w:szCs w:val="20"/>
                <w:color w:val="auto"/>
              </w:rPr>
            </w:pPr>
            <w:r>
              <w:rPr>
                <w:rFonts w:ascii="Arial" w:cs="Arial" w:eastAsia="Arial" w:hAnsi="Arial"/>
                <w:sz w:val="14"/>
                <w:szCs w:val="14"/>
                <w:color w:val="auto"/>
              </w:rPr>
              <w:t>Number</w:t>
            </w:r>
          </w:p>
        </w:tc>
        <w:tc>
          <w:tcPr>
            <w:tcW w:w="17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5300" w:type="dxa"/>
            <w:vAlign w:val="bottom"/>
            <w:gridSpan w:val="2"/>
          </w:tcPr>
          <w:p>
            <w:pPr>
              <w:spacing w:after="0"/>
              <w:rPr>
                <w:sz w:val="20"/>
                <w:szCs w:val="20"/>
                <w:color w:val="auto"/>
              </w:rPr>
            </w:pPr>
            <w:r>
              <w:rPr>
                <w:rFonts w:ascii="Arial" w:cs="Arial" w:eastAsia="Arial" w:hAnsi="Arial"/>
                <w:sz w:val="14"/>
                <w:szCs w:val="14"/>
                <w:color w:val="auto"/>
              </w:rPr>
              <w:t>Exhibit Description</w:t>
            </w:r>
          </w:p>
        </w:tc>
      </w:tr>
      <w:tr>
        <w:trPr>
          <w:trHeight w:val="20"/>
        </w:trPr>
        <w:tc>
          <w:tcPr>
            <w:tcW w:w="4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r>
      <w:tr>
        <w:trPr>
          <w:trHeight w:val="277"/>
        </w:trPr>
        <w:tc>
          <w:tcPr>
            <w:tcW w:w="460" w:type="dxa"/>
            <w:vAlign w:val="bottom"/>
          </w:tcPr>
          <w:p>
            <w:pPr>
              <w:spacing w:after="0"/>
              <w:rPr>
                <w:sz w:val="20"/>
                <w:szCs w:val="20"/>
                <w:color w:val="auto"/>
              </w:rPr>
            </w:pPr>
            <w:r>
              <w:rPr>
                <w:rFonts w:ascii="Arial" w:cs="Arial" w:eastAsia="Arial" w:hAnsi="Arial"/>
                <w:sz w:val="18"/>
                <w:szCs w:val="18"/>
                <w:color w:val="auto"/>
              </w:rPr>
              <w:t>10.1</w:t>
            </w:r>
          </w:p>
        </w:tc>
        <w:tc>
          <w:tcPr>
            <w:tcW w:w="540" w:type="dxa"/>
            <w:vAlign w:val="bottom"/>
          </w:tcPr>
          <w:p>
            <w:pPr>
              <w:spacing w:after="0"/>
              <w:rPr>
                <w:sz w:val="24"/>
                <w:szCs w:val="24"/>
                <w:color w:val="auto"/>
              </w:rPr>
            </w:pPr>
          </w:p>
        </w:tc>
        <w:tc>
          <w:tcPr>
            <w:tcW w:w="9740" w:type="dxa"/>
            <w:vAlign w:val="bottom"/>
            <w:tcBorders>
              <w:bottom w:val="single" w:sz="8" w:color="0000EE"/>
            </w:tcBorders>
            <w:gridSpan w:val="4"/>
          </w:tcPr>
          <w:p>
            <w:pPr>
              <w:spacing w:after="0"/>
              <w:rPr>
                <w:rFonts w:ascii="Arial" w:cs="Arial" w:eastAsia="Arial" w:hAnsi="Arial"/>
                <w:sz w:val="18"/>
                <w:szCs w:val="18"/>
                <w:color w:val="0000EE"/>
                <w:w w:val="91"/>
              </w:rPr>
            </w:pPr>
            <w:hyperlink r:id="rId18">
              <w:r>
                <w:rPr>
                  <w:rFonts w:ascii="Arial" w:cs="Arial" w:eastAsia="Arial" w:hAnsi="Arial"/>
                  <w:sz w:val="18"/>
                  <w:szCs w:val="18"/>
                  <w:color w:val="0000EE"/>
                  <w:w w:val="91"/>
                </w:rPr>
                <w:t>Form of Indemnification Agreement (incorporated by reference to Exhibit 10.16 to the Company’s Registration Statement on Form S-1</w:t>
              </w:r>
            </w:hyperlink>
          </w:p>
        </w:tc>
      </w:tr>
      <w:tr>
        <w:trPr>
          <w:trHeight w:val="196"/>
        </w:trPr>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Borders>
              <w:bottom w:val="single" w:sz="8" w:color="0000EE"/>
            </w:tcBorders>
          </w:tcPr>
          <w:p>
            <w:pPr>
              <w:spacing w:after="0" w:line="196" w:lineRule="exact"/>
              <w:rPr>
                <w:rFonts w:ascii="Arial" w:cs="Arial" w:eastAsia="Arial" w:hAnsi="Arial"/>
                <w:sz w:val="18"/>
                <w:szCs w:val="18"/>
                <w:color w:val="0000EE"/>
                <w:w w:val="91"/>
              </w:rPr>
            </w:pPr>
            <w:hyperlink r:id="rId18">
              <w:r>
                <w:rPr>
                  <w:rFonts w:ascii="Arial" w:cs="Arial" w:eastAsia="Arial" w:hAnsi="Arial"/>
                  <w:sz w:val="18"/>
                  <w:szCs w:val="18"/>
                  <w:color w:val="0000EE"/>
                  <w:w w:val="91"/>
                </w:rPr>
                <w:t>(File No. 333-230115)).</w:t>
              </w:r>
            </w:hyperlink>
          </w:p>
        </w:tc>
        <w:tc>
          <w:tcPr>
            <w:tcW w:w="8020" w:type="dxa"/>
            <w:vAlign w:val="bottom"/>
            <w:gridSpan w:val="3"/>
          </w:tcPr>
          <w:p>
            <w:pPr>
              <w:spacing w:after="0"/>
              <w:rPr>
                <w:sz w:val="17"/>
                <w:szCs w:val="17"/>
                <w:color w:val="auto"/>
              </w:rPr>
            </w:pPr>
          </w:p>
        </w:tc>
      </w:tr>
      <w:tr>
        <w:trPr>
          <w:trHeight w:val="345"/>
        </w:trPr>
        <w:tc>
          <w:tcPr>
            <w:tcW w:w="460" w:type="dxa"/>
            <w:vAlign w:val="bottom"/>
          </w:tcPr>
          <w:p>
            <w:pPr>
              <w:spacing w:after="0"/>
              <w:rPr>
                <w:sz w:val="20"/>
                <w:szCs w:val="20"/>
                <w:color w:val="auto"/>
              </w:rPr>
            </w:pPr>
            <w:r>
              <w:rPr>
                <w:rFonts w:ascii="Arial" w:cs="Arial" w:eastAsia="Arial" w:hAnsi="Arial"/>
                <w:sz w:val="18"/>
                <w:szCs w:val="18"/>
                <w:color w:val="auto"/>
              </w:rPr>
              <w:t>99.1</w:t>
            </w:r>
          </w:p>
        </w:tc>
        <w:tc>
          <w:tcPr>
            <w:tcW w:w="540" w:type="dxa"/>
            <w:vAlign w:val="bottom"/>
          </w:tcPr>
          <w:p>
            <w:pPr>
              <w:spacing w:after="0"/>
              <w:rPr>
                <w:sz w:val="24"/>
                <w:szCs w:val="24"/>
                <w:color w:val="auto"/>
              </w:rPr>
            </w:pPr>
          </w:p>
        </w:tc>
        <w:tc>
          <w:tcPr>
            <w:tcW w:w="9740" w:type="dxa"/>
            <w:vAlign w:val="bottom"/>
            <w:gridSpan w:val="4"/>
          </w:tcPr>
          <w:p>
            <w:pPr>
              <w:spacing w:after="0"/>
              <w:rPr>
                <w:rFonts w:ascii="Arial" w:cs="Arial" w:eastAsia="Arial" w:hAnsi="Arial"/>
                <w:sz w:val="18"/>
                <w:szCs w:val="18"/>
                <w:color w:val="0000EE"/>
              </w:rPr>
            </w:pPr>
            <w:hyperlink w:anchor="page5">
              <w:r>
                <w:rPr>
                  <w:rFonts w:ascii="Arial" w:cs="Arial" w:eastAsia="Arial" w:hAnsi="Arial"/>
                  <w:sz w:val="18"/>
                  <w:szCs w:val="18"/>
                  <w:u w:val="single" w:color="auto"/>
                  <w:color w:val="0000EE"/>
                </w:rPr>
                <w:t>Press Release of Tradeweb Markets Inc., dated February 10, 2021</w:t>
              </w:r>
              <w:r>
                <w:rPr>
                  <w:rFonts w:ascii="Arial" w:cs="Arial" w:eastAsia="Arial" w:hAnsi="Arial"/>
                  <w:sz w:val="18"/>
                  <w:szCs w:val="18"/>
                  <w:color w:val="0000EE"/>
                </w:rPr>
                <w:t>.</w:t>
              </w:r>
            </w:hyperlink>
          </w:p>
        </w:tc>
      </w:tr>
      <w:tr>
        <w:trPr>
          <w:trHeight w:val="324"/>
        </w:trPr>
        <w:tc>
          <w:tcPr>
            <w:tcW w:w="460" w:type="dxa"/>
            <w:vAlign w:val="bottom"/>
          </w:tcPr>
          <w:p>
            <w:pPr>
              <w:spacing w:after="0"/>
              <w:rPr>
                <w:sz w:val="20"/>
                <w:szCs w:val="20"/>
                <w:color w:val="auto"/>
              </w:rPr>
            </w:pPr>
            <w:r>
              <w:rPr>
                <w:rFonts w:ascii="Arial" w:cs="Arial" w:eastAsia="Arial" w:hAnsi="Arial"/>
                <w:sz w:val="18"/>
                <w:szCs w:val="18"/>
                <w:color w:val="auto"/>
              </w:rPr>
              <w:t>104</w:t>
            </w:r>
          </w:p>
        </w:tc>
        <w:tc>
          <w:tcPr>
            <w:tcW w:w="540" w:type="dxa"/>
            <w:vAlign w:val="bottom"/>
          </w:tcPr>
          <w:p>
            <w:pPr>
              <w:spacing w:after="0"/>
              <w:rPr>
                <w:sz w:val="24"/>
                <w:szCs w:val="24"/>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rPr>
          <w:sz w:val="20"/>
          <w:szCs w:val="20"/>
          <w:color w:val="auto"/>
        </w:rPr>
        <w:sectPr>
          <w:pgSz w:w="11900" w:h="16838" w:orient="portrait"/>
          <w:cols w:equalWidth="0" w:num="1">
            <w:col w:w="10740"/>
          </w:cols>
          <w:pgMar w:left="440" w:top="297" w:right="7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49465" cy="42545"/>
                    </a:xfrm>
                    <a:prstGeom prst="rect">
                      <a:avLst/>
                    </a:prstGeom>
                    <a:noFill/>
                  </pic:spPr>
                </pic:pic>
              </a:graphicData>
            </a:graphic>
          </wp:anchor>
        </w:drawing>
      </w:r>
    </w:p>
    <w:bookmarkStart w:id="3" w:name="page4"/>
    <w:bookmarkEnd w:id="3"/>
    <w:p>
      <w:pPr>
        <w:jc w:val="center"/>
        <w:ind w:right="-2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431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49465" cy="4318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TRADEWEB MARKETS INC.</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February 10,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Douglas Friedman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Douglas Friedman</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 General Counsel</w:t>
      </w:r>
    </w:p>
    <w:p>
      <w:pPr>
        <w:sectPr>
          <w:pgSz w:w="11900" w:h="16838" w:orient="portrait"/>
          <w:cols w:equalWidth="0" w:num="1">
            <w:col w:w="10700"/>
          </w:cols>
          <w:pgMar w:left="440" w:top="297" w:right="75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5989320</wp:posOffset>
            </wp:positionH>
            <wp:positionV relativeFrom="paragraph">
              <wp:posOffset>111760</wp:posOffset>
            </wp:positionV>
            <wp:extent cx="1003300" cy="3429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00330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NEWS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Von M. Hughes Appointed to Tradeweb Markets Board of Directors</w:t>
      </w:r>
    </w:p>
    <w:p>
      <w:pPr>
        <w:spacing w:after="0" w:line="121"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NEW YORK – February 10, 2021 – Tradeweb Markets Inc. (Nasdaq: TW), a leading, global operator of electronic marketplaces for rates, credit, equities and money markets, today announced the appointment of Von M. Hughes to the company’s Board of Directors as an independent director, effective March 1, 2021.</w:t>
      </w:r>
    </w:p>
    <w:p>
      <w:pPr>
        <w:spacing w:after="0" w:line="184"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Mr. Hughes is a Partner and Managing Director of PAAMCO Prisma, where he serves as Head of Strategic Advisory &amp; Client Acquisition. He was appointed to the Board of Directors for PAAMCO Prisma Holdings LLC in 2018.</w:t>
      </w:r>
    </w:p>
    <w:p>
      <w:pPr>
        <w:spacing w:after="0" w:line="170"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Martin Brand, Chairman of the Board, Tradeweb Markets, said: “The extraordinary breadth and depth of Von’s expertise makes him an outstanding addition to the Tradeweb board. His insight as a proven leader of global asset management firms and his unique understanding of corporate governance, pensions and public investing will help to reinforce Tradeweb’s focus on making markets more efficient.”</w:t>
      </w:r>
    </w:p>
    <w:p>
      <w:pPr>
        <w:spacing w:after="0" w:line="165"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color w:val="auto"/>
        </w:rPr>
        <w:t>Mr. Hughes has been with PAAMCO Prisma, formerly known as PAAMCO, since 2003 and has served in a number of senior roles at the firm. Before PAAMCO Prisma, he held senior positions at Goldman Sachs and at Utendahl Capital Partners. He started his career as a clerk for the Honorable Judge Thomas P. Jackson in the U.S. District Court for the District of Columbia.</w:t>
      </w:r>
    </w:p>
    <w:p>
      <w:pPr>
        <w:spacing w:after="0" w:line="184"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Lee Olesky, CEO, Tradeweb Markets: “The last few years have been a period remarkable growth and change for Tradeweb. As we continue to identify and execute on new opportunities, Von’s independent voice and experience as an operator and strategist will be immensely helpful to the board and our management team.”</w:t>
      </w:r>
    </w:p>
    <w:p>
      <w:pPr>
        <w:spacing w:after="0" w:line="18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Mr. Hughes is the author of the award-winning “U.S. Public Pension Handbook: A Comprehensive Guide for Trustees and Investment Staff.” He is a board member of National Association of Investment Companies (NAIC), as well as Greenwich Roundtable. He earned a B.A. in Philosophy (cum laude) from Yale University, an MPP from the Harvard Kennedy School of Government, and a JD from Harvard Law School, where he was an editor on the Harvard Law Review as well as on the Civil Rights and Civil Liberties Law Review.</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Tradeweb Markets</w:t>
      </w:r>
    </w:p>
    <w:p>
      <w:pPr>
        <w:spacing w:after="0" w:line="121"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 xml:space="preserve">Tradeweb Markets Inc. (Nasdaq: TW) is a leading, global operator of electronic marketplaces for rates, credit, equities and money markets. Founded in 1996, Tradeweb provides access to markets, data and analytics, electronic trading, straight-through-processing and reporting for more than 40 products to clients in the institutional, wholesale and retail markets. Advanced technologies developed by Tradeweb enhance price discovery, order execution and trade workflows while allowing for greater scale and helping to reduce risks in client trading operations. Tradeweb serves approximately 2,500 clients in more than 65 countries. On average, Tradeweb facilitated more than $830 billion in notional value traded per day over the past four fiscal quarters. For more information, please go to </w:t>
      </w:r>
      <w:r>
        <w:rPr>
          <w:rFonts w:ascii="Arial" w:cs="Arial" w:eastAsia="Arial" w:hAnsi="Arial"/>
          <w:sz w:val="17"/>
          <w:szCs w:val="17"/>
          <w:u w:val="single" w:color="auto"/>
          <w:color w:val="auto"/>
        </w:rPr>
        <w:t>www.tradeweb.com</w:t>
      </w:r>
      <w:r>
        <w:rPr>
          <w:rFonts w:ascii="Arial" w:cs="Arial" w:eastAsia="Arial" w:hAnsi="Arial"/>
          <w:sz w:val="17"/>
          <w:szCs w:val="17"/>
          <w:color w:val="auto"/>
        </w:rPr>
        <w:t>.</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jpeg"/><Relationship Id="rId18" Type="http://schemas.openxmlformats.org/officeDocument/2006/relationships/hyperlink" Target="http://www.sec.gov/Archives/edgar/data/1758730/000114420419015706/tv515721_ex10-1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2021-02-10T07:00:31Z</dcterms:created>
  <dcterms:modified xsi:type="dcterms:W3CDTF">2021-02-10T07:00:31Z</dcterms:modified>
</cp:coreProperties>
</file>