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30, 2024</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On October 30, 2024, Tradeweb Markets Inc. (the “Company”) issued a press release, a copy of which is furnished as Exhibit 99.1 hereto and incorporated herein by reference, announcing financial results for the quarter ended September 30, 2024.</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of Tradeweb Markets Inc., dated October 30, 2024, announcing Third Quarter 2024 Financial Results.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2"/>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7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50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67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By:   /s/ Douglas Friedman</w:t>
            </w:r>
          </w:p>
        </w:tc>
      </w:tr>
      <w:tr>
        <w:trPr>
          <w:trHeight w:val="218"/>
        </w:trPr>
        <w:tc>
          <w:tcPr>
            <w:tcW w:w="44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Douglas Friedman</w:t>
            </w:r>
          </w:p>
        </w:tc>
      </w:tr>
      <w:tr>
        <w:trPr>
          <w:trHeight w:val="234"/>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General Counsel</w:t>
            </w:r>
          </w:p>
        </w:tc>
      </w:tr>
    </w:tbl>
    <w:p>
      <w:pPr>
        <w:sectPr>
          <w:pgSz w:w="11900" w:h="16838" w:orient="portrait"/>
          <w:cols w:equalWidth="0" w:num="1">
            <w:col w:w="11240"/>
          </w:cols>
          <w:pgMar w:left="320" w:top="1130" w:right="339" w:bottom="1440" w:gutter="0" w:footer="0" w:header="0"/>
        </w:sectPr>
      </w:pPr>
    </w:p>
    <w:bookmarkStart w:id="3" w:name="page4"/>
    <w:bookmarkEnd w:id="3"/>
    <w:p>
      <w:pPr>
        <w:ind w:left="5860"/>
        <w:spacing w:after="0"/>
        <w:tabs>
          <w:tab w:leader="none" w:pos="8180" w:val="left"/>
        </w:tabs>
        <w:rPr>
          <w:sz w:val="20"/>
          <w:szCs w:val="20"/>
          <w:color w:val="auto"/>
        </w:rPr>
      </w:pPr>
      <w:r>
        <w:rPr>
          <w:rFonts w:ascii="Arial" w:cs="Arial" w:eastAsia="Arial" w:hAnsi="Arial"/>
          <w:sz w:val="16"/>
          <w:szCs w:val="16"/>
          <w:b w:val="1"/>
          <w:bCs w:val="1"/>
          <w:color w:val="083566"/>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t>Investor Relations</w:t>
      </w:r>
      <w:r>
        <w:rPr>
          <w:sz w:val="20"/>
          <w:szCs w:val="20"/>
          <w:color w:val="auto"/>
        </w:rPr>
        <w:tab/>
      </w:r>
      <w:r>
        <w:rPr>
          <w:rFonts w:ascii="Arial" w:cs="Arial" w:eastAsia="Arial" w:hAnsi="Arial"/>
          <w:sz w:val="16"/>
          <w:szCs w:val="16"/>
          <w:b w:val="1"/>
          <w:bCs w:val="1"/>
          <w:color w:val="083566"/>
        </w:rPr>
        <w:t>Media Relations</w:t>
      </w:r>
    </w:p>
    <w:p>
      <w:pPr>
        <w:spacing w:after="0" w:line="21"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Ashley Serrao + 1 646 430</w:t>
      </w:r>
      <w:r>
        <w:rPr>
          <w:sz w:val="20"/>
          <w:szCs w:val="20"/>
          <w:color w:val="auto"/>
        </w:rPr>
        <w:tab/>
      </w:r>
      <w:r>
        <w:rPr>
          <w:rFonts w:ascii="Arial" w:cs="Arial" w:eastAsia="Arial" w:hAnsi="Arial"/>
          <w:sz w:val="16"/>
          <w:szCs w:val="16"/>
          <w:color w:val="auto"/>
        </w:rPr>
        <w:t>Daniel Noonan + 1 646 767</w:t>
      </w:r>
    </w:p>
    <w:p>
      <w:pPr>
        <w:spacing w:after="0" w:line="1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6027</w:t>
      </w:r>
      <w:r>
        <w:rPr>
          <w:sz w:val="20"/>
          <w:szCs w:val="20"/>
          <w:color w:val="auto"/>
        </w:rPr>
        <w:tab/>
      </w:r>
      <w:r>
        <w:rPr>
          <w:rFonts w:ascii="Arial" w:cs="Arial" w:eastAsia="Arial" w:hAnsi="Arial"/>
          <w:sz w:val="16"/>
          <w:szCs w:val="16"/>
          <w:color w:val="auto"/>
        </w:rPr>
        <w:t>4677</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Ashley.Serrao@Tradeweb.com  Daniel.Noonan@Tradeweb.com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THIRD QUARTER 2024 FINANCIAL RESULTS</w:t>
      </w:r>
    </w:p>
    <w:p>
      <w:pPr>
        <w:spacing w:after="0" w:line="222" w:lineRule="exact"/>
        <w:rPr>
          <w:sz w:val="20"/>
          <w:szCs w:val="20"/>
          <w:color w:val="auto"/>
        </w:rPr>
      </w:pPr>
    </w:p>
    <w:p>
      <w:pPr>
        <w:ind w:left="20"/>
        <w:spacing w:after="0" w:line="286" w:lineRule="auto"/>
        <w:rPr>
          <w:sz w:val="20"/>
          <w:szCs w:val="20"/>
          <w:color w:val="auto"/>
        </w:rPr>
      </w:pPr>
      <w:r>
        <w:rPr>
          <w:rFonts w:ascii="Arial" w:cs="Arial" w:eastAsia="Arial" w:hAnsi="Arial"/>
          <w:sz w:val="16"/>
          <w:szCs w:val="16"/>
          <w:b w:val="1"/>
          <w:bCs w:val="1"/>
          <w:color w:val="auto"/>
        </w:rPr>
        <w:t xml:space="preserve">New York, October 30, 2024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quarter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64770</wp:posOffset>
            </wp:positionV>
            <wp:extent cx="3086100" cy="270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86100" cy="2700020"/>
                    </a:xfrm>
                    <a:prstGeom prst="rect">
                      <a:avLst/>
                    </a:prstGeom>
                    <a:noFill/>
                  </pic:spPr>
                </pic:pic>
              </a:graphicData>
            </a:graphic>
          </wp:anchor>
        </w:drawing>
      </w:r>
    </w:p>
    <w:p>
      <w:pPr>
        <w:sectPr>
          <w:pgSz w:w="11900" w:h="16838" w:orient="portrait"/>
          <w:cols w:equalWidth="0" w:num="1">
            <w:col w:w="10940"/>
          </w:cols>
          <w:pgMar w:left="320" w:top="274" w:right="639" w:bottom="1440" w:gutter="0" w:footer="0" w:header="0"/>
        </w:sectPr>
      </w:pPr>
    </w:p>
    <w:p>
      <w:pPr>
        <w:spacing w:after="0" w:line="115" w:lineRule="exact"/>
        <w:rPr>
          <w:sz w:val="20"/>
          <w:szCs w:val="20"/>
          <w:color w:val="auto"/>
        </w:rPr>
      </w:pPr>
    </w:p>
    <w:p>
      <w:pPr>
        <w:ind w:left="20" w:right="140"/>
        <w:spacing w:after="0" w:line="286" w:lineRule="auto"/>
        <w:rPr>
          <w:sz w:val="20"/>
          <w:szCs w:val="20"/>
          <w:color w:val="auto"/>
        </w:rPr>
      </w:pPr>
      <w:r>
        <w:rPr>
          <w:rFonts w:ascii="Arial" w:cs="Arial" w:eastAsia="Arial" w:hAnsi="Arial"/>
          <w:sz w:val="16"/>
          <w:szCs w:val="16"/>
          <w:b w:val="1"/>
          <w:bCs w:val="1"/>
          <w:color w:val="auto"/>
        </w:rPr>
        <w:t xml:space="preserve">$448.9 million </w:t>
      </w:r>
      <w:r>
        <w:rPr>
          <w:rFonts w:ascii="Arial" w:cs="Arial" w:eastAsia="Arial" w:hAnsi="Arial"/>
          <w:sz w:val="16"/>
          <w:szCs w:val="16"/>
          <w:color w:val="auto"/>
        </w:rPr>
        <w:t>quarterly revenues, an increase of</w:t>
      </w:r>
      <w:r>
        <w:rPr>
          <w:rFonts w:ascii="Arial" w:cs="Arial" w:eastAsia="Arial" w:hAnsi="Arial"/>
          <w:sz w:val="16"/>
          <w:szCs w:val="16"/>
          <w:b w:val="1"/>
          <w:bCs w:val="1"/>
          <w:color w:val="auto"/>
        </w:rPr>
        <w:t xml:space="preserve"> 36.7% </w:t>
      </w:r>
      <w:r>
        <w:rPr>
          <w:rFonts w:ascii="Arial" w:cs="Arial" w:eastAsia="Arial" w:hAnsi="Arial"/>
          <w:sz w:val="16"/>
          <w:szCs w:val="16"/>
          <w:color w:val="auto"/>
        </w:rPr>
        <w:t>(</w:t>
      </w:r>
      <w:r>
        <w:rPr>
          <w:rFonts w:ascii="Arial" w:cs="Arial" w:eastAsia="Arial" w:hAnsi="Arial"/>
          <w:sz w:val="16"/>
          <w:szCs w:val="16"/>
          <w:b w:val="1"/>
          <w:bCs w:val="1"/>
          <w:color w:val="auto"/>
        </w:rPr>
        <w:t xml:space="preserve">36.5%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61" w:lineRule="exact"/>
        <w:rPr>
          <w:sz w:val="20"/>
          <w:szCs w:val="20"/>
          <w:color w:val="auto"/>
        </w:rPr>
      </w:pPr>
    </w:p>
    <w:p>
      <w:pPr>
        <w:ind w:left="20"/>
        <w:spacing w:after="0" w:line="265" w:lineRule="auto"/>
        <w:rPr>
          <w:sz w:val="20"/>
          <w:szCs w:val="20"/>
          <w:color w:val="auto"/>
        </w:rPr>
      </w:pPr>
      <w:r>
        <w:rPr>
          <w:rFonts w:ascii="Arial" w:cs="Arial" w:eastAsia="Arial" w:hAnsi="Arial"/>
          <w:sz w:val="16"/>
          <w:szCs w:val="16"/>
          <w:b w:val="1"/>
          <w:bCs w:val="1"/>
          <w:color w:val="auto"/>
        </w:rPr>
        <w:t xml:space="preserve">$2.2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55.3% </w:t>
      </w:r>
      <w:r>
        <w:rPr>
          <w:rFonts w:ascii="Arial" w:cs="Arial" w:eastAsia="Arial" w:hAnsi="Arial"/>
          <w:sz w:val="16"/>
          <w:szCs w:val="16"/>
          <w:color w:val="auto"/>
        </w:rPr>
        <w:t>compared to prior year period; quarterly ADV records in U.S. government bonds, fully electronic U.S. high yield credit, credit derivatives and global repurchase agreements</w:t>
      </w:r>
    </w:p>
    <w:p>
      <w:pPr>
        <w:spacing w:after="0" w:line="65" w:lineRule="exact"/>
        <w:rPr>
          <w:sz w:val="20"/>
          <w:szCs w:val="20"/>
          <w:color w:val="auto"/>
        </w:rPr>
      </w:pPr>
    </w:p>
    <w:p>
      <w:pPr>
        <w:ind w:left="20" w:right="460"/>
        <w:spacing w:after="0" w:line="314" w:lineRule="auto"/>
        <w:rPr>
          <w:sz w:val="20"/>
          <w:szCs w:val="20"/>
          <w:color w:val="auto"/>
        </w:rPr>
      </w:pPr>
      <w:r>
        <w:rPr>
          <w:rFonts w:ascii="Arial" w:cs="Arial" w:eastAsia="Arial" w:hAnsi="Arial"/>
          <w:sz w:val="16"/>
          <w:szCs w:val="16"/>
          <w:b w:val="1"/>
          <w:bCs w:val="1"/>
          <w:color w:val="auto"/>
        </w:rPr>
        <w:t xml:space="preserve">$130.2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$179.3 million </w:t>
      </w:r>
      <w:r>
        <w:rPr>
          <w:rFonts w:ascii="Arial" w:cs="Arial" w:eastAsia="Arial" w:hAnsi="Arial"/>
          <w:sz w:val="16"/>
          <w:szCs w:val="16"/>
          <w:color w:val="auto"/>
        </w:rPr>
        <w:t>adjusted net income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quarter, increases of </w:t>
      </w:r>
      <w:r>
        <w:rPr>
          <w:rFonts w:ascii="Arial" w:cs="Arial" w:eastAsia="Arial" w:hAnsi="Arial"/>
          <w:sz w:val="16"/>
          <w:szCs w:val="16"/>
          <w:b w:val="1"/>
          <w:bCs w:val="1"/>
          <w:color w:val="auto"/>
        </w:rPr>
        <w:t>16.7%</w:t>
      </w:r>
      <w:r>
        <w:rPr>
          <w:rFonts w:ascii="Arial" w:cs="Arial" w:eastAsia="Arial" w:hAnsi="Arial"/>
          <w:sz w:val="16"/>
          <w:szCs w:val="16"/>
          <w:color w:val="auto"/>
        </w:rPr>
        <w:t xml:space="preserve"> and </w:t>
      </w:r>
      <w:r>
        <w:rPr>
          <w:rFonts w:ascii="Arial" w:cs="Arial" w:eastAsia="Arial" w:hAnsi="Arial"/>
          <w:sz w:val="16"/>
          <w:szCs w:val="16"/>
          <w:b w:val="1"/>
          <w:bCs w:val="1"/>
          <w:color w:val="auto"/>
        </w:rPr>
        <w:t>37.1%</w:t>
      </w:r>
      <w:r>
        <w:rPr>
          <w:rFonts w:ascii="Arial" w:cs="Arial" w:eastAsia="Arial" w:hAnsi="Arial"/>
          <w:sz w:val="16"/>
          <w:szCs w:val="16"/>
          <w:color w:val="auto"/>
        </w:rPr>
        <w:t xml:space="preserve"> respectively from prior year period</w:t>
      </w:r>
    </w:p>
    <w:p>
      <w:pPr>
        <w:spacing w:after="0" w:line="18" w:lineRule="exact"/>
        <w:rPr>
          <w:sz w:val="20"/>
          <w:szCs w:val="20"/>
          <w:color w:val="auto"/>
        </w:rPr>
      </w:pPr>
    </w:p>
    <w:p>
      <w:pPr>
        <w:ind w:left="20" w:right="60"/>
        <w:spacing w:after="0" w:line="304" w:lineRule="auto"/>
        <w:rPr>
          <w:sz w:val="20"/>
          <w:szCs w:val="20"/>
          <w:color w:val="auto"/>
        </w:rPr>
      </w:pPr>
      <w:r>
        <w:rPr>
          <w:rFonts w:ascii="Arial" w:cs="Arial" w:eastAsia="Arial" w:hAnsi="Arial"/>
          <w:sz w:val="16"/>
          <w:szCs w:val="16"/>
          <w:b w:val="1"/>
          <w:bCs w:val="1"/>
          <w:color w:val="auto"/>
        </w:rPr>
        <w:t xml:space="preserve">53.4% </w:t>
      </w:r>
      <w:r>
        <w:rPr>
          <w:rFonts w:ascii="Arial" w:cs="Arial" w:eastAsia="Arial" w:hAnsi="Arial"/>
          <w:sz w:val="16"/>
          <w:szCs w:val="16"/>
          <w:color w:val="auto"/>
        </w:rPr>
        <w:t>adjusted EBITDA margin and</w:t>
      </w:r>
      <w:r>
        <w:rPr>
          <w:rFonts w:ascii="Arial" w:cs="Arial" w:eastAsia="Arial" w:hAnsi="Arial"/>
          <w:sz w:val="16"/>
          <w:szCs w:val="16"/>
          <w:b w:val="1"/>
          <w:bCs w:val="1"/>
          <w:color w:val="auto"/>
        </w:rPr>
        <w:t xml:space="preserve"> $239.8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51.9% and $170.4 million respectively for prior year period</w:t>
      </w:r>
    </w:p>
    <w:p>
      <w:pPr>
        <w:spacing w:after="0" w:line="33" w:lineRule="exact"/>
        <w:rPr>
          <w:sz w:val="20"/>
          <w:szCs w:val="20"/>
          <w:color w:val="auto"/>
        </w:rPr>
      </w:pPr>
    </w:p>
    <w:p>
      <w:pPr>
        <w:ind w:left="20" w:right="380"/>
        <w:spacing w:after="0" w:line="286" w:lineRule="auto"/>
        <w:rPr>
          <w:sz w:val="20"/>
          <w:szCs w:val="20"/>
          <w:color w:val="auto"/>
        </w:rPr>
      </w:pPr>
      <w:r>
        <w:rPr>
          <w:rFonts w:ascii="Arial" w:cs="Arial" w:eastAsia="Arial" w:hAnsi="Arial"/>
          <w:sz w:val="16"/>
          <w:szCs w:val="16"/>
          <w:b w:val="1"/>
          <w:bCs w:val="1"/>
          <w:color w:val="auto"/>
        </w:rPr>
        <w:t xml:space="preserve">$0.53 </w:t>
      </w:r>
      <w:r>
        <w:rPr>
          <w:rFonts w:ascii="Arial" w:cs="Arial" w:eastAsia="Arial" w:hAnsi="Arial"/>
          <w:sz w:val="16"/>
          <w:szCs w:val="16"/>
          <w:color w:val="auto"/>
        </w:rPr>
        <w:t>diluted earnings per share (“Diluted EPS”) and</w:t>
      </w:r>
      <w:r>
        <w:rPr>
          <w:rFonts w:ascii="Arial" w:cs="Arial" w:eastAsia="Arial" w:hAnsi="Arial"/>
          <w:sz w:val="16"/>
          <w:szCs w:val="16"/>
          <w:b w:val="1"/>
          <w:bCs w:val="1"/>
          <w:color w:val="auto"/>
        </w:rPr>
        <w:t xml:space="preserve"> $0.75 </w:t>
      </w:r>
      <w:r>
        <w:rPr>
          <w:rFonts w:ascii="Arial" w:cs="Arial" w:eastAsia="Arial" w:hAnsi="Arial"/>
          <w:sz w:val="16"/>
          <w:szCs w:val="16"/>
          <w:color w:val="auto"/>
        </w:rPr>
        <w:t>adjusted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per share for the quarter</w:t>
      </w:r>
    </w:p>
    <w:p>
      <w:pPr>
        <w:spacing w:after="0" w:line="61" w:lineRule="exact"/>
        <w:rPr>
          <w:sz w:val="20"/>
          <w:szCs w:val="20"/>
          <w:color w:val="auto"/>
        </w:rPr>
      </w:pPr>
    </w:p>
    <w:p>
      <w:pPr>
        <w:ind w:left="20" w:right="480"/>
        <w:spacing w:after="0" w:line="286" w:lineRule="auto"/>
        <w:rPr>
          <w:sz w:val="20"/>
          <w:szCs w:val="20"/>
          <w:color w:val="auto"/>
        </w:rPr>
      </w:pPr>
      <w:r>
        <w:rPr>
          <w:rFonts w:ascii="Arial" w:cs="Arial" w:eastAsia="Arial" w:hAnsi="Arial"/>
          <w:sz w:val="16"/>
          <w:szCs w:val="16"/>
          <w:b w:val="1"/>
          <w:bCs w:val="1"/>
          <w:color w:val="auto"/>
        </w:rPr>
        <w:t xml:space="preserve">$0.10 </w:t>
      </w:r>
      <w:r>
        <w:rPr>
          <w:rFonts w:ascii="Arial" w:cs="Arial" w:eastAsia="Arial" w:hAnsi="Arial"/>
          <w:sz w:val="16"/>
          <w:szCs w:val="16"/>
          <w:color w:val="auto"/>
        </w:rPr>
        <w:t>per share quarterly cash dividend declared;</w:t>
      </w:r>
      <w:r>
        <w:rPr>
          <w:rFonts w:ascii="Arial" w:cs="Arial" w:eastAsia="Arial" w:hAnsi="Arial"/>
          <w:sz w:val="16"/>
          <w:szCs w:val="16"/>
          <w:b w:val="1"/>
          <w:bCs w:val="1"/>
          <w:color w:val="auto"/>
        </w:rPr>
        <w:t xml:space="preserve"> $25.0 million </w:t>
      </w:r>
      <w:r>
        <w:rPr>
          <w:rFonts w:ascii="Arial" w:cs="Arial" w:eastAsia="Arial" w:hAnsi="Arial"/>
          <w:sz w:val="16"/>
          <w:szCs w:val="16"/>
          <w:color w:val="auto"/>
        </w:rPr>
        <w:t>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repurchased</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Billy Hult, CEO of Tradeweb:</w:t>
      </w:r>
    </w:p>
    <w:p>
      <w:pPr>
        <w:spacing w:after="0" w:line="56" w:lineRule="exact"/>
        <w:rPr>
          <w:sz w:val="20"/>
          <w:szCs w:val="20"/>
          <w:color w:val="auto"/>
        </w:rPr>
      </w:pPr>
    </w:p>
    <w:p>
      <w:pPr>
        <w:ind w:right="220"/>
        <w:spacing w:after="0" w:line="231" w:lineRule="auto"/>
        <w:rPr>
          <w:sz w:val="20"/>
          <w:szCs w:val="20"/>
          <w:color w:val="auto"/>
        </w:rPr>
      </w:pPr>
      <w:r>
        <w:rPr>
          <w:rFonts w:ascii="Arial" w:cs="Arial" w:eastAsia="Arial" w:hAnsi="Arial"/>
          <w:sz w:val="15"/>
          <w:szCs w:val="15"/>
          <w:color w:val="auto"/>
        </w:rPr>
        <w:t>“We are pleased to report record quarterly revenues of $448.9 million, reflecting a 36.7% increase year-over-year. This strong growth was driven by record average daily volume (ADV) of $2.2 trillion, up 55% compared to the same period last year. We achieved quarterly ADV records across rates, credit, and money markets, highlighting the success of our organic expansion efforts and the contributions from</w:t>
      </w:r>
    </w:p>
    <w:p>
      <w:pPr>
        <w:spacing w:after="0" w:line="3" w:lineRule="exact"/>
        <w:rPr>
          <w:sz w:val="20"/>
          <w:szCs w:val="20"/>
          <w:color w:val="auto"/>
        </w:rPr>
      </w:pPr>
    </w:p>
    <w:p>
      <w:pPr>
        <w:ind w:right="560"/>
        <w:spacing w:after="0" w:line="244" w:lineRule="auto"/>
        <w:rPr>
          <w:sz w:val="20"/>
          <w:szCs w:val="20"/>
          <w:color w:val="auto"/>
        </w:rPr>
      </w:pPr>
      <w:r>
        <w:rPr>
          <w:rFonts w:ascii="Arial" w:cs="Arial" w:eastAsia="Arial" w:hAnsi="Arial"/>
          <w:sz w:val="15"/>
          <w:szCs w:val="15"/>
          <w:color w:val="auto"/>
        </w:rPr>
        <w:t>our recent acquisitions of ICD, r8fin, and Yieldbroker, which have strengthened our global business.</w:t>
      </w:r>
    </w:p>
    <w:p>
      <w:pPr>
        <w:spacing w:after="0" w:line="202" w:lineRule="exact"/>
        <w:rPr>
          <w:sz w:val="20"/>
          <w:szCs w:val="20"/>
          <w:color w:val="auto"/>
        </w:rPr>
      </w:pPr>
    </w:p>
    <w:p>
      <w:pPr>
        <w:ind w:right="180"/>
        <w:spacing w:after="0" w:line="231" w:lineRule="auto"/>
        <w:rPr>
          <w:sz w:val="20"/>
          <w:szCs w:val="20"/>
          <w:color w:val="auto"/>
        </w:rPr>
      </w:pPr>
      <w:r>
        <w:rPr>
          <w:rFonts w:ascii="Arial" w:cs="Arial" w:eastAsia="Arial" w:hAnsi="Arial"/>
          <w:sz w:val="15"/>
          <w:szCs w:val="15"/>
          <w:color w:val="auto"/>
        </w:rPr>
        <w:t>Throughout the quarter, we worked closely with clients as they navigated a remarkable period of macroeconomic uncertainty and rates volatility. In Asia, we expanded our geographic presence into India with the appointment of a new country head. We also reinforced our global commitment to advancing ESG initiatives with the publication of our fourth annual Corporate Sustainability Report. Credit</w:t>
      </w:r>
    </w:p>
    <w:p>
      <w:pPr>
        <w:spacing w:after="0" w:line="3" w:lineRule="exact"/>
        <w:rPr>
          <w:sz w:val="20"/>
          <w:szCs w:val="20"/>
          <w:color w:val="auto"/>
        </w:rPr>
      </w:pPr>
    </w:p>
    <w:p>
      <w:pPr>
        <w:ind w:right="320"/>
        <w:spacing w:after="0" w:line="236" w:lineRule="auto"/>
        <w:rPr>
          <w:sz w:val="20"/>
          <w:szCs w:val="20"/>
          <w:color w:val="auto"/>
        </w:rPr>
      </w:pPr>
      <w:r>
        <w:rPr>
          <w:rFonts w:ascii="Arial" w:cs="Arial" w:eastAsia="Arial" w:hAnsi="Arial"/>
          <w:sz w:val="15"/>
          <w:szCs w:val="15"/>
          <w:color w:val="auto"/>
        </w:rPr>
        <w:t>markets reached an important milestone in September, as electronic trading for the month accounted for 50% of total U.S. high grade TRACE volume for the first time.</w:t>
      </w:r>
    </w:p>
    <w:p>
      <w:pPr>
        <w:spacing w:after="0" w:line="206"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auto"/>
        </w:rPr>
        <w:t>Looking ahead, we remain focused on identifying strategic growth opportunities and further expanding our presence across key markets.”</w:t>
      </w:r>
    </w:p>
    <w:p>
      <w:pPr>
        <w:spacing w:after="0" w:line="200" w:lineRule="exact"/>
        <w:rPr>
          <w:sz w:val="20"/>
          <w:szCs w:val="20"/>
          <w:color w:val="auto"/>
        </w:rPr>
      </w:pPr>
    </w:p>
    <w:p>
      <w:pPr>
        <w:sectPr>
          <w:pgSz w:w="11900" w:h="16838" w:orient="portrait"/>
          <w:cols w:equalWidth="0" w:num="2">
            <w:col w:w="5800" w:space="200"/>
            <w:col w:w="4940"/>
          </w:cols>
          <w:pgMar w:left="320" w:top="274" w:right="639" w:bottom="1440" w:gutter="0" w:footer="0" w:header="0"/>
          <w:type w:val="continuous"/>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40" w:type="dxa"/>
            <w:vAlign w:val="bottom"/>
            <w:shd w:val="clear" w:color="auto" w:fill="083566"/>
          </w:tcPr>
          <w:p>
            <w:pPr>
              <w:spacing w:after="0"/>
              <w:rPr>
                <w:sz w:val="17"/>
                <w:szCs w:val="17"/>
                <w:color w:val="auto"/>
              </w:rPr>
            </w:pPr>
          </w:p>
        </w:tc>
        <w:tc>
          <w:tcPr>
            <w:tcW w:w="26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60" w:type="dxa"/>
            <w:vAlign w:val="bottom"/>
            <w:shd w:val="clear" w:color="auto" w:fill="083566"/>
          </w:tcPr>
          <w:p>
            <w:pPr>
              <w:spacing w:after="0"/>
              <w:rPr>
                <w:sz w:val="17"/>
                <w:szCs w:val="17"/>
                <w:color w:val="auto"/>
              </w:rPr>
            </w:pPr>
          </w:p>
        </w:tc>
        <w:tc>
          <w:tcPr>
            <w:tcW w:w="920" w:type="dxa"/>
            <w:vAlign w:val="bottom"/>
            <w:shd w:val="clear" w:color="auto" w:fill="083566"/>
          </w:tcPr>
          <w:p>
            <w:pPr>
              <w:spacing w:after="0"/>
              <w:rPr>
                <w:sz w:val="17"/>
                <w:szCs w:val="17"/>
                <w:color w:val="auto"/>
              </w:rPr>
            </w:pP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Constant</w:t>
            </w:r>
          </w:p>
        </w:tc>
        <w:tc>
          <w:tcPr>
            <w:tcW w:w="80" w:type="dxa"/>
            <w:vAlign w:val="bottom"/>
          </w:tcPr>
          <w:p>
            <w:pPr>
              <w:spacing w:after="0"/>
              <w:rPr>
                <w:sz w:val="17"/>
                <w:szCs w:val="17"/>
                <w:color w:val="auto"/>
              </w:rPr>
            </w:pPr>
          </w:p>
        </w:tc>
        <w:tc>
          <w:tcPr>
            <w:tcW w:w="1180" w:type="dxa"/>
            <w:vAlign w:val="bottom"/>
            <w:shd w:val="clear" w:color="auto" w:fill="083566"/>
          </w:tcPr>
          <w:p>
            <w:pPr>
              <w:spacing w:after="0"/>
              <w:rPr>
                <w:sz w:val="17"/>
                <w:szCs w:val="17"/>
                <w:color w:val="auto"/>
              </w:rPr>
            </w:pPr>
          </w:p>
        </w:tc>
        <w:tc>
          <w:tcPr>
            <w:tcW w:w="10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6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840" w:type="dxa"/>
            <w:vAlign w:val="bottom"/>
            <w:shd w:val="clear" w:color="auto" w:fill="083566"/>
          </w:tcPr>
          <w:p>
            <w:pPr>
              <w:spacing w:after="0"/>
              <w:rPr>
                <w:sz w:val="17"/>
                <w:szCs w:val="17"/>
                <w:color w:val="auto"/>
              </w:rPr>
            </w:pPr>
          </w:p>
        </w:tc>
        <w:tc>
          <w:tcPr>
            <w:tcW w:w="800" w:type="dxa"/>
            <w:vAlign w:val="bottom"/>
            <w:shd w:val="clear" w:color="auto" w:fill="08356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6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60" w:type="dxa"/>
            <w:vAlign w:val="bottom"/>
            <w:shd w:val="clear" w:color="auto" w:fill="083566"/>
          </w:tcPr>
          <w:p>
            <w:pPr>
              <w:spacing w:after="0"/>
              <w:rPr>
                <w:sz w:val="16"/>
                <w:szCs w:val="16"/>
                <w:color w:val="auto"/>
              </w:rPr>
            </w:pPr>
          </w:p>
        </w:tc>
        <w:tc>
          <w:tcPr>
            <w:tcW w:w="920" w:type="dxa"/>
            <w:vAlign w:val="bottom"/>
            <w:shd w:val="clear" w:color="auto" w:fill="083566"/>
          </w:tcPr>
          <w:p>
            <w:pPr>
              <w:spacing w:after="0"/>
              <w:rPr>
                <w:sz w:val="16"/>
                <w:szCs w:val="16"/>
                <w:color w:val="auto"/>
              </w:rPr>
            </w:pP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Currency</w:t>
            </w:r>
          </w:p>
        </w:tc>
        <w:tc>
          <w:tcPr>
            <w:tcW w:w="80" w:type="dxa"/>
            <w:vAlign w:val="bottom"/>
          </w:tcPr>
          <w:p>
            <w:pPr>
              <w:spacing w:after="0"/>
              <w:rPr>
                <w:sz w:val="16"/>
                <w:szCs w:val="16"/>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tc>
        <w:tc>
          <w:tcPr>
            <w:tcW w:w="1000" w:type="dxa"/>
            <w:vAlign w:val="bottom"/>
            <w:shd w:val="clear" w:color="auto" w:fill="083566"/>
          </w:tcPr>
          <w:p>
            <w:pPr>
              <w:spacing w:after="0"/>
              <w:rPr>
                <w:sz w:val="16"/>
                <w:szCs w:val="16"/>
                <w:color w:val="auto"/>
              </w:rPr>
            </w:pPr>
          </w:p>
        </w:tc>
        <w:tc>
          <w:tcPr>
            <w:tcW w:w="220" w:type="dxa"/>
            <w:vAlign w:val="bottom"/>
            <w:shd w:val="clear" w:color="auto" w:fill="083566"/>
          </w:tcPr>
          <w:p>
            <w:pPr>
              <w:spacing w:after="0"/>
              <w:rPr>
                <w:sz w:val="16"/>
                <w:szCs w:val="16"/>
                <w:color w:val="auto"/>
              </w:rPr>
            </w:pPr>
          </w:p>
        </w:tc>
        <w:tc>
          <w:tcPr>
            <w:tcW w:w="600" w:type="dxa"/>
            <w:vAlign w:val="bottom"/>
            <w:shd w:val="clear" w:color="auto" w:fill="083566"/>
          </w:tcPr>
          <w:p>
            <w:pPr>
              <w:spacing w:after="0"/>
              <w:rPr>
                <w:sz w:val="16"/>
                <w:szCs w:val="16"/>
                <w:color w:val="auto"/>
              </w:rPr>
            </w:pPr>
          </w:p>
        </w:tc>
        <w:tc>
          <w:tcPr>
            <w:tcW w:w="220" w:type="dxa"/>
            <w:vAlign w:val="bottom"/>
            <w:shd w:val="clear" w:color="auto" w:fill="083566"/>
          </w:tcPr>
          <w:p>
            <w:pPr>
              <w:spacing w:after="0"/>
              <w:rPr>
                <w:sz w:val="16"/>
                <w:szCs w:val="16"/>
                <w:color w:val="auto"/>
              </w:rPr>
            </w:pPr>
          </w:p>
        </w:tc>
        <w:tc>
          <w:tcPr>
            <w:tcW w:w="840" w:type="dxa"/>
            <w:vAlign w:val="bottom"/>
            <w:shd w:val="clear" w:color="auto" w:fill="083566"/>
          </w:tcPr>
          <w:p>
            <w:pPr>
              <w:spacing w:after="0"/>
              <w:rPr>
                <w:sz w:val="16"/>
                <w:szCs w:val="16"/>
                <w:color w:val="auto"/>
              </w:rPr>
            </w:pPr>
          </w:p>
        </w:tc>
        <w:tc>
          <w:tcPr>
            <w:tcW w:w="800" w:type="dxa"/>
            <w:vAlign w:val="bottom"/>
            <w:shd w:val="clear" w:color="auto" w:fill="083566"/>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6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3Q24</w:t>
            </w:r>
          </w:p>
        </w:tc>
        <w:tc>
          <w:tcPr>
            <w:tcW w:w="200" w:type="dxa"/>
            <w:vAlign w:val="bottom"/>
            <w:shd w:val="clear" w:color="auto" w:fill="083566"/>
          </w:tcPr>
          <w:p>
            <w:pPr>
              <w:spacing w:after="0"/>
              <w:rPr>
                <w:sz w:val="22"/>
                <w:szCs w:val="22"/>
                <w:color w:val="auto"/>
              </w:rPr>
            </w:pPr>
          </w:p>
        </w:tc>
        <w:tc>
          <w:tcPr>
            <w:tcW w:w="960" w:type="dxa"/>
            <w:vAlign w:val="bottom"/>
            <w:shd w:val="clear" w:color="auto" w:fill="083566"/>
          </w:tcPr>
          <w:p>
            <w:pPr>
              <w:jc w:val="right"/>
              <w:ind w:right="339"/>
              <w:spacing w:after="0"/>
              <w:rPr>
                <w:sz w:val="20"/>
                <w:szCs w:val="20"/>
                <w:color w:val="auto"/>
              </w:rPr>
            </w:pPr>
            <w:r>
              <w:rPr>
                <w:rFonts w:ascii="Arial" w:cs="Arial" w:eastAsia="Arial" w:hAnsi="Arial"/>
                <w:sz w:val="16"/>
                <w:szCs w:val="16"/>
                <w:b w:val="1"/>
                <w:bCs w:val="1"/>
                <w:color w:val="FFFFFF"/>
              </w:rPr>
              <w:t>3Q23</w:t>
            </w:r>
          </w:p>
        </w:tc>
        <w:tc>
          <w:tcPr>
            <w:tcW w:w="920" w:type="dxa"/>
            <w:vAlign w:val="bottom"/>
            <w:shd w:val="clear" w:color="auto" w:fill="083566"/>
          </w:tcPr>
          <w:p>
            <w:pPr>
              <w:jc w:val="right"/>
              <w:ind w:right="139"/>
              <w:spacing w:after="0"/>
              <w:rPr>
                <w:sz w:val="20"/>
                <w:szCs w:val="20"/>
                <w:color w:val="auto"/>
              </w:rPr>
            </w:pPr>
            <w:r>
              <w:rPr>
                <w:rFonts w:ascii="Arial" w:cs="Arial" w:eastAsia="Arial" w:hAnsi="Arial"/>
                <w:sz w:val="16"/>
                <w:szCs w:val="16"/>
                <w:b w:val="1"/>
                <w:bCs w:val="1"/>
                <w:color w:val="FFFFFF"/>
              </w:rPr>
              <w:t>Change</w:t>
            </w: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Change</w:t>
            </w:r>
            <w:r>
              <w:rPr>
                <w:rFonts w:ascii="Arial" w:cs="Arial" w:eastAsia="Arial" w:hAnsi="Arial"/>
                <w:sz w:val="21"/>
                <w:szCs w:val="21"/>
                <w:b w:val="1"/>
                <w:bCs w:val="1"/>
                <w:color w:val="FFFFFF"/>
                <w:vertAlign w:val="superscript"/>
              </w:rPr>
              <w:t>(1)</w:t>
            </w:r>
          </w:p>
        </w:tc>
        <w:tc>
          <w:tcPr>
            <w:tcW w:w="80" w:type="dxa"/>
            <w:vAlign w:val="bottom"/>
          </w:tcPr>
          <w:p>
            <w:pPr>
              <w:spacing w:after="0"/>
              <w:rPr>
                <w:sz w:val="22"/>
                <w:szCs w:val="22"/>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color w:val="FFFFFF"/>
              </w:rPr>
              <w:t>(Unaudited)</w:t>
            </w:r>
          </w:p>
        </w:tc>
        <w:tc>
          <w:tcPr>
            <w:tcW w:w="1000" w:type="dxa"/>
            <w:vAlign w:val="bottom"/>
            <w:shd w:val="clear" w:color="auto" w:fill="083566"/>
          </w:tcPr>
          <w:p>
            <w:pPr>
              <w:spacing w:after="0"/>
              <w:rPr>
                <w:sz w:val="22"/>
                <w:szCs w:val="22"/>
                <w:color w:val="auto"/>
              </w:rPr>
            </w:pPr>
          </w:p>
        </w:tc>
        <w:tc>
          <w:tcPr>
            <w:tcW w:w="220" w:type="dxa"/>
            <w:vAlign w:val="bottom"/>
            <w:shd w:val="clear" w:color="auto" w:fill="083566"/>
          </w:tcPr>
          <w:p>
            <w:pPr>
              <w:spacing w:after="0"/>
              <w:rPr>
                <w:sz w:val="22"/>
                <w:szCs w:val="22"/>
                <w:color w:val="auto"/>
              </w:rPr>
            </w:pPr>
          </w:p>
        </w:tc>
        <w:tc>
          <w:tcPr>
            <w:tcW w:w="600" w:type="dxa"/>
            <w:vAlign w:val="bottom"/>
            <w:shd w:val="clear" w:color="auto" w:fill="083566"/>
          </w:tcPr>
          <w:p>
            <w:pPr>
              <w:spacing w:after="0"/>
              <w:rPr>
                <w:sz w:val="22"/>
                <w:szCs w:val="22"/>
                <w:color w:val="auto"/>
              </w:rPr>
            </w:pPr>
          </w:p>
        </w:tc>
        <w:tc>
          <w:tcPr>
            <w:tcW w:w="220" w:type="dxa"/>
            <w:vAlign w:val="bottom"/>
            <w:shd w:val="clear" w:color="auto" w:fill="083566"/>
          </w:tcPr>
          <w:p>
            <w:pPr>
              <w:spacing w:after="0"/>
              <w:rPr>
                <w:sz w:val="22"/>
                <w:szCs w:val="22"/>
                <w:color w:val="auto"/>
              </w:rPr>
            </w:pPr>
          </w:p>
        </w:tc>
        <w:tc>
          <w:tcPr>
            <w:tcW w:w="840" w:type="dxa"/>
            <w:vAlign w:val="bottom"/>
            <w:shd w:val="clear" w:color="auto" w:fill="083566"/>
          </w:tcPr>
          <w:p>
            <w:pPr>
              <w:spacing w:after="0"/>
              <w:rPr>
                <w:sz w:val="22"/>
                <w:szCs w:val="22"/>
                <w:color w:val="auto"/>
              </w:rPr>
            </w:pPr>
          </w:p>
        </w:tc>
        <w:tc>
          <w:tcPr>
            <w:tcW w:w="800" w:type="dxa"/>
            <w:vAlign w:val="bottom"/>
            <w:shd w:val="clear" w:color="auto" w:fill="083566"/>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6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20"/>
                <w:szCs w:val="20"/>
                <w:color w:val="auto"/>
              </w:rPr>
            </w:pPr>
          </w:p>
        </w:tc>
        <w:tc>
          <w:tcPr>
            <w:tcW w:w="380" w:type="dxa"/>
            <w:vAlign w:val="bottom"/>
            <w:shd w:val="clear" w:color="auto" w:fill="083566"/>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Product</w:t>
            </w:r>
          </w:p>
        </w:tc>
        <w:tc>
          <w:tcPr>
            <w:tcW w:w="220" w:type="dxa"/>
            <w:vAlign w:val="bottom"/>
            <w:shd w:val="clear" w:color="auto" w:fill="083566"/>
          </w:tcPr>
          <w:p>
            <w:pPr>
              <w:spacing w:after="0"/>
              <w:rPr>
                <w:sz w:val="20"/>
                <w:szCs w:val="20"/>
                <w:color w:val="auto"/>
              </w:rPr>
            </w:pPr>
          </w:p>
        </w:tc>
        <w:tc>
          <w:tcPr>
            <w:tcW w:w="600" w:type="dxa"/>
            <w:vAlign w:val="bottom"/>
            <w:shd w:val="clear" w:color="auto" w:fill="083566"/>
          </w:tcPr>
          <w:p>
            <w:pPr>
              <w:jc w:val="right"/>
              <w:spacing w:after="0"/>
              <w:rPr>
                <w:sz w:val="20"/>
                <w:szCs w:val="20"/>
                <w:color w:val="auto"/>
              </w:rPr>
            </w:pPr>
            <w:r>
              <w:rPr>
                <w:rFonts w:ascii="Arial" w:cs="Arial" w:eastAsia="Arial" w:hAnsi="Arial"/>
                <w:sz w:val="16"/>
                <w:szCs w:val="16"/>
                <w:b w:val="1"/>
                <w:bCs w:val="1"/>
                <w:color w:val="FFFFFF"/>
              </w:rPr>
              <w:t>3Q24</w:t>
            </w:r>
          </w:p>
        </w:tc>
        <w:tc>
          <w:tcPr>
            <w:tcW w:w="220" w:type="dxa"/>
            <w:vAlign w:val="bottom"/>
            <w:shd w:val="clear" w:color="auto" w:fill="083566"/>
          </w:tcPr>
          <w:p>
            <w:pPr>
              <w:spacing w:after="0"/>
              <w:rPr>
                <w:sz w:val="20"/>
                <w:szCs w:val="20"/>
                <w:color w:val="auto"/>
              </w:rPr>
            </w:pPr>
          </w:p>
        </w:tc>
        <w:tc>
          <w:tcPr>
            <w:tcW w:w="840" w:type="dxa"/>
            <w:vAlign w:val="bottom"/>
            <w:shd w:val="clear" w:color="auto" w:fill="083566"/>
          </w:tcPr>
          <w:p>
            <w:pPr>
              <w:jc w:val="right"/>
              <w:ind w:right="199"/>
              <w:spacing w:after="0"/>
              <w:rPr>
                <w:sz w:val="20"/>
                <w:szCs w:val="20"/>
                <w:color w:val="auto"/>
              </w:rPr>
            </w:pPr>
            <w:r>
              <w:rPr>
                <w:rFonts w:ascii="Arial" w:cs="Arial" w:eastAsia="Arial" w:hAnsi="Arial"/>
                <w:sz w:val="16"/>
                <w:szCs w:val="16"/>
                <w:b w:val="1"/>
                <w:bCs w:val="1"/>
                <w:color w:val="FFFFFF"/>
              </w:rPr>
              <w:t>3Q23</w:t>
            </w:r>
          </w:p>
        </w:tc>
        <w:tc>
          <w:tcPr>
            <w:tcW w:w="800" w:type="dxa"/>
            <w:vAlign w:val="bottom"/>
            <w:shd w:val="clear" w:color="auto" w:fill="083566"/>
          </w:tcPr>
          <w:p>
            <w:pPr>
              <w:jc w:val="right"/>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243"/>
        </w:trPr>
        <w:tc>
          <w:tcPr>
            <w:tcW w:w="2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8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60" w:type="dxa"/>
            <w:vAlign w:val="bottom"/>
            <w:shd w:val="clear" w:color="auto" w:fill="D5DCE4"/>
          </w:tcPr>
          <w:p>
            <w:pPr>
              <w:spacing w:after="0"/>
              <w:rPr>
                <w:sz w:val="21"/>
                <w:szCs w:val="21"/>
                <w:color w:val="auto"/>
              </w:rPr>
            </w:pPr>
          </w:p>
        </w:tc>
        <w:tc>
          <w:tcPr>
            <w:tcW w:w="92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497</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39"/>
              <w:spacing w:after="0"/>
              <w:rPr>
                <w:sz w:val="20"/>
                <w:szCs w:val="20"/>
                <w:color w:val="auto"/>
              </w:rPr>
            </w:pPr>
            <w:r>
              <w:rPr>
                <w:rFonts w:ascii="Arial" w:cs="Arial" w:eastAsia="Arial" w:hAnsi="Arial"/>
                <w:sz w:val="16"/>
                <w:szCs w:val="16"/>
                <w:color w:val="auto"/>
              </w:rPr>
              <w:t>361</w:t>
            </w:r>
          </w:p>
        </w:tc>
        <w:tc>
          <w:tcPr>
            <w:tcW w:w="800" w:type="dxa"/>
            <w:vAlign w:val="bottom"/>
          </w:tcPr>
          <w:p>
            <w:pPr>
              <w:jc w:val="right"/>
              <w:spacing w:after="0"/>
              <w:rPr>
                <w:sz w:val="20"/>
                <w:szCs w:val="20"/>
                <w:color w:val="auto"/>
              </w:rPr>
            </w:pPr>
            <w:r>
              <w:rPr>
                <w:rFonts w:ascii="Arial" w:cs="Arial" w:eastAsia="Arial" w:hAnsi="Arial"/>
                <w:sz w:val="16"/>
                <w:szCs w:val="16"/>
                <w:color w:val="auto"/>
              </w:rPr>
              <w:t>37.4 %</w:t>
            </w:r>
          </w:p>
        </w:tc>
        <w:tc>
          <w:tcPr>
            <w:tcW w:w="0" w:type="dxa"/>
            <w:vAlign w:val="bottom"/>
          </w:tcPr>
          <w:p>
            <w:pPr>
              <w:spacing w:after="0"/>
              <w:rPr>
                <w:sz w:val="1"/>
                <w:szCs w:val="1"/>
                <w:color w:val="auto"/>
              </w:rPr>
            </w:pPr>
          </w:p>
        </w:tc>
      </w:tr>
      <w:tr>
        <w:trPr>
          <w:trHeight w:val="235"/>
        </w:trPr>
        <w:tc>
          <w:tcPr>
            <w:tcW w:w="17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448,915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328,357</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36.7 %</w:t>
            </w:r>
          </w:p>
        </w:tc>
        <w:tc>
          <w:tcPr>
            <w:tcW w:w="560" w:type="dxa"/>
            <w:vAlign w:val="bottom"/>
          </w:tcPr>
          <w:p>
            <w:pPr>
              <w:jc w:val="right"/>
              <w:spacing w:after="0"/>
              <w:rPr>
                <w:sz w:val="20"/>
                <w:szCs w:val="20"/>
                <w:color w:val="auto"/>
              </w:rPr>
            </w:pPr>
            <w:r>
              <w:rPr>
                <w:rFonts w:ascii="Arial" w:cs="Arial" w:eastAsia="Arial" w:hAnsi="Arial"/>
                <w:sz w:val="16"/>
                <w:szCs w:val="16"/>
                <w:color w:val="auto"/>
              </w:rPr>
              <w:t>36.5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802</w:t>
            </w:r>
          </w:p>
        </w:tc>
        <w:tc>
          <w:tcPr>
            <w:tcW w:w="220" w:type="dxa"/>
            <w:vAlign w:val="bottom"/>
          </w:tcPr>
          <w:p>
            <w:pPr>
              <w:spacing w:after="0"/>
              <w:rPr>
                <w:sz w:val="20"/>
                <w:szCs w:val="20"/>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color w:val="auto"/>
              </w:rPr>
              <w:t>492</w:t>
            </w:r>
          </w:p>
        </w:tc>
        <w:tc>
          <w:tcPr>
            <w:tcW w:w="800" w:type="dxa"/>
            <w:vAlign w:val="bottom"/>
          </w:tcPr>
          <w:p>
            <w:pPr>
              <w:jc w:val="right"/>
              <w:spacing w:after="0"/>
              <w:rPr>
                <w:sz w:val="20"/>
                <w:szCs w:val="20"/>
                <w:color w:val="auto"/>
              </w:rPr>
            </w:pPr>
            <w:r>
              <w:rPr>
                <w:rFonts w:ascii="Arial" w:cs="Arial" w:eastAsia="Arial" w:hAnsi="Arial"/>
                <w:sz w:val="16"/>
                <w:szCs w:val="16"/>
                <w:color w:val="auto"/>
              </w:rPr>
              <w:t>63.0 %</w:t>
            </w:r>
          </w:p>
        </w:tc>
        <w:tc>
          <w:tcPr>
            <w:tcW w:w="0" w:type="dxa"/>
            <w:vAlign w:val="bottom"/>
          </w:tcPr>
          <w:p>
            <w:pPr>
              <w:spacing w:after="0"/>
              <w:rPr>
                <w:sz w:val="1"/>
                <w:szCs w:val="1"/>
                <w:color w:val="auto"/>
              </w:rPr>
            </w:pPr>
          </w:p>
        </w:tc>
      </w:tr>
      <w:tr>
        <w:trPr>
          <w:trHeight w:val="244"/>
        </w:trPr>
        <w:tc>
          <w:tcPr>
            <w:tcW w:w="1740" w:type="dxa"/>
            <w:vAlign w:val="bottom"/>
          </w:tcPr>
          <w:p>
            <w:pPr>
              <w:ind w:left="140"/>
              <w:spacing w:after="0"/>
              <w:rPr>
                <w:sz w:val="20"/>
                <w:szCs w:val="20"/>
                <w:color w:val="auto"/>
              </w:rPr>
            </w:pPr>
            <w:r>
              <w:rPr>
                <w:rFonts w:ascii="Arial" w:cs="Arial" w:eastAsia="Arial" w:hAnsi="Arial"/>
                <w:sz w:val="16"/>
                <w:szCs w:val="16"/>
                <w:color w:val="auto"/>
              </w:rPr>
              <w:t>Rates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233,122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172,832</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34.9 %</w:t>
            </w:r>
          </w:p>
        </w:tc>
        <w:tc>
          <w:tcPr>
            <w:tcW w:w="560" w:type="dxa"/>
            <w:vAlign w:val="bottom"/>
          </w:tcPr>
          <w:p>
            <w:pPr>
              <w:jc w:val="right"/>
              <w:spacing w:after="0"/>
              <w:rPr>
                <w:sz w:val="20"/>
                <w:szCs w:val="20"/>
                <w:color w:val="auto"/>
              </w:rPr>
            </w:pPr>
            <w:r>
              <w:rPr>
                <w:rFonts w:ascii="Arial" w:cs="Arial" w:eastAsia="Arial" w:hAnsi="Arial"/>
                <w:sz w:val="16"/>
                <w:szCs w:val="16"/>
                <w:color w:val="auto"/>
              </w:rPr>
              <w:t>34.7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1,298</w:t>
            </w:r>
          </w:p>
        </w:tc>
        <w:tc>
          <w:tcPr>
            <w:tcW w:w="220" w:type="dxa"/>
            <w:vAlign w:val="bottom"/>
            <w:tcBorders>
              <w:bottom w:val="single" w:sz="8" w:color="083566"/>
            </w:tcBorders>
            <w:shd w:val="clear" w:color="auto" w:fill="D5DCE4"/>
          </w:tcPr>
          <w:p>
            <w:pPr>
              <w:spacing w:after="0"/>
              <w:rPr>
                <w:sz w:val="21"/>
                <w:szCs w:val="21"/>
                <w:color w:val="auto"/>
              </w:rPr>
            </w:pPr>
          </w:p>
        </w:tc>
        <w:tc>
          <w:tcPr>
            <w:tcW w:w="840" w:type="dxa"/>
            <w:vAlign w:val="bottom"/>
            <w:tcBorders>
              <w:bottom w:val="single" w:sz="8" w:color="083566"/>
            </w:tcBorders>
            <w:shd w:val="clear" w:color="auto" w:fill="D5DCE4"/>
          </w:tcPr>
          <w:p>
            <w:pPr>
              <w:jc w:val="right"/>
              <w:ind w:right="239"/>
              <w:spacing w:after="0"/>
              <w:rPr>
                <w:sz w:val="20"/>
                <w:szCs w:val="20"/>
                <w:color w:val="auto"/>
              </w:rPr>
            </w:pPr>
            <w:r>
              <w:rPr>
                <w:rFonts w:ascii="Arial" w:cs="Arial" w:eastAsia="Arial" w:hAnsi="Arial"/>
                <w:sz w:val="16"/>
                <w:szCs w:val="16"/>
                <w:color w:val="auto"/>
              </w:rPr>
              <w:t>853</w:t>
            </w:r>
          </w:p>
        </w:tc>
        <w:tc>
          <w:tcPr>
            <w:tcW w:w="8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52.1 %</w:t>
            </w:r>
          </w:p>
        </w:tc>
        <w:tc>
          <w:tcPr>
            <w:tcW w:w="0" w:type="dxa"/>
            <w:vAlign w:val="bottom"/>
          </w:tcPr>
          <w:p>
            <w:pPr>
              <w:spacing w:after="0"/>
              <w:rPr>
                <w:sz w:val="1"/>
                <w:szCs w:val="1"/>
                <w:color w:val="auto"/>
              </w:rPr>
            </w:pPr>
          </w:p>
        </w:tc>
      </w:tr>
      <w:tr>
        <w:trPr>
          <w:trHeight w:val="228"/>
        </w:trPr>
        <w:tc>
          <w:tcPr>
            <w:tcW w:w="1740" w:type="dxa"/>
            <w:vAlign w:val="bottom"/>
          </w:tcPr>
          <w:p>
            <w:pPr>
              <w:ind w:left="140"/>
              <w:spacing w:after="0"/>
              <w:rPr>
                <w:sz w:val="20"/>
                <w:szCs w:val="20"/>
                <w:color w:val="auto"/>
              </w:rPr>
            </w:pPr>
            <w:r>
              <w:rPr>
                <w:rFonts w:ascii="Arial" w:cs="Arial" w:eastAsia="Arial" w:hAnsi="Arial"/>
                <w:sz w:val="16"/>
                <w:szCs w:val="16"/>
                <w:color w:val="auto"/>
              </w:rPr>
              <w:t>Credit</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118,305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90,062</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31.4 %</w:t>
            </w:r>
          </w:p>
        </w:tc>
        <w:tc>
          <w:tcPr>
            <w:tcW w:w="560" w:type="dxa"/>
            <w:vAlign w:val="bottom"/>
          </w:tcPr>
          <w:p>
            <w:pPr>
              <w:jc w:val="right"/>
              <w:spacing w:after="0"/>
              <w:rPr>
                <w:sz w:val="20"/>
                <w:szCs w:val="20"/>
                <w:color w:val="auto"/>
              </w:rPr>
            </w:pPr>
            <w:r>
              <w:rPr>
                <w:rFonts w:ascii="Arial" w:cs="Arial" w:eastAsia="Arial" w:hAnsi="Arial"/>
                <w:sz w:val="16"/>
                <w:szCs w:val="16"/>
                <w:color w:val="auto"/>
              </w:rPr>
              <w:t>31.3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9"/>
                <w:szCs w:val="19"/>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color w:val="auto"/>
              </w:rPr>
              <w:t>13</w:t>
            </w:r>
          </w:p>
        </w:tc>
        <w:tc>
          <w:tcPr>
            <w:tcW w:w="800" w:type="dxa"/>
            <w:vAlign w:val="bottom"/>
          </w:tcPr>
          <w:p>
            <w:pPr>
              <w:jc w:val="right"/>
              <w:spacing w:after="0"/>
              <w:rPr>
                <w:sz w:val="20"/>
                <w:szCs w:val="20"/>
                <w:color w:val="auto"/>
              </w:rPr>
            </w:pPr>
            <w:r>
              <w:rPr>
                <w:rFonts w:ascii="Arial" w:cs="Arial" w:eastAsia="Arial" w:hAnsi="Arial"/>
                <w:sz w:val="16"/>
                <w:szCs w:val="16"/>
                <w:color w:val="auto"/>
              </w:rPr>
              <w:t>17.5 %</w:t>
            </w:r>
          </w:p>
        </w:tc>
        <w:tc>
          <w:tcPr>
            <w:tcW w:w="0" w:type="dxa"/>
            <w:vAlign w:val="bottom"/>
          </w:tcPr>
          <w:p>
            <w:pPr>
              <w:spacing w:after="0"/>
              <w:rPr>
                <w:sz w:val="1"/>
                <w:szCs w:val="1"/>
                <w:color w:val="auto"/>
              </w:rPr>
            </w:pPr>
          </w:p>
        </w:tc>
      </w:tr>
      <w:tr>
        <w:trPr>
          <w:trHeight w:val="251"/>
        </w:trPr>
        <w:tc>
          <w:tcPr>
            <w:tcW w:w="174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25,514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20,890</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22.1 %</w:t>
            </w:r>
          </w:p>
        </w:tc>
        <w:tc>
          <w:tcPr>
            <w:tcW w:w="560" w:type="dxa"/>
            <w:vAlign w:val="bottom"/>
          </w:tcPr>
          <w:p>
            <w:pPr>
              <w:jc w:val="right"/>
              <w:spacing w:after="0"/>
              <w:rPr>
                <w:sz w:val="20"/>
                <w:szCs w:val="20"/>
                <w:color w:val="auto"/>
              </w:rPr>
            </w:pPr>
            <w:r>
              <w:rPr>
                <w:rFonts w:ascii="Arial" w:cs="Arial" w:eastAsia="Arial" w:hAnsi="Arial"/>
                <w:sz w:val="16"/>
                <w:szCs w:val="16"/>
                <w:color w:val="auto"/>
              </w:rPr>
              <w:t>22.0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21"/>
                <w:szCs w:val="21"/>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color w:val="auto"/>
              </w:rPr>
              <w:t>17</w:t>
            </w:r>
          </w:p>
        </w:tc>
        <w:tc>
          <w:tcPr>
            <w:tcW w:w="800" w:type="dxa"/>
            <w:vAlign w:val="bottom"/>
          </w:tcPr>
          <w:p>
            <w:pPr>
              <w:jc w:val="right"/>
              <w:spacing w:after="0"/>
              <w:rPr>
                <w:sz w:val="20"/>
                <w:szCs w:val="20"/>
                <w:color w:val="auto"/>
              </w:rPr>
            </w:pPr>
            <w:r>
              <w:rPr>
                <w:rFonts w:ascii="Arial" w:cs="Arial" w:eastAsia="Arial" w:hAnsi="Arial"/>
                <w:sz w:val="16"/>
                <w:szCs w:val="16"/>
                <w:color w:val="auto"/>
              </w:rPr>
              <w:t>61.2 %</w:t>
            </w:r>
          </w:p>
        </w:tc>
        <w:tc>
          <w:tcPr>
            <w:tcW w:w="0" w:type="dxa"/>
            <w:vAlign w:val="bottom"/>
          </w:tcPr>
          <w:p>
            <w:pPr>
              <w:spacing w:after="0"/>
              <w:rPr>
                <w:sz w:val="1"/>
                <w:szCs w:val="1"/>
                <w:color w:val="auto"/>
              </w:rPr>
            </w:pPr>
          </w:p>
        </w:tc>
      </w:tr>
      <w:tr>
        <w:trPr>
          <w:trHeight w:val="244"/>
        </w:trPr>
        <w:tc>
          <w:tcPr>
            <w:tcW w:w="174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36,126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15,763</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129.2 %</w:t>
            </w:r>
          </w:p>
        </w:tc>
        <w:tc>
          <w:tcPr>
            <w:tcW w:w="560" w:type="dxa"/>
            <w:vAlign w:val="bottom"/>
          </w:tcPr>
          <w:p>
            <w:pPr>
              <w:jc w:val="right"/>
              <w:spacing w:after="0"/>
              <w:rPr>
                <w:sz w:val="20"/>
                <w:szCs w:val="20"/>
                <w:color w:val="auto"/>
              </w:rPr>
            </w:pPr>
            <w:r>
              <w:rPr>
                <w:rFonts w:ascii="Arial" w:cs="Arial" w:eastAsia="Arial" w:hAnsi="Arial"/>
                <w:sz w:val="16"/>
                <w:szCs w:val="16"/>
                <w:color w:val="auto"/>
              </w:rPr>
              <w:t>128.2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43</w:t>
            </w:r>
          </w:p>
        </w:tc>
        <w:tc>
          <w:tcPr>
            <w:tcW w:w="220" w:type="dxa"/>
            <w:vAlign w:val="bottom"/>
            <w:tcBorders>
              <w:bottom w:val="single" w:sz="8" w:color="083566"/>
            </w:tcBorders>
            <w:shd w:val="clear" w:color="auto" w:fill="D5DCE4"/>
          </w:tcPr>
          <w:p>
            <w:pPr>
              <w:spacing w:after="0"/>
              <w:rPr>
                <w:sz w:val="21"/>
                <w:szCs w:val="21"/>
                <w:color w:val="auto"/>
              </w:rPr>
            </w:pPr>
          </w:p>
        </w:tc>
        <w:tc>
          <w:tcPr>
            <w:tcW w:w="840" w:type="dxa"/>
            <w:vAlign w:val="bottom"/>
            <w:tcBorders>
              <w:bottom w:val="single" w:sz="8" w:color="083566"/>
            </w:tcBorders>
            <w:shd w:val="clear" w:color="auto" w:fill="D5DCE4"/>
          </w:tcPr>
          <w:p>
            <w:pPr>
              <w:jc w:val="right"/>
              <w:ind w:right="239"/>
              <w:spacing w:after="0"/>
              <w:rPr>
                <w:sz w:val="20"/>
                <w:szCs w:val="20"/>
                <w:color w:val="auto"/>
              </w:rPr>
            </w:pPr>
            <w:r>
              <w:rPr>
                <w:rFonts w:ascii="Arial" w:cs="Arial" w:eastAsia="Arial" w:hAnsi="Arial"/>
                <w:sz w:val="16"/>
                <w:szCs w:val="16"/>
                <w:color w:val="auto"/>
              </w:rPr>
              <w:t>30</w:t>
            </w:r>
          </w:p>
        </w:tc>
        <w:tc>
          <w:tcPr>
            <w:tcW w:w="8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42.3 %</w:t>
            </w:r>
          </w:p>
        </w:tc>
        <w:tc>
          <w:tcPr>
            <w:tcW w:w="0" w:type="dxa"/>
            <w:vAlign w:val="bottom"/>
          </w:tcPr>
          <w:p>
            <w:pPr>
              <w:spacing w:after="0"/>
              <w:rPr>
                <w:sz w:val="1"/>
                <w:szCs w:val="1"/>
                <w:color w:val="auto"/>
              </w:rPr>
            </w:pPr>
          </w:p>
        </w:tc>
      </w:tr>
      <w:tr>
        <w:trPr>
          <w:trHeight w:val="228"/>
        </w:trPr>
        <w:tc>
          <w:tcPr>
            <w:tcW w:w="174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29,760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22,956</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29.6 %</w:t>
            </w:r>
          </w:p>
        </w:tc>
        <w:tc>
          <w:tcPr>
            <w:tcW w:w="560" w:type="dxa"/>
            <w:vAlign w:val="bottom"/>
          </w:tcPr>
          <w:p>
            <w:pPr>
              <w:jc w:val="right"/>
              <w:spacing w:after="0"/>
              <w:rPr>
                <w:sz w:val="20"/>
                <w:szCs w:val="20"/>
                <w:color w:val="auto"/>
              </w:rPr>
            </w:pPr>
            <w:r>
              <w:rPr>
                <w:rFonts w:ascii="Arial" w:cs="Arial" w:eastAsia="Arial" w:hAnsi="Arial"/>
                <w:sz w:val="16"/>
                <w:szCs w:val="16"/>
                <w:color w:val="auto"/>
              </w:rPr>
              <w:t>29.2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9"/>
                <w:szCs w:val="19"/>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color w:val="auto"/>
              </w:rPr>
              <w:t>9</w:t>
            </w:r>
          </w:p>
        </w:tc>
        <w:tc>
          <w:tcPr>
            <w:tcW w:w="800" w:type="dxa"/>
            <w:vAlign w:val="bottom"/>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51"/>
        </w:trPr>
        <w:tc>
          <w:tcPr>
            <w:tcW w:w="1740" w:type="dxa"/>
            <w:vAlign w:val="bottom"/>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6,088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5,854</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4.0 %</w:t>
            </w:r>
          </w:p>
        </w:tc>
        <w:tc>
          <w:tcPr>
            <w:tcW w:w="560" w:type="dxa"/>
            <w:vAlign w:val="bottom"/>
          </w:tcPr>
          <w:p>
            <w:pPr>
              <w:jc w:val="right"/>
              <w:spacing w:after="0"/>
              <w:rPr>
                <w:sz w:val="20"/>
                <w:szCs w:val="20"/>
                <w:color w:val="auto"/>
              </w:rPr>
            </w:pPr>
            <w:r>
              <w:rPr>
                <w:rFonts w:ascii="Arial" w:cs="Arial" w:eastAsia="Arial" w:hAnsi="Arial"/>
                <w:sz w:val="16"/>
                <w:szCs w:val="16"/>
                <w:color w:val="auto"/>
              </w:rPr>
              <w:t>4.0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21"/>
                <w:szCs w:val="21"/>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color w:val="auto"/>
              </w:rPr>
              <w:t>9</w:t>
            </w:r>
          </w:p>
        </w:tc>
        <w:tc>
          <w:tcPr>
            <w:tcW w:w="800" w:type="dxa"/>
            <w:vAlign w:val="bottom"/>
          </w:tcPr>
          <w:p>
            <w:pPr>
              <w:jc w:val="right"/>
              <w:spacing w:after="0"/>
              <w:rPr>
                <w:sz w:val="20"/>
                <w:szCs w:val="20"/>
                <w:color w:val="auto"/>
              </w:rPr>
            </w:pPr>
            <w:r>
              <w:rPr>
                <w:rFonts w:ascii="Arial" w:cs="Arial" w:eastAsia="Arial" w:hAnsi="Arial"/>
                <w:sz w:val="16"/>
                <w:szCs w:val="16"/>
                <w:color w:val="auto"/>
              </w:rPr>
              <w:t>32.3 %</w:t>
            </w:r>
          </w:p>
        </w:tc>
        <w:tc>
          <w:tcPr>
            <w:tcW w:w="0" w:type="dxa"/>
            <w:vAlign w:val="bottom"/>
          </w:tcPr>
          <w:p>
            <w:pPr>
              <w:spacing w:after="0"/>
              <w:rPr>
                <w:sz w:val="1"/>
                <w:szCs w:val="1"/>
                <w:color w:val="auto"/>
              </w:rPr>
            </w:pPr>
          </w:p>
        </w:tc>
      </w:tr>
      <w:tr>
        <w:trPr>
          <w:trHeight w:val="244"/>
        </w:trPr>
        <w:tc>
          <w:tcPr>
            <w:tcW w:w="1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130,223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111,630</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16.7 %</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083566"/>
            </w:tcBorders>
            <w:shd w:val="clear" w:color="auto" w:fill="D5DCE4"/>
          </w:tcPr>
          <w:p>
            <w:pPr>
              <w:spacing w:after="0"/>
              <w:rPr>
                <w:sz w:val="21"/>
                <w:szCs w:val="21"/>
                <w:color w:val="auto"/>
              </w:rPr>
            </w:pPr>
          </w:p>
        </w:tc>
        <w:tc>
          <w:tcPr>
            <w:tcW w:w="840" w:type="dxa"/>
            <w:vAlign w:val="bottom"/>
            <w:tcBorders>
              <w:bottom w:val="single" w:sz="8" w:color="083566"/>
            </w:tcBorders>
            <w:shd w:val="clear" w:color="auto" w:fill="D5DCE4"/>
          </w:tcPr>
          <w:p>
            <w:pPr>
              <w:jc w:val="right"/>
              <w:ind w:right="239"/>
              <w:spacing w:after="0"/>
              <w:rPr>
                <w:sz w:val="20"/>
                <w:szCs w:val="20"/>
                <w:color w:val="auto"/>
              </w:rPr>
            </w:pPr>
            <w:r>
              <w:rPr>
                <w:rFonts w:ascii="Arial" w:cs="Arial" w:eastAsia="Arial" w:hAnsi="Arial"/>
                <w:sz w:val="16"/>
                <w:szCs w:val="16"/>
                <w:color w:val="auto"/>
              </w:rPr>
              <w:t>19</w:t>
            </w:r>
          </w:p>
        </w:tc>
        <w:tc>
          <w:tcPr>
            <w:tcW w:w="8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20.6 %</w:t>
            </w:r>
          </w:p>
        </w:tc>
        <w:tc>
          <w:tcPr>
            <w:tcW w:w="0" w:type="dxa"/>
            <w:vAlign w:val="bottom"/>
          </w:tcPr>
          <w:p>
            <w:pPr>
              <w:spacing w:after="0"/>
              <w:rPr>
                <w:sz w:val="1"/>
                <w:szCs w:val="1"/>
                <w:color w:val="auto"/>
              </w:rPr>
            </w:pPr>
          </w:p>
        </w:tc>
      </w:tr>
      <w:tr>
        <w:trPr>
          <w:trHeight w:val="188"/>
        </w:trPr>
        <w:tc>
          <w:tcPr>
            <w:tcW w:w="174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2"/>
            <w:vMerge w:val="restart"/>
          </w:tcPr>
          <w:p>
            <w:pPr>
              <w:ind w:left="20"/>
              <w:spacing w:after="0"/>
              <w:rPr>
                <w:sz w:val="20"/>
                <w:szCs w:val="20"/>
                <w:color w:val="auto"/>
              </w:rPr>
            </w:pPr>
            <w:r>
              <w:rPr>
                <w:rFonts w:ascii="Arial" w:cs="Arial" w:eastAsia="Arial" w:hAnsi="Arial"/>
                <w:sz w:val="16"/>
                <w:szCs w:val="16"/>
                <w:color w:val="auto"/>
              </w:rPr>
              <w:t>Money Markets Cash</w:t>
            </w:r>
          </w:p>
        </w:tc>
        <w:tc>
          <w:tcPr>
            <w:tcW w:w="2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848</w:t>
            </w:r>
          </w:p>
        </w:tc>
        <w:tc>
          <w:tcPr>
            <w:tcW w:w="220" w:type="dxa"/>
            <w:vAlign w:val="bottom"/>
          </w:tcPr>
          <w:p>
            <w:pPr>
              <w:spacing w:after="0"/>
              <w:rPr>
                <w:sz w:val="16"/>
                <w:szCs w:val="16"/>
                <w:color w:val="auto"/>
              </w:rPr>
            </w:pPr>
          </w:p>
        </w:tc>
        <w:tc>
          <w:tcPr>
            <w:tcW w:w="840" w:type="dxa"/>
            <w:vAlign w:val="bottom"/>
            <w:vMerge w:val="restart"/>
          </w:tcPr>
          <w:p>
            <w:pPr>
              <w:jc w:val="right"/>
              <w:ind w:right="239"/>
              <w:spacing w:after="0"/>
              <w:rPr>
                <w:sz w:val="20"/>
                <w:szCs w:val="20"/>
                <w:color w:val="auto"/>
              </w:rPr>
            </w:pPr>
            <w:r>
              <w:rPr>
                <w:rFonts w:ascii="Arial" w:cs="Arial" w:eastAsia="Arial" w:hAnsi="Arial"/>
                <w:sz w:val="16"/>
                <w:szCs w:val="16"/>
                <w:color w:val="auto"/>
              </w:rPr>
              <w:t>522</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62.5 %</w:t>
            </w:r>
          </w:p>
        </w:tc>
        <w:tc>
          <w:tcPr>
            <w:tcW w:w="0" w:type="dxa"/>
            <w:vAlign w:val="bottom"/>
          </w:tcPr>
          <w:p>
            <w:pPr>
              <w:spacing w:after="0"/>
              <w:rPr>
                <w:sz w:val="1"/>
                <w:szCs w:val="1"/>
                <w:color w:val="auto"/>
              </w:rPr>
            </w:pPr>
          </w:p>
        </w:tc>
      </w:tr>
      <w:tr>
        <w:trPr>
          <w:trHeight w:val="114"/>
        </w:trPr>
        <w:tc>
          <w:tcPr>
            <w:tcW w:w="1740" w:type="dxa"/>
            <w:vAlign w:val="bottom"/>
            <w:vMerge w:val="restart"/>
          </w:tcPr>
          <w:p>
            <w:pPr>
              <w:ind w:left="20"/>
              <w:spacing w:after="0"/>
              <w:rPr>
                <w:sz w:val="20"/>
                <w:szCs w:val="20"/>
                <w:color w:val="auto"/>
              </w:rPr>
            </w:pPr>
            <w:r>
              <w:rPr>
                <w:rFonts w:ascii="Arial" w:cs="Arial" w:eastAsia="Arial" w:hAnsi="Arial"/>
                <w:sz w:val="16"/>
                <w:szCs w:val="16"/>
                <w:color w:val="auto"/>
              </w:rPr>
              <w:t>to Tradeweb Markets</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7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shd w:val="clear" w:color="auto" w:fill="D5DCE4"/>
          </w:tcPr>
          <w:p>
            <w:pPr>
              <w:spacing w:after="0"/>
              <w:rPr>
                <w:sz w:val="7"/>
                <w:szCs w:val="7"/>
                <w:color w:val="auto"/>
              </w:rPr>
            </w:pPr>
          </w:p>
        </w:tc>
        <w:tc>
          <w:tcPr>
            <w:tcW w:w="220" w:type="dxa"/>
            <w:vAlign w:val="bottom"/>
            <w:shd w:val="clear" w:color="auto" w:fill="D5DCE4"/>
          </w:tcPr>
          <w:p>
            <w:pPr>
              <w:spacing w:after="0"/>
              <w:rPr>
                <w:sz w:val="7"/>
                <w:szCs w:val="7"/>
                <w:color w:val="auto"/>
              </w:rPr>
            </w:pPr>
          </w:p>
        </w:tc>
        <w:tc>
          <w:tcPr>
            <w:tcW w:w="600" w:type="dxa"/>
            <w:vAlign w:val="bottom"/>
            <w:shd w:val="clear" w:color="auto" w:fill="D5DCE4"/>
          </w:tcPr>
          <w:p>
            <w:pPr>
              <w:spacing w:after="0"/>
              <w:rPr>
                <w:sz w:val="7"/>
                <w:szCs w:val="7"/>
                <w:color w:val="auto"/>
              </w:rPr>
            </w:pPr>
          </w:p>
        </w:tc>
        <w:tc>
          <w:tcPr>
            <w:tcW w:w="220" w:type="dxa"/>
            <w:vAlign w:val="bottom"/>
            <w:shd w:val="clear" w:color="auto" w:fill="D5DCE4"/>
          </w:tcPr>
          <w:p>
            <w:pPr>
              <w:spacing w:after="0"/>
              <w:rPr>
                <w:sz w:val="7"/>
                <w:szCs w:val="7"/>
                <w:color w:val="auto"/>
              </w:rPr>
            </w:pPr>
          </w:p>
        </w:tc>
        <w:tc>
          <w:tcPr>
            <w:tcW w:w="840" w:type="dxa"/>
            <w:vAlign w:val="bottom"/>
            <w:shd w:val="clear" w:color="auto" w:fill="D5DCE4"/>
          </w:tcPr>
          <w:p>
            <w:pPr>
              <w:spacing w:after="0"/>
              <w:rPr>
                <w:sz w:val="7"/>
                <w:szCs w:val="7"/>
                <w:color w:val="auto"/>
              </w:rPr>
            </w:pPr>
          </w:p>
        </w:tc>
        <w:tc>
          <w:tcPr>
            <w:tcW w:w="800" w:type="dxa"/>
            <w:vAlign w:val="bottom"/>
            <w:shd w:val="clear" w:color="auto" w:fill="D5DCE4"/>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113,916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98,614</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15.5 %</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083566"/>
            </w:tcBorders>
          </w:tcPr>
          <w:p>
            <w:pPr>
              <w:spacing w:after="0"/>
              <w:rPr>
                <w:sz w:val="20"/>
                <w:szCs w:val="20"/>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0"/>
                <w:szCs w:val="20"/>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848</w:t>
            </w:r>
          </w:p>
        </w:tc>
        <w:tc>
          <w:tcPr>
            <w:tcW w:w="220" w:type="dxa"/>
            <w:vAlign w:val="bottom"/>
            <w:tcBorders>
              <w:bottom w:val="single" w:sz="8" w:color="083566"/>
            </w:tcBorders>
            <w:shd w:val="clear" w:color="auto" w:fill="D5DCE4"/>
          </w:tcPr>
          <w:p>
            <w:pPr>
              <w:spacing w:after="0"/>
              <w:rPr>
                <w:sz w:val="20"/>
                <w:szCs w:val="20"/>
                <w:color w:val="auto"/>
              </w:rPr>
            </w:pPr>
          </w:p>
        </w:tc>
        <w:tc>
          <w:tcPr>
            <w:tcW w:w="840" w:type="dxa"/>
            <w:vAlign w:val="bottom"/>
            <w:tcBorders>
              <w:bottom w:val="single" w:sz="8" w:color="083566"/>
            </w:tcBorders>
            <w:shd w:val="clear" w:color="auto" w:fill="D5DCE4"/>
          </w:tcPr>
          <w:p>
            <w:pPr>
              <w:jc w:val="right"/>
              <w:ind w:right="239"/>
              <w:spacing w:after="0"/>
              <w:rPr>
                <w:sz w:val="20"/>
                <w:szCs w:val="20"/>
                <w:color w:val="auto"/>
              </w:rPr>
            </w:pPr>
            <w:r>
              <w:rPr>
                <w:rFonts w:ascii="Arial" w:cs="Arial" w:eastAsia="Arial" w:hAnsi="Arial"/>
                <w:sz w:val="16"/>
                <w:szCs w:val="16"/>
                <w:color w:val="auto"/>
              </w:rPr>
              <w:t>522</w:t>
            </w:r>
          </w:p>
        </w:tc>
        <w:tc>
          <w:tcPr>
            <w:tcW w:w="8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62.5 %</w:t>
            </w:r>
          </w:p>
        </w:tc>
        <w:tc>
          <w:tcPr>
            <w:tcW w:w="0" w:type="dxa"/>
            <w:vAlign w:val="bottom"/>
          </w:tcPr>
          <w:p>
            <w:pPr>
              <w:spacing w:after="0"/>
              <w:rPr>
                <w:sz w:val="1"/>
                <w:szCs w:val="1"/>
                <w:color w:val="auto"/>
              </w:rPr>
            </w:pPr>
          </w:p>
        </w:tc>
      </w:tr>
      <w:tr>
        <w:trPr>
          <w:trHeight w:val="236"/>
        </w:trPr>
        <w:tc>
          <w:tcPr>
            <w:tcW w:w="174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0.53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0.46</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15.2 %</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2,212</w:t>
            </w:r>
          </w:p>
        </w:tc>
        <w:tc>
          <w:tcPr>
            <w:tcW w:w="22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D5DCE4"/>
          </w:tcPr>
          <w:p>
            <w:pPr>
              <w:jc w:val="right"/>
              <w:ind w:right="239"/>
              <w:spacing w:after="0"/>
              <w:rPr>
                <w:sz w:val="20"/>
                <w:szCs w:val="20"/>
                <w:color w:val="auto"/>
              </w:rPr>
            </w:pPr>
            <w:r>
              <w:rPr>
                <w:rFonts w:ascii="Arial" w:cs="Arial" w:eastAsia="Arial" w:hAnsi="Arial"/>
                <w:sz w:val="16"/>
                <w:szCs w:val="16"/>
                <w:b w:val="1"/>
                <w:bCs w:val="1"/>
                <w:color w:val="auto"/>
              </w:rPr>
              <w:t>1,424</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55.3 %</w:t>
            </w:r>
          </w:p>
        </w:tc>
        <w:tc>
          <w:tcPr>
            <w:tcW w:w="0" w:type="dxa"/>
            <w:vAlign w:val="bottom"/>
          </w:tcPr>
          <w:p>
            <w:pPr>
              <w:spacing w:after="0"/>
              <w:rPr>
                <w:sz w:val="1"/>
                <w:szCs w:val="1"/>
                <w:color w:val="auto"/>
              </w:rPr>
            </w:pPr>
          </w:p>
        </w:tc>
      </w:tr>
      <w:tr>
        <w:trPr>
          <w:trHeight w:val="228"/>
        </w:trPr>
        <w:tc>
          <w:tcPr>
            <w:tcW w:w="1740" w:type="dxa"/>
            <w:vAlign w:val="bottom"/>
          </w:tcPr>
          <w:p>
            <w:pPr>
              <w:ind w:left="20"/>
              <w:spacing w:after="0"/>
              <w:rPr>
                <w:sz w:val="20"/>
                <w:szCs w:val="20"/>
                <w:color w:val="auto"/>
              </w:rPr>
            </w:pPr>
            <w:r>
              <w:rPr>
                <w:rFonts w:ascii="Arial" w:cs="Arial" w:eastAsia="Arial" w:hAnsi="Arial"/>
                <w:sz w:val="16"/>
                <w:szCs w:val="16"/>
                <w:color w:val="auto"/>
              </w:rPr>
              <w:t>Net income margin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29.0 %</w:t>
            </w:r>
          </w:p>
        </w:tc>
        <w:tc>
          <w:tcPr>
            <w:tcW w:w="2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34.0 %</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-499 bps</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74586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45865" cy="15430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Non-GAAP Financial Measures</w:t>
      </w:r>
    </w:p>
    <w:p>
      <w:pPr>
        <w:sectPr>
          <w:pgSz w:w="11900" w:h="16838" w:orient="portrait"/>
          <w:cols w:equalWidth="0" w:num="1">
            <w:col w:w="10940"/>
          </w:cols>
          <w:pgMar w:left="320" w:top="274" w:right="639" w:bottom="1440" w:gutter="0" w:footer="0" w:header="0"/>
          <w:type w:val="continuous"/>
        </w:sectPr>
      </w:pP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1720" w:type="dxa"/>
            <w:vAlign w:val="bottom"/>
          </w:tcPr>
          <w:p>
            <w:pPr>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239,816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170,360</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40.8 %</w:t>
            </w:r>
          </w:p>
        </w:tc>
        <w:tc>
          <w:tcPr>
            <w:tcW w:w="520" w:type="dxa"/>
            <w:vAlign w:val="bottom"/>
          </w:tcPr>
          <w:p>
            <w:pPr>
              <w:ind w:left="160"/>
              <w:spacing w:after="0"/>
              <w:rPr>
                <w:sz w:val="20"/>
                <w:szCs w:val="20"/>
                <w:color w:val="auto"/>
              </w:rPr>
            </w:pPr>
            <w:r>
              <w:rPr>
                <w:rFonts w:ascii="Arial" w:cs="Arial" w:eastAsia="Arial" w:hAnsi="Arial"/>
                <w:sz w:val="16"/>
                <w:szCs w:val="16"/>
                <w:color w:val="auto"/>
              </w:rPr>
              <w:t>39.2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20" w:type="dxa"/>
            <w:vAlign w:val="bottom"/>
          </w:tcPr>
          <w:p>
            <w:pPr>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53.4 %</w:t>
            </w:r>
          </w:p>
        </w:tc>
        <w:tc>
          <w:tcPr>
            <w:tcW w:w="20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51.9 %</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+154 bps</w:t>
            </w:r>
          </w:p>
        </w:tc>
        <w:tc>
          <w:tcPr>
            <w:tcW w:w="820" w:type="dxa"/>
            <w:vAlign w:val="bottom"/>
            <w:gridSpan w:val="2"/>
          </w:tcPr>
          <w:p>
            <w:pPr>
              <w:ind w:left="160"/>
              <w:spacing w:after="0"/>
              <w:rPr>
                <w:sz w:val="20"/>
                <w:szCs w:val="20"/>
                <w:color w:val="auto"/>
              </w:rPr>
            </w:pPr>
            <w:r>
              <w:rPr>
                <w:rFonts w:ascii="Arial" w:cs="Arial" w:eastAsia="Arial" w:hAnsi="Arial"/>
                <w:sz w:val="16"/>
                <w:szCs w:val="16"/>
                <w:color w:val="auto"/>
                <w:w w:val="96"/>
              </w:rPr>
              <w:t>+102 bps</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223,893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155,772</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43.7 %</w:t>
            </w:r>
          </w:p>
        </w:tc>
        <w:tc>
          <w:tcPr>
            <w:tcW w:w="520" w:type="dxa"/>
            <w:vAlign w:val="bottom"/>
          </w:tcPr>
          <w:p>
            <w:pPr>
              <w:ind w:left="160"/>
              <w:spacing w:after="0"/>
              <w:rPr>
                <w:sz w:val="20"/>
                <w:szCs w:val="20"/>
                <w:color w:val="auto"/>
              </w:rPr>
            </w:pPr>
            <w:r>
              <w:rPr>
                <w:rFonts w:ascii="Arial" w:cs="Arial" w:eastAsia="Arial" w:hAnsi="Arial"/>
                <w:sz w:val="16"/>
                <w:szCs w:val="16"/>
                <w:color w:val="auto"/>
              </w:rPr>
              <w:t>41.9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720" w:type="dxa"/>
            <w:vAlign w:val="bottom"/>
          </w:tcPr>
          <w:p>
            <w:pPr>
              <w:spacing w:after="0" w:line="163" w:lineRule="exact"/>
              <w:rPr>
                <w:sz w:val="20"/>
                <w:szCs w:val="20"/>
                <w:color w:val="auto"/>
              </w:rPr>
            </w:pPr>
            <w:r>
              <w:rPr>
                <w:rFonts w:ascii="Arial" w:cs="Arial" w:eastAsia="Arial" w:hAnsi="Arial"/>
                <w:sz w:val="16"/>
                <w:szCs w:val="16"/>
                <w:color w:val="auto"/>
              </w:rPr>
              <w:t>Adjusted EBIT margin</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49.9 %</w:t>
            </w:r>
          </w:p>
        </w:tc>
        <w:tc>
          <w:tcPr>
            <w:tcW w:w="200" w:type="dxa"/>
            <w:vAlign w:val="bottom"/>
          </w:tcPr>
          <w:p>
            <w:pPr>
              <w:spacing w:after="0"/>
              <w:rPr>
                <w:sz w:val="14"/>
                <w:szCs w:val="14"/>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6"/>
                <w:szCs w:val="16"/>
                <w:color w:val="auto"/>
              </w:rPr>
              <w:t>47.4 %</w:t>
            </w: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color w:val="auto"/>
              </w:rPr>
              <w:t>+243 bps</w:t>
            </w:r>
          </w:p>
        </w:tc>
        <w:tc>
          <w:tcPr>
            <w:tcW w:w="820" w:type="dxa"/>
            <w:vAlign w:val="bottom"/>
            <w:gridSpan w:val="2"/>
            <w:vMerge w:val="restart"/>
          </w:tcPr>
          <w:p>
            <w:pPr>
              <w:ind w:left="160"/>
              <w:spacing w:after="0"/>
              <w:rPr>
                <w:sz w:val="20"/>
                <w:szCs w:val="20"/>
                <w:color w:val="auto"/>
              </w:rPr>
            </w:pPr>
            <w:r>
              <w:rPr>
                <w:rFonts w:ascii="Arial" w:cs="Arial" w:eastAsia="Arial" w:hAnsi="Arial"/>
                <w:sz w:val="16"/>
                <w:szCs w:val="16"/>
                <w:color w:val="auto"/>
                <w:w w:val="96"/>
              </w:rPr>
              <w:t>+192 bps</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720" w:type="dxa"/>
            <w:vAlign w:val="bottom"/>
          </w:tcPr>
          <w:p>
            <w:pPr>
              <w:spacing w:after="0"/>
              <w:rPr>
                <w:sz w:val="20"/>
                <w:szCs w:val="20"/>
                <w:color w:val="auto"/>
              </w:rPr>
            </w:pPr>
            <w:r>
              <w:rPr>
                <w:rFonts w:ascii="Arial" w:cs="Arial" w:eastAsia="Arial" w:hAnsi="Arial"/>
                <w:sz w:val="16"/>
                <w:szCs w:val="16"/>
                <w:color w:val="auto"/>
                <w:w w:val="99"/>
              </w:rPr>
              <w:t xml:space="preserve">Adjusted Net Income </w:t>
            </w:r>
            <w:r>
              <w:rPr>
                <w:rFonts w:ascii="Arial" w:cs="Arial" w:eastAsia="Arial" w:hAnsi="Arial"/>
                <w:sz w:val="21"/>
                <w:szCs w:val="21"/>
                <w:color w:val="auto"/>
                <w:w w:val="99"/>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179,332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130,794</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37.1 %</w:t>
            </w:r>
          </w:p>
        </w:tc>
        <w:tc>
          <w:tcPr>
            <w:tcW w:w="520" w:type="dxa"/>
            <w:vAlign w:val="bottom"/>
          </w:tcPr>
          <w:p>
            <w:pPr>
              <w:ind w:left="160"/>
              <w:spacing w:after="0"/>
              <w:rPr>
                <w:sz w:val="20"/>
                <w:szCs w:val="20"/>
                <w:color w:val="auto"/>
              </w:rPr>
            </w:pPr>
            <w:r>
              <w:rPr>
                <w:rFonts w:ascii="Arial" w:cs="Arial" w:eastAsia="Arial" w:hAnsi="Arial"/>
                <w:sz w:val="16"/>
                <w:szCs w:val="16"/>
                <w:color w:val="auto"/>
              </w:rPr>
              <w:t>35.6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720" w:type="dxa"/>
            <w:vAlign w:val="bottom"/>
          </w:tcPr>
          <w:p>
            <w:pPr>
              <w:spacing w:after="0" w:line="163" w:lineRule="exact"/>
              <w:rPr>
                <w:sz w:val="20"/>
                <w:szCs w:val="20"/>
                <w:color w:val="auto"/>
              </w:rPr>
            </w:pPr>
            <w:r>
              <w:rPr>
                <w:rFonts w:ascii="Arial" w:cs="Arial" w:eastAsia="Arial" w:hAnsi="Arial"/>
                <w:sz w:val="16"/>
                <w:szCs w:val="16"/>
                <w:color w:val="auto"/>
              </w:rPr>
              <w:t>Adjusted Diluted EPS</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color w:val="auto"/>
              </w:rPr>
              <w:t>0.75</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219"/>
              <w:spacing w:after="0"/>
              <w:rPr>
                <w:sz w:val="20"/>
                <w:szCs w:val="20"/>
                <w:color w:val="auto"/>
              </w:rPr>
            </w:pPr>
            <w:r>
              <w:rPr>
                <w:rFonts w:ascii="Arial" w:cs="Arial" w:eastAsia="Arial" w:hAnsi="Arial"/>
                <w:sz w:val="16"/>
                <w:szCs w:val="16"/>
                <w:color w:val="auto"/>
              </w:rPr>
              <w:t>0.55</w:t>
            </w:r>
          </w:p>
        </w:tc>
        <w:tc>
          <w:tcPr>
            <w:tcW w:w="940" w:type="dxa"/>
            <w:vAlign w:val="bottom"/>
            <w:vMerge w:val="restart"/>
          </w:tcPr>
          <w:p>
            <w:pPr>
              <w:jc w:val="right"/>
              <w:ind w:right="179"/>
              <w:spacing w:after="0"/>
              <w:rPr>
                <w:sz w:val="20"/>
                <w:szCs w:val="20"/>
                <w:color w:val="auto"/>
              </w:rPr>
            </w:pPr>
            <w:r>
              <w:rPr>
                <w:rFonts w:ascii="Arial" w:cs="Arial" w:eastAsia="Arial" w:hAnsi="Arial"/>
                <w:sz w:val="16"/>
                <w:szCs w:val="16"/>
                <w:color w:val="auto"/>
              </w:rPr>
              <w:t>36.4 %</w:t>
            </w:r>
          </w:p>
        </w:tc>
        <w:tc>
          <w:tcPr>
            <w:tcW w:w="520" w:type="dxa"/>
            <w:vAlign w:val="bottom"/>
            <w:vMerge w:val="restart"/>
          </w:tcPr>
          <w:p>
            <w:pPr>
              <w:ind w:left="160"/>
              <w:spacing w:after="0"/>
              <w:rPr>
                <w:sz w:val="20"/>
                <w:szCs w:val="20"/>
                <w:color w:val="auto"/>
              </w:rPr>
            </w:pPr>
            <w:r>
              <w:rPr>
                <w:rFonts w:ascii="Arial" w:cs="Arial" w:eastAsia="Arial" w:hAnsi="Arial"/>
                <w:sz w:val="16"/>
                <w:szCs w:val="16"/>
                <w:color w:val="auto"/>
              </w:rPr>
              <w:t>33.9</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20"/>
                <w:szCs w:val="20"/>
                <w:color w:val="auto"/>
              </w:rPr>
            </w:pPr>
            <w:r>
              <w:rPr>
                <w:rFonts w:ascii="Arial" w:cs="Arial" w:eastAsia="Arial" w:hAnsi="Arial"/>
                <w:sz w:val="11"/>
                <w:szCs w:val="11"/>
                <w:color w:val="auto"/>
              </w:rPr>
              <w:t>(1)</w:t>
            </w:r>
          </w:p>
        </w:tc>
        <w:tc>
          <w:tcPr>
            <w:tcW w:w="2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234" w:right="220" w:hanging="234"/>
        <w:spacing w:after="0" w:line="261"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change are non-GAAP financial measures. See "Non-GAAP Financial Measures" below and the attached schedules for additional information and reconciliations of such non-GAAP financial measures.</w:t>
      </w:r>
    </w:p>
    <w:p>
      <w:pPr>
        <w:spacing w:after="0" w:line="5" w:lineRule="exact"/>
        <w:rPr>
          <w:rFonts w:ascii="Arial" w:cs="Arial" w:eastAsia="Arial" w:hAnsi="Arial"/>
          <w:sz w:val="12"/>
          <w:szCs w:val="12"/>
          <w:color w:val="auto"/>
        </w:rPr>
      </w:pPr>
    </w:p>
    <w:p>
      <w:pPr>
        <w:ind w:left="174" w:hanging="174"/>
        <w:spacing w:after="0"/>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820" w:space="186"/>
            <w:col w:w="4934"/>
          </w:cols>
          <w:pgMar w:left="320" w:top="274" w:right="6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$233.1 million in the third quarter of 2024 increased 34.9% compared to prior year period (increased 34.7%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Rates ADV was up 52.1% from prior year period, driven by record ADV in U.S. government bonds as well as strong year-over-year growth in mortgages and swaps/swaptions ≥ and &lt; 1-year. The addition of r8fin continued to contribute to wholesale volumes. European government bonds ADV was up 15.3% from prior year period, led by strong growth in UK Gilts. Mortgages ADV was up 27.3% from prior year period, reflecting record specified pool volumes as well as record to-be-announced ("TBA") volumes, which was led by record roll trading activity.</w:t>
      </w:r>
    </w:p>
    <w:p>
      <w:pPr>
        <w:spacing w:after="0" w:line="214" w:lineRule="exact"/>
        <w:rPr>
          <w:sz w:val="20"/>
          <w:szCs w:val="20"/>
          <w:color w:val="auto"/>
        </w:rPr>
      </w:pPr>
    </w:p>
    <w:p>
      <w:pPr>
        <w:ind w:right="140"/>
        <w:spacing w:after="0" w:line="230"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$118.3 million in the third quarter of 2024 increased 31.4% compared to prior year period (increased 31.3%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Credit ADV was up 42.3% from prior year period, driven by record activity in credit derivatives and strong U.S. credit volumes, including record ADV</w:t>
      </w:r>
    </w:p>
    <w:p>
      <w:pPr>
        <w:spacing w:after="0" w:line="1"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in fully-electronic U.S. high yield credit. U.S. credit ADV was up 37.0% from prior year period, reflecting continued client adoption across Tradeweb products and protocols, including request-for-quote ("RFQ"), Tradeweb AllTrade® and portfolio trading. European credit ADV was up 12.0% from prior year period, driven by strong activity across a wide range of protocols. We reported 17.7% share of fully electronic U.S. high grade TRACE, up 109 bps from prior year period, and a 7.8% share of fully electronic U.S. high yield TRACE, down 3 bps from prior year period.</w:t>
      </w:r>
    </w:p>
    <w:p>
      <w:pPr>
        <w:spacing w:after="0" w:line="219"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$25.5 million in the third quarter of 2024 increased 22.1% compared to prior year period (increased 22.0%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Equities ADV was up 20.5% from prior year period, driven by strong institutional ETF platform activity and higher trading volumes in European ETFs and equity derivative products.</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$36.1 million in the third quarter of 2024 increased 129.2% compared to prior year period (increased 128.2%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Money Markets ADV was up 62.5% from prior year period, driven by contributions from the August 1, 2024 acquisition of ICD, record activity in global repurchase agreements and increased client adoption of Tradeweb's electronic trading solutions.</w:t>
      </w:r>
    </w:p>
    <w:p>
      <w:pPr>
        <w:spacing w:after="0" w:line="20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$29.8 million in the third quarter of 2024 increased 29.6% compared to prior year period (increased 29.2%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The increase was derived primarily from increased LSEG market data fees from the contract that was amended effective November 1, 2023 and proprietary third party market data revenue.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$6.1 million in the third quarter of 2024 increased 4.0% compared to prior year period (increased 4.0% on a constant currency basis).</w:t>
      </w:r>
    </w:p>
    <w:p>
      <w:pPr>
        <w:spacing w:after="0" w:line="248"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of $289.6 million in the third quarter of 2024 increased 42.2% compared to $203.6 million in prior year period, primarily due to an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employee compensation and benefits, including incentive compensation expense tied to our financial performance, as well as an increase in headcount and related salaries, bonus and benefits associated with our continued growth, including the August 1, 2024 ICD Acquisition. During the quarter, we also incurred $2.4 million in accelerated stock-based compensation expense in connection with the departure of an executive effective September 30, 2024 and $1.4 million in compensation expense related to the acceleration of vesting of previously unvested stock awards issued by the ICD seller.</w:t>
      </w:r>
    </w:p>
    <w:p>
      <w:pPr>
        <w:spacing w:after="0" w:line="23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$225.0 million in the third quarter of 2024 increased 30.4% (increased 31.5% on a constant currency basis) compared to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period primarily due to higher expenses related to adjusted employee compensation and benefits. Please see "Non-GAAP Financial Measures" below for additional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October 2024</w:t>
      </w:r>
    </w:p>
    <w:p>
      <w:pPr>
        <w:spacing w:after="0" w:line="35" w:lineRule="exact"/>
        <w:rPr>
          <w:sz w:val="20"/>
          <w:szCs w:val="20"/>
          <w:color w:val="auto"/>
        </w:rPr>
      </w:pPr>
    </w:p>
    <w:p>
      <w:pPr>
        <w:ind w:left="660" w:right="20" w:hanging="328"/>
        <w:spacing w:after="0" w:line="252"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FTSE Russell to incorporate a price source change to include Tradeweb FTSE benchmark closing prices for U.S Treasuries, European Government Bonds and UK Gilts in FTSE’s global fixed income indices, including its premiere World Government Bond Index (WGBI).</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Commemorated the 10-year anniversary of the launch of our U.S. Credit Platform.</w:t>
      </w:r>
    </w:p>
    <w:p>
      <w:pPr>
        <w:spacing w:after="0" w:line="8" w:lineRule="exact"/>
        <w:rPr>
          <w:rFonts w:ascii="Arial" w:cs="Arial" w:eastAsia="Arial" w:hAnsi="Arial"/>
          <w:sz w:val="16"/>
          <w:szCs w:val="16"/>
          <w:color w:val="auto"/>
        </w:rPr>
      </w:pPr>
    </w:p>
    <w:p>
      <w:pPr>
        <w:ind w:left="660" w:right="40" w:hanging="328"/>
        <w:spacing w:after="0" w:line="26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Recognized as </w:t>
      </w:r>
      <w:r>
        <w:rPr>
          <w:rFonts w:ascii="Arial" w:cs="Arial" w:eastAsia="Arial" w:hAnsi="Arial"/>
          <w:sz w:val="16"/>
          <w:szCs w:val="16"/>
          <w:i w:val="1"/>
          <w:iCs w:val="1"/>
          <w:color w:val="auto"/>
        </w:rPr>
        <w:t>Multi-Asset Trading System of the Year</w:t>
      </w:r>
      <w:r>
        <w:rPr>
          <w:rFonts w:ascii="Arial" w:cs="Arial" w:eastAsia="Arial" w:hAnsi="Arial"/>
          <w:sz w:val="16"/>
          <w:szCs w:val="16"/>
          <w:color w:val="auto"/>
        </w:rPr>
        <w:t xml:space="preserve"> - </w:t>
      </w:r>
      <w:r>
        <w:rPr>
          <w:rFonts w:ascii="Arial" w:cs="Arial" w:eastAsia="Arial" w:hAnsi="Arial"/>
          <w:sz w:val="16"/>
          <w:szCs w:val="16"/>
          <w:i w:val="1"/>
          <w:iCs w:val="1"/>
          <w:color w:val="auto"/>
        </w:rPr>
        <w:t>Asia Pacific Awards (FOW)</w:t>
      </w:r>
      <w:r>
        <w:rPr>
          <w:rFonts w:ascii="Arial" w:cs="Arial" w:eastAsia="Arial" w:hAnsi="Arial"/>
          <w:sz w:val="16"/>
          <w:szCs w:val="16"/>
          <w:color w:val="auto"/>
        </w:rPr>
        <w:t xml:space="preserve"> and </w:t>
      </w:r>
      <w:r>
        <w:rPr>
          <w:rFonts w:ascii="Arial" w:cs="Arial" w:eastAsia="Arial" w:hAnsi="Arial"/>
          <w:sz w:val="16"/>
          <w:szCs w:val="16"/>
          <w:i w:val="1"/>
          <w:iCs w:val="1"/>
          <w:color w:val="auto"/>
        </w:rPr>
        <w:t>100 Women in European Finance - Nawel Khelil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News)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2024</w:t>
      </w:r>
    </w:p>
    <w:p>
      <w:pPr>
        <w:spacing w:after="0" w:line="21"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Announced the addition of Daniel Maguire to Tradeweb's Board of Directors, effective as of September 18, 2024.</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Appointed Maxlin Thomas as Head of India as part of our efforts to further strengthen our global presence.</w:t>
      </w:r>
    </w:p>
    <w:p>
      <w:pPr>
        <w:spacing w:after="0" w:line="14" w:lineRule="exact"/>
        <w:rPr>
          <w:rFonts w:ascii="Arial" w:cs="Arial" w:eastAsia="Arial" w:hAnsi="Arial"/>
          <w:sz w:val="16"/>
          <w:szCs w:val="16"/>
          <w:color w:val="auto"/>
        </w:rPr>
      </w:pPr>
    </w:p>
    <w:p>
      <w:pPr>
        <w:ind w:left="660" w:right="100" w:hanging="328"/>
        <w:spacing w:after="0" w:line="254"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Completed Tradeweb's acquisition of Institutional Cash Distributors (“ICD”), an investment technology provider for corporate treasury organizations trading short-term investments, adding corporates as a fourth client channel, alongside our existing focus on institutional, wholesale and retail clients.</w:t>
      </w:r>
    </w:p>
    <w:p>
      <w:pPr>
        <w:ind w:left="660" w:right="20" w:hanging="328"/>
        <w:spacing w:after="0" w:line="252"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Published our fourth annual Corporate Sustainability Report and our second annual standalone Task Force on Climate-Related Financial Disclosure (TCFD) Report.</w:t>
      </w:r>
    </w:p>
    <w:p>
      <w:pPr>
        <w:spacing w:after="0" w:line="1" w:lineRule="exact"/>
        <w:rPr>
          <w:rFonts w:ascii="Arial" w:cs="Arial" w:eastAsia="Arial" w:hAnsi="Arial"/>
          <w:sz w:val="16"/>
          <w:szCs w:val="16"/>
          <w:color w:val="auto"/>
        </w:rPr>
      </w:pPr>
    </w:p>
    <w:p>
      <w:pPr>
        <w:ind w:left="660" w:right="140" w:hanging="328"/>
        <w:spacing w:after="0" w:line="249"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Executed the first fully-automated European Government Bond Basis trade, in collaboration with Eurex, with Nomura providing liquidity to Nykredit Bank.</w:t>
      </w:r>
    </w:p>
    <w:p>
      <w:pPr>
        <w:ind w:left="660" w:right="160" w:hanging="328"/>
        <w:spacing w:after="0" w:line="23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June 2024, we signed a 16-year lease for our new NYC headquarters, which is expected to commence in July 2025. Including expected double rent from our existing NYC office and other anticipated leasing activity in the second half of 2025, we expect our second half 2025 occupancy expenses to be approximately $7 million higher than the second half of 2024.</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08" w:right="339" w:bottom="1440" w:gutter="0" w:footer="0" w:header="0"/>
        </w:sectPr>
      </w:pPr>
    </w:p>
    <w:bookmarkStart w:id="5" w:name="page6"/>
    <w:bookmarkEnd w:id="5"/>
    <w:p>
      <w:pPr>
        <w:ind w:left="660" w:right="60" w:hanging="328"/>
        <w:spacing w:after="0" w:line="26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Recognized in numerous awards celebrating our company, as well as our outstanding and diverse talent, including: </w:t>
      </w:r>
      <w:r>
        <w:rPr>
          <w:rFonts w:ascii="Arial" w:cs="Arial" w:eastAsia="Arial" w:hAnsi="Arial"/>
          <w:sz w:val="16"/>
          <w:szCs w:val="16"/>
          <w:i w:val="1"/>
          <w:iCs w:val="1"/>
          <w:color w:val="auto"/>
        </w:rPr>
        <w:t>Best Company - Markets</w:t>
      </w:r>
      <w:r>
        <w:rPr>
          <w:rFonts w:ascii="Arial" w:cs="Arial" w:eastAsia="Arial" w:hAnsi="Arial"/>
          <w:sz w:val="16"/>
          <w:szCs w:val="16"/>
          <w:color w:val="auto"/>
        </w:rPr>
        <w:t xml:space="preserve"> </w:t>
      </w:r>
      <w:r>
        <w:rPr>
          <w:rFonts w:ascii="Arial" w:cs="Arial" w:eastAsia="Arial" w:hAnsi="Arial"/>
          <w:sz w:val="16"/>
          <w:szCs w:val="16"/>
          <w:i w:val="1"/>
          <w:iCs w:val="1"/>
          <w:color w:val="auto"/>
        </w:rPr>
        <w:t>Choice Awards (Markets Media); Best Sustainable Companies to Own (Morningstar); Most Influential in European Finance - Enrico Bruni (Financial News); Rising Star - Allie Hunt (Women in Financial Markets); European Women in Finance Awards - Excellence in Trading Platforms - Alessandra Stagliano (Markets Media)</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CAPITAL MANAGEMENT</w:t>
      </w:r>
    </w:p>
    <w:p>
      <w:pPr>
        <w:spacing w:after="0" w:line="11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$1.2 billion in cash and cash equivalents and an undrawn $500 million credit facility at September 30, 2024</w:t>
      </w:r>
    </w:p>
    <w:p>
      <w:pPr>
        <w:spacing w:after="0" w:line="21" w:lineRule="exact"/>
        <w:rPr>
          <w:rFonts w:ascii="Arial" w:cs="Arial" w:eastAsia="Arial" w:hAnsi="Arial"/>
          <w:sz w:val="16"/>
          <w:szCs w:val="16"/>
          <w:color w:val="auto"/>
        </w:rPr>
      </w:pPr>
    </w:p>
    <w:p>
      <w:pPr>
        <w:ind w:left="660" w:right="80" w:hanging="328"/>
        <w:spacing w:after="0" w:line="25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purchase consideration for the August 1, 2024 acquisition of ICD, we paid $771.2 million in net cash and also issued 41,705 shares of restricted Class A common stock in connection with the acquisition</w:t>
      </w:r>
    </w:p>
    <w:p>
      <w:pPr>
        <w:ind w:left="660" w:right="420" w:hanging="328"/>
        <w:spacing w:after="0" w:line="25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September 30, 2024 of $797.4 million, up 23.6% compared to prior year period. See “Non-GAAP Financial Measures” for additional information</w:t>
      </w:r>
    </w:p>
    <w:p>
      <w:pPr>
        <w:ind w:left="660" w:right="360" w:hanging="328"/>
        <w:spacing w:after="0" w:line="252"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capital expenditures and capitalized software development in the third quarter 2024 of $17.0 million (excludes amounts paid at closing for acquisitions)</w:t>
      </w:r>
    </w:p>
    <w:p>
      <w:pPr>
        <w:spacing w:after="0" w:line="2" w:lineRule="exact"/>
        <w:rPr>
          <w:rFonts w:ascii="Arial" w:cs="Arial" w:eastAsia="Arial" w:hAnsi="Arial"/>
          <w:sz w:val="16"/>
          <w:szCs w:val="16"/>
          <w:color w:val="auto"/>
        </w:rPr>
      </w:pPr>
    </w:p>
    <w:p>
      <w:pPr>
        <w:ind w:left="660" w:right="200" w:hanging="328"/>
        <w:spacing w:after="0" w:line="24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6"/>
          <w:szCs w:val="16"/>
          <w:color w:val="auto"/>
        </w:rPr>
        <w:t>During the third quarter of 2024, as part of its share repurchase program, Tradeweb purchased 214,795 shares of Class A common stock, at an average price of $116.41, for purchases totaling $25.0 million. $214.8 million remained available for repurchase pursuant to the share repurchase program authorization as of September 30, 2024</w:t>
      </w:r>
    </w:p>
    <w:p>
      <w:pPr>
        <w:spacing w:after="0" w:line="2" w:lineRule="exact"/>
        <w:rPr>
          <w:rFonts w:ascii="Arial" w:cs="Arial" w:eastAsia="Arial" w:hAnsi="Arial"/>
          <w:sz w:val="18"/>
          <w:szCs w:val="18"/>
          <w:color w:val="auto"/>
        </w:rPr>
      </w:pPr>
    </w:p>
    <w:p>
      <w:pPr>
        <w:ind w:left="660" w:right="220" w:hanging="328"/>
        <w:spacing w:after="0" w:line="25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$2.1 million in shares of Class A common stock were withheld in the third quarter of 2024 to satisfy tax obligations related to the exercise of stock options and vesting of restricted stock units and performance-based restricted stock units held by employees</w:t>
      </w:r>
    </w:p>
    <w:p>
      <w:pPr>
        <w:ind w:left="660" w:right="580" w:hanging="328"/>
        <w:spacing w:after="0" w:line="283"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declared a quarterly cash dividend of $0.10 per share of Class A common stock and Class B common stock. The dividend will be payable on December 16, 2024 to stockholders of record as of December 2, 2024</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Updated Full-Year 2024 Guidance*</w:t>
      </w:r>
    </w:p>
    <w:p>
      <w:pPr>
        <w:spacing w:after="0" w:line="127"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Expenses: $855 - 875 million (trending toward middle of range)</w:t>
      </w:r>
    </w:p>
    <w:p>
      <w:pPr>
        <w:spacing w:after="0" w:line="30"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6"/>
          <w:szCs w:val="16"/>
          <w:color w:val="auto"/>
        </w:rPr>
        <w:t>Acquisition and Refinitiv Transaction related depreciation and amortization expense: $158 million</w:t>
      </w:r>
    </w:p>
    <w:p>
      <w:pPr>
        <w:spacing w:after="0" w:line="4"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Assumed non-GAAP tax rate: ~ 24.5% - 25.5%</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capital expenditures and capitalized software development: ~ $77 - 85 million</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LSEG Market Data Contract Revenue: ~$80 million (~$90 million in 2025)</w:t>
      </w:r>
    </w:p>
    <w:p>
      <w:pPr>
        <w:spacing w:after="0" w:line="232"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The guidance has been revised to reflect higher adjusted expenses in light of strong business momentum. Depreciation and amortization, assumed non-GAAP tax rate, expenditures and LSEG Market Data Contract Revenue guidance is unchanged from the prior quarter guidance.</w:t>
      </w:r>
    </w:p>
    <w:p>
      <w:pPr>
        <w:spacing w:after="0" w:line="175" w:lineRule="exact"/>
        <w:rPr>
          <w:sz w:val="20"/>
          <w:szCs w:val="20"/>
          <w:color w:val="auto"/>
        </w:rPr>
      </w:pPr>
    </w:p>
    <w:p>
      <w:pPr>
        <w:ind w:left="340" w:right="280"/>
        <w:spacing w:after="0" w:line="281"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 Expense guidance assumes an average 2024 Sterling/US$ foreign exchange rate of 1.24 and includes completed M&amp;A transactions. Guidance amounts for cash capital expenditures and capitalized software development excludes amounts paid at closing for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1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Tradeweb Markets will hold a conference call to discuss third quarter 2024 results starting at 9:30 AM EDT today, October 30, 2024. A live, audio webcast of the conference call along with related presentation materials will be available at </w:t>
      </w:r>
      <w:r>
        <w:rPr>
          <w:rFonts w:ascii="Arial" w:cs="Arial" w:eastAsia="Arial" w:hAnsi="Arial"/>
          <w:sz w:val="16"/>
          <w:szCs w:val="16"/>
          <w:u w:val="single" w:color="auto"/>
          <w:color w:val="0E32E1"/>
        </w:rPr>
        <w:t>https://investors.tradeweb.com/events-and-presentations</w:t>
      </w:r>
      <w:r>
        <w:rPr>
          <w:rFonts w:ascii="Arial" w:cs="Arial" w:eastAsia="Arial" w:hAnsi="Arial"/>
          <w:sz w:val="16"/>
          <w:szCs w:val="16"/>
          <w:color w:val="auto"/>
        </w:rPr>
        <w:t>.</w:t>
      </w:r>
    </w:p>
    <w:p>
      <w:pPr>
        <w:spacing w:after="0" w:line="166" w:lineRule="exact"/>
        <w:rPr>
          <w:sz w:val="20"/>
          <w:szCs w:val="20"/>
          <w:color w:val="auto"/>
        </w:rPr>
      </w:pPr>
    </w:p>
    <w:p>
      <w:pPr>
        <w:ind w:left="640" w:hanging="308"/>
        <w:spacing w:after="0"/>
        <w:tabs>
          <w:tab w:leader="none" w:pos="640" w:val="left"/>
        </w:tabs>
        <w:numPr>
          <w:ilvl w:val="0"/>
          <w:numId w:val="8"/>
        </w:numPr>
        <w:rPr>
          <w:rFonts w:ascii="Calibri" w:cs="Calibri" w:eastAsia="Calibri" w:hAnsi="Calibri"/>
          <w:sz w:val="20"/>
          <w:szCs w:val="20"/>
          <w:color w:val="auto"/>
        </w:rPr>
      </w:pPr>
      <w:r>
        <w:rPr>
          <w:rFonts w:ascii="Arial" w:cs="Arial" w:eastAsia="Arial" w:hAnsi="Arial"/>
          <w:sz w:val="16"/>
          <w:szCs w:val="16"/>
          <w:color w:val="auto"/>
        </w:rPr>
        <w:t xml:space="preserve">To join the call via audio webcast, click here: </w:t>
      </w:r>
      <w:r>
        <w:rPr>
          <w:rFonts w:ascii="Arial" w:cs="Arial" w:eastAsia="Arial" w:hAnsi="Arial"/>
          <w:sz w:val="16"/>
          <w:szCs w:val="16"/>
          <w:u w:val="single" w:color="auto"/>
          <w:color w:val="0E32E1"/>
        </w:rPr>
        <w:t>https://edge.media-server.com/mmc/p/8fmfndxv/</w:t>
      </w:r>
    </w:p>
    <w:p>
      <w:pPr>
        <w:spacing w:after="0" w:line="1" w:lineRule="exact"/>
        <w:rPr>
          <w:rFonts w:ascii="Calibri" w:cs="Calibri" w:eastAsia="Calibri" w:hAnsi="Calibri"/>
          <w:sz w:val="20"/>
          <w:szCs w:val="20"/>
          <w:color w:val="auto"/>
        </w:rPr>
      </w:pPr>
    </w:p>
    <w:p>
      <w:pPr>
        <w:ind w:left="660" w:right="140" w:hanging="328"/>
        <w:spacing w:after="0" w:line="233" w:lineRule="auto"/>
        <w:tabs>
          <w:tab w:leader="none" w:pos="653" w:val="left"/>
        </w:tabs>
        <w:numPr>
          <w:ilvl w:val="0"/>
          <w:numId w:val="8"/>
        </w:numPr>
        <w:rPr>
          <w:rFonts w:ascii="Calibri" w:cs="Calibri" w:eastAsia="Calibri" w:hAnsi="Calibri"/>
          <w:sz w:val="20"/>
          <w:szCs w:val="20"/>
          <w:color w:val="auto"/>
        </w:rPr>
      </w:pPr>
      <w:r>
        <w:rPr>
          <w:rFonts w:ascii="Arial" w:cs="Arial" w:eastAsia="Arial" w:hAnsi="Arial"/>
          <w:sz w:val="16"/>
          <w:szCs w:val="16"/>
          <w:color w:val="auto"/>
        </w:rPr>
        <w:t xml:space="preserve">To join the call via phone, please register in advance here: </w:t>
      </w:r>
      <w:r>
        <w:rPr>
          <w:rFonts w:ascii="Arial" w:cs="Arial" w:eastAsia="Arial" w:hAnsi="Arial"/>
          <w:sz w:val="16"/>
          <w:szCs w:val="16"/>
          <w:u w:val="single" w:color="auto"/>
          <w:color w:val="0E32E1"/>
        </w:rPr>
        <w:t>https://register.vevent.com/register/BI7f65d6e977a04267a4a86c5cf7eef76f</w:t>
      </w:r>
      <w:r>
        <w:rPr>
          <w:rFonts w:ascii="Arial" w:cs="Arial" w:eastAsia="Arial" w:hAnsi="Arial"/>
          <w:sz w:val="16"/>
          <w:szCs w:val="16"/>
          <w:color w:val="auto"/>
        </w:rPr>
        <w:t>. Registered participants will receive an email confirmation with a unique PIN to access the conference call.</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archived recording of the call will be available afterward at </w:t>
      </w:r>
      <w:r>
        <w:rPr>
          <w:rFonts w:ascii="Arial" w:cs="Arial" w:eastAsia="Arial" w:hAnsi="Arial"/>
          <w:sz w:val="16"/>
          <w:szCs w:val="16"/>
          <w:u w:val="single" w:color="auto"/>
          <w:color w:val="0E32E1"/>
        </w:rPr>
        <w:t>https://investors.tradeweb.com</w:t>
      </w:r>
      <w:r>
        <w:rPr>
          <w:rFonts w:ascii="Arial" w:cs="Arial" w:eastAsia="Arial" w:hAnsi="Arial"/>
          <w:sz w:val="16"/>
          <w:szCs w:val="16"/>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more than 2,800 clients in more than 70 countries. On average, Tradeweb facilitated more than $1.9 trillion in notional value traded per day over the past four fiscal quarters. For more information,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please go to </w:t>
      </w:r>
      <w:r>
        <w:rPr>
          <w:rFonts w:ascii="Arial" w:cs="Arial" w:eastAsia="Arial" w:hAnsi="Arial"/>
          <w:sz w:val="16"/>
          <w:szCs w:val="16"/>
          <w:u w:val="single" w:color="auto"/>
          <w:color w:val="0E32E1"/>
        </w:rPr>
        <w:t>www.tradeweb.com</w:t>
      </w:r>
      <w:r>
        <w:rPr>
          <w:rFonts w:ascii="Arial" w:cs="Arial" w:eastAsia="Arial" w:hAnsi="Arial"/>
          <w:sz w:val="16"/>
          <w:szCs w:val="16"/>
          <w:color w:val="0E32E1"/>
        </w:rPr>
        <w: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CONSOLIDATED STATEMENTS OF INCOME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47"/>
        </w:trPr>
        <w:tc>
          <w:tcPr>
            <w:tcW w:w="49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5DCE4"/>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7"/>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D5DCE4"/>
          </w:tcPr>
          <w:p>
            <w:pPr>
              <w:spacing w:after="0"/>
              <w:rPr>
                <w:sz w:val="19"/>
                <w:szCs w:val="19"/>
                <w:color w:val="auto"/>
              </w:rPr>
            </w:pPr>
          </w:p>
        </w:tc>
        <w:tc>
          <w:tcPr>
            <w:tcW w:w="4960" w:type="dxa"/>
            <w:vAlign w:val="bottom"/>
            <w:gridSpan w:val="9"/>
            <w:shd w:val="clear" w:color="auto" w:fill="D5DCE4"/>
          </w:tcPr>
          <w:p>
            <w:pPr>
              <w:jc w:val="right"/>
              <w:ind w:right="219"/>
              <w:spacing w:after="0"/>
              <w:rPr>
                <w:sz w:val="20"/>
                <w:szCs w:val="20"/>
                <w:color w:val="auto"/>
              </w:rPr>
            </w:pPr>
            <w:r>
              <w:rPr>
                <w:rFonts w:ascii="Arial" w:cs="Arial" w:eastAsia="Arial" w:hAnsi="Arial"/>
                <w:sz w:val="16"/>
                <w:szCs w:val="16"/>
                <w:b w:val="1"/>
                <w:bCs w:val="1"/>
                <w:color w:val="auto"/>
              </w:rPr>
              <w:t>(dollars in thousands, except per share amounts)</w:t>
            </w:r>
          </w:p>
        </w:tc>
        <w:tc>
          <w:tcPr>
            <w:tcW w:w="9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373,493</w:t>
            </w:r>
          </w:p>
        </w:tc>
        <w:tc>
          <w:tcPr>
            <w:tcW w:w="8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263,485</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1,039,419</w:t>
            </w:r>
          </w:p>
        </w:tc>
        <w:tc>
          <w:tcPr>
            <w:tcW w:w="8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776,544</w:t>
            </w:r>
          </w:p>
        </w:tc>
        <w:tc>
          <w:tcPr>
            <w:tcW w:w="0" w:type="dxa"/>
            <w:vAlign w:val="bottom"/>
          </w:tcPr>
          <w:p>
            <w:pPr>
              <w:spacing w:after="0"/>
              <w:rPr>
                <w:sz w:val="1"/>
                <w:szCs w:val="1"/>
                <w:color w:val="auto"/>
              </w:rPr>
            </w:pP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51,206</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46,361</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151,633</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136,483</w:t>
            </w:r>
          </w:p>
        </w:tc>
        <w:tc>
          <w:tcPr>
            <w:tcW w:w="0" w:type="dxa"/>
            <w:vAlign w:val="bottom"/>
          </w:tcPr>
          <w:p>
            <w:pPr>
              <w:spacing w:after="0"/>
              <w:rPr>
                <w:sz w:val="1"/>
                <w:szCs w:val="1"/>
                <w:color w:val="auto"/>
              </w:rPr>
            </w:pP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LSEG market data fees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20,512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15,460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61,593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46,515</w:t>
            </w:r>
          </w:p>
        </w:tc>
        <w:tc>
          <w:tcPr>
            <w:tcW w:w="0" w:type="dxa"/>
            <w:vAlign w:val="bottom"/>
          </w:tcPr>
          <w:p>
            <w:pPr>
              <w:spacing w:after="0"/>
              <w:rPr>
                <w:sz w:val="1"/>
                <w:szCs w:val="1"/>
                <w:color w:val="auto"/>
              </w:rPr>
            </w:pP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3,704</w:t>
            </w:r>
          </w:p>
        </w:tc>
        <w:tc>
          <w:tcPr>
            <w:tcW w:w="8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3,051</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9,960</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8,677</w:t>
            </w:r>
          </w:p>
        </w:tc>
        <w:tc>
          <w:tcPr>
            <w:tcW w:w="0" w:type="dxa"/>
            <w:vAlign w:val="bottom"/>
          </w:tcPr>
          <w:p>
            <w:pPr>
              <w:spacing w:after="0"/>
              <w:rPr>
                <w:sz w:val="1"/>
                <w:szCs w:val="1"/>
                <w:color w:val="auto"/>
              </w:rPr>
            </w:pPr>
          </w:p>
        </w:tc>
      </w:tr>
      <w:tr>
        <w:trPr>
          <w:trHeight w:val="233"/>
        </w:trPr>
        <w:tc>
          <w:tcPr>
            <w:tcW w:w="498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448,915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328,357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1,262,605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968,219</w:t>
            </w:r>
          </w:p>
        </w:tc>
        <w:tc>
          <w:tcPr>
            <w:tcW w:w="0" w:type="dxa"/>
            <w:vAlign w:val="bottom"/>
          </w:tcPr>
          <w:p>
            <w:pPr>
              <w:spacing w:after="0"/>
              <w:rPr>
                <w:sz w:val="1"/>
                <w:szCs w:val="1"/>
                <w:color w:val="auto"/>
              </w:rPr>
            </w:pPr>
          </w:p>
        </w:tc>
      </w:tr>
      <w:tr>
        <w:trPr>
          <w:trHeight w:val="274"/>
        </w:trPr>
        <w:tc>
          <w:tcPr>
            <w:tcW w:w="49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1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520" w:type="dxa"/>
            <w:vAlign w:val="bottom"/>
            <w:shd w:val="clear" w:color="auto" w:fill="D5DCE4"/>
          </w:tcPr>
          <w:p>
            <w:pPr>
              <w:spacing w:after="0"/>
              <w:rPr>
                <w:sz w:val="23"/>
                <w:szCs w:val="23"/>
                <w:color w:val="auto"/>
              </w:rPr>
            </w:pPr>
          </w:p>
        </w:tc>
        <w:tc>
          <w:tcPr>
            <w:tcW w:w="9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1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540" w:type="dxa"/>
            <w:vAlign w:val="bottom"/>
            <w:shd w:val="clear" w:color="auto" w:fill="D5DCE4"/>
          </w:tcPr>
          <w:p>
            <w:pPr>
              <w:spacing w:after="0"/>
              <w:rPr>
                <w:sz w:val="23"/>
                <w:szCs w:val="23"/>
                <w:color w:val="auto"/>
              </w:rPr>
            </w:pPr>
          </w:p>
        </w:tc>
        <w:tc>
          <w:tcPr>
            <w:tcW w:w="980" w:type="dxa"/>
            <w:vAlign w:val="bottom"/>
            <w:shd w:val="clear" w:color="auto" w:fill="D5DCE4"/>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160,161</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116,016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440,484</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334,433</w:t>
            </w:r>
          </w:p>
        </w:tc>
        <w:tc>
          <w:tcPr>
            <w:tcW w:w="0" w:type="dxa"/>
            <w:vAlign w:val="bottom"/>
          </w:tcPr>
          <w:p>
            <w:pPr>
              <w:spacing w:after="0"/>
              <w:rPr>
                <w:sz w:val="1"/>
                <w:szCs w:val="1"/>
                <w:color w:val="auto"/>
              </w:rPr>
            </w:pP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57,872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46,559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157,145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137,850</w:t>
            </w:r>
          </w:p>
        </w:tc>
        <w:tc>
          <w:tcPr>
            <w:tcW w:w="0" w:type="dxa"/>
            <w:vAlign w:val="bottom"/>
          </w:tcPr>
          <w:p>
            <w:pPr>
              <w:spacing w:after="0"/>
              <w:rPr>
                <w:sz w:val="1"/>
                <w:szCs w:val="1"/>
                <w:color w:val="auto"/>
              </w:rPr>
            </w:pP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24,300</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19,733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69,840</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56,001</w:t>
            </w:r>
          </w:p>
        </w:tc>
        <w:tc>
          <w:tcPr>
            <w:tcW w:w="0" w:type="dxa"/>
            <w:vAlign w:val="bottom"/>
          </w:tcPr>
          <w:p>
            <w:pPr>
              <w:spacing w:after="0"/>
              <w:rPr>
                <w:sz w:val="1"/>
                <w:szCs w:val="1"/>
                <w:color w:val="auto"/>
              </w:rPr>
            </w:pP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20,417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44,026</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31,692</w:t>
            </w:r>
          </w:p>
        </w:tc>
        <w:tc>
          <w:tcPr>
            <w:tcW w:w="0" w:type="dxa"/>
            <w:vAlign w:val="bottom"/>
          </w:tcPr>
          <w:p>
            <w:pPr>
              <w:spacing w:after="0"/>
              <w:rPr>
                <w:sz w:val="1"/>
                <w:szCs w:val="1"/>
                <w:color w:val="auto"/>
              </w:rPr>
            </w:pP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21,434</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10,479</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46,558</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32,321</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5,415</w:t>
            </w:r>
          </w:p>
        </w:tc>
        <w:tc>
          <w:tcPr>
            <w:tcW w:w="8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4,132</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15,064</w:t>
            </w:r>
          </w:p>
        </w:tc>
        <w:tc>
          <w:tcPr>
            <w:tcW w:w="80" w:type="dxa"/>
            <w:vAlign w:val="bottom"/>
            <w:tcBorders>
              <w:bottom w:val="single" w:sz="8" w:color="D5DCE4"/>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12,283</w:t>
            </w:r>
          </w:p>
        </w:tc>
        <w:tc>
          <w:tcPr>
            <w:tcW w:w="0" w:type="dxa"/>
            <w:vAlign w:val="bottom"/>
          </w:tcPr>
          <w:p>
            <w:pPr>
              <w:spacing w:after="0"/>
              <w:rPr>
                <w:sz w:val="1"/>
                <w:szCs w:val="1"/>
                <w:color w:val="auto"/>
              </w:rPr>
            </w:pPr>
          </w:p>
        </w:tc>
      </w:tr>
      <w:tr>
        <w:trPr>
          <w:trHeight w:val="243"/>
        </w:trPr>
        <w:tc>
          <w:tcPr>
            <w:tcW w:w="498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289,599</w:t>
            </w:r>
          </w:p>
        </w:tc>
        <w:tc>
          <w:tcPr>
            <w:tcW w:w="8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203,619</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773,117</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604,580</w:t>
            </w:r>
          </w:p>
        </w:tc>
        <w:tc>
          <w:tcPr>
            <w:tcW w:w="0" w:type="dxa"/>
            <w:vAlign w:val="bottom"/>
          </w:tcPr>
          <w:p>
            <w:pPr>
              <w:spacing w:after="0"/>
              <w:rPr>
                <w:sz w:val="1"/>
                <w:szCs w:val="1"/>
                <w:color w:val="auto"/>
              </w:rPr>
            </w:pPr>
          </w:p>
        </w:tc>
      </w:tr>
      <w:tr>
        <w:trPr>
          <w:trHeight w:val="233"/>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159,316</w:t>
            </w:r>
          </w:p>
        </w:tc>
        <w:tc>
          <w:tcPr>
            <w:tcW w:w="8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124,738</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489,488</w:t>
            </w:r>
          </w:p>
        </w:tc>
        <w:tc>
          <w:tcPr>
            <w:tcW w:w="80" w:type="dxa"/>
            <w:vAlign w:val="bottom"/>
            <w:tcBorders>
              <w:bottom w:val="single" w:sz="8" w:color="D5DCE4"/>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363,639</w:t>
            </w:r>
          </w:p>
        </w:tc>
        <w:tc>
          <w:tcPr>
            <w:tcW w:w="0" w:type="dxa"/>
            <w:vAlign w:val="bottom"/>
          </w:tcPr>
          <w:p>
            <w:pPr>
              <w:spacing w:after="0"/>
              <w:rPr>
                <w:sz w:val="1"/>
                <w:szCs w:val="1"/>
                <w:color w:val="auto"/>
              </w:rPr>
            </w:pPr>
          </w:p>
        </w:tc>
      </w:tr>
      <w:tr>
        <w:trPr>
          <w:trHeight w:val="240"/>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Tax receivable agreement liability adjustment</w:t>
            </w:r>
          </w:p>
        </w:tc>
        <w:tc>
          <w:tcPr>
            <w:tcW w:w="320" w:type="dxa"/>
            <w:vAlign w:val="bottom"/>
            <w:shd w:val="clear" w:color="auto" w:fill="D5DCE4"/>
          </w:tcPr>
          <w:p>
            <w:pPr>
              <w:spacing w:after="0"/>
              <w:rPr>
                <w:sz w:val="20"/>
                <w:szCs w:val="20"/>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(870)</w:t>
            </w:r>
          </w:p>
        </w:tc>
        <w:tc>
          <w:tcPr>
            <w:tcW w:w="80" w:type="dxa"/>
            <w:vAlign w:val="bottom"/>
            <w:shd w:val="clear" w:color="auto" w:fill="D5DCE4"/>
          </w:tcPr>
          <w:p>
            <w:pPr>
              <w:spacing w:after="0"/>
              <w:rPr>
                <w:sz w:val="20"/>
                <w:szCs w:val="20"/>
                <w:color w:val="auto"/>
              </w:rPr>
            </w:pPr>
          </w:p>
        </w:tc>
        <w:tc>
          <w:tcPr>
            <w:tcW w:w="520" w:type="dxa"/>
            <w:vAlign w:val="bottom"/>
            <w:shd w:val="clear" w:color="auto" w:fill="D5DCE4"/>
          </w:tcPr>
          <w:p>
            <w:pPr>
              <w:spacing w:after="0"/>
              <w:rPr>
                <w:sz w:val="20"/>
                <w:szCs w:val="20"/>
                <w:color w:val="auto"/>
              </w:rPr>
            </w:pPr>
          </w:p>
        </w:tc>
        <w:tc>
          <w:tcPr>
            <w:tcW w:w="106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D5DCE4"/>
          </w:tcPr>
          <w:p>
            <w:pPr>
              <w:spacing w:after="0"/>
              <w:rPr>
                <w:sz w:val="20"/>
                <w:szCs w:val="20"/>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(870)</w:t>
            </w:r>
          </w:p>
        </w:tc>
        <w:tc>
          <w:tcPr>
            <w:tcW w:w="80" w:type="dxa"/>
            <w:vAlign w:val="bottom"/>
            <w:shd w:val="clear" w:color="auto" w:fill="D5DCE4"/>
          </w:tcPr>
          <w:p>
            <w:pPr>
              <w:spacing w:after="0"/>
              <w:rPr>
                <w:sz w:val="20"/>
                <w:szCs w:val="20"/>
                <w:color w:val="auto"/>
              </w:rPr>
            </w:pPr>
          </w:p>
        </w:tc>
        <w:tc>
          <w:tcPr>
            <w:tcW w:w="540" w:type="dxa"/>
            <w:vAlign w:val="bottom"/>
            <w:shd w:val="clear" w:color="auto" w:fill="D5DCE4"/>
          </w:tcPr>
          <w:p>
            <w:pPr>
              <w:spacing w:after="0"/>
              <w:rPr>
                <w:sz w:val="20"/>
                <w:szCs w:val="20"/>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16,663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17,929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59,234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46,445</w:t>
            </w:r>
          </w:p>
        </w:tc>
        <w:tc>
          <w:tcPr>
            <w:tcW w:w="0" w:type="dxa"/>
            <w:vAlign w:val="bottom"/>
          </w:tcPr>
          <w:p>
            <w:pPr>
              <w:spacing w:after="0"/>
              <w:rPr>
                <w:sz w:val="1"/>
                <w:szCs w:val="1"/>
                <w:color w:val="auto"/>
              </w:rPr>
            </w:pP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(1,446)</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(464)</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(3,706)</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(1,380)</w:t>
            </w:r>
          </w:p>
        </w:tc>
        <w:tc>
          <w:tcPr>
            <w:tcW w:w="0" w:type="dxa"/>
            <w:vAlign w:val="bottom"/>
          </w:tcPr>
          <w:p>
            <w:pPr>
              <w:spacing w:after="0"/>
              <w:rPr>
                <w:sz w:val="1"/>
                <w:szCs w:val="1"/>
                <w:color w:val="auto"/>
              </w:rPr>
            </w:pPr>
          </w:p>
        </w:tc>
      </w:tr>
      <w:tr>
        <w:trPr>
          <w:trHeight w:val="236"/>
        </w:trPr>
        <w:tc>
          <w:tcPr>
            <w:tcW w:w="498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Other income (loss), net</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D5DCE4"/>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39"/>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173,673</w:t>
            </w:r>
          </w:p>
        </w:tc>
        <w:tc>
          <w:tcPr>
            <w:tcW w:w="80" w:type="dxa"/>
            <w:vAlign w:val="bottom"/>
            <w:shd w:val="clear" w:color="auto" w:fill="D5DCE4"/>
          </w:tcPr>
          <w:p>
            <w:pPr>
              <w:spacing w:after="0"/>
              <w:rPr>
                <w:sz w:val="20"/>
                <w:szCs w:val="20"/>
                <w:color w:val="auto"/>
              </w:rPr>
            </w:pPr>
          </w:p>
        </w:tc>
        <w:tc>
          <w:tcPr>
            <w:tcW w:w="520" w:type="dxa"/>
            <w:vAlign w:val="bottom"/>
            <w:tcBorders>
              <w:bottom w:val="single" w:sz="8" w:color="auto"/>
            </w:tcBorders>
            <w:shd w:val="clear" w:color="auto" w:fill="D5DCE4"/>
          </w:tcPr>
          <w:p>
            <w:pPr>
              <w:spacing w:after="0"/>
              <w:rPr>
                <w:sz w:val="20"/>
                <w:szCs w:val="20"/>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140,296</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544,156</w:t>
            </w:r>
          </w:p>
        </w:tc>
        <w:tc>
          <w:tcPr>
            <w:tcW w:w="80" w:type="dxa"/>
            <w:vAlign w:val="bottom"/>
            <w:shd w:val="clear" w:color="auto" w:fill="D5DCE4"/>
          </w:tcPr>
          <w:p>
            <w:pPr>
              <w:spacing w:after="0"/>
              <w:rPr>
                <w:sz w:val="20"/>
                <w:szCs w:val="20"/>
                <w:color w:val="auto"/>
              </w:rPr>
            </w:pPr>
          </w:p>
        </w:tc>
        <w:tc>
          <w:tcPr>
            <w:tcW w:w="540" w:type="dxa"/>
            <w:vAlign w:val="bottom"/>
            <w:tcBorders>
              <w:bottom w:val="single" w:sz="8" w:color="auto"/>
            </w:tcBorders>
            <w:shd w:val="clear" w:color="auto" w:fill="D5DCE4"/>
          </w:tcPr>
          <w:p>
            <w:pPr>
              <w:spacing w:after="0"/>
              <w:rPr>
                <w:sz w:val="20"/>
                <w:szCs w:val="20"/>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406,682</w:t>
            </w:r>
          </w:p>
        </w:tc>
        <w:tc>
          <w:tcPr>
            <w:tcW w:w="0" w:type="dxa"/>
            <w:vAlign w:val="bottom"/>
          </w:tcPr>
          <w:p>
            <w:pPr>
              <w:spacing w:after="0"/>
              <w:rPr>
                <w:sz w:val="1"/>
                <w:szCs w:val="1"/>
                <w:color w:val="auto"/>
              </w:rPr>
            </w:pPr>
          </w:p>
        </w:tc>
      </w:tr>
      <w:tr>
        <w:trPr>
          <w:trHeight w:val="234"/>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(43,450)</w:t>
            </w:r>
          </w:p>
        </w:tc>
        <w:tc>
          <w:tcPr>
            <w:tcW w:w="8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(28,666)</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(134,135)</w:t>
            </w:r>
          </w:p>
        </w:tc>
        <w:tc>
          <w:tcPr>
            <w:tcW w:w="80" w:type="dxa"/>
            <w:vAlign w:val="bottom"/>
            <w:tcBorders>
              <w:bottom w:val="single" w:sz="8" w:color="D5DCE4"/>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(90,920)</w:t>
            </w:r>
          </w:p>
        </w:tc>
        <w:tc>
          <w:tcPr>
            <w:tcW w:w="0" w:type="dxa"/>
            <w:vAlign w:val="bottom"/>
          </w:tcPr>
          <w:p>
            <w:pPr>
              <w:spacing w:after="0"/>
              <w:rPr>
                <w:sz w:val="1"/>
                <w:szCs w:val="1"/>
                <w:color w:val="auto"/>
              </w:rPr>
            </w:pP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Net income</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130,223</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111,630</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410,021</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315,762</w:t>
            </w:r>
          </w:p>
        </w:tc>
        <w:tc>
          <w:tcPr>
            <w:tcW w:w="0" w:type="dxa"/>
            <w:vAlign w:val="bottom"/>
          </w:tcPr>
          <w:p>
            <w:pPr>
              <w:spacing w:after="0"/>
              <w:rPr>
                <w:sz w:val="1"/>
                <w:szCs w:val="1"/>
                <w:color w:val="auto"/>
              </w:rPr>
            </w:pPr>
          </w:p>
        </w:tc>
      </w:tr>
      <w:tr>
        <w:trPr>
          <w:trHeight w:val="236"/>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16,307</w:t>
            </w:r>
          </w:p>
        </w:tc>
        <w:tc>
          <w:tcPr>
            <w:tcW w:w="8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13,016</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50,724</w:t>
            </w:r>
          </w:p>
        </w:tc>
        <w:tc>
          <w:tcPr>
            <w:tcW w:w="80" w:type="dxa"/>
            <w:vAlign w:val="bottom"/>
            <w:tcBorders>
              <w:bottom w:val="single" w:sz="8" w:color="D5DCE4"/>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40,210</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113,916</w:t>
            </w:r>
          </w:p>
        </w:tc>
        <w:tc>
          <w:tcPr>
            <w:tcW w:w="80" w:type="dxa"/>
            <w:vAlign w:val="bottom"/>
            <w:tcBorders>
              <w:bottom w:val="single" w:sz="8" w:color="D5DCE4"/>
            </w:tcBorders>
            <w:shd w:val="clear" w:color="auto" w:fill="D5DCE4"/>
          </w:tcPr>
          <w:p>
            <w:pPr>
              <w:spacing w:after="0"/>
              <w:rPr>
                <w:sz w:val="22"/>
                <w:szCs w:val="22"/>
                <w:color w:val="auto"/>
              </w:rPr>
            </w:pPr>
          </w:p>
        </w:tc>
        <w:tc>
          <w:tcPr>
            <w:tcW w:w="52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98,614</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359,297</w:t>
            </w:r>
          </w:p>
        </w:tc>
        <w:tc>
          <w:tcPr>
            <w:tcW w:w="80" w:type="dxa"/>
            <w:vAlign w:val="bottom"/>
            <w:tcBorders>
              <w:bottom w:val="single" w:sz="8" w:color="D5DCE4"/>
            </w:tcBorders>
            <w:shd w:val="clear" w:color="auto" w:fill="D5DCE4"/>
          </w:tcPr>
          <w:p>
            <w:pPr>
              <w:spacing w:after="0"/>
              <w:rPr>
                <w:sz w:val="22"/>
                <w:szCs w:val="22"/>
                <w:color w:val="auto"/>
              </w:rPr>
            </w:pPr>
          </w:p>
        </w:tc>
        <w:tc>
          <w:tcPr>
            <w:tcW w:w="54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275,552</w:t>
            </w:r>
          </w:p>
        </w:tc>
        <w:tc>
          <w:tcPr>
            <w:tcW w:w="0" w:type="dxa"/>
            <w:vAlign w:val="bottom"/>
          </w:tcPr>
          <w:p>
            <w:pPr>
              <w:spacing w:after="0"/>
              <w:rPr>
                <w:sz w:val="1"/>
                <w:szCs w:val="1"/>
                <w:color w:val="auto"/>
              </w:rPr>
            </w:pPr>
          </w:p>
        </w:tc>
      </w:tr>
      <w:tr>
        <w:trPr>
          <w:trHeight w:val="20"/>
        </w:trPr>
        <w:tc>
          <w:tcPr>
            <w:tcW w:w="49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4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Earnings per share attributable to Tradeweb Markets Inc. Class A</w:t>
            </w: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20" w:type="dxa"/>
            <w:vAlign w:val="bottom"/>
            <w:shd w:val="clear" w:color="auto" w:fill="D5DCE4"/>
          </w:tcPr>
          <w:p>
            <w:pPr>
              <w:spacing w:after="0"/>
              <w:rPr>
                <w:sz w:val="18"/>
                <w:szCs w:val="18"/>
                <w:color w:val="auto"/>
              </w:rPr>
            </w:pPr>
          </w:p>
        </w:tc>
        <w:tc>
          <w:tcPr>
            <w:tcW w:w="9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and B common stockholders:</w:t>
            </w:r>
          </w:p>
        </w:tc>
        <w:tc>
          <w:tcPr>
            <w:tcW w:w="320" w:type="dxa"/>
            <w:vAlign w:val="bottom"/>
            <w:shd w:val="clear" w:color="auto" w:fill="D5DCE4"/>
          </w:tcPr>
          <w:p>
            <w:pPr>
              <w:spacing w:after="0"/>
              <w:rPr>
                <w:sz w:val="20"/>
                <w:szCs w:val="20"/>
                <w:color w:val="auto"/>
              </w:rPr>
            </w:pPr>
          </w:p>
        </w:tc>
        <w:tc>
          <w:tcPr>
            <w:tcW w:w="118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520" w:type="dxa"/>
            <w:vAlign w:val="bottom"/>
            <w:shd w:val="clear" w:color="auto" w:fill="D5DCE4"/>
          </w:tcPr>
          <w:p>
            <w:pPr>
              <w:spacing w:after="0"/>
              <w:rPr>
                <w:sz w:val="20"/>
                <w:szCs w:val="20"/>
                <w:color w:val="auto"/>
              </w:rPr>
            </w:pPr>
          </w:p>
        </w:tc>
        <w:tc>
          <w:tcPr>
            <w:tcW w:w="98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18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540" w:type="dxa"/>
            <w:vAlign w:val="bottom"/>
            <w:shd w:val="clear" w:color="auto" w:fill="D5DCE4"/>
          </w:tcPr>
          <w:p>
            <w:pPr>
              <w:spacing w:after="0"/>
              <w:rPr>
                <w:sz w:val="20"/>
                <w:szCs w:val="20"/>
                <w:color w:val="auto"/>
              </w:rPr>
            </w:pPr>
          </w:p>
        </w:tc>
        <w:tc>
          <w:tcPr>
            <w:tcW w:w="980" w:type="dxa"/>
            <w:vAlign w:val="bottom"/>
            <w:shd w:val="clear" w:color="auto" w:fill="D5DCE4"/>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0.53</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98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0.53</w:t>
            </w:r>
          </w:p>
        </w:tc>
        <w:tc>
          <w:tcPr>
            <w:tcW w:w="80" w:type="dxa"/>
            <w:vAlign w:val="bottom"/>
            <w:tcBorders>
              <w:bottom w:val="single" w:sz="8" w:color="D5DCE4"/>
            </w:tcBorders>
            <w:shd w:val="clear" w:color="auto" w:fill="D5DCE4"/>
          </w:tcPr>
          <w:p>
            <w:pPr>
              <w:spacing w:after="0"/>
              <w:rPr>
                <w:sz w:val="22"/>
                <w:szCs w:val="22"/>
                <w:color w:val="auto"/>
              </w:rPr>
            </w:pPr>
          </w:p>
        </w:tc>
        <w:tc>
          <w:tcPr>
            <w:tcW w:w="52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0.46</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1.67</w:t>
            </w:r>
          </w:p>
        </w:tc>
        <w:tc>
          <w:tcPr>
            <w:tcW w:w="80" w:type="dxa"/>
            <w:vAlign w:val="bottom"/>
            <w:tcBorders>
              <w:bottom w:val="single" w:sz="8" w:color="D5DCE4"/>
            </w:tcBorders>
            <w:shd w:val="clear" w:color="auto" w:fill="D5DCE4"/>
          </w:tcPr>
          <w:p>
            <w:pPr>
              <w:spacing w:after="0"/>
              <w:rPr>
                <w:sz w:val="22"/>
                <w:szCs w:val="22"/>
                <w:color w:val="auto"/>
              </w:rPr>
            </w:pPr>
          </w:p>
        </w:tc>
        <w:tc>
          <w:tcPr>
            <w:tcW w:w="54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
        </w:trPr>
        <w:tc>
          <w:tcPr>
            <w:tcW w:w="4980" w:type="dxa"/>
            <w:vAlign w:val="bottom"/>
            <w:tcBorders>
              <w:top w:val="single" w:sz="8" w:color="D5DCE4"/>
              <w:bottom w:val="single" w:sz="8" w:color="D5DCE4"/>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4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213,206,193</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98"/>
              </w:rPr>
              <w:t>211,618,475</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213,026,732</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98"/>
              </w:rPr>
              <w:t>210,444,082</w:t>
            </w:r>
          </w:p>
        </w:tc>
        <w:tc>
          <w:tcPr>
            <w:tcW w:w="0" w:type="dxa"/>
            <w:vAlign w:val="bottom"/>
          </w:tcPr>
          <w:p>
            <w:pPr>
              <w:spacing w:after="0"/>
              <w:rPr>
                <w:sz w:val="1"/>
                <w:szCs w:val="1"/>
                <w:color w:val="auto"/>
              </w:rPr>
            </w:pPr>
          </w:p>
        </w:tc>
      </w:tr>
      <w:tr>
        <w:trPr>
          <w:trHeight w:val="228"/>
        </w:trPr>
        <w:tc>
          <w:tcPr>
            <w:tcW w:w="4980" w:type="dxa"/>
            <w:vAlign w:val="bottom"/>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215,096,974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213,491,634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214,885,210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212,276,908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9"/>
                <w:szCs w:val="19"/>
                <w:color w:val="auto"/>
              </w:rPr>
            </w:pPr>
          </w:p>
        </w:tc>
        <w:tc>
          <w:tcPr>
            <w:tcW w:w="28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EBITDA,</w:t>
            </w:r>
          </w:p>
        </w:tc>
        <w:tc>
          <w:tcPr>
            <w:tcW w:w="3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80" w:type="dxa"/>
            <w:vAlign w:val="bottom"/>
            <w:gridSpan w:val="2"/>
            <w:vMerge w:val="restart"/>
          </w:tcPr>
          <w:p>
            <w:pPr>
              <w:ind w:left="20"/>
              <w:spacing w:after="0" w:line="175" w:lineRule="exact"/>
              <w:rPr>
                <w:sz w:val="20"/>
                <w:szCs w:val="20"/>
                <w:color w:val="auto"/>
              </w:rPr>
            </w:pPr>
            <w:r>
              <w:rPr>
                <w:rFonts w:ascii="Arial" w:cs="Arial" w:eastAsia="Arial" w:hAnsi="Arial"/>
                <w:sz w:val="16"/>
                <w:szCs w:val="16"/>
                <w:b w:val="1"/>
                <w:bCs w:val="1"/>
                <w:color w:val="auto"/>
              </w:rPr>
              <w:t>Adjusted EBITDA Margin, Adjusted EBIT and Adjusted</w:t>
            </w: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46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EBIT Margin</w:t>
            </w:r>
          </w:p>
        </w:tc>
        <w:tc>
          <w:tcPr>
            <w:tcW w:w="36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36"/>
        </w:trPr>
        <w:tc>
          <w:tcPr>
            <w:tcW w:w="4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(dollars in thousands)</w:t>
            </w: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130,223</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111,630</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410,021</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315,762</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14,488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4,614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21,752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6,411</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Interest income</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(16,663)</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(17,929)</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(59,234)</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(46,445)</w:t>
            </w:r>
          </w:p>
        </w:tc>
        <w:tc>
          <w:tcPr>
            <w:tcW w:w="0" w:type="dxa"/>
            <w:vAlign w:val="bottom"/>
          </w:tcPr>
          <w:p>
            <w:pPr>
              <w:spacing w:after="0"/>
              <w:rPr>
                <w:sz w:val="1"/>
                <w:szCs w:val="1"/>
                <w:color w:val="auto"/>
              </w:rPr>
            </w:pPr>
          </w:p>
        </w:tc>
      </w:tr>
      <w:tr>
        <w:trPr>
          <w:trHeight w:val="23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1,446</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464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3,706</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1,380</w:t>
            </w:r>
          </w:p>
        </w:tc>
        <w:tc>
          <w:tcPr>
            <w:tcW w:w="0" w:type="dxa"/>
            <w:vAlign w:val="bottom"/>
          </w:tcPr>
          <w:p>
            <w:pPr>
              <w:spacing w:after="0"/>
              <w:rPr>
                <w:sz w:val="1"/>
                <w:szCs w:val="1"/>
                <w:color w:val="auto"/>
              </w:rPr>
            </w:pPr>
          </w:p>
        </w:tc>
      </w:tr>
      <w:tr>
        <w:trPr>
          <w:trHeight w:val="251"/>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57,872</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46,559</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157,145</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137,850</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3,681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5,395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43,450</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28,666</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134,135</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90,920</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4,459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(6,076)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2,097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(4,242)</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870</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870</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68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 (income) loss, net</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D5DCE4"/>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1,907</w:t>
            </w:r>
          </w:p>
        </w:tc>
        <w:tc>
          <w:tcPr>
            <w:tcW w:w="80" w:type="dxa"/>
            <w:vAlign w:val="bottom"/>
            <w:tcBorders>
              <w:bottom w:val="single" w:sz="8" w:color="D5DCE4"/>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D5DCE4"/>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68"/>
        </w:trPr>
        <w:tc>
          <w:tcPr>
            <w:tcW w:w="468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239,816</w:t>
            </w:r>
          </w:p>
        </w:tc>
        <w:tc>
          <w:tcPr>
            <w:tcW w:w="80" w:type="dxa"/>
            <w:vAlign w:val="bottom"/>
            <w:tcBorders>
              <w:bottom w:val="single" w:sz="8" w:color="D5DCE4"/>
            </w:tcBorders>
            <w:shd w:val="clear" w:color="auto" w:fill="D5DCE4"/>
          </w:tcPr>
          <w:p>
            <w:pPr>
              <w:spacing w:after="0"/>
              <w:rPr>
                <w:sz w:val="22"/>
                <w:szCs w:val="22"/>
                <w:color w:val="auto"/>
              </w:rPr>
            </w:pPr>
          </w:p>
        </w:tc>
        <w:tc>
          <w:tcPr>
            <w:tcW w:w="560" w:type="dxa"/>
            <w:vAlign w:val="bottom"/>
            <w:tcBorders>
              <w:bottom w:val="single" w:sz="8" w:color="auto"/>
            </w:tcBorders>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170,360</w:t>
            </w:r>
          </w:p>
        </w:tc>
        <w:tc>
          <w:tcPr>
            <w:tcW w:w="80" w:type="dxa"/>
            <w:vAlign w:val="bottom"/>
            <w:tcBorders>
              <w:bottom w:val="single" w:sz="8" w:color="D5DCE4"/>
            </w:tcBorders>
            <w:shd w:val="clear" w:color="auto" w:fill="D5DCE4"/>
          </w:tcPr>
          <w:p>
            <w:pPr>
              <w:spacing w:after="0"/>
              <w:rPr>
                <w:sz w:val="22"/>
                <w:szCs w:val="22"/>
                <w:color w:val="auto"/>
              </w:rPr>
            </w:pPr>
          </w:p>
        </w:tc>
        <w:tc>
          <w:tcPr>
            <w:tcW w:w="360" w:type="dxa"/>
            <w:vAlign w:val="bottom"/>
            <w:tcBorders>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675,877</w:t>
            </w:r>
          </w:p>
        </w:tc>
        <w:tc>
          <w:tcPr>
            <w:tcW w:w="80" w:type="dxa"/>
            <w:vAlign w:val="bottom"/>
            <w:tcBorders>
              <w:bottom w:val="single" w:sz="8" w:color="D5DCE4"/>
            </w:tcBorders>
            <w:shd w:val="clear" w:color="auto" w:fill="D5DCE4"/>
          </w:tcPr>
          <w:p>
            <w:pPr>
              <w:spacing w:after="0"/>
              <w:rPr>
                <w:sz w:val="22"/>
                <w:szCs w:val="22"/>
                <w:color w:val="auto"/>
              </w:rPr>
            </w:pPr>
          </w:p>
        </w:tc>
        <w:tc>
          <w:tcPr>
            <w:tcW w:w="560" w:type="dxa"/>
            <w:vAlign w:val="bottom"/>
            <w:tcBorders>
              <w:bottom w:val="single" w:sz="8" w:color="auto"/>
            </w:tcBorders>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505,618</w:t>
            </w:r>
          </w:p>
        </w:tc>
        <w:tc>
          <w:tcPr>
            <w:tcW w:w="0" w:type="dxa"/>
            <w:vAlign w:val="bottom"/>
          </w:tcPr>
          <w:p>
            <w:pPr>
              <w:spacing w:after="0"/>
              <w:rPr>
                <w:sz w:val="1"/>
                <w:szCs w:val="1"/>
                <w:color w:val="auto"/>
              </w:rPr>
            </w:pPr>
          </w:p>
        </w:tc>
      </w:tr>
      <w:tr>
        <w:trPr>
          <w:trHeight w:val="20"/>
        </w:trPr>
        <w:tc>
          <w:tcPr>
            <w:tcW w:w="46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6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6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Less: Depreciation and amortization</w:t>
            </w:r>
          </w:p>
        </w:tc>
        <w:tc>
          <w:tcPr>
            <w:tcW w:w="3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(57,872)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(46,559)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(157,145)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(137,850)</w:t>
            </w:r>
          </w:p>
        </w:tc>
        <w:tc>
          <w:tcPr>
            <w:tcW w:w="0" w:type="dxa"/>
            <w:vAlign w:val="bottom"/>
          </w:tcPr>
          <w:p>
            <w:pPr>
              <w:spacing w:after="0"/>
              <w:rPr>
                <w:sz w:val="1"/>
                <w:szCs w:val="1"/>
                <w:color w:val="auto"/>
              </w:rPr>
            </w:pPr>
          </w:p>
        </w:tc>
      </w:tr>
      <w:tr>
        <w:trPr>
          <w:trHeight w:val="18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Add: D&amp;A related to acquisitions and the Refinitiv Transaction</w:t>
            </w:r>
          </w:p>
        </w:tc>
        <w:tc>
          <w:tcPr>
            <w:tcW w:w="360" w:type="dxa"/>
            <w:vAlign w:val="bottom"/>
            <w:shd w:val="clear" w:color="auto" w:fill="D5DCE4"/>
          </w:tcPr>
          <w:p>
            <w:pPr>
              <w:spacing w:after="0"/>
              <w:rPr>
                <w:sz w:val="15"/>
                <w:szCs w:val="15"/>
                <w:color w:val="auto"/>
              </w:rPr>
            </w:pPr>
          </w:p>
        </w:tc>
        <w:tc>
          <w:tcPr>
            <w:tcW w:w="12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41,949</w:t>
            </w:r>
          </w:p>
        </w:tc>
        <w:tc>
          <w:tcPr>
            <w:tcW w:w="80" w:type="dxa"/>
            <w:vAlign w:val="bottom"/>
            <w:shd w:val="clear" w:color="auto" w:fill="D5DCE4"/>
          </w:tcPr>
          <w:p>
            <w:pPr>
              <w:spacing w:after="0"/>
              <w:rPr>
                <w:sz w:val="15"/>
                <w:szCs w:val="15"/>
                <w:color w:val="auto"/>
              </w:rPr>
            </w:pPr>
          </w:p>
        </w:tc>
        <w:tc>
          <w:tcPr>
            <w:tcW w:w="560" w:type="dxa"/>
            <w:vAlign w:val="bottom"/>
            <w:shd w:val="clear" w:color="auto" w:fill="D5DCE4"/>
          </w:tcPr>
          <w:p>
            <w:pPr>
              <w:spacing w:after="0"/>
              <w:rPr>
                <w:sz w:val="15"/>
                <w:szCs w:val="15"/>
                <w:color w:val="auto"/>
              </w:rPr>
            </w:pPr>
          </w:p>
        </w:tc>
        <w:tc>
          <w:tcPr>
            <w:tcW w:w="10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31,971</w:t>
            </w:r>
          </w:p>
        </w:tc>
        <w:tc>
          <w:tcPr>
            <w:tcW w:w="80" w:type="dxa"/>
            <w:vAlign w:val="bottom"/>
            <w:shd w:val="clear" w:color="auto" w:fill="D5DCE4"/>
          </w:tcPr>
          <w:p>
            <w:pPr>
              <w:spacing w:after="0"/>
              <w:rPr>
                <w:sz w:val="15"/>
                <w:szCs w:val="15"/>
                <w:color w:val="auto"/>
              </w:rPr>
            </w:pPr>
          </w:p>
        </w:tc>
        <w:tc>
          <w:tcPr>
            <w:tcW w:w="360" w:type="dxa"/>
            <w:vAlign w:val="bottom"/>
            <w:shd w:val="clear" w:color="auto" w:fill="D5DCE4"/>
          </w:tcPr>
          <w:p>
            <w:pPr>
              <w:spacing w:after="0"/>
              <w:rPr>
                <w:sz w:val="15"/>
                <w:szCs w:val="15"/>
                <w:color w:val="auto"/>
              </w:rPr>
            </w:pPr>
          </w:p>
        </w:tc>
        <w:tc>
          <w:tcPr>
            <w:tcW w:w="12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111,031</w:t>
            </w:r>
          </w:p>
        </w:tc>
        <w:tc>
          <w:tcPr>
            <w:tcW w:w="80" w:type="dxa"/>
            <w:vAlign w:val="bottom"/>
            <w:shd w:val="clear" w:color="auto" w:fill="D5DCE4"/>
          </w:tcPr>
          <w:p>
            <w:pPr>
              <w:spacing w:after="0"/>
              <w:rPr>
                <w:sz w:val="15"/>
                <w:szCs w:val="15"/>
                <w:color w:val="auto"/>
              </w:rPr>
            </w:pPr>
          </w:p>
        </w:tc>
        <w:tc>
          <w:tcPr>
            <w:tcW w:w="560" w:type="dxa"/>
            <w:vAlign w:val="bottom"/>
            <w:shd w:val="clear" w:color="auto" w:fill="D5DCE4"/>
          </w:tcPr>
          <w:p>
            <w:pPr>
              <w:spacing w:after="0"/>
              <w:rPr>
                <w:sz w:val="15"/>
                <w:szCs w:val="15"/>
                <w:color w:val="auto"/>
              </w:rPr>
            </w:pPr>
          </w:p>
        </w:tc>
        <w:tc>
          <w:tcPr>
            <w:tcW w:w="10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95,217</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D5DCE4"/>
            </w:tcBorders>
            <w:shd w:val="clear" w:color="auto" w:fill="D5DCE4"/>
          </w:tcPr>
          <w:p>
            <w:pPr>
              <w:spacing w:after="0"/>
              <w:rPr>
                <w:sz w:val="17"/>
                <w:szCs w:val="17"/>
                <w:color w:val="auto"/>
              </w:rPr>
            </w:pPr>
          </w:p>
        </w:tc>
        <w:tc>
          <w:tcPr>
            <w:tcW w:w="360" w:type="dxa"/>
            <w:vAlign w:val="bottom"/>
            <w:tcBorders>
              <w:bottom w:val="single" w:sz="8" w:color="D5DCE4"/>
            </w:tcBorders>
            <w:shd w:val="clear" w:color="auto" w:fill="D5DCE4"/>
          </w:tcPr>
          <w:p>
            <w:pPr>
              <w:spacing w:after="0"/>
              <w:rPr>
                <w:sz w:val="17"/>
                <w:szCs w:val="17"/>
                <w:color w:val="auto"/>
              </w:rPr>
            </w:pPr>
          </w:p>
        </w:tc>
        <w:tc>
          <w:tcPr>
            <w:tcW w:w="12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560" w:type="dxa"/>
            <w:vAlign w:val="bottom"/>
            <w:tcBorders>
              <w:bottom w:val="single" w:sz="8" w:color="D5DCE4"/>
            </w:tcBorders>
            <w:shd w:val="clear" w:color="auto" w:fill="D5DCE4"/>
          </w:tcPr>
          <w:p>
            <w:pPr>
              <w:spacing w:after="0"/>
              <w:rPr>
                <w:sz w:val="17"/>
                <w:szCs w:val="17"/>
                <w:color w:val="auto"/>
              </w:rPr>
            </w:pPr>
          </w:p>
        </w:tc>
        <w:tc>
          <w:tcPr>
            <w:tcW w:w="10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360" w:type="dxa"/>
            <w:vAlign w:val="bottom"/>
            <w:tcBorders>
              <w:bottom w:val="single" w:sz="8" w:color="D5DCE4"/>
            </w:tcBorders>
            <w:shd w:val="clear" w:color="auto" w:fill="D5DCE4"/>
          </w:tcPr>
          <w:p>
            <w:pPr>
              <w:spacing w:after="0"/>
              <w:rPr>
                <w:sz w:val="17"/>
                <w:szCs w:val="17"/>
                <w:color w:val="auto"/>
              </w:rPr>
            </w:pPr>
          </w:p>
        </w:tc>
        <w:tc>
          <w:tcPr>
            <w:tcW w:w="12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560" w:type="dxa"/>
            <w:vAlign w:val="bottom"/>
            <w:tcBorders>
              <w:bottom w:val="single" w:sz="8" w:color="D5DCE4"/>
            </w:tcBorders>
            <w:shd w:val="clear" w:color="auto" w:fill="D5DCE4"/>
          </w:tcPr>
          <w:p>
            <w:pPr>
              <w:spacing w:after="0"/>
              <w:rPr>
                <w:sz w:val="17"/>
                <w:szCs w:val="17"/>
                <w:color w:val="auto"/>
              </w:rPr>
            </w:pPr>
          </w:p>
        </w:tc>
        <w:tc>
          <w:tcPr>
            <w:tcW w:w="1020" w:type="dxa"/>
            <w:vAlign w:val="bottom"/>
            <w:tcBorders>
              <w:bottom w:val="single" w:sz="8" w:color="D5DCE4"/>
            </w:tcBorders>
            <w:vMerge w:val="continue"/>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Adjusted EBIT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223,893</w:t>
            </w:r>
          </w:p>
        </w:tc>
        <w:tc>
          <w:tcPr>
            <w:tcW w:w="8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155,772</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629,763</w:t>
            </w:r>
          </w:p>
        </w:tc>
        <w:tc>
          <w:tcPr>
            <w:tcW w:w="8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462,985</w:t>
            </w:r>
          </w:p>
        </w:tc>
        <w:tc>
          <w:tcPr>
            <w:tcW w:w="0" w:type="dxa"/>
            <w:vAlign w:val="bottom"/>
          </w:tcPr>
          <w:p>
            <w:pPr>
              <w:spacing w:after="0"/>
              <w:rPr>
                <w:sz w:val="1"/>
                <w:szCs w:val="1"/>
                <w:color w:val="auto"/>
              </w:rPr>
            </w:pPr>
          </w:p>
        </w:tc>
      </w:tr>
      <w:tr>
        <w:trPr>
          <w:trHeight w:val="20"/>
        </w:trPr>
        <w:tc>
          <w:tcPr>
            <w:tcW w:w="46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gridSpan w:val="2"/>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Net income margin </w:t>
            </w:r>
            <w:r>
              <w:rPr>
                <w:rFonts w:ascii="Arial" w:cs="Arial" w:eastAsia="Arial" w:hAnsi="Arial"/>
                <w:sz w:val="21"/>
                <w:szCs w:val="21"/>
                <w:color w:val="auto"/>
                <w:vertAlign w:val="superscript"/>
              </w:rPr>
              <w:t>(6)</w:t>
            </w: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29.0 %</w:t>
            </w:r>
          </w:p>
        </w:tc>
        <w:tc>
          <w:tcPr>
            <w:tcW w:w="80" w:type="dxa"/>
            <w:vAlign w:val="bottom"/>
            <w:shd w:val="clear" w:color="auto" w:fill="D5DCE4"/>
          </w:tcPr>
          <w:p>
            <w:pPr>
              <w:spacing w:after="0"/>
              <w:rPr>
                <w:sz w:val="20"/>
                <w:szCs w:val="20"/>
                <w:color w:val="auto"/>
              </w:rPr>
            </w:pPr>
          </w:p>
        </w:tc>
        <w:tc>
          <w:tcPr>
            <w:tcW w:w="56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34.0 %</w:t>
            </w:r>
          </w:p>
        </w:tc>
        <w:tc>
          <w:tcPr>
            <w:tcW w:w="80" w:type="dxa"/>
            <w:vAlign w:val="bottom"/>
            <w:shd w:val="clear" w:color="auto" w:fill="D5DCE4"/>
          </w:tcPr>
          <w:p>
            <w:pPr>
              <w:spacing w:after="0"/>
              <w:rPr>
                <w:sz w:val="20"/>
                <w:szCs w:val="20"/>
                <w:color w:val="auto"/>
              </w:rPr>
            </w:pP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32.5 %</w:t>
            </w:r>
          </w:p>
        </w:tc>
        <w:tc>
          <w:tcPr>
            <w:tcW w:w="80" w:type="dxa"/>
            <w:vAlign w:val="bottom"/>
            <w:shd w:val="clear" w:color="auto" w:fill="D5DCE4"/>
          </w:tcPr>
          <w:p>
            <w:pPr>
              <w:spacing w:after="0"/>
              <w:rPr>
                <w:sz w:val="20"/>
                <w:szCs w:val="20"/>
                <w:color w:val="auto"/>
              </w:rPr>
            </w:pPr>
          </w:p>
        </w:tc>
        <w:tc>
          <w:tcPr>
            <w:tcW w:w="56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32.6 %</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53.4 %</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51.9 %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53.5 %</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52.2 %</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49.9 %</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47.4 %</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49.9 %</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47.8 %</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40" w:right="240" w:hanging="414"/>
        <w:spacing w:after="0" w:line="183" w:lineRule="auto"/>
        <w:tabs>
          <w:tab w:leader="none" w:pos="440" w:val="left"/>
        </w:tabs>
        <w:numPr>
          <w:ilvl w:val="0"/>
          <w:numId w:val="9"/>
        </w:numPr>
        <w:rPr>
          <w:rFonts w:ascii="Arial" w:cs="Arial" w:eastAsia="Arial" w:hAnsi="Arial"/>
          <w:sz w:val="23"/>
          <w:szCs w:val="23"/>
          <w:color w:val="auto"/>
          <w:vertAlign w:val="subscript"/>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30" w:lineRule="exact"/>
        <w:rPr>
          <w:rFonts w:ascii="Arial" w:cs="Arial" w:eastAsia="Arial" w:hAnsi="Arial"/>
          <w:sz w:val="23"/>
          <w:szCs w:val="23"/>
          <w:color w:val="auto"/>
          <w:vertAlign w:val="subscript"/>
        </w:rPr>
      </w:pPr>
    </w:p>
    <w:p>
      <w:pPr>
        <w:jc w:val="both"/>
        <w:ind w:left="440" w:right="420" w:hanging="414"/>
        <w:spacing w:after="0" w:line="281"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three and nine months ended September 30, 2024, this adjustment also includes $2.4 million and $2.7 million, respectively, of non-cash accelerated stock-based compensation</w:t>
      </w:r>
    </w:p>
    <w:p>
      <w:pPr>
        <w:ind w:left="440" w:right="560"/>
        <w:spacing w:after="0" w:line="293" w:lineRule="auto"/>
        <w:rPr>
          <w:rFonts w:ascii="Arial" w:cs="Arial" w:eastAsia="Arial" w:hAnsi="Arial"/>
          <w:sz w:val="12"/>
          <w:szCs w:val="12"/>
          <w:color w:val="auto"/>
        </w:rPr>
      </w:pPr>
      <w:r>
        <w:rPr>
          <w:rFonts w:ascii="Arial" w:cs="Arial" w:eastAsia="Arial" w:hAnsi="Arial"/>
          <w:sz w:val="12"/>
          <w:szCs w:val="12"/>
          <w:color w:val="auto"/>
        </w:rPr>
        <w:t>expense and related payroll taxes associated with our former President and $0.4 million and $0.4 million, respectively, of non-cash stock-based compensation expense and related payroll taxes associated with RSAs and RSUs issued to help retain key employees during the integration of ICD.</w:t>
      </w:r>
    </w:p>
    <w:p>
      <w:pPr>
        <w:ind w:left="440" w:right="14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440" w:right="8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440" w:right="36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440" w:hanging="414"/>
        <w:spacing w:after="0"/>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Net income margin, Adjusted EBITDA margin and Adjusted EBIT margin are defined as net income, Adjusted EBITDA and Adjusted EBIT, respectively, divided by revenue for the applicable period.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line="314" w:lineRule="auto"/>
        <w:rPr>
          <w:sz w:val="20"/>
          <w:szCs w:val="20"/>
          <w:color w:val="auto"/>
        </w:rPr>
      </w:pPr>
      <w:r>
        <w:rPr>
          <w:rFonts w:ascii="Arial" w:cs="Arial" w:eastAsia="Arial" w:hAnsi="Arial"/>
          <w:sz w:val="16"/>
          <w:szCs w:val="16"/>
          <w:b w:val="1"/>
          <w:bCs w:val="1"/>
          <w:color w:val="auto"/>
        </w:rPr>
        <w:t>Reconciliation of Net Income to Adjusted Net Income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120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1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080" w:type="dxa"/>
            <w:vAlign w:val="bottom"/>
            <w:gridSpan w:val="2"/>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47"/>
        </w:trPr>
        <w:tc>
          <w:tcPr>
            <w:tcW w:w="960" w:type="dxa"/>
            <w:vAlign w:val="bottom"/>
          </w:tcPr>
          <w:p>
            <w:pPr>
              <w:spacing w:after="0"/>
              <w:rPr>
                <w:sz w:val="21"/>
                <w:szCs w:val="21"/>
                <w:color w:val="auto"/>
              </w:rPr>
            </w:pPr>
          </w:p>
        </w:tc>
        <w:tc>
          <w:tcPr>
            <w:tcW w:w="2200" w:type="dxa"/>
            <w:vAlign w:val="bottom"/>
            <w:gridSpan w:val="2"/>
          </w:tcPr>
          <w:p>
            <w:pPr>
              <w:jc w:val="center"/>
              <w:ind w:right="1040"/>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21"/>
                <w:szCs w:val="21"/>
                <w:color w:val="auto"/>
              </w:rPr>
            </w:pPr>
          </w:p>
        </w:tc>
        <w:tc>
          <w:tcPr>
            <w:tcW w:w="2120" w:type="dxa"/>
            <w:vAlign w:val="bottom"/>
          </w:tcPr>
          <w:p>
            <w:pPr>
              <w:jc w:val="center"/>
              <w:ind w:right="879"/>
              <w:spacing w:after="0"/>
              <w:rPr>
                <w:sz w:val="20"/>
                <w:szCs w:val="20"/>
                <w:color w:val="auto"/>
              </w:rPr>
            </w:pPr>
            <w:r>
              <w:rPr>
                <w:rFonts w:ascii="Arial" w:cs="Arial" w:eastAsia="Arial" w:hAnsi="Arial"/>
                <w:sz w:val="16"/>
                <w:szCs w:val="16"/>
                <w:b w:val="1"/>
                <w:bCs w:val="1"/>
                <w:color w:val="auto"/>
              </w:rPr>
              <w:t>September 30,</w:t>
            </w:r>
          </w:p>
        </w:tc>
      </w:tr>
      <w:tr>
        <w:trPr>
          <w:trHeight w:val="233"/>
        </w:trPr>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1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1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9604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59" w:lineRule="exact"/>
        <w:rPr>
          <w:sz w:val="20"/>
          <w:szCs w:val="20"/>
          <w:color w:val="auto"/>
        </w:rPr>
      </w:pPr>
    </w:p>
    <w:p>
      <w:pPr>
        <w:sectPr>
          <w:pgSz w:w="11900" w:h="16838" w:orient="portrait"/>
          <w:cols w:equalWidth="0" w:num="2">
            <w:col w:w="4440" w:space="560"/>
            <w:col w:w="624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255"/>
        </w:trPr>
        <w:tc>
          <w:tcPr>
            <w:tcW w:w="50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0.53</w:t>
            </w:r>
          </w:p>
        </w:tc>
        <w:tc>
          <w:tcPr>
            <w:tcW w:w="80" w:type="dxa"/>
            <w:vAlign w:val="bottom"/>
            <w:tcBorders>
              <w:bottom w:val="single" w:sz="8" w:color="D5DCE4"/>
            </w:tcBorders>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0.46</w:t>
            </w:r>
          </w:p>
        </w:tc>
        <w:tc>
          <w:tcPr>
            <w:tcW w:w="80" w:type="dxa"/>
            <w:vAlign w:val="bottom"/>
            <w:tcBorders>
              <w:bottom w:val="single" w:sz="8" w:color="D5DCE4"/>
            </w:tcBorders>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1.67</w:t>
            </w:r>
          </w:p>
        </w:tc>
        <w:tc>
          <w:tcPr>
            <w:tcW w:w="80" w:type="dxa"/>
            <w:vAlign w:val="bottom"/>
            <w:tcBorders>
              <w:bottom w:val="single" w:sz="8" w:color="D5DCE4"/>
            </w:tcBorders>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1.30</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r>
      <w:tr>
        <w:trPr>
          <w:trHeight w:val="209"/>
        </w:trPr>
        <w:tc>
          <w:tcPr>
            <w:tcW w:w="5000" w:type="dxa"/>
            <w:vAlign w:val="bottom"/>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113,916</w:t>
            </w:r>
          </w:p>
        </w:tc>
        <w:tc>
          <w:tcPr>
            <w:tcW w:w="8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98,614</w:t>
            </w:r>
          </w:p>
        </w:tc>
        <w:tc>
          <w:tcPr>
            <w:tcW w:w="8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359,297</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275,552</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16,307</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13,016</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50,724</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40,210</w:t>
            </w: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130,223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111,630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410,021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315,762</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43,450</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28,666</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134,135</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90,920</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(2)</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14,488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4,614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21,752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6,411</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41,949</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31,971</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111,031</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95,217</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3,681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5,395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1,960</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4,459</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(6,076)</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2,097</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(4,242)</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Other (income) loss, net</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1,907</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2,022</w:t>
            </w: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239,110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173,237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685,291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508,050</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(59,778)</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(42,443)</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(171,323)</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(124,472)</w:t>
            </w:r>
          </w:p>
        </w:tc>
      </w:tr>
      <w:tr>
        <w:trPr>
          <w:trHeight w:val="236"/>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179,332</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130,794</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513,968</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383,578</w:t>
            </w:r>
          </w:p>
        </w:tc>
      </w:tr>
      <w:tr>
        <w:trPr>
          <w:trHeight w:val="20"/>
        </w:trPr>
        <w:tc>
          <w:tcPr>
            <w:tcW w:w="500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2"/>
        </w:trPr>
        <w:tc>
          <w:tcPr>
            <w:tcW w:w="5000" w:type="dxa"/>
            <w:vAlign w:val="bottom"/>
            <w:tcBorders>
              <w:bottom w:val="single" w:sz="8" w:color="D5DCE4"/>
            </w:tcBorders>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0.75</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0.55</w:t>
            </w:r>
          </w:p>
        </w:tc>
        <w:tc>
          <w:tcPr>
            <w:tcW w:w="80" w:type="dxa"/>
            <w:vAlign w:val="bottom"/>
            <w:tcBorders>
              <w:bottom w:val="single" w:sz="8" w:color="D5DCE4"/>
            </w:tcBorders>
            <w:shd w:val="clear" w:color="auto" w:fill="D5DCE4"/>
          </w:tcPr>
          <w:p>
            <w:pPr>
              <w:spacing w:after="0"/>
              <w:rPr>
                <w:sz w:val="22"/>
                <w:szCs w:val="22"/>
                <w:color w:val="auto"/>
              </w:rPr>
            </w:pPr>
          </w:p>
        </w:tc>
        <w:tc>
          <w:tcPr>
            <w:tcW w:w="44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2.16</w:t>
            </w:r>
          </w:p>
        </w:tc>
        <w:tc>
          <w:tcPr>
            <w:tcW w:w="80" w:type="dxa"/>
            <w:vAlign w:val="bottom"/>
            <w:tcBorders>
              <w:bottom w:val="single" w:sz="8" w:color="D5DCE4"/>
            </w:tcBorders>
            <w:shd w:val="clear" w:color="auto" w:fill="D5DCE4"/>
          </w:tcPr>
          <w:p>
            <w:pPr>
              <w:spacing w:after="0"/>
              <w:rPr>
                <w:sz w:val="22"/>
                <w:szCs w:val="22"/>
                <w:color w:val="auto"/>
              </w:rPr>
            </w:pPr>
          </w:p>
        </w:tc>
        <w:tc>
          <w:tcPr>
            <w:tcW w:w="440" w:type="dxa"/>
            <w:vAlign w:val="bottom"/>
            <w:tcBorders>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1.62</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type w:val="continuous"/>
        </w:sectPr>
      </w:pPr>
    </w:p>
    <w:p>
      <w:pPr>
        <w:spacing w:after="0" w:line="65"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773" w:right="339" w:bottom="1440" w:gutter="0" w:footer="0" w:header="0"/>
          <w:type w:val="continuous"/>
        </w:sectPr>
      </w:pPr>
    </w:p>
    <w:bookmarkStart w:id="8" w:name="page9"/>
    <w:bookmarkEnd w:id="8"/>
    <w:p>
      <w:pPr>
        <w:ind w:left="440" w:right="240" w:hanging="414"/>
        <w:spacing w:after="0" w:line="293"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ind w:left="440" w:right="260" w:hanging="414"/>
        <w:spacing w:after="0" w:line="293"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440" w:right="380" w:hanging="414"/>
        <w:spacing w:after="0" w:line="293"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440" w:right="440" w:hanging="414"/>
        <w:spacing w:after="0" w:line="262"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three and nine months ended September 30, 2024, this adjustment also includes $2.4 million and $2.7 million, respectively, of non-cash accelerated stock-based compensation expense and related payroll taxes associated with our former President and $0.4 million and $0.4 million, respectively, of non-cash stock-based compensation expense and related payroll taxes associated with RSAs and RSUs issued to help retain key employees during the integration of ICD.</w:t>
      </w:r>
    </w:p>
    <w:p>
      <w:pPr>
        <w:spacing w:after="0" w:line="31" w:lineRule="exact"/>
        <w:rPr>
          <w:rFonts w:ascii="Arial" w:cs="Arial" w:eastAsia="Arial" w:hAnsi="Arial"/>
          <w:sz w:val="12"/>
          <w:szCs w:val="12"/>
          <w:color w:val="auto"/>
        </w:rPr>
      </w:pPr>
    </w:p>
    <w:p>
      <w:pPr>
        <w:ind w:left="440" w:right="160" w:hanging="414"/>
        <w:spacing w:after="0" w:line="293"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440" w:right="100" w:hanging="414"/>
        <w:spacing w:after="0" w:line="271"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spacing w:after="0" w:line="93" w:lineRule="exact"/>
        <w:rPr>
          <w:rFonts w:ascii="Arial" w:cs="Arial" w:eastAsia="Arial" w:hAnsi="Arial"/>
          <w:sz w:val="12"/>
          <w:szCs w:val="12"/>
          <w:color w:val="auto"/>
        </w:rPr>
      </w:pPr>
    </w:p>
    <w:p>
      <w:pPr>
        <w:ind w:left="440" w:right="120" w:hanging="414"/>
        <w:spacing w:after="0" w:line="303"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25.0% applied to Adjusted Net Income before income taxes for the three and nine months ended September 30, 2024 and 24.5% for the three and nine months ended September 30, 2023</w:t>
      </w:r>
      <w:r>
        <w:rPr>
          <w:rFonts w:ascii="Arial" w:cs="Arial" w:eastAsia="Arial" w:hAnsi="Arial"/>
          <w:sz w:val="14"/>
          <w:szCs w:val="14"/>
          <w:color w:val="auto"/>
        </w:rPr>
        <w:t>.</w:t>
      </w:r>
    </w:p>
    <w:p>
      <w:pPr>
        <w:ind w:left="440" w:right="100" w:hanging="414"/>
        <w:spacing w:after="0" w:line="271"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and Adjusted Diluted EPS” below.</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ectPr>
          <w:pgSz w:w="11900" w:h="16838" w:orient="portrait"/>
          <w:cols w:equalWidth="0" w:num="1">
            <w:col w:w="11240"/>
          </w:cols>
          <w:pgMar w:left="320" w:top="936" w:right="339" w:bottom="1440" w:gutter="0" w:footer="0" w:header="0"/>
        </w:sectPr>
      </w:pPr>
    </w:p>
    <w:p>
      <w:pPr>
        <w:spacing w:after="0" w:line="172" w:lineRule="exact"/>
        <w:rPr>
          <w:sz w:val="20"/>
          <w:szCs w:val="20"/>
          <w:color w:val="auto"/>
        </w:rPr>
      </w:pPr>
    </w:p>
    <w:p>
      <w:pPr>
        <w:ind w:left="20" w:right="280"/>
        <w:spacing w:after="0" w:line="280" w:lineRule="auto"/>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 Shares Outstanding and Adjusted Diluted EPS</w:t>
      </w:r>
    </w:p>
    <w:p>
      <w:pPr>
        <w:spacing w:after="0" w:line="4" w:lineRule="exact"/>
        <w:rPr>
          <w:sz w:val="20"/>
          <w:szCs w:val="20"/>
          <w:color w:val="auto"/>
        </w:rPr>
      </w:pPr>
    </w:p>
    <w:p>
      <w:pPr>
        <w:ind w:left="20" w:right="60"/>
        <w:spacing w:after="0" w:line="286" w:lineRule="auto"/>
        <w:rPr>
          <w:sz w:val="20"/>
          <w:szCs w:val="20"/>
          <w:color w:val="auto"/>
        </w:rPr>
      </w:pPr>
      <w:r>
        <w:rPr>
          <w:rFonts w:ascii="Arial" w:cs="Arial" w:eastAsia="Arial" w:hAnsi="Arial"/>
          <w:sz w:val="16"/>
          <w:szCs w:val="16"/>
          <w:color w:val="auto"/>
        </w:rPr>
        <w:t>Diluted weighted average shares of Class A and Class B common stock outstanding</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p>
      <w:pPr>
        <w:spacing w:after="0" w:line="18" w:lineRule="exact"/>
        <w:rPr>
          <w:sz w:val="20"/>
          <w:szCs w:val="20"/>
          <w:color w:val="auto"/>
        </w:rPr>
      </w:pPr>
    </w:p>
    <w:p>
      <w:pPr>
        <w:ind w:left="20"/>
        <w:spacing w:after="0" w:line="237" w:lineRule="auto"/>
        <w:rPr>
          <w:sz w:val="20"/>
          <w:szCs w:val="20"/>
          <w:color w:val="auto"/>
        </w:rPr>
      </w:pPr>
      <w:r>
        <w:rPr>
          <w:rFonts w:ascii="Arial" w:cs="Arial" w:eastAsia="Arial" w:hAnsi="Arial"/>
          <w:sz w:val="16"/>
          <w:szCs w:val="16"/>
          <w:color w:val="auto"/>
        </w:rPr>
        <w:t xml:space="preserve">Assumed exchange of LLC Interests for shares of Class A or Class B common stock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1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310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47"/>
        </w:trPr>
        <w:tc>
          <w:tcPr>
            <w:tcW w:w="212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r>
      <w:tr>
        <w:trPr>
          <w:trHeight w:val="237"/>
        </w:trPr>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427"/>
        </w:trPr>
        <w:tc>
          <w:tcPr>
            <w:tcW w:w="1500" w:type="dxa"/>
            <w:vAlign w:val="bottom"/>
          </w:tcPr>
          <w:p>
            <w:pPr>
              <w:jc w:val="right"/>
              <w:spacing w:after="0"/>
              <w:rPr>
                <w:sz w:val="20"/>
                <w:szCs w:val="20"/>
                <w:color w:val="auto"/>
              </w:rPr>
            </w:pPr>
            <w:r>
              <w:rPr>
                <w:rFonts w:ascii="Arial" w:cs="Arial" w:eastAsia="Arial" w:hAnsi="Arial"/>
                <w:sz w:val="16"/>
                <w:szCs w:val="16"/>
                <w:color w:val="auto"/>
              </w:rPr>
              <w:t>215,096,974</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213,491,634</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214,885,210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212,276,908</w:t>
            </w:r>
          </w:p>
        </w:tc>
      </w:tr>
      <w:tr>
        <w:trPr>
          <w:trHeight w:val="243"/>
        </w:trPr>
        <w:tc>
          <w:tcPr>
            <w:tcW w:w="1500" w:type="dxa"/>
            <w:vAlign w:val="bottom"/>
          </w:tcPr>
          <w:p>
            <w:pPr>
              <w:jc w:val="right"/>
              <w:spacing w:after="0"/>
              <w:rPr>
                <w:sz w:val="20"/>
                <w:szCs w:val="20"/>
                <w:color w:val="auto"/>
              </w:rPr>
            </w:pPr>
            <w:r>
              <w:rPr>
                <w:rFonts w:ascii="Arial" w:cs="Arial" w:eastAsia="Arial" w:hAnsi="Arial"/>
                <w:sz w:val="16"/>
                <w:szCs w:val="16"/>
                <w:color w:val="auto"/>
              </w:rPr>
              <w:t>126,903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265,681</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137,252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266,453</w:t>
            </w:r>
          </w:p>
        </w:tc>
      </w:tr>
      <w:tr>
        <w:trPr>
          <w:trHeight w:val="446"/>
        </w:trPr>
        <w:tc>
          <w:tcPr>
            <w:tcW w:w="1500" w:type="dxa"/>
            <w:vAlign w:val="bottom"/>
          </w:tcPr>
          <w:p>
            <w:pPr>
              <w:jc w:val="right"/>
              <w:spacing w:after="0"/>
              <w:rPr>
                <w:sz w:val="20"/>
                <w:szCs w:val="20"/>
                <w:color w:val="auto"/>
              </w:rPr>
            </w:pPr>
            <w:r>
              <w:rPr>
                <w:rFonts w:ascii="Arial" w:cs="Arial" w:eastAsia="Arial" w:hAnsi="Arial"/>
                <w:sz w:val="16"/>
                <w:szCs w:val="16"/>
                <w:color w:val="auto"/>
              </w:rPr>
              <w:t>23,076,235</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23,080,571</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23,077,298</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24,179,583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-272415</wp:posOffset>
            </wp:positionV>
            <wp:extent cx="71323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-718185</wp:posOffset>
            </wp:positionV>
            <wp:extent cx="71323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4820" w:space="140"/>
            <w:col w:w="6280"/>
          </w:cols>
          <w:pgMar w:left="320" w:top="936"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238,300,112</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236,837,886</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238,099,760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236,722,944</w:t>
            </w:r>
          </w:p>
        </w:tc>
      </w:tr>
      <w:tr>
        <w:trPr>
          <w:trHeight w:val="20"/>
        </w:trPr>
        <w:tc>
          <w:tcPr>
            <w:tcW w:w="496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496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179,332</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130,794</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513,968</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383,578</w:t>
            </w:r>
          </w:p>
        </w:tc>
      </w:tr>
      <w:tr>
        <w:trPr>
          <w:trHeight w:val="20"/>
        </w:trPr>
        <w:tc>
          <w:tcPr>
            <w:tcW w:w="496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Represents the weighted average of unvested stock awards and unsettled vested stock awards issued to certain retired or terminated employees that are entitled to non-forfeitable dividend equivalent</w:t>
      </w:r>
    </w:p>
    <w:p>
      <w:pPr>
        <w:spacing w:after="0" w:line="2" w:lineRule="exact"/>
        <w:rPr>
          <w:sz w:val="20"/>
          <w:szCs w:val="20"/>
          <w:color w:val="auto"/>
        </w:rPr>
      </w:pPr>
    </w:p>
    <w:p>
      <w:pPr>
        <w:ind w:left="440" w:right="220" w:hanging="414"/>
        <w:spacing w:after="0" w:line="293"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rights and are considered participating securities prior to being issued and outstanding shares of common stock in accordance with the two-class method used for purposes of calculating earnings per share.</w:t>
      </w:r>
    </w:p>
    <w:p>
      <w:pPr>
        <w:spacing w:after="0" w:line="27" w:lineRule="exact"/>
        <w:rPr>
          <w:rFonts w:ascii="Arial" w:cs="Arial" w:eastAsia="Arial" w:hAnsi="Arial"/>
          <w:sz w:val="12"/>
          <w:szCs w:val="12"/>
          <w:color w:val="auto"/>
        </w:rPr>
      </w:pPr>
    </w:p>
    <w:p>
      <w:pPr>
        <w:ind w:left="440" w:right="260" w:hanging="414"/>
        <w:spacing w:after="0" w:line="186" w:lineRule="auto"/>
        <w:tabs>
          <w:tab w:leader="none" w:pos="440" w:val="left"/>
        </w:tabs>
        <w:numPr>
          <w:ilvl w:val="0"/>
          <w:numId w:val="11"/>
        </w:numPr>
        <w:rPr>
          <w:rFonts w:ascii="Arial" w:cs="Arial" w:eastAsia="Arial" w:hAnsi="Arial"/>
          <w:sz w:val="22"/>
          <w:szCs w:val="22"/>
          <w:color w:val="auto"/>
          <w:vertAlign w:val="superscript"/>
        </w:rPr>
      </w:pPr>
      <w:r>
        <w:rPr>
          <w:rFonts w:ascii="Arial" w:cs="Arial" w:eastAsia="Arial" w:hAnsi="Arial"/>
          <w:sz w:val="11"/>
          <w:szCs w:val="11"/>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9"/>
                <w:szCs w:val="19"/>
                <w:color w:val="auto"/>
              </w:rPr>
            </w:pPr>
          </w:p>
        </w:tc>
        <w:tc>
          <w:tcPr>
            <w:tcW w:w="27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244"/>
        </w:trPr>
        <w:tc>
          <w:tcPr>
            <w:tcW w:w="4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1"/>
                <w:szCs w:val="21"/>
                <w:color w:val="auto"/>
              </w:rPr>
            </w:pPr>
          </w:p>
        </w:tc>
      </w:tr>
      <w:tr>
        <w:trPr>
          <w:trHeight w:val="239"/>
        </w:trPr>
        <w:tc>
          <w:tcPr>
            <w:tcW w:w="50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34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37"/>
        </w:trPr>
        <w:tc>
          <w:tcPr>
            <w:tcW w:w="48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(dollars in thousands)</w:t>
            </w: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47"/>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289,599</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203,619</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773,117</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604,580</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(14,488)</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(4,614)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(21,752)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(6,411)</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3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(41,949)</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(31,971)</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(111,031)</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(95,217)</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(3,681)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(5,395)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(1,960)</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34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(4,459)</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6,076</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(2,097)</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4,242</w:t>
            </w:r>
          </w:p>
        </w:tc>
      </w:tr>
      <w:tr>
        <w:trPr>
          <w:trHeight w:val="237"/>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225,022</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172,585</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632,842</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505,234</w:t>
            </w:r>
          </w:p>
        </w:tc>
      </w:tr>
      <w:tr>
        <w:trPr>
          <w:trHeight w:val="20"/>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40" w:right="240" w:hanging="414"/>
        <w:spacing w:after="0" w:line="183" w:lineRule="auto"/>
        <w:tabs>
          <w:tab w:leader="none" w:pos="440" w:val="left"/>
        </w:tabs>
        <w:numPr>
          <w:ilvl w:val="0"/>
          <w:numId w:val="12"/>
        </w:numPr>
        <w:rPr>
          <w:rFonts w:ascii="Arial" w:cs="Arial" w:eastAsia="Arial" w:hAnsi="Arial"/>
          <w:sz w:val="23"/>
          <w:szCs w:val="23"/>
          <w:color w:val="auto"/>
          <w:vertAlign w:val="subscript"/>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30" w:lineRule="exact"/>
        <w:rPr>
          <w:rFonts w:ascii="Arial" w:cs="Arial" w:eastAsia="Arial" w:hAnsi="Arial"/>
          <w:sz w:val="23"/>
          <w:szCs w:val="23"/>
          <w:color w:val="auto"/>
          <w:vertAlign w:val="subscript"/>
        </w:rPr>
      </w:pPr>
    </w:p>
    <w:p>
      <w:pPr>
        <w:ind w:left="440" w:right="360" w:hanging="414"/>
        <w:spacing w:after="0" w:line="293"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jc w:val="both"/>
        <w:ind w:left="440" w:right="420" w:hanging="414"/>
        <w:spacing w:after="0" w:line="281"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three and nine months ended September 30, 2024, this adjustment also includes $2.4 million and $2.7 million, respectively, of non-cash accelerated stock-based compensation</w:t>
      </w:r>
    </w:p>
    <w:p>
      <w:pPr>
        <w:ind w:left="440" w:right="560"/>
        <w:spacing w:after="0" w:line="271" w:lineRule="auto"/>
        <w:rPr>
          <w:rFonts w:ascii="Arial" w:cs="Arial" w:eastAsia="Arial" w:hAnsi="Arial"/>
          <w:sz w:val="12"/>
          <w:szCs w:val="12"/>
          <w:color w:val="auto"/>
        </w:rPr>
      </w:pPr>
      <w:r>
        <w:rPr>
          <w:rFonts w:ascii="Arial" w:cs="Arial" w:eastAsia="Arial" w:hAnsi="Arial"/>
          <w:sz w:val="12"/>
          <w:szCs w:val="12"/>
          <w:color w:val="auto"/>
        </w:rPr>
        <w:t>expense and related payroll taxes associated with our former President and $0.4 million and $0.4 million, respectively, of non-cash stock-based compensation expense and related payroll taxes associated with RSAs and RSUs issued to help retain key employees during the integration of ICD.</w:t>
      </w:r>
    </w:p>
    <w:p>
      <w:pPr>
        <w:spacing w:after="0" w:line="25" w:lineRule="exact"/>
        <w:rPr>
          <w:rFonts w:ascii="Arial" w:cs="Arial" w:eastAsia="Arial" w:hAnsi="Arial"/>
          <w:sz w:val="12"/>
          <w:szCs w:val="12"/>
          <w:color w:val="auto"/>
        </w:rPr>
      </w:pPr>
    </w:p>
    <w:p>
      <w:pPr>
        <w:ind w:left="440" w:right="140" w:hanging="414"/>
        <w:spacing w:after="0" w:line="294" w:lineRule="auto"/>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ectPr>
          <w:pgSz w:w="11900" w:h="16838" w:orient="portrait"/>
          <w:cols w:equalWidth="0" w:num="1">
            <w:col w:w="11240"/>
          </w:cols>
          <w:pgMar w:left="320" w:top="93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6</w:t>
      </w:r>
    </w:p>
    <w:p>
      <w:pPr>
        <w:sectPr>
          <w:pgSz w:w="11900" w:h="16838" w:orient="portrait"/>
          <w:cols w:equalWidth="0" w:num="1">
            <w:col w:w="11240"/>
          </w:cols>
          <w:pgMar w:left="320" w:top="936"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9"/>
              </w:rPr>
              <w:t>Trailing Twelve Months Ended</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1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Reconciliation of Cash Flow from Operating Activities to Free Cash Flow</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81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37"/>
        </w:trPr>
        <w:tc>
          <w:tcPr>
            <w:tcW w:w="80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gridSpan w:val="4"/>
          </w:tcPr>
          <w:p>
            <w:pPr>
              <w:jc w:val="center"/>
              <w:ind w:right="159"/>
              <w:spacing w:after="0"/>
              <w:rPr>
                <w:sz w:val="20"/>
                <w:szCs w:val="20"/>
                <w:color w:val="auto"/>
              </w:rPr>
            </w:pPr>
            <w:r>
              <w:rPr>
                <w:rFonts w:ascii="Arial" w:cs="Arial" w:eastAsia="Arial" w:hAnsi="Arial"/>
                <w:sz w:val="16"/>
                <w:szCs w:val="16"/>
                <w:b w:val="1"/>
                <w:bCs w:val="1"/>
                <w:color w:val="auto"/>
              </w:rPr>
              <w:t>(dollars in thousands)</w:t>
            </w:r>
          </w:p>
        </w:tc>
        <w:tc>
          <w:tcPr>
            <w:tcW w:w="0" w:type="dxa"/>
            <w:vAlign w:val="bottom"/>
          </w:tcPr>
          <w:p>
            <w:pPr>
              <w:spacing w:after="0"/>
              <w:rPr>
                <w:sz w:val="1"/>
                <w:szCs w:val="1"/>
                <w:color w:val="auto"/>
              </w:rPr>
            </w:pPr>
          </w:p>
        </w:tc>
      </w:tr>
      <w:tr>
        <w:trPr>
          <w:trHeight w:val="247"/>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24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860,477</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709,328</w:t>
            </w:r>
          </w:p>
        </w:tc>
        <w:tc>
          <w:tcPr>
            <w:tcW w:w="0" w:type="dxa"/>
            <w:vAlign w:val="bottom"/>
          </w:tcPr>
          <w:p>
            <w:pPr>
              <w:spacing w:after="0"/>
              <w:rPr>
                <w:sz w:val="1"/>
                <w:szCs w:val="1"/>
                <w:color w:val="auto"/>
              </w:rPr>
            </w:pPr>
          </w:p>
        </w:tc>
      </w:tr>
      <w:tr>
        <w:trPr>
          <w:trHeight w:val="235"/>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(46,312)</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(41,517)</w:t>
            </w:r>
          </w:p>
        </w:tc>
        <w:tc>
          <w:tcPr>
            <w:tcW w:w="0" w:type="dxa"/>
            <w:vAlign w:val="bottom"/>
          </w:tcPr>
          <w:p>
            <w:pPr>
              <w:spacing w:after="0"/>
              <w:rPr>
                <w:sz w:val="1"/>
                <w:szCs w:val="1"/>
                <w:color w:val="auto"/>
              </w:rPr>
            </w:pPr>
          </w:p>
        </w:tc>
      </w:tr>
      <w:tr>
        <w:trPr>
          <w:trHeight w:val="244"/>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24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(16,791)</w:t>
            </w:r>
          </w:p>
        </w:tc>
        <w:tc>
          <w:tcPr>
            <w:tcW w:w="80" w:type="dxa"/>
            <w:vAlign w:val="bottom"/>
            <w:shd w:val="clear" w:color="auto" w:fill="D5DCE4"/>
          </w:tcPr>
          <w:p>
            <w:pPr>
              <w:spacing w:after="0"/>
              <w:rPr>
                <w:sz w:val="21"/>
                <w:szCs w:val="21"/>
                <w:color w:val="auto"/>
              </w:rPr>
            </w:pPr>
          </w:p>
        </w:tc>
        <w:tc>
          <w:tcPr>
            <w:tcW w:w="56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(22,722)</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797,374</w:t>
            </w:r>
          </w:p>
        </w:tc>
        <w:tc>
          <w:tcPr>
            <w:tcW w:w="80" w:type="dxa"/>
            <w:vAlign w:val="bottom"/>
          </w:tcPr>
          <w:p>
            <w:pPr>
              <w:spacing w:after="0"/>
              <w:rPr>
                <w:sz w:val="21"/>
                <w:szCs w:val="21"/>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645,089</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980" w:type="dxa"/>
            <w:vAlign w:val="bottom"/>
            <w:gridSpan w:val="9"/>
          </w:tcPr>
          <w:p>
            <w:pPr>
              <w:jc w:val="right"/>
              <w:ind w:right="219"/>
              <w:spacing w:after="0"/>
              <w:rPr>
                <w:sz w:val="20"/>
                <w:szCs w:val="20"/>
                <w:color w:val="auto"/>
              </w:rPr>
            </w:pPr>
            <w:r>
              <w:rPr>
                <w:rFonts w:ascii="Arial" w:cs="Arial" w:eastAsia="Arial" w:hAnsi="Arial"/>
                <w:sz w:val="16"/>
                <w:szCs w:val="16"/>
                <w:b w:val="1"/>
                <w:bCs w:val="1"/>
                <w:color w:val="auto"/>
              </w:rPr>
              <w:t>(dollars in thousands, except per share amounts)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4120" w:type="dxa"/>
            <w:vAlign w:val="bottom"/>
            <w:tcBorders>
              <w:bottom w:val="single" w:sz="8" w:color="D5DCE4"/>
            </w:tcBorders>
            <w:gridSpan w:val="3"/>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540" w:type="dxa"/>
            <w:vAlign w:val="bottom"/>
            <w:tcBorders>
              <w:bottom w:val="single" w:sz="8" w:color="D5DCE4"/>
            </w:tcBorders>
            <w:shd w:val="clear" w:color="auto" w:fill="D5DCE4"/>
          </w:tcPr>
          <w:p>
            <w:pPr>
              <w:spacing w:after="0"/>
              <w:rPr>
                <w:sz w:val="19"/>
                <w:szCs w:val="19"/>
                <w:color w:val="auto"/>
              </w:rPr>
            </w:pPr>
          </w:p>
        </w:tc>
        <w:tc>
          <w:tcPr>
            <w:tcW w:w="9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540" w:type="dxa"/>
            <w:vAlign w:val="bottom"/>
            <w:tcBorders>
              <w:bottom w:val="single" w:sz="8" w:color="D5DCE4"/>
            </w:tcBorders>
            <w:shd w:val="clear" w:color="auto" w:fill="D5DCE4"/>
          </w:tcPr>
          <w:p>
            <w:pPr>
              <w:spacing w:after="0"/>
              <w:rPr>
                <w:sz w:val="19"/>
                <w:szCs w:val="19"/>
                <w:color w:val="auto"/>
              </w:rPr>
            </w:pPr>
          </w:p>
        </w:tc>
        <w:tc>
          <w:tcPr>
            <w:tcW w:w="98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113,916</w:t>
            </w:r>
          </w:p>
        </w:tc>
        <w:tc>
          <w:tcPr>
            <w:tcW w:w="8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98,614</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359,297</w:t>
            </w:r>
          </w:p>
        </w:tc>
        <w:tc>
          <w:tcPr>
            <w:tcW w:w="8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275,552</w:t>
            </w:r>
          </w:p>
        </w:tc>
        <w:tc>
          <w:tcPr>
            <w:tcW w:w="0" w:type="dxa"/>
            <w:vAlign w:val="bottom"/>
          </w:tcPr>
          <w:p>
            <w:pPr>
              <w:spacing w:after="0"/>
              <w:rPr>
                <w:sz w:val="1"/>
                <w:szCs w:val="1"/>
                <w:color w:val="auto"/>
              </w:rPr>
            </w:pPr>
          </w:p>
        </w:tc>
      </w:tr>
      <w:tr>
        <w:trPr>
          <w:trHeight w:val="223"/>
        </w:trPr>
        <w:tc>
          <w:tcPr>
            <w:tcW w:w="20" w:type="dxa"/>
            <w:vAlign w:val="bottom"/>
            <w:shd w:val="clear" w:color="auto" w:fill="D5DCE4"/>
          </w:tcPr>
          <w:p>
            <w:pPr>
              <w:spacing w:after="0"/>
              <w:rPr>
                <w:sz w:val="19"/>
                <w:szCs w:val="19"/>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Less: Distributed and undistributed earnings allocated to</w:t>
            </w: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5DCE4"/>
          </w:tcPr>
          <w:p>
            <w:pPr>
              <w:spacing w:after="0"/>
              <w:rPr>
                <w:sz w:val="20"/>
                <w:szCs w:val="20"/>
                <w:color w:val="auto"/>
              </w:rPr>
            </w:pPr>
          </w:p>
        </w:tc>
        <w:tc>
          <w:tcPr>
            <w:tcW w:w="4940" w:type="dxa"/>
            <w:vAlign w:val="bottom"/>
            <w:gridSpan w:val="4"/>
            <w:shd w:val="clear" w:color="auto" w:fill="D5DCE4"/>
          </w:tcPr>
          <w:p>
            <w:pPr>
              <w:spacing w:after="0" w:line="230" w:lineRule="exact"/>
              <w:rPr>
                <w:sz w:val="20"/>
                <w:szCs w:val="20"/>
                <w:color w:val="auto"/>
              </w:rPr>
            </w:pPr>
            <w:r>
              <w:rPr>
                <w:rFonts w:ascii="Arial" w:cs="Arial" w:eastAsia="Arial" w:hAnsi="Arial"/>
                <w:sz w:val="16"/>
                <w:szCs w:val="16"/>
                <w:color w:val="auto"/>
              </w:rPr>
              <w:t xml:space="preserve">participating securities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D5DCE4"/>
          </w:tcPr>
          <w:p>
            <w:pPr>
              <w:spacing w:after="0"/>
              <w:rPr>
                <w:sz w:val="20"/>
                <w:szCs w:val="20"/>
                <w:color w:val="auto"/>
              </w:rPr>
            </w:pPr>
          </w:p>
        </w:tc>
        <w:tc>
          <w:tcPr>
            <w:tcW w:w="540" w:type="dxa"/>
            <w:vAlign w:val="bottom"/>
            <w:tcBorders>
              <w:bottom w:val="single" w:sz="8" w:color="auto"/>
            </w:tcBorders>
            <w:shd w:val="clear" w:color="auto" w:fill="D5DCE4"/>
          </w:tcPr>
          <w:p>
            <w:pPr>
              <w:spacing w:after="0"/>
              <w:rPr>
                <w:sz w:val="20"/>
                <w:szCs w:val="20"/>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(231)</w:t>
            </w:r>
          </w:p>
        </w:tc>
        <w:tc>
          <w:tcPr>
            <w:tcW w:w="80" w:type="dxa"/>
            <w:vAlign w:val="bottom"/>
            <w:shd w:val="clear" w:color="auto" w:fill="D5DCE4"/>
          </w:tcPr>
          <w:p>
            <w:pPr>
              <w:spacing w:after="0"/>
              <w:rPr>
                <w:sz w:val="20"/>
                <w:szCs w:val="20"/>
                <w:color w:val="auto"/>
              </w:rPr>
            </w:pPr>
          </w:p>
        </w:tc>
        <w:tc>
          <w:tcPr>
            <w:tcW w:w="540" w:type="dxa"/>
            <w:vAlign w:val="bottom"/>
            <w:tcBorders>
              <w:bottom w:val="single" w:sz="8" w:color="auto"/>
            </w:tcBorders>
            <w:shd w:val="clear" w:color="auto" w:fill="D5DCE4"/>
          </w:tcPr>
          <w:p>
            <w:pPr>
              <w:spacing w:after="0"/>
              <w:rPr>
                <w:sz w:val="20"/>
                <w:szCs w:val="20"/>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outstanding shares of Class A and Class</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113,848</w:t>
            </w:r>
          </w:p>
        </w:tc>
        <w:tc>
          <w:tcPr>
            <w:tcW w:w="80" w:type="dxa"/>
            <w:vAlign w:val="bottom"/>
          </w:tcPr>
          <w:p>
            <w:pPr>
              <w:spacing w:after="0"/>
              <w:rPr>
                <w:sz w:val="16"/>
                <w:szCs w:val="16"/>
                <w:color w:val="auto"/>
              </w:rPr>
            </w:pPr>
          </w:p>
        </w:tc>
        <w:tc>
          <w:tcPr>
            <w:tcW w:w="540" w:type="dxa"/>
            <w:vAlign w:val="bottom"/>
            <w:vMerge w:val="restart"/>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98,490</w:t>
            </w:r>
          </w:p>
        </w:tc>
        <w:tc>
          <w:tcPr>
            <w:tcW w:w="80" w:type="dxa"/>
            <w:vAlign w:val="bottom"/>
          </w:tcPr>
          <w:p>
            <w:pPr>
              <w:spacing w:after="0"/>
              <w:rPr>
                <w:sz w:val="16"/>
                <w:szCs w:val="16"/>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359,066</w:t>
            </w:r>
          </w:p>
        </w:tc>
        <w:tc>
          <w:tcPr>
            <w:tcW w:w="80" w:type="dxa"/>
            <w:vAlign w:val="bottom"/>
          </w:tcPr>
          <w:p>
            <w:pPr>
              <w:spacing w:after="0"/>
              <w:rPr>
                <w:sz w:val="16"/>
                <w:szCs w:val="16"/>
                <w:color w:val="auto"/>
              </w:rPr>
            </w:pPr>
          </w:p>
        </w:tc>
        <w:tc>
          <w:tcPr>
            <w:tcW w:w="540" w:type="dxa"/>
            <w:vAlign w:val="bottom"/>
            <w:vMerge w:val="restart"/>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275,204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B common stock - Basic and Diluted</w:t>
            </w:r>
          </w:p>
        </w:tc>
        <w:tc>
          <w:tcPr>
            <w:tcW w:w="3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D5DCE4"/>
          </w:tcPr>
          <w:p>
            <w:pPr>
              <w:spacing w:after="0"/>
              <w:rPr>
                <w:sz w:val="14"/>
                <w:szCs w:val="14"/>
                <w:color w:val="auto"/>
              </w:rPr>
            </w:pPr>
          </w:p>
        </w:tc>
        <w:tc>
          <w:tcPr>
            <w:tcW w:w="4940" w:type="dxa"/>
            <w:vAlign w:val="bottom"/>
            <w:gridSpan w:val="4"/>
            <w:shd w:val="clear" w:color="auto" w:fill="D5DCE4"/>
          </w:tcPr>
          <w:p>
            <w:pPr>
              <w:spacing w:after="0" w:line="162"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213,206,193</w:t>
            </w:r>
          </w:p>
        </w:tc>
        <w:tc>
          <w:tcPr>
            <w:tcW w:w="80" w:type="dxa"/>
            <w:vAlign w:val="bottom"/>
            <w:shd w:val="clear" w:color="auto" w:fill="D5DCE4"/>
          </w:tcPr>
          <w:p>
            <w:pPr>
              <w:spacing w:after="0"/>
              <w:rPr>
                <w:sz w:val="14"/>
                <w:szCs w:val="14"/>
                <w:color w:val="auto"/>
              </w:rPr>
            </w:pPr>
          </w:p>
        </w:tc>
        <w:tc>
          <w:tcPr>
            <w:tcW w:w="540" w:type="dxa"/>
            <w:vAlign w:val="bottom"/>
            <w:shd w:val="clear" w:color="auto" w:fill="D5DCE4"/>
          </w:tcPr>
          <w:p>
            <w:pPr>
              <w:spacing w:after="0"/>
              <w:rPr>
                <w:sz w:val="14"/>
                <w:szCs w:val="14"/>
                <w:color w:val="auto"/>
              </w:rPr>
            </w:pPr>
          </w:p>
        </w:tc>
        <w:tc>
          <w:tcPr>
            <w:tcW w:w="9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w w:val="98"/>
              </w:rPr>
              <w:t>211,618,475</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213,026,732</w:t>
            </w:r>
          </w:p>
        </w:tc>
        <w:tc>
          <w:tcPr>
            <w:tcW w:w="80" w:type="dxa"/>
            <w:vAlign w:val="bottom"/>
            <w:shd w:val="clear" w:color="auto" w:fill="D5DCE4"/>
          </w:tcPr>
          <w:p>
            <w:pPr>
              <w:spacing w:after="0"/>
              <w:rPr>
                <w:sz w:val="14"/>
                <w:szCs w:val="14"/>
                <w:color w:val="auto"/>
              </w:rPr>
            </w:pPr>
          </w:p>
        </w:tc>
        <w:tc>
          <w:tcPr>
            <w:tcW w:w="540" w:type="dxa"/>
            <w:vAlign w:val="bottom"/>
            <w:shd w:val="clear" w:color="auto" w:fill="D5DCE4"/>
          </w:tcPr>
          <w:p>
            <w:pPr>
              <w:spacing w:after="0"/>
              <w:rPr>
                <w:sz w:val="14"/>
                <w:szCs w:val="14"/>
                <w:color w:val="auto"/>
              </w:rPr>
            </w:pPr>
          </w:p>
        </w:tc>
        <w:tc>
          <w:tcPr>
            <w:tcW w:w="9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w w:val="98"/>
              </w:rPr>
              <w:t>210,444,082</w:t>
            </w:r>
          </w:p>
        </w:tc>
        <w:tc>
          <w:tcPr>
            <w:tcW w:w="0" w:type="dxa"/>
            <w:vAlign w:val="bottom"/>
          </w:tcPr>
          <w:p>
            <w:pPr>
              <w:spacing w:after="0"/>
              <w:rPr>
                <w:sz w:val="1"/>
                <w:szCs w:val="1"/>
                <w:color w:val="auto"/>
              </w:rPr>
            </w:pPr>
          </w:p>
        </w:tc>
      </w:tr>
      <w:tr>
        <w:trPr>
          <w:trHeight w:val="216"/>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outstanding - Basic</w:t>
            </w: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PRSUs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625,822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504,945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564,996</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380,740</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363,623</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1,110,175</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470,816</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1,240,923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RSUs and RSAs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405,562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258,039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367,375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211,163</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PSUs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495,774</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106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455,291</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gridSpan w:val="4"/>
          </w:tcPr>
          <w:p>
            <w:pPr>
              <w:spacing w:after="0" w:line="142"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215,096,974</w:t>
            </w: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8"/>
              </w:rPr>
              <w:t>213,491,634</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214,885,210</w:t>
            </w: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8"/>
              </w:rPr>
              <w:t>212,276,908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outstanding - Diluted</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Earnings per share - Basic</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0.53</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D5DCE4"/>
            </w:tcBorders>
            <w:shd w:val="clear" w:color="auto" w:fill="D5DCE4"/>
          </w:tcPr>
          <w:p>
            <w:pPr>
              <w:spacing w:after="0"/>
              <w:rPr>
                <w:sz w:val="22"/>
                <w:szCs w:val="22"/>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Diluted</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0.53</w:t>
            </w:r>
          </w:p>
        </w:tc>
        <w:tc>
          <w:tcPr>
            <w:tcW w:w="80" w:type="dxa"/>
            <w:vAlign w:val="bottom"/>
            <w:tcBorders>
              <w:bottom w:val="single" w:sz="8" w:color="D5DCE4"/>
            </w:tcBorders>
            <w:shd w:val="clear" w:color="auto" w:fill="D5DCE4"/>
          </w:tcPr>
          <w:p>
            <w:pPr>
              <w:spacing w:after="0"/>
              <w:rPr>
                <w:sz w:val="22"/>
                <w:szCs w:val="22"/>
                <w:color w:val="auto"/>
              </w:rPr>
            </w:pPr>
          </w:p>
        </w:tc>
        <w:tc>
          <w:tcPr>
            <w:tcW w:w="54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0.46</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1.67</w:t>
            </w:r>
          </w:p>
        </w:tc>
        <w:tc>
          <w:tcPr>
            <w:tcW w:w="80" w:type="dxa"/>
            <w:vAlign w:val="bottom"/>
            <w:tcBorders>
              <w:bottom w:val="single" w:sz="8" w:color="D5DCE4"/>
            </w:tcBorders>
            <w:shd w:val="clear" w:color="auto" w:fill="D5DCE4"/>
          </w:tcPr>
          <w:p>
            <w:pPr>
              <w:spacing w:after="0"/>
              <w:rPr>
                <w:sz w:val="22"/>
                <w:szCs w:val="22"/>
                <w:color w:val="auto"/>
              </w:rPr>
            </w:pPr>
          </w:p>
        </w:tc>
        <w:tc>
          <w:tcPr>
            <w:tcW w:w="54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4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4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During the three months ended September 30, 2024 and 2023, there was a total of 126,903 and 265,681, respectively, and during the nine months ended September 30, 2024 and 2023, there was a</w:t>
      </w:r>
    </w:p>
    <w:p>
      <w:pPr>
        <w:spacing w:after="0" w:line="11" w:lineRule="exact"/>
        <w:rPr>
          <w:sz w:val="20"/>
          <w:szCs w:val="20"/>
          <w:color w:val="auto"/>
        </w:rPr>
      </w:pPr>
    </w:p>
    <w:p>
      <w:pPr>
        <w:ind w:left="440" w:right="260" w:hanging="414"/>
        <w:spacing w:after="0" w:line="294" w:lineRule="auto"/>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total of 137,252 and 266,453, respectively, weighted average unvested or unsettled vested stock awards that were considered a participating security for purposes of calculating earnings per share in accordance with the two-class method.</w:t>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7</w:t>
      </w:r>
    </w:p>
    <w:p>
      <w:pPr>
        <w:sectPr>
          <w:pgSz w:w="11900" w:h="16838" w:orient="portrait"/>
          <w:cols w:equalWidth="0" w:num="1">
            <w:col w:w="11240"/>
          </w:cols>
          <w:pgMar w:left="320" w:top="827"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2024</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2023</w:t>
            </w: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5"/>
          </w:tcPr>
          <w:p>
            <w:pPr>
              <w:ind w:left="500"/>
              <w:spacing w:after="0"/>
              <w:rPr>
                <w:sz w:val="20"/>
                <w:szCs w:val="20"/>
                <w:color w:val="auto"/>
              </w:rPr>
            </w:pPr>
            <w:r>
              <w:rPr>
                <w:rFonts w:ascii="Arial" w:cs="Arial" w:eastAsia="Arial" w:hAnsi="Arial"/>
                <w:sz w:val="16"/>
                <w:szCs w:val="16"/>
                <w:b w:val="1"/>
                <w:bCs w:val="1"/>
                <w:color w:val="auto"/>
              </w:rPr>
              <w:t>$ Change</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9"/>
        </w:trPr>
        <w:tc>
          <w:tcPr>
            <w:tcW w:w="212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ind w:left="14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Variable</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Fixed</w:t>
            </w:r>
          </w:p>
        </w:tc>
        <w:tc>
          <w:tcPr>
            <w:tcW w:w="40" w:type="dxa"/>
            <w:vAlign w:val="bottom"/>
          </w:tcPr>
          <w:p>
            <w:pPr>
              <w:spacing w:after="0"/>
              <w:rPr>
                <w:sz w:val="20"/>
                <w:szCs w:val="20"/>
                <w:color w:val="auto"/>
              </w:rPr>
            </w:pPr>
          </w:p>
        </w:tc>
        <w:tc>
          <w:tcPr>
            <w:tcW w:w="118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Variable</w:t>
            </w: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Fixed</w:t>
            </w:r>
          </w:p>
        </w:tc>
        <w:tc>
          <w:tcPr>
            <w:tcW w:w="0" w:type="dxa"/>
            <w:vAlign w:val="bottom"/>
          </w:tcPr>
          <w:p>
            <w:pPr>
              <w:spacing w:after="0"/>
              <w:rPr>
                <w:sz w:val="1"/>
                <w:szCs w:val="1"/>
                <w:color w:val="auto"/>
              </w:rPr>
            </w:pPr>
          </w:p>
        </w:tc>
      </w:tr>
      <w:tr>
        <w:trPr>
          <w:trHeight w:val="237"/>
        </w:trPr>
        <w:tc>
          <w:tcPr>
            <w:tcW w:w="19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gridSpan w:val="6"/>
          </w:tcPr>
          <w:p>
            <w:pPr>
              <w:jc w:val="right"/>
              <w:ind w:right="380"/>
              <w:spacing w:after="0"/>
              <w:rPr>
                <w:sz w:val="20"/>
                <w:szCs w:val="20"/>
                <w:color w:val="auto"/>
              </w:rPr>
            </w:pPr>
            <w:r>
              <w:rPr>
                <w:rFonts w:ascii="Arial" w:cs="Arial" w:eastAsia="Arial" w:hAnsi="Arial"/>
                <w:sz w:val="16"/>
                <w:szCs w:val="16"/>
                <w:b w:val="1"/>
                <w:bCs w:val="1"/>
                <w:color w:val="auto"/>
              </w:rPr>
              <w:t>(dollars in thousands)</w:t>
            </w: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173,698</w:t>
            </w:r>
          </w:p>
        </w:tc>
        <w:tc>
          <w:tcPr>
            <w:tcW w:w="46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59,424</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114,128</w:t>
            </w:r>
          </w:p>
        </w:tc>
        <w:tc>
          <w:tcPr>
            <w:tcW w:w="420" w:type="dxa"/>
            <w:vAlign w:val="bottom"/>
            <w:gridSpan w:val="3"/>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58,704</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59,570</w:t>
            </w:r>
          </w:p>
        </w:tc>
        <w:tc>
          <w:tcPr>
            <w:tcW w:w="80" w:type="dxa"/>
            <w:vAlign w:val="bottom"/>
            <w:shd w:val="clear" w:color="auto" w:fill="D5DCE4"/>
          </w:tcPr>
          <w:p>
            <w:pPr>
              <w:spacing w:after="0"/>
              <w:rPr>
                <w:sz w:val="21"/>
                <w:szCs w:val="21"/>
                <w:color w:val="auto"/>
              </w:rPr>
            </w:pPr>
          </w:p>
        </w:tc>
        <w:tc>
          <w:tcPr>
            <w:tcW w:w="140" w:type="dxa"/>
            <w:vAlign w:val="bottom"/>
            <w:gridSpan w:val="2"/>
            <w:shd w:val="clear" w:color="auto" w:fill="D5DCE4"/>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720</w:t>
            </w:r>
          </w:p>
        </w:tc>
        <w:tc>
          <w:tcPr>
            <w:tcW w:w="140" w:type="dxa"/>
            <w:vAlign w:val="bottom"/>
            <w:shd w:val="clear" w:color="auto" w:fill="D5DCE4"/>
          </w:tcPr>
          <w:p>
            <w:pPr>
              <w:spacing w:after="0"/>
              <w:rPr>
                <w:sz w:val="21"/>
                <w:szCs w:val="21"/>
                <w:color w:val="auto"/>
              </w:rPr>
            </w:pPr>
          </w:p>
        </w:tc>
        <w:tc>
          <w:tcPr>
            <w:tcW w:w="1220" w:type="dxa"/>
            <w:vAlign w:val="bottom"/>
            <w:gridSpan w:val="4"/>
            <w:shd w:val="clear" w:color="auto" w:fill="D5DCE4"/>
          </w:tcPr>
          <w:p>
            <w:pPr>
              <w:jc w:val="right"/>
              <w:spacing w:after="0"/>
              <w:rPr>
                <w:sz w:val="20"/>
                <w:szCs w:val="20"/>
                <w:color w:val="auto"/>
              </w:rPr>
            </w:pPr>
            <w:r>
              <w:rPr>
                <w:rFonts w:ascii="Arial" w:cs="Arial" w:eastAsia="Arial" w:hAnsi="Arial"/>
                <w:sz w:val="16"/>
                <w:szCs w:val="16"/>
                <w:color w:val="auto"/>
              </w:rPr>
              <w:t>52.2 %</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35"/>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109,518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8,787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82,484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7,578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27,034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1,209</w:t>
            </w:r>
          </w:p>
        </w:tc>
        <w:tc>
          <w:tcPr>
            <w:tcW w:w="140" w:type="dxa"/>
            <w:vAlign w:val="bottom"/>
          </w:tcPr>
          <w:p>
            <w:pPr>
              <w:spacing w:after="0"/>
              <w:rPr>
                <w:sz w:val="20"/>
                <w:szCs w:val="20"/>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32.8 %</w:t>
            </w:r>
          </w:p>
        </w:tc>
        <w:tc>
          <w:tcPr>
            <w:tcW w:w="1040" w:type="dxa"/>
            <w:vAlign w:val="bottom"/>
          </w:tcPr>
          <w:p>
            <w:pPr>
              <w:jc w:val="right"/>
              <w:spacing w:after="0"/>
              <w:rPr>
                <w:sz w:val="20"/>
                <w:szCs w:val="20"/>
                <w:color w:val="auto"/>
              </w:rPr>
            </w:pPr>
            <w:r>
              <w:rPr>
                <w:rFonts w:ascii="Arial" w:cs="Arial" w:eastAsia="Arial" w:hAnsi="Arial"/>
                <w:sz w:val="16"/>
                <w:szCs w:val="16"/>
                <w:color w:val="auto"/>
              </w:rPr>
              <w:t>16.0 %</w:t>
            </w:r>
          </w:p>
        </w:tc>
        <w:tc>
          <w:tcPr>
            <w:tcW w:w="0" w:type="dxa"/>
            <w:vAlign w:val="bottom"/>
          </w:tcPr>
          <w:p>
            <w:pPr>
              <w:spacing w:after="0"/>
              <w:rPr>
                <w:sz w:val="1"/>
                <w:szCs w:val="1"/>
                <w:color w:val="auto"/>
              </w:rPr>
            </w:pPr>
          </w:p>
        </w:tc>
      </w:tr>
      <w:tr>
        <w:trPr>
          <w:trHeight w:val="251"/>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23,218</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2,296</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18,567</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2,323</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4,651</w:t>
            </w:r>
          </w:p>
        </w:tc>
        <w:tc>
          <w:tcPr>
            <w:tcW w:w="8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D5DCE4"/>
          </w:tcPr>
          <w:p>
            <w:pPr>
              <w:spacing w:after="0"/>
              <w:rPr>
                <w:sz w:val="21"/>
                <w:szCs w:val="21"/>
                <w:color w:val="auto"/>
              </w:rPr>
            </w:pPr>
          </w:p>
        </w:tc>
        <w:tc>
          <w:tcPr>
            <w:tcW w:w="1220" w:type="dxa"/>
            <w:vAlign w:val="bottom"/>
            <w:gridSpan w:val="4"/>
            <w:shd w:val="clear" w:color="auto" w:fill="D5DCE4"/>
          </w:tcPr>
          <w:p>
            <w:pPr>
              <w:jc w:val="right"/>
              <w:spacing w:after="0"/>
              <w:rPr>
                <w:sz w:val="20"/>
                <w:szCs w:val="20"/>
                <w:color w:val="auto"/>
              </w:rPr>
            </w:pPr>
            <w:r>
              <w:rPr>
                <w:rFonts w:ascii="Arial" w:cs="Arial" w:eastAsia="Arial" w:hAnsi="Arial"/>
                <w:sz w:val="16"/>
                <w:szCs w:val="16"/>
                <w:color w:val="auto"/>
              </w:rPr>
              <w:t>25.0 %</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5"/>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31,928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4,198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11,433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4,330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20,495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20"/>
                <w:szCs w:val="20"/>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179.3 %</w:t>
            </w: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51"/>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29,656</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115</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22,841</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D5DCE4"/>
          </w:tcPr>
          <w:p>
            <w:pPr>
              <w:spacing w:after="0"/>
              <w:rPr>
                <w:sz w:val="21"/>
                <w:szCs w:val="21"/>
                <w:color w:val="auto"/>
              </w:rPr>
            </w:pP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6,815</w:t>
            </w:r>
          </w:p>
        </w:tc>
        <w:tc>
          <w:tcPr>
            <w:tcW w:w="140" w:type="dxa"/>
            <w:vAlign w:val="bottom"/>
            <w:shd w:val="clear" w:color="auto" w:fill="D5DCE4"/>
          </w:tcPr>
          <w:p>
            <w:pPr>
              <w:spacing w:after="0"/>
              <w:rPr>
                <w:sz w:val="21"/>
                <w:szCs w:val="21"/>
                <w:color w:val="auto"/>
              </w:rPr>
            </w:pPr>
          </w:p>
        </w:tc>
        <w:tc>
          <w:tcPr>
            <w:tcW w:w="1220" w:type="dxa"/>
            <w:vAlign w:val="bottom"/>
            <w:gridSpan w:val="4"/>
            <w:shd w:val="clear" w:color="auto" w:fill="D5DCE4"/>
          </w:tcPr>
          <w:p>
            <w:pPr>
              <w:jc w:val="right"/>
              <w:spacing w:after="0"/>
              <w:rPr>
                <w:sz w:val="20"/>
                <w:szCs w:val="20"/>
                <w:color w:val="auto"/>
              </w:rPr>
            </w:pPr>
            <w:r>
              <w:rPr>
                <w:rFonts w:ascii="Arial" w:cs="Arial" w:eastAsia="Arial" w:hAnsi="Arial"/>
                <w:sz w:val="16"/>
                <w:szCs w:val="16"/>
                <w:color w:val="auto"/>
              </w:rPr>
              <w:t>(9.6)%</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29.8 %</w:t>
            </w:r>
          </w:p>
        </w:tc>
        <w:tc>
          <w:tcPr>
            <w:tcW w:w="0" w:type="dxa"/>
            <w:vAlign w:val="bottom"/>
          </w:tcPr>
          <w:p>
            <w:pPr>
              <w:spacing w:after="0"/>
              <w:rPr>
                <w:sz w:val="1"/>
                <w:szCs w:val="1"/>
                <w:color w:val="auto"/>
              </w:rPr>
            </w:pPr>
          </w:p>
        </w:tc>
      </w:tr>
      <w:tr>
        <w:trPr>
          <w:trHeight w:val="237"/>
        </w:trPr>
        <w:tc>
          <w:tcPr>
            <w:tcW w:w="212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5,575</w:t>
            </w:r>
          </w:p>
        </w:tc>
        <w:tc>
          <w:tcPr>
            <w:tcW w:w="14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5,854</w:t>
            </w:r>
          </w:p>
        </w:tc>
        <w:tc>
          <w:tcPr>
            <w:tcW w:w="20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80" w:type="dxa"/>
            <w:vAlign w:val="bottom"/>
            <w:tcBorders>
              <w:bottom w:val="single" w:sz="8" w:color="D5DCE4"/>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40" w:type="dxa"/>
            <w:vAlign w:val="bottom"/>
            <w:tcBorders>
              <w:bottom w:val="single" w:sz="8" w:color="D5DCE4"/>
            </w:tcBorders>
          </w:tcPr>
          <w:p>
            <w:pPr>
              <w:spacing w:after="0"/>
              <w:rPr>
                <w:sz w:val="20"/>
                <w:szCs w:val="20"/>
                <w:color w:val="auto"/>
              </w:rPr>
            </w:pPr>
          </w:p>
        </w:tc>
        <w:tc>
          <w:tcPr>
            <w:tcW w:w="40" w:type="dxa"/>
            <w:vAlign w:val="bottom"/>
            <w:tcBorders>
              <w:bottom w:val="single" w:sz="8" w:color="D5DCE4"/>
            </w:tcBorders>
          </w:tcPr>
          <w:p>
            <w:pPr>
              <w:spacing w:after="0"/>
              <w:rPr>
                <w:sz w:val="20"/>
                <w:szCs w:val="20"/>
                <w:color w:val="auto"/>
              </w:rPr>
            </w:pPr>
          </w:p>
        </w:tc>
        <w:tc>
          <w:tcPr>
            <w:tcW w:w="520" w:type="dxa"/>
            <w:vAlign w:val="bottom"/>
            <w:tcBorders>
              <w:bottom w:val="single" w:sz="8" w:color="D5DCE4"/>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580" w:type="dxa"/>
            <w:vAlign w:val="bottom"/>
            <w:tcBorders>
              <w:bottom w:val="single" w:sz="8" w:color="D5DCE4"/>
            </w:tcBorders>
          </w:tcPr>
          <w:p>
            <w:pPr>
              <w:jc w:val="right"/>
              <w:spacing w:after="0"/>
              <w:rPr>
                <w:sz w:val="20"/>
                <w:szCs w:val="20"/>
                <w:color w:val="auto"/>
              </w:rPr>
            </w:pPr>
            <w:r>
              <w:rPr>
                <w:rFonts w:ascii="Arial" w:cs="Arial" w:eastAsia="Arial" w:hAnsi="Arial"/>
                <w:sz w:val="16"/>
                <w:szCs w:val="16"/>
                <w:color w:val="auto"/>
              </w:rPr>
              <w:t>N/M</w:t>
            </w:r>
          </w:p>
        </w:tc>
        <w:tc>
          <w:tcPr>
            <w:tcW w:w="1040" w:type="dxa"/>
            <w:vAlign w:val="bottom"/>
            <w:tcBorders>
              <w:bottom w:val="single" w:sz="8" w:color="D5DCE4"/>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63"/>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338,979</w:t>
            </w:r>
          </w:p>
        </w:tc>
        <w:tc>
          <w:tcPr>
            <w:tcW w:w="46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109,936</w:t>
            </w:r>
          </w:p>
        </w:tc>
        <w:tc>
          <w:tcPr>
            <w:tcW w:w="14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226,727</w:t>
            </w:r>
          </w:p>
        </w:tc>
        <w:tc>
          <w:tcPr>
            <w:tcW w:w="420" w:type="dxa"/>
            <w:vAlign w:val="bottom"/>
            <w:gridSpan w:val="3"/>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101,630</w:t>
            </w:r>
          </w:p>
        </w:tc>
        <w:tc>
          <w:tcPr>
            <w:tcW w:w="20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112,252</w:t>
            </w:r>
          </w:p>
        </w:tc>
        <w:tc>
          <w:tcPr>
            <w:tcW w:w="80" w:type="dxa"/>
            <w:vAlign w:val="bottom"/>
            <w:shd w:val="clear" w:color="auto" w:fill="D5DCE4"/>
          </w:tcPr>
          <w:p>
            <w:pPr>
              <w:spacing w:after="0"/>
              <w:rPr>
                <w:sz w:val="22"/>
                <w:szCs w:val="22"/>
                <w:color w:val="auto"/>
              </w:rPr>
            </w:pPr>
          </w:p>
        </w:tc>
        <w:tc>
          <w:tcPr>
            <w:tcW w:w="140" w:type="dxa"/>
            <w:vAlign w:val="bottom"/>
            <w:gridSpan w:val="2"/>
            <w:shd w:val="clear" w:color="auto" w:fill="D5DCE4"/>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8,306</w:t>
            </w:r>
          </w:p>
        </w:tc>
        <w:tc>
          <w:tcPr>
            <w:tcW w:w="140" w:type="dxa"/>
            <w:vAlign w:val="bottom"/>
            <w:shd w:val="clear" w:color="auto" w:fill="D5DCE4"/>
          </w:tcPr>
          <w:p>
            <w:pPr>
              <w:spacing w:after="0"/>
              <w:rPr>
                <w:sz w:val="22"/>
                <w:szCs w:val="22"/>
                <w:color w:val="auto"/>
              </w:rPr>
            </w:pPr>
          </w:p>
        </w:tc>
        <w:tc>
          <w:tcPr>
            <w:tcW w:w="1220" w:type="dxa"/>
            <w:vAlign w:val="bottom"/>
            <w:gridSpan w:val="4"/>
            <w:shd w:val="clear" w:color="auto" w:fill="D5DCE4"/>
          </w:tcPr>
          <w:p>
            <w:pPr>
              <w:jc w:val="right"/>
              <w:spacing w:after="0"/>
              <w:rPr>
                <w:sz w:val="20"/>
                <w:szCs w:val="20"/>
                <w:color w:val="auto"/>
              </w:rPr>
            </w:pPr>
            <w:r>
              <w:rPr>
                <w:rFonts w:ascii="Arial" w:cs="Arial" w:eastAsia="Arial" w:hAnsi="Arial"/>
                <w:sz w:val="16"/>
                <w:szCs w:val="16"/>
                <w:color w:val="auto"/>
              </w:rPr>
              <w:t>49.5 %</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0"/>
        </w:trPr>
        <w:tc>
          <w:tcPr>
            <w:tcW w:w="2120" w:type="dxa"/>
            <w:vAlign w:val="bottom"/>
            <w:tcBorders>
              <w:top w:val="single" w:sz="8" w:color="D5DCE4"/>
              <w:bottom w:val="single" w:sz="8" w:color="D5DCE4"/>
            </w:tcBorders>
            <w:gridSpan w:val="2"/>
            <w:vMerge w:val="restart"/>
          </w:tcPr>
          <w:p>
            <w:pPr>
              <w:spacing w:after="0"/>
              <w:rPr>
                <w:sz w:val="20"/>
                <w:szCs w:val="20"/>
                <w:color w:val="auto"/>
              </w:rPr>
            </w:pPr>
            <w:r>
              <w:rPr>
                <w:rFonts w:ascii="Arial" w:cs="Arial" w:eastAsia="Arial" w:hAnsi="Arial"/>
                <w:sz w:val="14"/>
                <w:szCs w:val="14"/>
                <w:color w:val="auto"/>
              </w:rPr>
              <w:t>N/M = not meaningful</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DCE4"/>
            </w:tcBorders>
          </w:tcPr>
          <w:p>
            <w:pPr>
              <w:spacing w:after="0" w:line="20" w:lineRule="exact"/>
              <w:rPr>
                <w:sz w:val="1"/>
                <w:szCs w:val="1"/>
                <w:color w:val="auto"/>
              </w:rPr>
            </w:pPr>
          </w:p>
        </w:tc>
        <w:tc>
          <w:tcPr>
            <w:tcW w:w="4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80" w:type="dxa"/>
            <w:vAlign w:val="bottom"/>
            <w:tcBorders>
              <w:top w:val="single" w:sz="8" w:color="D5DCE4"/>
            </w:tcBorders>
          </w:tcPr>
          <w:p>
            <w:pPr>
              <w:spacing w:after="0" w:line="20" w:lineRule="exact"/>
              <w:rPr>
                <w:sz w:val="1"/>
                <w:szCs w:val="1"/>
                <w:color w:val="auto"/>
              </w:rPr>
            </w:pPr>
          </w:p>
        </w:tc>
        <w:tc>
          <w:tcPr>
            <w:tcW w:w="1040" w:type="dxa"/>
            <w:vAlign w:val="bottom"/>
            <w:tcBorders>
              <w:top w:val="single" w:sz="8" w:color="D5DCE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12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2260" w:type="dxa"/>
            <w:vAlign w:val="bottom"/>
            <w:gridSpan w:val="3"/>
          </w:tcPr>
          <w:p>
            <w:pPr>
              <w:spacing w:after="0"/>
              <w:rPr>
                <w:sz w:val="20"/>
                <w:szCs w:val="20"/>
                <w:color w:val="auto"/>
              </w:rPr>
            </w:pPr>
            <w:r>
              <w:rPr>
                <w:rFonts w:ascii="Arial" w:cs="Arial" w:eastAsia="Arial" w:hAnsi="Arial"/>
                <w:sz w:val="16"/>
                <w:szCs w:val="16"/>
                <w:b w:val="1"/>
                <w:bCs w:val="1"/>
                <w:color w:val="083566"/>
              </w:rPr>
              <w:t>TRADEWEB MARKETS INC.</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20" w:type="dxa"/>
            <w:vAlign w:val="bottom"/>
            <w:gridSpan w:val="17"/>
          </w:tcPr>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6"/>
          </w:tcPr>
          <w:p>
            <w:pPr>
              <w:ind w:left="48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ind w:right="579"/>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39"/>
        </w:trPr>
        <w:tc>
          <w:tcPr>
            <w:tcW w:w="1920" w:type="dxa"/>
            <w:vAlign w:val="bottom"/>
            <w:tcBorders>
              <w:bottom w:val="single" w:sz="8" w:color="D5DCE4"/>
            </w:tcBorders>
          </w:tcPr>
          <w:p>
            <w:pPr>
              <w:spacing w:after="0"/>
              <w:rPr>
                <w:sz w:val="20"/>
                <w:szCs w:val="20"/>
                <w:color w:val="auto"/>
              </w:rPr>
            </w:pPr>
          </w:p>
        </w:tc>
        <w:tc>
          <w:tcPr>
            <w:tcW w:w="200" w:type="dxa"/>
            <w:vAlign w:val="bottom"/>
            <w:tcBorders>
              <w:bottom w:val="single" w:sz="8" w:color="D5DCE4"/>
            </w:tcBorders>
          </w:tcPr>
          <w:p>
            <w:pPr>
              <w:spacing w:after="0"/>
              <w:rPr>
                <w:sz w:val="20"/>
                <w:szCs w:val="20"/>
                <w:color w:val="auto"/>
              </w:rPr>
            </w:pPr>
          </w:p>
        </w:tc>
        <w:tc>
          <w:tcPr>
            <w:tcW w:w="140" w:type="dxa"/>
            <w:vAlign w:val="bottom"/>
            <w:tcBorders>
              <w:bottom w:val="single" w:sz="8" w:color="D5DCE4"/>
            </w:tcBorders>
          </w:tcPr>
          <w:p>
            <w:pPr>
              <w:spacing w:after="0"/>
              <w:rPr>
                <w:sz w:val="20"/>
                <w:szCs w:val="20"/>
                <w:color w:val="auto"/>
              </w:rPr>
            </w:pPr>
          </w:p>
        </w:tc>
        <w:tc>
          <w:tcPr>
            <w:tcW w:w="780" w:type="dxa"/>
            <w:vAlign w:val="bottom"/>
            <w:tcBorders>
              <w:bottom w:val="single" w:sz="8" w:color="D5DCE4"/>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200" w:type="dxa"/>
            <w:vAlign w:val="bottom"/>
            <w:tcBorders>
              <w:bottom w:val="single" w:sz="8" w:color="D5DCE4"/>
            </w:tcBorders>
          </w:tcPr>
          <w:p>
            <w:pPr>
              <w:spacing w:after="0"/>
              <w:rPr>
                <w:sz w:val="20"/>
                <w:szCs w:val="20"/>
                <w:color w:val="auto"/>
              </w:rPr>
            </w:pPr>
          </w:p>
        </w:tc>
        <w:tc>
          <w:tcPr>
            <w:tcW w:w="800" w:type="dxa"/>
            <w:vAlign w:val="bottom"/>
            <w:tcBorders>
              <w:bottom w:val="single" w:sz="8" w:color="D5DCE4"/>
            </w:tcBorders>
          </w:tcPr>
          <w:p>
            <w:pPr>
              <w:spacing w:after="0"/>
              <w:rPr>
                <w:sz w:val="20"/>
                <w:szCs w:val="20"/>
                <w:color w:val="auto"/>
              </w:rPr>
            </w:pPr>
          </w:p>
        </w:tc>
        <w:tc>
          <w:tcPr>
            <w:tcW w:w="140" w:type="dxa"/>
            <w:vAlign w:val="bottom"/>
            <w:tcBorders>
              <w:bottom w:val="single" w:sz="8" w:color="D5DCE4"/>
            </w:tcBorders>
          </w:tcPr>
          <w:p>
            <w:pPr>
              <w:spacing w:after="0"/>
              <w:rPr>
                <w:sz w:val="20"/>
                <w:szCs w:val="20"/>
                <w:color w:val="auto"/>
              </w:rPr>
            </w:pPr>
          </w:p>
        </w:tc>
        <w:tc>
          <w:tcPr>
            <w:tcW w:w="140" w:type="dxa"/>
            <w:vAlign w:val="bottom"/>
            <w:tcBorders>
              <w:bottom w:val="single" w:sz="8" w:color="D5DCE4"/>
            </w:tcBorders>
          </w:tcPr>
          <w:p>
            <w:pPr>
              <w:spacing w:after="0"/>
              <w:rPr>
                <w:sz w:val="20"/>
                <w:szCs w:val="20"/>
                <w:color w:val="auto"/>
              </w:rPr>
            </w:pPr>
          </w:p>
        </w:tc>
        <w:tc>
          <w:tcPr>
            <w:tcW w:w="780" w:type="dxa"/>
            <w:vAlign w:val="bottom"/>
            <w:tcBorders>
              <w:bottom w:val="single" w:sz="8" w:color="D5DCE4"/>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160" w:type="dxa"/>
            <w:vAlign w:val="bottom"/>
            <w:tcBorders>
              <w:bottom w:val="single" w:sz="8" w:color="D5DCE4"/>
            </w:tcBorders>
          </w:tcPr>
          <w:p>
            <w:pPr>
              <w:spacing w:after="0"/>
              <w:rPr>
                <w:sz w:val="20"/>
                <w:szCs w:val="20"/>
                <w:color w:val="auto"/>
              </w:rPr>
            </w:pPr>
          </w:p>
        </w:tc>
        <w:tc>
          <w:tcPr>
            <w:tcW w:w="68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162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40"/>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140" w:type="dxa"/>
            <w:vAlign w:val="bottom"/>
            <w:shd w:val="clear" w:color="auto" w:fill="D5DCE4"/>
          </w:tcPr>
          <w:p>
            <w:pPr>
              <w:spacing w:after="0"/>
              <w:rPr>
                <w:sz w:val="20"/>
                <w:szCs w:val="20"/>
                <w:color w:val="auto"/>
              </w:rPr>
            </w:pPr>
          </w:p>
        </w:tc>
        <w:tc>
          <w:tcPr>
            <w:tcW w:w="78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180" w:type="dxa"/>
            <w:vAlign w:val="bottom"/>
            <w:shd w:val="clear" w:color="auto" w:fill="D5DCE4"/>
          </w:tcPr>
          <w:p>
            <w:pPr>
              <w:spacing w:after="0"/>
              <w:rPr>
                <w:sz w:val="20"/>
                <w:szCs w:val="20"/>
                <w:color w:val="auto"/>
              </w:rPr>
            </w:pPr>
          </w:p>
        </w:tc>
        <w:tc>
          <w:tcPr>
            <w:tcW w:w="200" w:type="dxa"/>
            <w:vAlign w:val="bottom"/>
            <w:shd w:val="clear" w:color="auto" w:fill="D5DCE4"/>
          </w:tcPr>
          <w:p>
            <w:pPr>
              <w:spacing w:after="0"/>
              <w:rPr>
                <w:sz w:val="20"/>
                <w:szCs w:val="20"/>
                <w:color w:val="auto"/>
              </w:rPr>
            </w:pPr>
          </w:p>
        </w:tc>
        <w:tc>
          <w:tcPr>
            <w:tcW w:w="800" w:type="dxa"/>
            <w:vAlign w:val="bottom"/>
            <w:shd w:val="clear" w:color="auto" w:fill="D5DCE4"/>
          </w:tcPr>
          <w:p>
            <w:pPr>
              <w:spacing w:after="0"/>
              <w:rPr>
                <w:sz w:val="20"/>
                <w:szCs w:val="20"/>
                <w:color w:val="auto"/>
              </w:rPr>
            </w:pPr>
          </w:p>
        </w:tc>
        <w:tc>
          <w:tcPr>
            <w:tcW w:w="140" w:type="dxa"/>
            <w:vAlign w:val="bottom"/>
            <w:shd w:val="clear" w:color="auto" w:fill="D5DCE4"/>
          </w:tcPr>
          <w:p>
            <w:pPr>
              <w:spacing w:after="0"/>
              <w:rPr>
                <w:sz w:val="20"/>
                <w:szCs w:val="20"/>
                <w:color w:val="auto"/>
              </w:rPr>
            </w:pPr>
          </w:p>
        </w:tc>
        <w:tc>
          <w:tcPr>
            <w:tcW w:w="140" w:type="dxa"/>
            <w:vAlign w:val="bottom"/>
            <w:shd w:val="clear" w:color="auto" w:fill="D5DCE4"/>
          </w:tcPr>
          <w:p>
            <w:pPr>
              <w:spacing w:after="0"/>
              <w:rPr>
                <w:sz w:val="20"/>
                <w:szCs w:val="20"/>
                <w:color w:val="auto"/>
              </w:rPr>
            </w:pPr>
          </w:p>
        </w:tc>
        <w:tc>
          <w:tcPr>
            <w:tcW w:w="78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180" w:type="dxa"/>
            <w:vAlign w:val="bottom"/>
            <w:shd w:val="clear" w:color="auto" w:fill="D5DCE4"/>
          </w:tcPr>
          <w:p>
            <w:pPr>
              <w:spacing w:after="0"/>
              <w:rPr>
                <w:sz w:val="20"/>
                <w:szCs w:val="20"/>
                <w:color w:val="auto"/>
              </w:rPr>
            </w:pPr>
          </w:p>
        </w:tc>
        <w:tc>
          <w:tcPr>
            <w:tcW w:w="160" w:type="dxa"/>
            <w:vAlign w:val="bottom"/>
            <w:shd w:val="clear" w:color="auto" w:fill="D5DCE4"/>
          </w:tcPr>
          <w:p>
            <w:pPr>
              <w:spacing w:after="0"/>
              <w:rPr>
                <w:sz w:val="20"/>
                <w:szCs w:val="20"/>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0"/>
                <w:szCs w:val="20"/>
                <w:color w:val="auto"/>
              </w:rPr>
            </w:pPr>
          </w:p>
        </w:tc>
        <w:tc>
          <w:tcPr>
            <w:tcW w:w="140" w:type="dxa"/>
            <w:vAlign w:val="bottom"/>
            <w:shd w:val="clear" w:color="auto" w:fill="D5DCE4"/>
          </w:tcPr>
          <w:p>
            <w:pPr>
              <w:spacing w:after="0"/>
              <w:rPr>
                <w:sz w:val="20"/>
                <w:szCs w:val="20"/>
                <w:color w:val="auto"/>
              </w:rPr>
            </w:pPr>
          </w:p>
        </w:tc>
        <w:tc>
          <w:tcPr>
            <w:tcW w:w="94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b w:val="1"/>
                <w:bCs w:val="1"/>
                <w:color w:val="auto"/>
              </w:rPr>
              <w:t>2.07</w:t>
            </w:r>
          </w:p>
        </w:tc>
        <w:tc>
          <w:tcPr>
            <w:tcW w:w="6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40" w:type="dxa"/>
            <w:vAlign w:val="bottom"/>
            <w:shd w:val="clear" w:color="auto" w:fill="D5DCE4"/>
          </w:tcPr>
          <w:p>
            <w:pPr>
              <w:spacing w:after="0"/>
              <w:rPr>
                <w:sz w:val="20"/>
                <w:szCs w:val="20"/>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2.10</w:t>
            </w:r>
          </w:p>
        </w:tc>
        <w:tc>
          <w:tcPr>
            <w:tcW w:w="80" w:type="dxa"/>
            <w:vAlign w:val="bottom"/>
            <w:shd w:val="clear" w:color="auto" w:fill="D5DCE4"/>
          </w:tcPr>
          <w:p>
            <w:pPr>
              <w:spacing w:after="0"/>
              <w:rPr>
                <w:sz w:val="20"/>
                <w:szCs w:val="20"/>
                <w:color w:val="auto"/>
              </w:rPr>
            </w:pPr>
          </w:p>
        </w:tc>
        <w:tc>
          <w:tcPr>
            <w:tcW w:w="580" w:type="dxa"/>
            <w:vAlign w:val="bottom"/>
            <w:shd w:val="clear" w:color="auto" w:fill="D5DCE4"/>
          </w:tcPr>
          <w:p>
            <w:pPr>
              <w:spacing w:after="0"/>
              <w:rPr>
                <w:sz w:val="20"/>
                <w:szCs w:val="20"/>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35"/>
        </w:trPr>
        <w:tc>
          <w:tcPr>
            <w:tcW w:w="2120" w:type="dxa"/>
            <w:vAlign w:val="bottom"/>
            <w:gridSpan w:val="2"/>
          </w:tcPr>
          <w:p>
            <w:pPr>
              <w:ind w:left="140"/>
              <w:spacing w:after="0"/>
              <w:rPr>
                <w:sz w:val="20"/>
                <w:szCs w:val="20"/>
                <w:color w:val="auto"/>
              </w:rPr>
            </w:pPr>
            <w:r>
              <w:rPr>
                <w:rFonts w:ascii="Arial" w:cs="Arial" w:eastAsia="Arial" w:hAnsi="Arial"/>
                <w:sz w:val="16"/>
                <w:szCs w:val="16"/>
                <w:color w:val="auto"/>
              </w:rPr>
              <w:t>Rates Cash</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2.45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51"/>
        </w:trPr>
        <w:tc>
          <w:tcPr>
            <w:tcW w:w="2120" w:type="dxa"/>
            <w:vAlign w:val="bottom"/>
            <w:gridSpan w:val="2"/>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94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color w:val="auto"/>
              </w:rPr>
              <w:t>1.85</w:t>
            </w: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1.87</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5"/>
        </w:trPr>
        <w:tc>
          <w:tcPr>
            <w:tcW w:w="3040" w:type="dxa"/>
            <w:vAlign w:val="bottom"/>
            <w:gridSpan w:val="4"/>
          </w:tcPr>
          <w:p>
            <w:pPr>
              <w:ind w:left="240"/>
              <w:spacing w:after="0"/>
              <w:rPr>
                <w:sz w:val="20"/>
                <w:szCs w:val="20"/>
                <w:color w:val="auto"/>
              </w:rPr>
            </w:pPr>
            <w:r>
              <w:rPr>
                <w:rFonts w:ascii="Arial" w:cs="Arial" w:eastAsia="Arial" w:hAnsi="Arial"/>
                <w:sz w:val="16"/>
                <w:szCs w:val="16"/>
                <w:color w:val="auto"/>
              </w:rPr>
              <w:t>Rates Derivatives (greater than 1 year)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3.19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2.72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17.2 %</w:t>
            </w:r>
          </w:p>
        </w:tc>
        <w:tc>
          <w:tcPr>
            <w:tcW w:w="0" w:type="dxa"/>
            <w:vAlign w:val="bottom"/>
          </w:tcPr>
          <w:p>
            <w:pPr>
              <w:spacing w:after="0"/>
              <w:rPr>
                <w:sz w:val="1"/>
                <w:szCs w:val="1"/>
                <w:color w:val="auto"/>
              </w:rPr>
            </w:pPr>
          </w:p>
        </w:tc>
      </w:tr>
      <w:tr>
        <w:trPr>
          <w:trHeight w:val="251"/>
        </w:trPr>
        <w:tc>
          <w:tcPr>
            <w:tcW w:w="2260" w:type="dxa"/>
            <w:vAlign w:val="bottom"/>
            <w:gridSpan w:val="3"/>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94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color w:val="auto"/>
              </w:rPr>
              <w:t>0.22</w:t>
            </w: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0.22</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94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b w:val="1"/>
                <w:bCs w:val="1"/>
                <w:color w:val="auto"/>
              </w:rPr>
              <w:t>39.76</w:t>
            </w: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4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43.26</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(8.1)%</w:t>
            </w:r>
          </w:p>
        </w:tc>
        <w:tc>
          <w:tcPr>
            <w:tcW w:w="0" w:type="dxa"/>
            <w:vAlign w:val="bottom"/>
          </w:tcPr>
          <w:p>
            <w:pPr>
              <w:spacing w:after="0"/>
              <w:rPr>
                <w:sz w:val="1"/>
                <w:szCs w:val="1"/>
                <w:color w:val="auto"/>
              </w:rPr>
            </w:pPr>
          </w:p>
        </w:tc>
      </w:tr>
      <w:tr>
        <w:trPr>
          <w:trHeight w:val="243"/>
        </w:trPr>
        <w:tc>
          <w:tcPr>
            <w:tcW w:w="2120" w:type="dxa"/>
            <w:vAlign w:val="bottom"/>
            <w:gridSpan w:val="2"/>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151.90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w w:val="93"/>
              </w:rPr>
              <w:t>162.20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3"/>
        </w:trPr>
        <w:tc>
          <w:tcPr>
            <w:tcW w:w="4440" w:type="dxa"/>
            <w:vAlign w:val="bottom"/>
            <w:gridSpan w:val="9"/>
            <w:shd w:val="clear" w:color="auto" w:fill="D5DCE4"/>
          </w:tcPr>
          <w:p>
            <w:pPr>
              <w:ind w:left="140"/>
              <w:spacing w:after="0"/>
              <w:rPr>
                <w:sz w:val="20"/>
                <w:szCs w:val="20"/>
                <w:color w:val="auto"/>
              </w:rPr>
            </w:pPr>
            <w:r>
              <w:rPr>
                <w:rFonts w:ascii="Arial" w:cs="Arial" w:eastAsia="Arial" w:hAnsi="Arial"/>
                <w:sz w:val="16"/>
                <w:szCs w:val="16"/>
                <w:color w:val="auto"/>
              </w:rPr>
              <w:t>Credit Derivatives, China Bonds and U.S. Cash EP</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94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color w:val="auto"/>
              </w:rPr>
              <w:t>5.71</w:t>
            </w: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5.75</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94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b w:val="1"/>
                <w:bCs w:val="1"/>
                <w:color w:val="auto"/>
              </w:rPr>
              <w:t>15.82</w:t>
            </w: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4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15.50</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2.1 %</w:t>
            </w:r>
          </w:p>
        </w:tc>
        <w:tc>
          <w:tcPr>
            <w:tcW w:w="0" w:type="dxa"/>
            <w:vAlign w:val="bottom"/>
          </w:tcPr>
          <w:p>
            <w:pPr>
              <w:spacing w:after="0"/>
              <w:rPr>
                <w:sz w:val="1"/>
                <w:szCs w:val="1"/>
                <w:color w:val="auto"/>
              </w:rPr>
            </w:pPr>
          </w:p>
        </w:tc>
      </w:tr>
      <w:tr>
        <w:trPr>
          <w:trHeight w:val="235"/>
        </w:trPr>
        <w:tc>
          <w:tcPr>
            <w:tcW w:w="2120" w:type="dxa"/>
            <w:vAlign w:val="bottom"/>
            <w:gridSpan w:val="2"/>
          </w:tcPr>
          <w:p>
            <w:pPr>
              <w:ind w:left="140"/>
              <w:spacing w:after="0"/>
              <w:rPr>
                <w:sz w:val="20"/>
                <w:szCs w:val="20"/>
                <w:color w:val="auto"/>
              </w:rPr>
            </w:pPr>
            <w:r>
              <w:rPr>
                <w:rFonts w:ascii="Arial" w:cs="Arial" w:eastAsia="Arial" w:hAnsi="Arial"/>
                <w:sz w:val="16"/>
                <w:szCs w:val="16"/>
                <w:color w:val="auto"/>
              </w:rPr>
              <w:t>Equities Cash</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27.68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25.42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51"/>
        </w:trPr>
        <w:tc>
          <w:tcPr>
            <w:tcW w:w="2120" w:type="dxa"/>
            <w:vAlign w:val="bottom"/>
            <w:gridSpan w:val="2"/>
            <w:shd w:val="clear" w:color="auto" w:fill="D5DCE4"/>
          </w:tcPr>
          <w:p>
            <w:pPr>
              <w:ind w:left="140"/>
              <w:spacing w:after="0"/>
              <w:rPr>
                <w:sz w:val="20"/>
                <w:szCs w:val="20"/>
                <w:color w:val="auto"/>
              </w:rPr>
            </w:pPr>
            <w:r>
              <w:rPr>
                <w:rFonts w:ascii="Arial" w:cs="Arial" w:eastAsia="Arial" w:hAnsi="Arial"/>
                <w:sz w:val="16"/>
                <w:szCs w:val="16"/>
                <w:color w:val="auto"/>
              </w:rPr>
              <w:t>Equities Derivatives</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94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color w:val="auto"/>
              </w:rPr>
              <w:t>5.99</w:t>
            </w: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5.50</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94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b w:val="1"/>
                <w:bCs w:val="1"/>
                <w:color w:val="auto"/>
              </w:rPr>
              <w:t>0.54</w:t>
            </w: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4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0.35</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55.0 %</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940" w:type="dxa"/>
            <w:vAlign w:val="bottom"/>
            <w:gridSpan w:val="2"/>
            <w:shd w:val="clear" w:color="auto" w:fill="D5DCE4"/>
          </w:tcPr>
          <w:p>
            <w:pPr>
              <w:jc w:val="right"/>
              <w:ind w:right="20"/>
              <w:spacing w:after="0"/>
              <w:rPr>
                <w:sz w:val="20"/>
                <w:szCs w:val="20"/>
                <w:color w:val="auto"/>
              </w:rPr>
            </w:pPr>
            <w:r>
              <w:rPr>
                <w:rFonts w:ascii="Arial" w:cs="Arial" w:eastAsia="Arial" w:hAnsi="Arial"/>
                <w:sz w:val="16"/>
                <w:szCs w:val="16"/>
                <w:b w:val="1"/>
                <w:bCs w:val="1"/>
                <w:color w:val="auto"/>
              </w:rPr>
              <w:t>2.29</w:t>
            </w:r>
          </w:p>
        </w:tc>
        <w:tc>
          <w:tcPr>
            <w:tcW w:w="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4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2.51</w:t>
            </w:r>
          </w:p>
        </w:tc>
        <w:tc>
          <w:tcPr>
            <w:tcW w:w="8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r>
        <w:trPr>
          <w:trHeight w:val="289"/>
        </w:trPr>
        <w:tc>
          <w:tcPr>
            <w:tcW w:w="3500" w:type="dxa"/>
            <w:vAlign w:val="bottom"/>
            <w:gridSpan w:val="7"/>
          </w:tcPr>
          <w:p>
            <w:pPr>
              <w:ind w:left="20"/>
              <w:spacing w:after="0"/>
              <w:rPr>
                <w:sz w:val="20"/>
                <w:szCs w:val="20"/>
                <w:color w:val="auto"/>
              </w:rPr>
            </w:pPr>
            <w:r>
              <w:rPr>
                <w:rFonts w:ascii="Arial" w:cs="Arial" w:eastAsia="Arial" w:hAnsi="Arial"/>
                <w:sz w:val="16"/>
                <w:szCs w:val="16"/>
                <w:b w:val="1"/>
                <w:bCs w:val="1"/>
                <w:color w:val="auto"/>
              </w:rPr>
              <w:t xml:space="preserve">Total excluding Other Rates Derivatives </w:t>
            </w:r>
            <w:r>
              <w:rPr>
                <w:rFonts w:ascii="Arial" w:cs="Arial" w:eastAsia="Arial" w:hAnsi="Arial"/>
                <w:sz w:val="21"/>
                <w:szCs w:val="21"/>
                <w:b w:val="1"/>
                <w:bCs w:val="1"/>
                <w:color w:val="auto"/>
                <w:vertAlign w:val="superscript"/>
              </w:rPr>
              <w:t>(3)</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2.69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b w:val="1"/>
                <w:bCs w:val="1"/>
                <w:color w:val="auto"/>
              </w:rPr>
              <w:t>2.81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auto"/>
        </w:rPr>
        <w:t>(1)</w:t>
      </w:r>
    </w:p>
    <w:p>
      <w:pPr>
        <w:ind w:left="440"/>
        <w:spacing w:after="0"/>
        <w:rPr>
          <w:sz w:val="20"/>
          <w:szCs w:val="20"/>
          <w:color w:val="auto"/>
        </w:rPr>
      </w:pPr>
      <w:r>
        <w:rPr>
          <w:rFonts w:ascii="Arial" w:cs="Arial" w:eastAsia="Arial" w:hAnsi="Arial"/>
          <w:sz w:val="12"/>
          <w:szCs w:val="12"/>
          <w:color w:val="auto"/>
        </w:rPr>
        <w:t>Includes Swaps/Swaptions of tenor less than 1 year and Rates Futures.</w:t>
      </w:r>
    </w:p>
    <w:p>
      <w:pPr>
        <w:spacing w:after="0" w:line="53" w:lineRule="exact"/>
        <w:rPr>
          <w:sz w:val="20"/>
          <w:szCs w:val="20"/>
          <w:color w:val="auto"/>
        </w:rPr>
      </w:pPr>
    </w:p>
    <w:p>
      <w:pPr>
        <w:ind w:left="440" w:hanging="414"/>
        <w:spacing w:after="0"/>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(2) China Bonds and (3) U.S. High Grade and High Yield electronically processed (“EP”) activity.</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totals for all periods presented.</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77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 xml:space="preserve">AVERAGE DAILY VOLUME (UNAUDITED) </w:t>
      </w:r>
      <w:r>
        <w:rPr>
          <w:rFonts w:ascii="Arial" w:cs="Arial" w:eastAsia="Arial" w:hAnsi="Arial"/>
          <w:sz w:val="21"/>
          <w:szCs w:val="21"/>
          <w:b w:val="1"/>
          <w:bCs w:val="1"/>
          <w:color w:val="083566"/>
          <w:vertAlign w:val="superscript"/>
        </w:rPr>
        <w:t>(1)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ind w:left="740"/>
              <w:spacing w:after="0"/>
              <w:rPr>
                <w:sz w:val="20"/>
                <w:szCs w:val="20"/>
                <w:color w:val="auto"/>
              </w:rPr>
            </w:pPr>
            <w:r>
              <w:rPr>
                <w:rFonts w:ascii="Arial" w:cs="Arial" w:eastAsia="Arial" w:hAnsi="Arial"/>
                <w:sz w:val="16"/>
                <w:szCs w:val="16"/>
                <w:b w:val="1"/>
                <w:bCs w:val="1"/>
                <w:color w:val="auto"/>
              </w:rPr>
              <w:t>2024 Q3</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4"/>
          </w:tcPr>
          <w:p>
            <w:pPr>
              <w:ind w:left="740"/>
              <w:spacing w:after="0"/>
              <w:rPr>
                <w:sz w:val="20"/>
                <w:szCs w:val="20"/>
                <w:color w:val="auto"/>
              </w:rPr>
            </w:pPr>
            <w:r>
              <w:rPr>
                <w:rFonts w:ascii="Arial" w:cs="Arial" w:eastAsia="Arial" w:hAnsi="Arial"/>
                <w:sz w:val="16"/>
                <w:szCs w:val="16"/>
                <w:b w:val="1"/>
                <w:bCs w:val="1"/>
                <w:color w:val="auto"/>
              </w:rPr>
              <w:t>2023 Q3</w:t>
            </w:r>
          </w:p>
        </w:tc>
        <w:tc>
          <w:tcPr>
            <w:tcW w:w="1220" w:type="dxa"/>
            <w:vAlign w:val="bottom"/>
          </w:tcPr>
          <w:p>
            <w:pPr>
              <w:ind w:left="440"/>
              <w:spacing w:after="0"/>
              <w:rPr>
                <w:sz w:val="20"/>
                <w:szCs w:val="20"/>
                <w:color w:val="auto"/>
              </w:rPr>
            </w:pPr>
            <w:r>
              <w:rPr>
                <w:rFonts w:ascii="Arial" w:cs="Arial" w:eastAsia="Arial" w:hAnsi="Arial"/>
                <w:sz w:val="16"/>
                <w:szCs w:val="16"/>
                <w:b w:val="1"/>
                <w:bCs w:val="1"/>
                <w:color w:val="auto"/>
              </w:rPr>
              <w:t>YoY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20" w:type="dxa"/>
            <w:vAlign w:val="bottom"/>
            <w:tcBorders>
              <w:bottom w:val="single" w:sz="8" w:color="D5DCE4"/>
            </w:tcBorders>
          </w:tcPr>
          <w:p>
            <w:pPr>
              <w:spacing w:after="0"/>
              <w:rPr>
                <w:sz w:val="21"/>
                <w:szCs w:val="21"/>
                <w:color w:val="auto"/>
              </w:rPr>
            </w:pP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ADV (USD mm)</w:t>
            </w: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Volume (USD mm)</w:t>
            </w:r>
          </w:p>
        </w:tc>
        <w:tc>
          <w:tcPr>
            <w:tcW w:w="100" w:type="dxa"/>
            <w:vAlign w:val="bottom"/>
            <w:tcBorders>
              <w:bottom w:val="single" w:sz="8" w:color="D5DCE4"/>
            </w:tcBorders>
          </w:tcPr>
          <w:p>
            <w:pPr>
              <w:spacing w:after="0"/>
              <w:rPr>
                <w:sz w:val="21"/>
                <w:szCs w:val="21"/>
                <w:color w:val="auto"/>
              </w:rPr>
            </w:pPr>
          </w:p>
        </w:tc>
        <w:tc>
          <w:tcPr>
            <w:tcW w:w="27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ADV (USD mm) Volume (USD mm)</w:t>
            </w:r>
          </w:p>
        </w:tc>
        <w:tc>
          <w:tcPr>
            <w:tcW w:w="120" w:type="dxa"/>
            <w:vAlign w:val="bottom"/>
            <w:tcBorders>
              <w:bottom w:val="single" w:sz="8" w:color="D5DCE4"/>
            </w:tcBorders>
          </w:tcPr>
          <w:p>
            <w:pPr>
              <w:spacing w:after="0"/>
              <w:rPr>
                <w:sz w:val="21"/>
                <w:szCs w:val="21"/>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ADV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20" w:type="dxa"/>
            <w:vAlign w:val="bottom"/>
            <w:tcBorders>
              <w:right w:val="single" w:sz="8" w:color="D5DCE4"/>
            </w:tcBorders>
            <w:shd w:val="clear" w:color="auto" w:fill="D5DCE4"/>
          </w:tcPr>
          <w:p>
            <w:pPr>
              <w:spacing w:after="0"/>
              <w:rPr>
                <w:sz w:val="20"/>
                <w:szCs w:val="20"/>
                <w:color w:val="auto"/>
              </w:rPr>
            </w:pPr>
          </w:p>
        </w:tc>
        <w:tc>
          <w:tcPr>
            <w:tcW w:w="30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jc w:val="right"/>
              <w:ind w:right="162"/>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496,603</w:t>
            </w:r>
          </w:p>
        </w:tc>
        <w:tc>
          <w:tcPr>
            <w:tcW w:w="40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31,860,816</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jc w:val="right"/>
              <w:ind w:right="16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361,421</w:t>
            </w:r>
          </w:p>
        </w:tc>
        <w:tc>
          <w:tcPr>
            <w:tcW w:w="160" w:type="dxa"/>
            <w:vAlign w:val="bottom"/>
            <w:shd w:val="clear" w:color="auto" w:fill="D5DCE4"/>
          </w:tcPr>
          <w:p>
            <w:pPr>
              <w:jc w:val="center"/>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22,842,103</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37.40 %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Government Bonds</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221,864</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14,199,309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142,641</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8,986,371</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55.54 %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European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42,964</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2,835,614</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37,251</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2,421,306</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15.34 %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Mortgages</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221,999</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14,207,950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174,436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10,989,473</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27.27 %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Other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9,775</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617,943</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7,093</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444,954</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37.82 %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801,512</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51,882,416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491,837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31,422,421</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62.96 %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Swaps/Swaptions ≥ 1Y</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439,683</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28,436,368</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325,350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20,746,985</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35.14 %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Swaps/Swaptions &lt; 1Y</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352,589</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22,850,905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164,178</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10,529,049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114.76 %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Futures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9,239</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595,143</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2,310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146,388</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300.01 %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60" w:type="dxa"/>
            <w:vAlign w:val="bottom"/>
            <w:tcBorders>
              <w:bottom w:val="single" w:sz="8" w:color="D5DCE4"/>
            </w:tcBorders>
          </w:tcPr>
          <w:p>
            <w:pPr>
              <w:spacing w:after="0"/>
              <w:rPr>
                <w:sz w:val="20"/>
                <w:szCs w:val="20"/>
                <w:color w:val="auto"/>
              </w:rPr>
            </w:pPr>
          </w:p>
        </w:tc>
        <w:tc>
          <w:tcPr>
            <w:tcW w:w="220" w:type="dxa"/>
            <w:vAlign w:val="bottom"/>
            <w:tcBorders>
              <w:bottom w:val="single" w:sz="8" w:color="D5DCE4"/>
            </w:tcBorders>
          </w:tcPr>
          <w:p>
            <w:pPr>
              <w:spacing w:after="0"/>
              <w:rPr>
                <w:sz w:val="20"/>
                <w:szCs w:val="20"/>
                <w:color w:val="auto"/>
              </w:rPr>
            </w:pPr>
          </w:p>
        </w:tc>
        <w:tc>
          <w:tcPr>
            <w:tcW w:w="302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1,298,114</w:t>
            </w:r>
          </w:p>
        </w:tc>
        <w:tc>
          <w:tcPr>
            <w:tcW w:w="4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83,743,233</w:t>
            </w:r>
          </w:p>
        </w:tc>
        <w:tc>
          <w:tcPr>
            <w:tcW w:w="100" w:type="dxa"/>
            <w:vAlign w:val="bottom"/>
            <w:tcBorders>
              <w:bottom w:val="single" w:sz="8" w:color="D5DCE4"/>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853,258</w:t>
            </w: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54,264,524</w:t>
            </w:r>
          </w:p>
        </w:tc>
        <w:tc>
          <w:tcPr>
            <w:tcW w:w="120" w:type="dxa"/>
            <w:vAlign w:val="bottom"/>
            <w:tcBorders>
              <w:bottom w:val="single" w:sz="8" w:color="D5DCE4"/>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52.14 %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20" w:type="dxa"/>
            <w:vAlign w:val="bottom"/>
            <w:tcBorders>
              <w:right w:val="single" w:sz="8" w:color="D5DCE4"/>
            </w:tcBorders>
            <w:shd w:val="clear" w:color="auto" w:fill="D5DCE4"/>
          </w:tcPr>
          <w:p>
            <w:pPr>
              <w:spacing w:after="0"/>
              <w:rPr>
                <w:sz w:val="20"/>
                <w:szCs w:val="20"/>
                <w:color w:val="auto"/>
              </w:rPr>
            </w:pPr>
          </w:p>
        </w:tc>
        <w:tc>
          <w:tcPr>
            <w:tcW w:w="30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15,251</w:t>
            </w:r>
          </w:p>
        </w:tc>
        <w:tc>
          <w:tcPr>
            <w:tcW w:w="400" w:type="dxa"/>
            <w:vAlign w:val="bottom"/>
            <w:shd w:val="clear" w:color="auto" w:fill="D5DCE4"/>
          </w:tcPr>
          <w:p>
            <w:pPr>
              <w:spacing w:after="0"/>
              <w:rPr>
                <w:sz w:val="20"/>
                <w:szCs w:val="20"/>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980,526</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12,980</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824,984</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17.49 %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ind w:left="540"/>
              <w:spacing w:after="0"/>
              <w:rPr>
                <w:sz w:val="20"/>
                <w:szCs w:val="20"/>
                <w:color w:val="auto"/>
              </w:rPr>
            </w:pPr>
            <w:r>
              <w:rPr>
                <w:rFonts w:ascii="Arial" w:cs="Arial" w:eastAsia="Arial" w:hAnsi="Arial"/>
                <w:sz w:val="16"/>
                <w:szCs w:val="16"/>
                <w:i w:val="1"/>
                <w:iCs w:val="1"/>
                <w:color w:val="auto"/>
              </w:rPr>
              <w:t>U.S. High Grade - Fully Electronic</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6,433</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411,704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4,228</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266,368</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52.15 %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3240" w:type="dxa"/>
            <w:vAlign w:val="bottom"/>
            <w:tcBorders>
              <w:right w:val="single" w:sz="8" w:color="D5DCE4"/>
            </w:tcBorders>
            <w:gridSpan w:val="3"/>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U.S. High Grade - Electronically Processed</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2,649</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169,509</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2,339</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147,359</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13.23 %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High Yield - Fully Electronic</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775</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49,578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611</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38,465</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960" w:type="dxa"/>
            <w:vAlign w:val="bottom"/>
            <w:shd w:val="clear" w:color="auto" w:fill="D5DCE4"/>
          </w:tcPr>
          <w:p>
            <w:pPr>
              <w:spacing w:after="0"/>
              <w:rPr>
                <w:sz w:val="18"/>
                <w:szCs w:val="18"/>
                <w:color w:val="auto"/>
              </w:rPr>
            </w:pPr>
          </w:p>
        </w:tc>
        <w:tc>
          <w:tcPr>
            <w:tcW w:w="220" w:type="dxa"/>
            <w:vAlign w:val="bottom"/>
            <w:tcBorders>
              <w:right w:val="single" w:sz="8" w:color="D5DCE4"/>
            </w:tcBorders>
            <w:shd w:val="clear" w:color="auto" w:fill="D5DCE4"/>
          </w:tcPr>
          <w:p>
            <w:pPr>
              <w:spacing w:after="0"/>
              <w:rPr>
                <w:sz w:val="18"/>
                <w:szCs w:val="18"/>
                <w:color w:val="auto"/>
              </w:rPr>
            </w:pPr>
          </w:p>
        </w:tc>
        <w:tc>
          <w:tcPr>
            <w:tcW w:w="30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U.S. High Yield - Electronically</w:t>
            </w:r>
          </w:p>
        </w:tc>
        <w:tc>
          <w:tcPr>
            <w:tcW w:w="320" w:type="dxa"/>
            <w:vAlign w:val="bottom"/>
            <w:shd w:val="clear" w:color="auto" w:fill="D5DCE4"/>
          </w:tcPr>
          <w:p>
            <w:pPr>
              <w:spacing w:after="0"/>
              <w:rPr>
                <w:sz w:val="18"/>
                <w:szCs w:val="18"/>
                <w:color w:val="auto"/>
              </w:rPr>
            </w:pPr>
          </w:p>
        </w:tc>
        <w:tc>
          <w:tcPr>
            <w:tcW w:w="102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276</w:t>
            </w:r>
          </w:p>
        </w:tc>
        <w:tc>
          <w:tcPr>
            <w:tcW w:w="400" w:type="dxa"/>
            <w:vAlign w:val="bottom"/>
            <w:shd w:val="clear" w:color="auto" w:fill="D5DCE4"/>
          </w:tcPr>
          <w:p>
            <w:pPr>
              <w:spacing w:after="0"/>
              <w:rPr>
                <w:sz w:val="18"/>
                <w:szCs w:val="18"/>
                <w:color w:val="auto"/>
              </w:rPr>
            </w:pP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17,679</w:t>
            </w:r>
          </w:p>
        </w:tc>
        <w:tc>
          <w:tcPr>
            <w:tcW w:w="100" w:type="dxa"/>
            <w:vAlign w:val="bottom"/>
            <w:tcBorders>
              <w:right w:val="single" w:sz="8" w:color="D5DCE4"/>
            </w:tcBorders>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02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217</w:t>
            </w:r>
          </w:p>
        </w:tc>
        <w:tc>
          <w:tcPr>
            <w:tcW w:w="160" w:type="dxa"/>
            <w:vAlign w:val="bottom"/>
            <w:shd w:val="clear" w:color="auto" w:fill="D5DCE4"/>
          </w:tcPr>
          <w:p>
            <w:pPr>
              <w:spacing w:after="0"/>
              <w:rPr>
                <w:sz w:val="18"/>
                <w:szCs w:val="18"/>
                <w:color w:val="auto"/>
              </w:rPr>
            </w:pPr>
          </w:p>
        </w:tc>
        <w:tc>
          <w:tcPr>
            <w:tcW w:w="12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13,668</w:t>
            </w:r>
          </w:p>
        </w:tc>
        <w:tc>
          <w:tcPr>
            <w:tcW w:w="120" w:type="dxa"/>
            <w:vAlign w:val="bottom"/>
            <w:tcBorders>
              <w:right w:val="single" w:sz="8" w:color="D5DCE4"/>
            </w:tcBorders>
            <w:shd w:val="clear" w:color="auto" w:fill="D5DCE4"/>
          </w:tcPr>
          <w:p>
            <w:pPr>
              <w:spacing w:after="0"/>
              <w:rPr>
                <w:sz w:val="18"/>
                <w:szCs w:val="18"/>
                <w:color w:val="auto"/>
              </w:rPr>
            </w:pPr>
          </w:p>
        </w:tc>
        <w:tc>
          <w:tcPr>
            <w:tcW w:w="12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27.33 %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60" w:type="dxa"/>
            <w:vAlign w:val="bottom"/>
            <w:shd w:val="clear" w:color="auto" w:fill="D5DCE4"/>
          </w:tcPr>
          <w:p>
            <w:pPr>
              <w:spacing w:after="0"/>
              <w:rPr>
                <w:sz w:val="10"/>
                <w:szCs w:val="10"/>
                <w:color w:val="auto"/>
              </w:rPr>
            </w:pPr>
          </w:p>
        </w:tc>
        <w:tc>
          <w:tcPr>
            <w:tcW w:w="220" w:type="dxa"/>
            <w:vAlign w:val="bottom"/>
            <w:tcBorders>
              <w:right w:val="single" w:sz="8" w:color="D5DCE4"/>
            </w:tcBorders>
            <w:shd w:val="clear" w:color="auto" w:fill="D5DCE4"/>
          </w:tcPr>
          <w:p>
            <w:pPr>
              <w:spacing w:after="0"/>
              <w:rPr>
                <w:sz w:val="10"/>
                <w:szCs w:val="10"/>
                <w:color w:val="auto"/>
              </w:rPr>
            </w:pPr>
          </w:p>
        </w:tc>
        <w:tc>
          <w:tcPr>
            <w:tcW w:w="3020" w:type="dxa"/>
            <w:vAlign w:val="bottom"/>
            <w:tcBorders>
              <w:right w:val="single" w:sz="8" w:color="D5DCE4"/>
            </w:tcBorders>
            <w:gridSpan w:val="2"/>
            <w:vMerge w:val="restart"/>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Processed</w:t>
            </w:r>
          </w:p>
        </w:tc>
        <w:tc>
          <w:tcPr>
            <w:tcW w:w="320" w:type="dxa"/>
            <w:vAlign w:val="bottom"/>
            <w:shd w:val="clear" w:color="auto" w:fill="D5DCE4"/>
          </w:tcPr>
          <w:p>
            <w:pPr>
              <w:spacing w:after="0"/>
              <w:rPr>
                <w:sz w:val="10"/>
                <w:szCs w:val="10"/>
                <w:color w:val="auto"/>
              </w:rPr>
            </w:pPr>
          </w:p>
        </w:tc>
        <w:tc>
          <w:tcPr>
            <w:tcW w:w="1020" w:type="dxa"/>
            <w:vAlign w:val="bottom"/>
            <w:tcBorders>
              <w:right w:val="single" w:sz="8" w:color="D5DCE4"/>
            </w:tcBorders>
            <w:vMerge w:val="continue"/>
            <w:shd w:val="clear" w:color="auto" w:fill="D5DCE4"/>
          </w:tcPr>
          <w:p>
            <w:pPr>
              <w:spacing w:after="0"/>
              <w:rPr>
                <w:sz w:val="10"/>
                <w:szCs w:val="10"/>
                <w:color w:val="auto"/>
              </w:rPr>
            </w:pPr>
          </w:p>
        </w:tc>
        <w:tc>
          <w:tcPr>
            <w:tcW w:w="400" w:type="dxa"/>
            <w:vAlign w:val="bottom"/>
            <w:shd w:val="clear" w:color="auto" w:fill="D5DCE4"/>
          </w:tcPr>
          <w:p>
            <w:pPr>
              <w:spacing w:after="0"/>
              <w:rPr>
                <w:sz w:val="10"/>
                <w:szCs w:val="10"/>
                <w:color w:val="auto"/>
              </w:rPr>
            </w:pPr>
          </w:p>
        </w:tc>
        <w:tc>
          <w:tcPr>
            <w:tcW w:w="104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320" w:type="dxa"/>
            <w:vAlign w:val="bottom"/>
            <w:shd w:val="clear" w:color="auto" w:fill="D5DCE4"/>
          </w:tcPr>
          <w:p>
            <w:pPr>
              <w:spacing w:after="0"/>
              <w:rPr>
                <w:sz w:val="10"/>
                <w:szCs w:val="10"/>
                <w:color w:val="auto"/>
              </w:rPr>
            </w:pPr>
          </w:p>
        </w:tc>
        <w:tc>
          <w:tcPr>
            <w:tcW w:w="1020" w:type="dxa"/>
            <w:vAlign w:val="bottom"/>
            <w:tcBorders>
              <w:right w:val="single" w:sz="8" w:color="D5DCE4"/>
            </w:tcBorders>
            <w:vMerge w:val="continue"/>
            <w:shd w:val="clear" w:color="auto" w:fill="D5DCE4"/>
          </w:tcPr>
          <w:p>
            <w:pPr>
              <w:spacing w:after="0"/>
              <w:rPr>
                <w:sz w:val="10"/>
                <w:szCs w:val="10"/>
                <w:color w:val="auto"/>
              </w:rPr>
            </w:pPr>
          </w:p>
        </w:tc>
        <w:tc>
          <w:tcPr>
            <w:tcW w:w="160" w:type="dxa"/>
            <w:vAlign w:val="bottom"/>
            <w:shd w:val="clear" w:color="auto" w:fill="D5DCE4"/>
          </w:tcPr>
          <w:p>
            <w:pPr>
              <w:spacing w:after="0"/>
              <w:rPr>
                <w:sz w:val="10"/>
                <w:szCs w:val="10"/>
                <w:color w:val="auto"/>
              </w:rPr>
            </w:pPr>
          </w:p>
        </w:tc>
        <w:tc>
          <w:tcPr>
            <w:tcW w:w="1260" w:type="dxa"/>
            <w:vAlign w:val="bottom"/>
            <w:vMerge w:val="continue"/>
            <w:shd w:val="clear" w:color="auto" w:fill="D5DCE4"/>
          </w:tcPr>
          <w:p>
            <w:pPr>
              <w:spacing w:after="0"/>
              <w:rPr>
                <w:sz w:val="10"/>
                <w:szCs w:val="10"/>
                <w:color w:val="auto"/>
              </w:rPr>
            </w:pPr>
          </w:p>
        </w:tc>
        <w:tc>
          <w:tcPr>
            <w:tcW w:w="120" w:type="dxa"/>
            <w:vAlign w:val="bottom"/>
            <w:tcBorders>
              <w:right w:val="single" w:sz="8" w:color="D5DCE4"/>
            </w:tcBorders>
            <w:shd w:val="clear" w:color="auto" w:fill="D5DCE4"/>
          </w:tcPr>
          <w:p>
            <w:pPr>
              <w:spacing w:after="0"/>
              <w:rPr>
                <w:sz w:val="10"/>
                <w:szCs w:val="10"/>
                <w:color w:val="auto"/>
              </w:rPr>
            </w:pPr>
          </w:p>
        </w:tc>
        <w:tc>
          <w:tcPr>
            <w:tcW w:w="1220" w:type="dxa"/>
            <w:vAlign w:val="bottom"/>
            <w:vMerge w:val="continue"/>
            <w:shd w:val="clear" w:color="auto" w:fill="D5DCE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960" w:type="dxa"/>
            <w:vAlign w:val="bottom"/>
            <w:tcBorders>
              <w:bottom w:val="single" w:sz="8" w:color="D5DCE4"/>
            </w:tcBorders>
            <w:shd w:val="clear" w:color="auto" w:fill="D5DCE4"/>
          </w:tcPr>
          <w:p>
            <w:pPr>
              <w:spacing w:after="0"/>
              <w:rPr>
                <w:sz w:val="9"/>
                <w:szCs w:val="9"/>
                <w:color w:val="auto"/>
              </w:rPr>
            </w:pPr>
          </w:p>
        </w:tc>
        <w:tc>
          <w:tcPr>
            <w:tcW w:w="220" w:type="dxa"/>
            <w:vAlign w:val="bottom"/>
            <w:tcBorders>
              <w:bottom w:val="single" w:sz="8" w:color="D5DCE4"/>
              <w:right w:val="single" w:sz="8" w:color="D5DCE4"/>
            </w:tcBorders>
            <w:shd w:val="clear" w:color="auto" w:fill="D5DCE4"/>
          </w:tcPr>
          <w:p>
            <w:pPr>
              <w:spacing w:after="0"/>
              <w:rPr>
                <w:sz w:val="9"/>
                <w:szCs w:val="9"/>
                <w:color w:val="auto"/>
              </w:rPr>
            </w:pPr>
          </w:p>
        </w:tc>
        <w:tc>
          <w:tcPr>
            <w:tcW w:w="3020" w:type="dxa"/>
            <w:vAlign w:val="bottom"/>
            <w:tcBorders>
              <w:bottom w:val="single" w:sz="8" w:color="D5DCE4"/>
              <w:right w:val="single" w:sz="8" w:color="D5DCE4"/>
            </w:tcBorders>
            <w:gridSpan w:val="2"/>
            <w:vMerge w:val="continue"/>
            <w:shd w:val="clear" w:color="auto" w:fill="D5DCE4"/>
          </w:tcPr>
          <w:p>
            <w:pPr>
              <w:spacing w:after="0"/>
              <w:rPr>
                <w:sz w:val="9"/>
                <w:szCs w:val="9"/>
                <w:color w:val="auto"/>
              </w:rPr>
            </w:pPr>
          </w:p>
        </w:tc>
        <w:tc>
          <w:tcPr>
            <w:tcW w:w="320" w:type="dxa"/>
            <w:vAlign w:val="bottom"/>
            <w:tcBorders>
              <w:bottom w:val="single" w:sz="8" w:color="D5DCE4"/>
            </w:tcBorders>
            <w:shd w:val="clear" w:color="auto" w:fill="D5DCE4"/>
          </w:tcPr>
          <w:p>
            <w:pPr>
              <w:spacing w:after="0"/>
              <w:rPr>
                <w:sz w:val="9"/>
                <w:szCs w:val="9"/>
                <w:color w:val="auto"/>
              </w:rPr>
            </w:pPr>
          </w:p>
        </w:tc>
        <w:tc>
          <w:tcPr>
            <w:tcW w:w="1020" w:type="dxa"/>
            <w:vAlign w:val="bottom"/>
            <w:tcBorders>
              <w:bottom w:val="single" w:sz="8" w:color="D5DCE4"/>
              <w:right w:val="single" w:sz="8" w:color="D5DCE4"/>
            </w:tcBorders>
            <w:shd w:val="clear" w:color="auto" w:fill="D5DCE4"/>
          </w:tcPr>
          <w:p>
            <w:pPr>
              <w:spacing w:after="0"/>
              <w:rPr>
                <w:sz w:val="9"/>
                <w:szCs w:val="9"/>
                <w:color w:val="auto"/>
              </w:rPr>
            </w:pPr>
          </w:p>
        </w:tc>
        <w:tc>
          <w:tcPr>
            <w:tcW w:w="400" w:type="dxa"/>
            <w:vAlign w:val="bottom"/>
            <w:tcBorders>
              <w:bottom w:val="single" w:sz="8" w:color="D5DCE4"/>
            </w:tcBorders>
            <w:shd w:val="clear" w:color="auto" w:fill="D5DCE4"/>
          </w:tcPr>
          <w:p>
            <w:pPr>
              <w:spacing w:after="0"/>
              <w:rPr>
                <w:sz w:val="9"/>
                <w:szCs w:val="9"/>
                <w:color w:val="auto"/>
              </w:rPr>
            </w:pPr>
          </w:p>
        </w:tc>
        <w:tc>
          <w:tcPr>
            <w:tcW w:w="104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320" w:type="dxa"/>
            <w:vAlign w:val="bottom"/>
            <w:tcBorders>
              <w:bottom w:val="single" w:sz="8" w:color="D5DCE4"/>
            </w:tcBorders>
            <w:shd w:val="clear" w:color="auto" w:fill="D5DCE4"/>
          </w:tcPr>
          <w:p>
            <w:pPr>
              <w:spacing w:after="0"/>
              <w:rPr>
                <w:sz w:val="9"/>
                <w:szCs w:val="9"/>
                <w:color w:val="auto"/>
              </w:rPr>
            </w:pPr>
          </w:p>
        </w:tc>
        <w:tc>
          <w:tcPr>
            <w:tcW w:w="1020" w:type="dxa"/>
            <w:vAlign w:val="bottom"/>
            <w:tcBorders>
              <w:bottom w:val="single" w:sz="8" w:color="D5DCE4"/>
              <w:right w:val="single" w:sz="8" w:color="D5DCE4"/>
            </w:tcBorders>
            <w:shd w:val="clear" w:color="auto" w:fill="D5DCE4"/>
          </w:tcPr>
          <w:p>
            <w:pPr>
              <w:spacing w:after="0"/>
              <w:rPr>
                <w:sz w:val="9"/>
                <w:szCs w:val="9"/>
                <w:color w:val="auto"/>
              </w:rPr>
            </w:pPr>
          </w:p>
        </w:tc>
        <w:tc>
          <w:tcPr>
            <w:tcW w:w="160" w:type="dxa"/>
            <w:vAlign w:val="bottom"/>
            <w:tcBorders>
              <w:bottom w:val="single" w:sz="8" w:color="D5DCE4"/>
            </w:tcBorders>
            <w:shd w:val="clear" w:color="auto" w:fill="D5DCE4"/>
          </w:tcPr>
          <w:p>
            <w:pPr>
              <w:spacing w:after="0"/>
              <w:rPr>
                <w:sz w:val="9"/>
                <w:szCs w:val="9"/>
                <w:color w:val="auto"/>
              </w:rPr>
            </w:pPr>
          </w:p>
        </w:tc>
        <w:tc>
          <w:tcPr>
            <w:tcW w:w="1260" w:type="dxa"/>
            <w:vAlign w:val="bottom"/>
            <w:tcBorders>
              <w:bottom w:val="single" w:sz="8" w:color="D5DCE4"/>
            </w:tcBorders>
            <w:shd w:val="clear" w:color="auto" w:fill="D5DCE4"/>
          </w:tcPr>
          <w:p>
            <w:pPr>
              <w:spacing w:after="0"/>
              <w:rPr>
                <w:sz w:val="9"/>
                <w:szCs w:val="9"/>
                <w:color w:val="auto"/>
              </w:rPr>
            </w:pPr>
          </w:p>
        </w:tc>
        <w:tc>
          <w:tcPr>
            <w:tcW w:w="120" w:type="dxa"/>
            <w:vAlign w:val="bottom"/>
            <w:tcBorders>
              <w:bottom w:val="single" w:sz="8" w:color="D5DCE4"/>
              <w:right w:val="single" w:sz="8" w:color="D5DCE4"/>
            </w:tcBorders>
            <w:shd w:val="clear" w:color="auto" w:fill="D5DCE4"/>
          </w:tcPr>
          <w:p>
            <w:pPr>
              <w:spacing w:after="0"/>
              <w:rPr>
                <w:sz w:val="9"/>
                <w:szCs w:val="9"/>
                <w:color w:val="auto"/>
              </w:rPr>
            </w:pPr>
          </w:p>
        </w:tc>
        <w:tc>
          <w:tcPr>
            <w:tcW w:w="1220" w:type="dxa"/>
            <w:vAlign w:val="bottom"/>
            <w:tcBorders>
              <w:bottom w:val="single" w:sz="8" w:color="D5DCE4"/>
            </w:tcBorders>
            <w:shd w:val="clear" w:color="auto" w:fill="D5DCE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European Credit</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2,092</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138,095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1,869</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121,475</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Municipal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380</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24,300</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334</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21,054</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13.62 %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Chinese Bonds</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2,371</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151,721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3,231</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206,794</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Other Credit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276</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17,939</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152</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9,802</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81.69 %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27,338</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1,773,907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16,955</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1,081,813</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61.24 %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Swaps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27,338</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1,773,907</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16,955</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1,081,813</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61.24 %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60" w:type="dxa"/>
            <w:vAlign w:val="bottom"/>
            <w:tcBorders>
              <w:bottom w:val="single" w:sz="8" w:color="D5DCE4"/>
            </w:tcBorders>
          </w:tcPr>
          <w:p>
            <w:pPr>
              <w:spacing w:after="0"/>
              <w:rPr>
                <w:sz w:val="20"/>
                <w:szCs w:val="20"/>
                <w:color w:val="auto"/>
              </w:rPr>
            </w:pPr>
          </w:p>
        </w:tc>
        <w:tc>
          <w:tcPr>
            <w:tcW w:w="220" w:type="dxa"/>
            <w:vAlign w:val="bottom"/>
            <w:tcBorders>
              <w:bottom w:val="single" w:sz="8" w:color="D5DCE4"/>
            </w:tcBorders>
          </w:tcPr>
          <w:p>
            <w:pPr>
              <w:spacing w:after="0"/>
              <w:rPr>
                <w:sz w:val="20"/>
                <w:szCs w:val="20"/>
                <w:color w:val="auto"/>
              </w:rPr>
            </w:pPr>
          </w:p>
        </w:tc>
        <w:tc>
          <w:tcPr>
            <w:tcW w:w="302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42,589</w:t>
            </w:r>
          </w:p>
        </w:tc>
        <w:tc>
          <w:tcPr>
            <w:tcW w:w="4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2,754,433</w:t>
            </w:r>
          </w:p>
        </w:tc>
        <w:tc>
          <w:tcPr>
            <w:tcW w:w="100" w:type="dxa"/>
            <w:vAlign w:val="bottom"/>
            <w:tcBorders>
              <w:bottom w:val="single" w:sz="8" w:color="D5DCE4"/>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29,936</w:t>
            </w: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1,906,796</w:t>
            </w:r>
          </w:p>
        </w:tc>
        <w:tc>
          <w:tcPr>
            <w:tcW w:w="120" w:type="dxa"/>
            <w:vAlign w:val="bottom"/>
            <w:tcBorders>
              <w:bottom w:val="single" w:sz="8" w:color="D5DCE4"/>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42.27 %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20" w:type="dxa"/>
            <w:vAlign w:val="bottom"/>
            <w:tcBorders>
              <w:right w:val="single" w:sz="8" w:color="D5DCE4"/>
            </w:tcBorders>
            <w:shd w:val="clear" w:color="auto" w:fill="D5DCE4"/>
          </w:tcPr>
          <w:p>
            <w:pPr>
              <w:spacing w:after="0"/>
              <w:rPr>
                <w:sz w:val="20"/>
                <w:szCs w:val="20"/>
                <w:color w:val="auto"/>
              </w:rPr>
            </w:pPr>
          </w:p>
        </w:tc>
        <w:tc>
          <w:tcPr>
            <w:tcW w:w="30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10,308</w:t>
            </w:r>
          </w:p>
        </w:tc>
        <w:tc>
          <w:tcPr>
            <w:tcW w:w="400" w:type="dxa"/>
            <w:vAlign w:val="bottom"/>
            <w:shd w:val="clear" w:color="auto" w:fill="D5DCE4"/>
          </w:tcPr>
          <w:p>
            <w:pPr>
              <w:spacing w:after="0"/>
              <w:rPr>
                <w:sz w:val="20"/>
                <w:szCs w:val="20"/>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665,138</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9,475</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601,081</w:t>
            </w:r>
          </w:p>
        </w:tc>
        <w:tc>
          <w:tcPr>
            <w:tcW w:w="12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8.79 %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ETFs</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7,608</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486,909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7,402</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466,323</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European ETFs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2,700</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178,229</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2,073</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134,758</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30.25 %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12,507</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802,100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9,451</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596,615</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32.33 %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Convertibles/Swaps/Options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9,279</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595,271</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6,285</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396,969</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47.63 %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Futures</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3,228</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206,829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3,166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199,646</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60" w:type="dxa"/>
            <w:vAlign w:val="bottom"/>
            <w:tcBorders>
              <w:top w:val="single" w:sz="8" w:color="D5DCE4"/>
            </w:tcBorders>
            <w:shd w:val="clear" w:color="auto" w:fill="D5DCE4"/>
          </w:tcPr>
          <w:p>
            <w:pPr>
              <w:spacing w:after="0"/>
              <w:rPr>
                <w:sz w:val="21"/>
                <w:szCs w:val="21"/>
                <w:color w:val="auto"/>
              </w:rPr>
            </w:pPr>
          </w:p>
        </w:tc>
        <w:tc>
          <w:tcPr>
            <w:tcW w:w="220" w:type="dxa"/>
            <w:vAlign w:val="bottom"/>
            <w:tcBorders>
              <w:top w:val="single" w:sz="8" w:color="D5DCE4"/>
              <w:right w:val="single" w:sz="8" w:color="D5DCE4"/>
            </w:tcBorders>
            <w:shd w:val="clear" w:color="auto" w:fill="D5DCE4"/>
          </w:tcPr>
          <w:p>
            <w:pPr>
              <w:spacing w:after="0"/>
              <w:rPr>
                <w:sz w:val="21"/>
                <w:szCs w:val="21"/>
                <w:color w:val="auto"/>
              </w:rPr>
            </w:pPr>
          </w:p>
        </w:tc>
        <w:tc>
          <w:tcPr>
            <w:tcW w:w="302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top w:val="single" w:sz="8" w:color="auto"/>
              <w:bottom w:val="single" w:sz="8" w:color="auto"/>
            </w:tcBorders>
            <w:shd w:val="clear" w:color="auto" w:fill="D5DCE4"/>
          </w:tcPr>
          <w:p>
            <w:pPr>
              <w:spacing w:after="0"/>
              <w:rPr>
                <w:sz w:val="21"/>
                <w:szCs w:val="21"/>
                <w:color w:val="auto"/>
              </w:rPr>
            </w:pPr>
          </w:p>
        </w:tc>
        <w:tc>
          <w:tcPr>
            <w:tcW w:w="102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22,815</w:t>
            </w:r>
          </w:p>
        </w:tc>
        <w:tc>
          <w:tcPr>
            <w:tcW w:w="400" w:type="dxa"/>
            <w:vAlign w:val="bottom"/>
            <w:tcBorders>
              <w:top w:val="single" w:sz="8" w:color="auto"/>
              <w:bottom w:val="single" w:sz="8" w:color="auto"/>
            </w:tcBorders>
            <w:shd w:val="clear" w:color="auto" w:fill="D5DCE4"/>
          </w:tcPr>
          <w:p>
            <w:pPr>
              <w:spacing w:after="0"/>
              <w:rPr>
                <w:sz w:val="21"/>
                <w:szCs w:val="21"/>
                <w:color w:val="auto"/>
              </w:rPr>
            </w:pPr>
          </w:p>
        </w:tc>
        <w:tc>
          <w:tcPr>
            <w:tcW w:w="10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1,467,238</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320" w:type="dxa"/>
            <w:vAlign w:val="bottom"/>
            <w:tcBorders>
              <w:top w:val="single" w:sz="8" w:color="auto"/>
              <w:bottom w:val="single" w:sz="8" w:color="auto"/>
            </w:tcBorders>
            <w:shd w:val="clear" w:color="auto" w:fill="D5DCE4"/>
          </w:tcPr>
          <w:p>
            <w:pPr>
              <w:spacing w:after="0"/>
              <w:rPr>
                <w:sz w:val="21"/>
                <w:szCs w:val="21"/>
                <w:color w:val="auto"/>
              </w:rPr>
            </w:pPr>
          </w:p>
        </w:tc>
        <w:tc>
          <w:tcPr>
            <w:tcW w:w="102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18,926</w:t>
            </w:r>
          </w:p>
        </w:tc>
        <w:tc>
          <w:tcPr>
            <w:tcW w:w="160" w:type="dxa"/>
            <w:vAlign w:val="bottom"/>
            <w:tcBorders>
              <w:top w:val="single" w:sz="8" w:color="auto"/>
              <w:bottom w:val="single" w:sz="8" w:color="auto"/>
            </w:tcBorders>
            <w:shd w:val="clear" w:color="auto" w:fill="D5DCE4"/>
          </w:tcPr>
          <w:p>
            <w:pPr>
              <w:spacing w:after="0"/>
              <w:rPr>
                <w:sz w:val="21"/>
                <w:szCs w:val="21"/>
                <w:color w:val="auto"/>
              </w:rPr>
            </w:pPr>
          </w:p>
        </w:tc>
        <w:tc>
          <w:tcPr>
            <w:tcW w:w="12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1,197,696</w:t>
            </w:r>
          </w:p>
        </w:tc>
        <w:tc>
          <w:tcPr>
            <w:tcW w:w="120" w:type="dxa"/>
            <w:vAlign w:val="bottom"/>
            <w:tcBorders>
              <w:top w:val="single" w:sz="8" w:color="D5DCE4"/>
              <w:right w:val="single" w:sz="8" w:color="D5DCE4"/>
            </w:tcBorders>
            <w:shd w:val="clear" w:color="auto" w:fill="D5DCE4"/>
          </w:tcPr>
          <w:p>
            <w:pPr>
              <w:spacing w:after="0"/>
              <w:rPr>
                <w:sz w:val="21"/>
                <w:szCs w:val="21"/>
                <w:color w:val="auto"/>
              </w:rPr>
            </w:pPr>
          </w:p>
        </w:tc>
        <w:tc>
          <w:tcPr>
            <w:tcW w:w="12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20.55 %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96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Money</w:t>
            </w:r>
          </w:p>
        </w:tc>
        <w:tc>
          <w:tcPr>
            <w:tcW w:w="220" w:type="dxa"/>
            <w:vAlign w:val="bottom"/>
          </w:tcPr>
          <w:p>
            <w:pPr>
              <w:spacing w:after="0"/>
              <w:rPr>
                <w:sz w:val="15"/>
                <w:szCs w:val="15"/>
                <w:color w:val="auto"/>
              </w:rPr>
            </w:pPr>
          </w:p>
        </w:tc>
        <w:tc>
          <w:tcPr>
            <w:tcW w:w="3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tcPr>
          <w:p>
            <w:pPr>
              <w:spacing w:after="0"/>
              <w:rPr>
                <w:sz w:val="15"/>
                <w:szCs w:val="15"/>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848,171</w:t>
            </w: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59,556,275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522,065</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33,065,896</w:t>
            </w: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62.46 %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220" w:type="dxa"/>
            <w:vAlign w:val="bottom"/>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60" w:type="dxa"/>
            <w:vAlign w:val="bottom"/>
            <w:shd w:val="clear" w:color="auto" w:fill="D5DCE4"/>
          </w:tcPr>
          <w:p>
            <w:pPr>
              <w:spacing w:after="0"/>
              <w:rPr>
                <w:sz w:val="21"/>
                <w:szCs w:val="21"/>
                <w:color w:val="auto"/>
              </w:rPr>
            </w:pPr>
          </w:p>
        </w:tc>
        <w:tc>
          <w:tcPr>
            <w:tcW w:w="220" w:type="dxa"/>
            <w:vAlign w:val="bottom"/>
            <w:tcBorders>
              <w:right w:val="single" w:sz="8" w:color="D5DCE4"/>
            </w:tcBorders>
            <w:shd w:val="clear" w:color="auto" w:fill="D5DCE4"/>
          </w:tcPr>
          <w:p>
            <w:pPr>
              <w:spacing w:after="0"/>
              <w:rPr>
                <w:sz w:val="21"/>
                <w:szCs w:val="21"/>
                <w:color w:val="auto"/>
              </w:rPr>
            </w:pPr>
          </w:p>
        </w:tc>
        <w:tc>
          <w:tcPr>
            <w:tcW w:w="30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Repurchase Agreements (Repo)</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647,745</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41,687,516</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505,191</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32,000,195</w:t>
            </w:r>
          </w:p>
        </w:tc>
        <w:tc>
          <w:tcPr>
            <w:tcW w:w="12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28.22 %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Other Money Markets</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200,427</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17,868,759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16,874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1,065,701</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1087.75 %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60" w:type="dxa"/>
            <w:vAlign w:val="bottom"/>
            <w:tcBorders>
              <w:top w:val="single" w:sz="8" w:color="D5DCE4"/>
            </w:tcBorders>
            <w:shd w:val="clear" w:color="auto" w:fill="D5DCE4"/>
          </w:tcPr>
          <w:p>
            <w:pPr>
              <w:spacing w:after="0"/>
              <w:rPr>
                <w:sz w:val="20"/>
                <w:szCs w:val="20"/>
                <w:color w:val="auto"/>
              </w:rPr>
            </w:pPr>
          </w:p>
        </w:tc>
        <w:tc>
          <w:tcPr>
            <w:tcW w:w="220" w:type="dxa"/>
            <w:vAlign w:val="bottom"/>
            <w:tcBorders>
              <w:top w:val="single" w:sz="8" w:color="D5DCE4"/>
              <w:right w:val="single" w:sz="8" w:color="D5DCE4"/>
            </w:tcBorders>
            <w:shd w:val="clear" w:color="auto" w:fill="D5DCE4"/>
          </w:tcPr>
          <w:p>
            <w:pPr>
              <w:spacing w:after="0"/>
              <w:rPr>
                <w:sz w:val="20"/>
                <w:szCs w:val="20"/>
                <w:color w:val="auto"/>
              </w:rPr>
            </w:pPr>
          </w:p>
        </w:tc>
        <w:tc>
          <w:tcPr>
            <w:tcW w:w="302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top w:val="single" w:sz="8" w:color="auto"/>
              <w:bottom w:val="single" w:sz="8" w:color="auto"/>
            </w:tcBorders>
            <w:shd w:val="clear" w:color="auto" w:fill="D5DCE4"/>
          </w:tcPr>
          <w:p>
            <w:pPr>
              <w:spacing w:after="0"/>
              <w:rPr>
                <w:sz w:val="20"/>
                <w:szCs w:val="20"/>
                <w:color w:val="auto"/>
              </w:rPr>
            </w:pPr>
          </w:p>
        </w:tc>
        <w:tc>
          <w:tcPr>
            <w:tcW w:w="102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848,171</w:t>
            </w:r>
          </w:p>
        </w:tc>
        <w:tc>
          <w:tcPr>
            <w:tcW w:w="400" w:type="dxa"/>
            <w:vAlign w:val="bottom"/>
            <w:tcBorders>
              <w:top w:val="single" w:sz="8" w:color="auto"/>
              <w:bottom w:val="single" w:sz="8" w:color="auto"/>
            </w:tcBorders>
            <w:shd w:val="clear" w:color="auto" w:fill="D5DCE4"/>
          </w:tcPr>
          <w:p>
            <w:pPr>
              <w:spacing w:after="0"/>
              <w:rPr>
                <w:sz w:val="20"/>
                <w:szCs w:val="20"/>
                <w:color w:val="auto"/>
              </w:rPr>
            </w:pPr>
          </w:p>
        </w:tc>
        <w:tc>
          <w:tcPr>
            <w:tcW w:w="10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59,556,275</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320" w:type="dxa"/>
            <w:vAlign w:val="bottom"/>
            <w:tcBorders>
              <w:top w:val="single" w:sz="8" w:color="auto"/>
              <w:bottom w:val="single" w:sz="8" w:color="auto"/>
            </w:tcBorders>
            <w:shd w:val="clear" w:color="auto" w:fill="D5DCE4"/>
          </w:tcPr>
          <w:p>
            <w:pPr>
              <w:spacing w:after="0"/>
              <w:rPr>
                <w:sz w:val="20"/>
                <w:szCs w:val="20"/>
                <w:color w:val="auto"/>
              </w:rPr>
            </w:pPr>
          </w:p>
        </w:tc>
        <w:tc>
          <w:tcPr>
            <w:tcW w:w="102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522,065</w:t>
            </w:r>
          </w:p>
        </w:tc>
        <w:tc>
          <w:tcPr>
            <w:tcW w:w="160" w:type="dxa"/>
            <w:vAlign w:val="bottom"/>
            <w:tcBorders>
              <w:top w:val="single" w:sz="8" w:color="auto"/>
              <w:bottom w:val="single" w:sz="8" w:color="auto"/>
            </w:tcBorders>
            <w:shd w:val="clear" w:color="auto" w:fill="D5DCE4"/>
          </w:tcPr>
          <w:p>
            <w:pPr>
              <w:spacing w:after="0"/>
              <w:rPr>
                <w:sz w:val="20"/>
                <w:szCs w:val="20"/>
                <w:color w:val="auto"/>
              </w:rPr>
            </w:pPr>
          </w:p>
        </w:tc>
        <w:tc>
          <w:tcPr>
            <w:tcW w:w="12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33,065,896</w:t>
            </w:r>
          </w:p>
        </w:tc>
        <w:tc>
          <w:tcPr>
            <w:tcW w:w="120" w:type="dxa"/>
            <w:vAlign w:val="bottom"/>
            <w:tcBorders>
              <w:top w:val="single" w:sz="8" w:color="D5DCE4"/>
              <w:right w:val="single" w:sz="8" w:color="D5DCE4"/>
            </w:tcBorders>
            <w:shd w:val="clear" w:color="auto" w:fill="D5DCE4"/>
          </w:tcPr>
          <w:p>
            <w:pPr>
              <w:spacing w:after="0"/>
              <w:rPr>
                <w:sz w:val="20"/>
                <w:szCs w:val="20"/>
                <w:color w:val="auto"/>
              </w:rPr>
            </w:pPr>
          </w:p>
        </w:tc>
        <w:tc>
          <w:tcPr>
            <w:tcW w:w="12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62.46 %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960" w:type="dxa"/>
            <w:vAlign w:val="bottom"/>
            <w:tcBorders>
              <w:bottom w:val="single" w:sz="8" w:color="D5DCE4"/>
            </w:tcBorders>
          </w:tcPr>
          <w:p>
            <w:pPr>
              <w:spacing w:after="0"/>
              <w:rPr>
                <w:sz w:val="17"/>
                <w:szCs w:val="17"/>
                <w:color w:val="auto"/>
              </w:rPr>
            </w:pPr>
          </w:p>
        </w:tc>
        <w:tc>
          <w:tcPr>
            <w:tcW w:w="220" w:type="dxa"/>
            <w:vAlign w:val="bottom"/>
            <w:tcBorders>
              <w:bottom w:val="single" w:sz="8" w:color="D5DCE4"/>
            </w:tcBorders>
          </w:tcPr>
          <w:p>
            <w:pPr>
              <w:spacing w:after="0"/>
              <w:rPr>
                <w:sz w:val="17"/>
                <w:szCs w:val="17"/>
                <w:color w:val="auto"/>
              </w:rPr>
            </w:pPr>
          </w:p>
        </w:tc>
        <w:tc>
          <w:tcPr>
            <w:tcW w:w="2900" w:type="dxa"/>
            <w:vAlign w:val="bottom"/>
            <w:tcBorders>
              <w:bottom w:val="single" w:sz="8" w:color="D5DCE4"/>
            </w:tcBorders>
          </w:tcPr>
          <w:p>
            <w:pPr>
              <w:spacing w:after="0"/>
              <w:rPr>
                <w:sz w:val="17"/>
                <w:szCs w:val="17"/>
                <w:color w:val="auto"/>
              </w:rPr>
            </w:pPr>
          </w:p>
        </w:tc>
        <w:tc>
          <w:tcPr>
            <w:tcW w:w="120" w:type="dxa"/>
            <w:vAlign w:val="bottom"/>
            <w:tcBorders>
              <w:bottom w:val="single" w:sz="8" w:color="D5DCE4"/>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60" w:type="dxa"/>
            <w:vAlign w:val="bottom"/>
            <w:shd w:val="clear" w:color="auto" w:fill="D5DCE4"/>
          </w:tcPr>
          <w:p>
            <w:pPr>
              <w:spacing w:after="0"/>
              <w:rPr>
                <w:sz w:val="16"/>
                <w:szCs w:val="16"/>
                <w:color w:val="auto"/>
              </w:rPr>
            </w:pPr>
          </w:p>
        </w:tc>
        <w:tc>
          <w:tcPr>
            <w:tcW w:w="220" w:type="dxa"/>
            <w:vAlign w:val="bottom"/>
            <w:tcBorders>
              <w:right w:val="single" w:sz="8" w:color="D5DCE4"/>
            </w:tcBorders>
            <w:shd w:val="clear" w:color="auto" w:fill="D5DCE4"/>
          </w:tcPr>
          <w:p>
            <w:pPr>
              <w:spacing w:after="0"/>
              <w:rPr>
                <w:sz w:val="16"/>
                <w:szCs w:val="16"/>
                <w:color w:val="auto"/>
              </w:rPr>
            </w:pPr>
          </w:p>
        </w:tc>
        <w:tc>
          <w:tcPr>
            <w:tcW w:w="2900" w:type="dxa"/>
            <w:vAlign w:val="bottom"/>
            <w:shd w:val="clear" w:color="auto" w:fill="D5DCE4"/>
          </w:tcPr>
          <w:p>
            <w:pPr>
              <w:spacing w:after="0"/>
              <w:rPr>
                <w:sz w:val="16"/>
                <w:szCs w:val="16"/>
                <w:color w:val="auto"/>
              </w:rPr>
            </w:pPr>
          </w:p>
        </w:tc>
        <w:tc>
          <w:tcPr>
            <w:tcW w:w="120" w:type="dxa"/>
            <w:vAlign w:val="bottom"/>
            <w:tcBorders>
              <w:right w:val="single" w:sz="8" w:color="auto"/>
            </w:tcBorders>
            <w:shd w:val="clear" w:color="auto" w:fill="D5DCE4"/>
          </w:tcPr>
          <w:p>
            <w:pPr>
              <w:spacing w:after="0"/>
              <w:rPr>
                <w:sz w:val="16"/>
                <w:szCs w:val="16"/>
                <w:color w:val="auto"/>
              </w:rPr>
            </w:pPr>
          </w:p>
        </w:tc>
        <w:tc>
          <w:tcPr>
            <w:tcW w:w="320" w:type="dxa"/>
            <w:vAlign w:val="bottom"/>
            <w:shd w:val="clear" w:color="auto" w:fill="D5DCE4"/>
          </w:tcPr>
          <w:p>
            <w:pPr>
              <w:spacing w:after="0"/>
              <w:rPr>
                <w:sz w:val="16"/>
                <w:szCs w:val="16"/>
                <w:color w:val="auto"/>
              </w:rPr>
            </w:pPr>
          </w:p>
        </w:tc>
        <w:tc>
          <w:tcPr>
            <w:tcW w:w="1020" w:type="dxa"/>
            <w:vAlign w:val="bottom"/>
            <w:tcBorders>
              <w:right w:val="single" w:sz="8" w:color="auto"/>
            </w:tcBorders>
            <w:shd w:val="clear" w:color="auto" w:fill="D5DCE4"/>
          </w:tcPr>
          <w:p>
            <w:pPr>
              <w:spacing w:after="0"/>
              <w:rPr>
                <w:sz w:val="16"/>
                <w:szCs w:val="16"/>
                <w:color w:val="auto"/>
              </w:rPr>
            </w:pPr>
          </w:p>
        </w:tc>
        <w:tc>
          <w:tcPr>
            <w:tcW w:w="400" w:type="dxa"/>
            <w:vAlign w:val="bottom"/>
            <w:shd w:val="clear" w:color="auto" w:fill="D5DCE4"/>
          </w:tcPr>
          <w:p>
            <w:pPr>
              <w:spacing w:after="0"/>
              <w:rPr>
                <w:sz w:val="16"/>
                <w:szCs w:val="16"/>
                <w:color w:val="auto"/>
              </w:rPr>
            </w:pPr>
          </w:p>
        </w:tc>
        <w:tc>
          <w:tcPr>
            <w:tcW w:w="1040" w:type="dxa"/>
            <w:vAlign w:val="bottom"/>
            <w:shd w:val="clear" w:color="auto" w:fill="D5DCE4"/>
          </w:tcPr>
          <w:p>
            <w:pPr>
              <w:spacing w:after="0"/>
              <w:rPr>
                <w:sz w:val="16"/>
                <w:szCs w:val="16"/>
                <w:color w:val="auto"/>
              </w:rPr>
            </w:pPr>
          </w:p>
        </w:tc>
        <w:tc>
          <w:tcPr>
            <w:tcW w:w="100" w:type="dxa"/>
            <w:vAlign w:val="bottom"/>
            <w:tcBorders>
              <w:right w:val="single" w:sz="8" w:color="auto"/>
            </w:tcBorders>
            <w:shd w:val="clear" w:color="auto" w:fill="D5DCE4"/>
          </w:tcPr>
          <w:p>
            <w:pPr>
              <w:spacing w:after="0"/>
              <w:rPr>
                <w:sz w:val="16"/>
                <w:szCs w:val="16"/>
                <w:color w:val="auto"/>
              </w:rPr>
            </w:pPr>
          </w:p>
        </w:tc>
        <w:tc>
          <w:tcPr>
            <w:tcW w:w="320" w:type="dxa"/>
            <w:vAlign w:val="bottom"/>
            <w:shd w:val="clear" w:color="auto" w:fill="D5DCE4"/>
          </w:tcPr>
          <w:p>
            <w:pPr>
              <w:spacing w:after="0"/>
              <w:rPr>
                <w:sz w:val="16"/>
                <w:szCs w:val="16"/>
                <w:color w:val="auto"/>
              </w:rPr>
            </w:pPr>
          </w:p>
        </w:tc>
        <w:tc>
          <w:tcPr>
            <w:tcW w:w="1020" w:type="dxa"/>
            <w:vAlign w:val="bottom"/>
            <w:tcBorders>
              <w:right w:val="single" w:sz="8" w:color="auto"/>
            </w:tcBorders>
            <w:shd w:val="clear" w:color="auto" w:fill="D5DCE4"/>
          </w:tcPr>
          <w:p>
            <w:pPr>
              <w:spacing w:after="0"/>
              <w:rPr>
                <w:sz w:val="16"/>
                <w:szCs w:val="16"/>
                <w:color w:val="auto"/>
              </w:rPr>
            </w:pPr>
          </w:p>
        </w:tc>
        <w:tc>
          <w:tcPr>
            <w:tcW w:w="160" w:type="dxa"/>
            <w:vAlign w:val="bottom"/>
            <w:shd w:val="clear" w:color="auto" w:fill="D5DCE4"/>
          </w:tcPr>
          <w:p>
            <w:pPr>
              <w:spacing w:after="0"/>
              <w:rPr>
                <w:sz w:val="16"/>
                <w:szCs w:val="16"/>
                <w:color w:val="auto"/>
              </w:rPr>
            </w:pPr>
          </w:p>
        </w:tc>
        <w:tc>
          <w:tcPr>
            <w:tcW w:w="1380" w:type="dxa"/>
            <w:vAlign w:val="bottom"/>
            <w:tcBorders>
              <w:right w:val="single" w:sz="8" w:color="auto"/>
            </w:tcBorders>
            <w:gridSpan w:val="2"/>
            <w:shd w:val="clear" w:color="auto" w:fill="D5DCE4"/>
          </w:tcPr>
          <w:p>
            <w:pPr>
              <w:jc w:val="center"/>
              <w:ind w:right="280"/>
              <w:spacing w:after="0"/>
              <w:rPr>
                <w:sz w:val="20"/>
                <w:szCs w:val="20"/>
                <w:color w:val="auto"/>
              </w:rPr>
            </w:pPr>
            <w:r>
              <w:rPr>
                <w:rFonts w:ascii="Arial" w:cs="Arial" w:eastAsia="Arial" w:hAnsi="Arial"/>
                <w:sz w:val="16"/>
                <w:szCs w:val="16"/>
                <w:b w:val="1"/>
                <w:bCs w:val="1"/>
                <w:color w:val="auto"/>
              </w:rPr>
              <w:t>Volume (USD</w:t>
            </w:r>
          </w:p>
        </w:tc>
        <w:tc>
          <w:tcPr>
            <w:tcW w:w="1220" w:type="dxa"/>
            <w:vAlign w:val="bottom"/>
            <w:shd w:val="clear" w:color="auto" w:fill="D5DCE4"/>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spacing w:after="0"/>
              <w:rPr>
                <w:sz w:val="20"/>
                <w:szCs w:val="20"/>
                <w:color w:val="auto"/>
              </w:rPr>
            </w:pPr>
          </w:p>
        </w:tc>
        <w:tc>
          <w:tcPr>
            <w:tcW w:w="220" w:type="dxa"/>
            <w:vAlign w:val="bottom"/>
            <w:tcBorders>
              <w:right w:val="single" w:sz="8" w:color="D5DCE4"/>
            </w:tcBorders>
            <w:shd w:val="clear" w:color="auto" w:fill="D5DCE4"/>
          </w:tcPr>
          <w:p>
            <w:pPr>
              <w:spacing w:after="0"/>
              <w:rPr>
                <w:sz w:val="20"/>
                <w:szCs w:val="20"/>
                <w:color w:val="auto"/>
              </w:rPr>
            </w:pPr>
          </w:p>
        </w:tc>
        <w:tc>
          <w:tcPr>
            <w:tcW w:w="2900" w:type="dxa"/>
            <w:vAlign w:val="bottom"/>
            <w:tcBorders>
              <w:bottom w:val="single" w:sz="8" w:color="auto"/>
            </w:tcBorders>
            <w:shd w:val="clear" w:color="auto" w:fill="D5DCE4"/>
          </w:tcPr>
          <w:p>
            <w:pPr>
              <w:spacing w:after="0"/>
              <w:rPr>
                <w:sz w:val="20"/>
                <w:szCs w:val="20"/>
                <w:color w:val="auto"/>
              </w:rPr>
            </w:pPr>
          </w:p>
        </w:tc>
        <w:tc>
          <w:tcPr>
            <w:tcW w:w="120" w:type="dxa"/>
            <w:vAlign w:val="bottom"/>
            <w:tcBorders>
              <w:bottom w:val="single" w:sz="8" w:color="auto"/>
              <w:right w:val="single" w:sz="8" w:color="auto"/>
            </w:tcBorders>
            <w:shd w:val="clear" w:color="auto" w:fill="D5DCE4"/>
          </w:tcPr>
          <w:p>
            <w:pPr>
              <w:spacing w:after="0"/>
              <w:rPr>
                <w:sz w:val="20"/>
                <w:szCs w:val="20"/>
                <w:color w:val="auto"/>
              </w:rPr>
            </w:pPr>
          </w:p>
        </w:tc>
        <w:tc>
          <w:tcPr>
            <w:tcW w:w="1340" w:type="dxa"/>
            <w:vAlign w:val="bottom"/>
            <w:tcBorders>
              <w:bottom w:val="single" w:sz="8" w:color="auto"/>
              <w:right w:val="single" w:sz="8" w:color="auto"/>
            </w:tcBorders>
            <w:gridSpan w:val="2"/>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340" w:type="dxa"/>
            <w:vAlign w:val="bottom"/>
            <w:tcBorders>
              <w:bottom w:val="single" w:sz="8" w:color="auto"/>
              <w:right w:val="single" w:sz="8" w:color="auto"/>
            </w:tcBorders>
            <w:gridSpan w:val="2"/>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60" w:type="dxa"/>
            <w:vAlign w:val="bottom"/>
            <w:tcBorders>
              <w:bottom w:val="single" w:sz="8" w:color="auto"/>
            </w:tcBorders>
            <w:shd w:val="clear" w:color="auto" w:fill="D5DCE4"/>
          </w:tcPr>
          <w:p>
            <w:pPr>
              <w:spacing w:after="0"/>
              <w:rPr>
                <w:sz w:val="20"/>
                <w:szCs w:val="20"/>
                <w:color w:val="auto"/>
              </w:rPr>
            </w:pPr>
          </w:p>
        </w:tc>
        <w:tc>
          <w:tcPr>
            <w:tcW w:w="1380" w:type="dxa"/>
            <w:vAlign w:val="bottom"/>
            <w:tcBorders>
              <w:bottom w:val="single" w:sz="8" w:color="auto"/>
              <w:right w:val="single" w:sz="8" w:color="auto"/>
            </w:tcBorders>
            <w:gridSpan w:val="2"/>
            <w:shd w:val="clear" w:color="auto" w:fill="D5DCE4"/>
          </w:tcPr>
          <w:p>
            <w:pPr>
              <w:jc w:val="center"/>
              <w:ind w:right="280"/>
              <w:spacing w:after="0"/>
              <w:rPr>
                <w:sz w:val="20"/>
                <w:szCs w:val="20"/>
                <w:color w:val="auto"/>
              </w:rPr>
            </w:pPr>
            <w:r>
              <w:rPr>
                <w:rFonts w:ascii="Arial" w:cs="Arial" w:eastAsia="Arial" w:hAnsi="Arial"/>
                <w:sz w:val="16"/>
                <w:szCs w:val="16"/>
                <w:b w:val="1"/>
                <w:bCs w:val="1"/>
                <w:color w:val="auto"/>
              </w:rPr>
              <w:t>mm)</w:t>
            </w:r>
          </w:p>
        </w:tc>
        <w:tc>
          <w:tcPr>
            <w:tcW w:w="1220" w:type="dxa"/>
            <w:vAlign w:val="bottom"/>
            <w:tcBorders>
              <w:bottom w:val="single" w:sz="8" w:color="auto"/>
            </w:tcBorders>
            <w:shd w:val="clear" w:color="auto" w:fill="D5DCE4"/>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jc w:val="right"/>
              <w:ind w:right="162"/>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2,211,690</w:t>
            </w:r>
          </w:p>
        </w:tc>
        <w:tc>
          <w:tcPr>
            <w:tcW w:w="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147,521,178</w:t>
            </w:r>
          </w:p>
        </w:tc>
        <w:tc>
          <w:tcPr>
            <w:tcW w:w="10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1,424,185</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90,434,913</w:t>
            </w:r>
          </w:p>
        </w:tc>
        <w:tc>
          <w:tcPr>
            <w:tcW w:w="1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55.3 %</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p>
      <w:pPr>
        <w:ind w:left="440" w:right="120" w:hanging="414"/>
        <w:spacing w:after="0" w:line="294" w:lineRule="auto"/>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acquired Yieldbroker, r8fin and ICD on August 31, 2023, January 19, 2024 and August 1, 2024, respectively. Total volume reported includes volumes from each acquired business subsequent to the closing date of the applicable acquisition.</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E32E1"/>
        </w:rPr>
        <w:t>https://www.tradeweb.com/newsroom/monthly-activity-reports/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BASIS OF PRESENTATION</w:t>
      </w:r>
    </w:p>
    <w:p>
      <w:pPr>
        <w:spacing w:after="0" w:line="11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principal assets consist of its direct and indirect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201"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4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Please refer to the Company's previously filed Quarterly Reports on Form 10-Q and Annual Report on Form 10-K for capitalized terms not otherwise defined herein.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 INTERIM RESULTS</w:t>
      </w:r>
    </w:p>
    <w:p>
      <w:pPr>
        <w:spacing w:after="0" w:line="221"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interim financial results presented herein for the three and nine months ended September 30, 2024 and 2023 are unaudited. Operating results for interim periods are not necessarily indicative of the results that may be expected for the full year.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FORWARD-LOOKING STATEMENTS</w:t>
      </w:r>
    </w:p>
    <w:p>
      <w:pPr>
        <w:spacing w:after="0" w:line="22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2024 guidance and full-year 2024 and 2025 revenue guidance related to the LSEG market data license agreement, pending and completed acquisitions, future performance, the industry and markets in which we operate, our expectations, beliefs, plans, strategies, objectives, prospects and assumptions and future events are forward-looking statements.</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forward-looking statements contained in this release, they may not be predictive of events,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NON-GAAP FINANCIAL MEASURES</w:t>
      </w:r>
    </w:p>
    <w:p>
      <w:pPr>
        <w:spacing w:after="0" w:line="22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Net Income per diluted share ("Adjusted Diluted EPS"), Adjusted Expenses, Free Cash Flow and constant currency change,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7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86"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73"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ectPr>
          <w:pgSz w:w="11900" w:h="16838" w:orient="portrait"/>
          <w:cols w:equalWidth="0" w:num="1">
            <w:col w:w="11240"/>
          </w:cols>
          <w:pgMar w:left="320" w:top="989" w:right="339" w:bottom="1440" w:gutter="0" w:footer="0" w:header="0"/>
        </w:sectPr>
      </w:pPr>
    </w:p>
    <w:p>
      <w:pPr>
        <w:spacing w:after="0" w:line="218" w:lineRule="exact"/>
        <w:rPr>
          <w:sz w:val="20"/>
          <w:szCs w:val="20"/>
          <w:color w:val="auto"/>
        </w:rPr>
      </w:pPr>
    </w:p>
    <w:p>
      <w:pPr>
        <w:ind w:left="10480"/>
        <w:spacing w:after="0"/>
        <w:rPr>
          <w:sz w:val="20"/>
          <w:szCs w:val="20"/>
          <w:color w:val="auto"/>
        </w:rPr>
      </w:pPr>
      <w:r>
        <w:rPr>
          <w:rFonts w:ascii="Arial" w:cs="Arial" w:eastAsia="Arial" w:hAnsi="Arial"/>
          <w:sz w:val="17"/>
          <w:szCs w:val="17"/>
          <w:color w:val="auto"/>
        </w:rPr>
        <w:t>Page | 10</w:t>
      </w:r>
    </w:p>
    <w:p>
      <w:pPr>
        <w:sectPr>
          <w:pgSz w:w="11900" w:h="16838" w:orient="portrait"/>
          <w:cols w:equalWidth="0" w:num="1">
            <w:col w:w="11240"/>
          </w:cols>
          <w:pgMar w:left="320" w:top="989" w:right="339" w:bottom="1440" w:gutter="0" w:footer="0" w:header="0"/>
          <w:type w:val="continuous"/>
        </w:sectPr>
      </w:pPr>
    </w:p>
    <w:bookmarkStart w:id="13" w:name="page14"/>
    <w:bookmarkEnd w:id="13"/>
    <w:p>
      <w:pPr>
        <w:ind w:right="160"/>
        <w:spacing w:after="0" w:line="286"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present certain changes on a “constant currency” basis. Since our consolidated financial statements are presented in U.S. dollars, we must translate non-U.S. dollar revenues and expenses into U.S. dollars. Constant currency change, which is a non-GAAP financial measure, is defined as change excluding the effects of foreign currency fluctuations. Constant currency information is calculated by translating the current period and prior period’s results using the annual average exchange rates for the prior period. We use constant currency change as a supplemental metric to evaluate our underlying performance between periods by removing the impact of foreign currency fluctuations. We present certain constant currency change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cash flow from operating activities or any other financial measure prepared or derived in accordance with GAAP. You are encouraged to evaluate each adjustment included in the reconciliations. In addition, in evaluating Adjusted EBITDA, Adjusted EBITDA margin, Adjusted EBIT, Adjusted EBIT margin, Adjusted EBT, Adjusted Net Income, Adjusted Diluted EPS, Adjusted Expenses and Free Cash Flow, you should be aware that in the future, we may incur expenses similar to the adjustments in the presentation of these non-GAAP financial measures.</w:t>
      </w:r>
    </w:p>
    <w:p>
      <w:pPr>
        <w:spacing w:after="0" w:line="17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MARKET AND INDUSTRY DATA</w:t>
      </w:r>
    </w:p>
    <w:p>
      <w:pPr>
        <w:spacing w:after="0" w:line="23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This release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Investors and others should note that Tradeweb announces material financial and operational information using its investor relations website, press releases, SEC filings and public conference calls and webcasts. Information about Tradeweb, its business and its results of operations may also be announced by posts on the Company’s accounts on the following social media channels: Instagram, LinkedIn and X (formerly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2024-10-30T06:11:41Z</dcterms:created>
  <dcterms:modified xsi:type="dcterms:W3CDTF">2024-10-30T06:11:41Z</dcterms:modified>
</cp:coreProperties>
</file>