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18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854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06/21/2021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16,022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79,846</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06/21/2021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16,022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85.1465</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63,824</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16,022</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06/21/2021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16,022</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8"/>
              </w:rPr>
              <w:t>4,275</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March 15,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22,004 unvested restricted stock units ("RSUs") in respect of the issuer's Class A common stock ("Class A Common Stock") which are scheduled to vest on January 1, 2022, (ii) 6,989 unvested RSUs in respect of Class A Common Stock which are scheduled to vest in equal installments on each of March 17, 2022 and March 17, 2023, (iii) 20,966 unvested RSUs in respect of Class A Common Stock which are scheduled to vest on January 1, 2023, and (iv) 5,865 unvested RSUs in respect of Class A Common Stock which are scheduled to vest in equal installments on each of the first, second and third anniversaries of March 15, 2021, in each case subject to the reporting person's continued employed through the applicable vesting date.</w:t>
      </w:r>
    </w:p>
    <w:p>
      <w:pPr>
        <w:spacing w:after="0" w:line="18" w:lineRule="exact"/>
        <w:rPr>
          <w:rFonts w:ascii="Arial" w:cs="Arial" w:eastAsia="Arial" w:hAnsi="Arial"/>
          <w:sz w:val="12"/>
          <w:szCs w:val="12"/>
          <w:color w:val="008000"/>
        </w:rPr>
      </w:pPr>
    </w:p>
    <w:p>
      <w:pPr>
        <w:jc w:val="both"/>
        <w:ind w:left="40" w:right="3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$85.00 to $85.36,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06/22/2021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2021-06-22T19:53:08Z</dcterms:created>
  <dcterms:modified xsi:type="dcterms:W3CDTF">2021-06-22T19:53:08Z</dcterms:modified>
</cp:coreProperties>
</file>