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825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2505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Spencer James</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4"/>
        <w:spacing w:after="0"/>
        <w:rPr>
          <w:sz w:val="20"/>
          <w:szCs w:val="20"/>
          <w:color w:val="auto"/>
        </w:rPr>
      </w:pPr>
      <w:r>
        <w:rPr>
          <w:rFonts w:ascii="Arial" w:cs="Arial" w:eastAsia="Arial" w:hAnsi="Arial"/>
          <w:sz w:val="17"/>
          <w:szCs w:val="17"/>
          <w:color w:val="0000FF"/>
        </w:rPr>
        <w:t>Chief Technology Officer</w:t>
      </w:r>
    </w:p>
    <w:p>
      <w:pPr>
        <w:spacing w:after="0" w:line="406" w:lineRule="exact"/>
        <w:rPr>
          <w:sz w:val="24"/>
          <w:szCs w:val="24"/>
          <w:color w:val="auto"/>
        </w:rPr>
      </w:pPr>
    </w:p>
    <w:p>
      <w:pPr>
        <w:sectPr>
          <w:pgSz w:w="11900" w:h="1683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2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90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92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jc w:val="center"/>
              <w:ind w:left="4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01/31/2020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5"/>
              </w:rPr>
              <w:t>35,367</w:t>
            </w:r>
            <w:r>
              <w:rPr>
                <w:rFonts w:ascii="Arial" w:cs="Arial" w:eastAsia="Arial" w:hAnsi="Arial"/>
                <w:sz w:val="22"/>
                <w:szCs w:val="22"/>
                <w:color w:val="008000"/>
                <w:w w:val="85"/>
                <w:vertAlign w:val="superscript"/>
              </w:rPr>
              <w:t>(2)</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1"/>
                <w:szCs w:val="11"/>
                <w:color w:val="008000"/>
                <w:w w:val="88"/>
              </w:rPr>
              <w:t>(2)</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108,741</w:t>
            </w:r>
            <w:r>
              <w:rPr>
                <w:rFonts w:ascii="Arial" w:cs="Arial" w:eastAsia="Arial" w:hAnsi="Arial"/>
                <w:sz w:val="22"/>
                <w:szCs w:val="22"/>
                <w:color w:val="008000"/>
                <w:w w:val="88"/>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01/31/2020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2"/>
              </w:rPr>
              <w:t>35,367</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45.0531</w:t>
            </w:r>
            <w:r>
              <w:rPr>
                <w:rFonts w:ascii="Arial" w:cs="Arial" w:eastAsia="Arial" w:hAnsi="Arial"/>
                <w:sz w:val="22"/>
                <w:szCs w:val="22"/>
                <w:color w:val="008000"/>
                <w:w w:val="9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73,374</w:t>
            </w:r>
            <w:r>
              <w:rPr>
                <w:rFonts w:ascii="Arial" w:cs="Arial" w:eastAsia="Arial" w:hAnsi="Arial"/>
                <w:sz w:val="22"/>
                <w:szCs w:val="22"/>
                <w:color w:val="008000"/>
                <w:w w:val="88"/>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5"/>
              </w:rPr>
              <w:t>16,106</w:t>
            </w:r>
            <w:r>
              <w:rPr>
                <w:rFonts w:ascii="Arial" w:cs="Arial" w:eastAsia="Arial" w:hAnsi="Arial"/>
                <w:sz w:val="22"/>
                <w:szCs w:val="22"/>
                <w:color w:val="008000"/>
                <w:w w:val="85"/>
                <w:vertAlign w:val="superscript"/>
              </w:rPr>
              <w:t>(5)</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46.18</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57,268</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1"/>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5"/>
              </w:rPr>
              <w:t>1,065</w:t>
            </w:r>
            <w:r>
              <w:rPr>
                <w:rFonts w:ascii="Arial" w:cs="Arial" w:eastAsia="Arial" w:hAnsi="Arial"/>
                <w:sz w:val="22"/>
                <w:szCs w:val="22"/>
                <w:color w:val="008000"/>
                <w:w w:val="85"/>
                <w:vertAlign w:val="superscript"/>
              </w:rPr>
              <w:t>(7)</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3"/>
              </w:rPr>
              <w:t>2,300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60,633</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3"/>
              </w:rPr>
              <w:t>2,300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47.0243</w:t>
            </w:r>
            <w:r>
              <w:rPr>
                <w:rFonts w:ascii="Arial" w:cs="Arial" w:eastAsia="Arial" w:hAnsi="Arial"/>
                <w:sz w:val="22"/>
                <w:szCs w:val="22"/>
                <w:color w:val="008000"/>
                <w:w w:val="90"/>
                <w:vertAlign w:val="superscript"/>
              </w:rPr>
              <w:t>(8)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3"/>
              </w:rPr>
              <w:t>5,104</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63,437</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24"/>
              <w:spacing w:after="0"/>
              <w:rPr>
                <w:sz w:val="20"/>
                <w:szCs w:val="20"/>
                <w:color w:val="auto"/>
              </w:rPr>
            </w:pPr>
            <w:r>
              <w:rPr>
                <w:rFonts w:ascii="Arial" w:cs="Arial" w:eastAsia="Arial" w:hAnsi="Arial"/>
                <w:sz w:val="17"/>
                <w:szCs w:val="17"/>
                <w:color w:val="0000FF"/>
                <w:w w:val="93"/>
              </w:rPr>
              <w:t>02/04/2020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3"/>
              </w:rPr>
              <w:t>5,104</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47.0022</w:t>
            </w:r>
            <w:r>
              <w:rPr>
                <w:rFonts w:ascii="Arial" w:cs="Arial" w:eastAsia="Arial" w:hAnsi="Arial"/>
                <w:sz w:val="22"/>
                <w:szCs w:val="22"/>
                <w:color w:val="008000"/>
                <w:w w:val="90"/>
                <w:vertAlign w:val="superscript"/>
              </w:rPr>
              <w:t>(9)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ind w:left="101"/>
              <w:spacing w:after="0"/>
              <w:rPr>
                <w:sz w:val="20"/>
                <w:szCs w:val="20"/>
                <w:color w:val="auto"/>
              </w:rPr>
            </w:pPr>
            <w:r>
              <w:rPr>
                <w:rFonts w:ascii="Arial" w:cs="Arial" w:eastAsia="Arial" w:hAnsi="Arial"/>
                <w:sz w:val="11"/>
                <w:szCs w:val="11"/>
                <w:color w:val="008000"/>
                <w:w w:val="91"/>
              </w:rPr>
              <w:t>(10)</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ind w:left="2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(10)</w:t>
            </w:r>
          </w:p>
        </w:tc>
        <w:tc>
          <w:tcPr>
            <w:tcW w:w="820" w:type="dxa"/>
            <w:vAlign w:val="bottom"/>
            <w:vMerge w:val="restart"/>
          </w:tcPr>
          <w:p>
            <w:pPr>
              <w:jc w:val="center"/>
              <w:ind w:left="7"/>
              <w:spacing w:after="0"/>
              <w:rPr>
                <w:sz w:val="20"/>
                <w:szCs w:val="20"/>
                <w:color w:val="auto"/>
              </w:rPr>
            </w:pPr>
            <w:r>
              <w:rPr>
                <w:rFonts w:ascii="Arial" w:cs="Arial" w:eastAsia="Arial" w:hAnsi="Arial"/>
                <w:sz w:val="11"/>
                <w:szCs w:val="11"/>
                <w:color w:val="008000"/>
                <w:w w:val="91"/>
              </w:rPr>
              <w:t>(10)</w:t>
            </w:r>
          </w:p>
        </w:tc>
        <w:tc>
          <w:tcPr>
            <w:tcW w:w="540" w:type="dxa"/>
            <w:vAlign w:val="bottom"/>
          </w:tcPr>
          <w:p>
            <w:pPr>
              <w:ind w:left="100"/>
              <w:spacing w:after="0" w:line="148" w:lineRule="exact"/>
              <w:rPr>
                <w:sz w:val="20"/>
                <w:szCs w:val="20"/>
                <w:color w:val="auto"/>
              </w:rPr>
            </w:pPr>
            <w:r>
              <w:rPr>
                <w:rFonts w:ascii="Arial" w:cs="Arial" w:eastAsia="Arial" w:hAnsi="Arial"/>
                <w:sz w:val="13"/>
                <w:szCs w:val="13"/>
                <w:color w:val="0000FF"/>
                <w:w w:val="93"/>
              </w:rPr>
              <w:t>Class A</w:t>
            </w:r>
          </w:p>
        </w:tc>
        <w:tc>
          <w:tcPr>
            <w:tcW w:w="680" w:type="dxa"/>
            <w:vAlign w:val="bottom"/>
            <w:vMerge w:val="restart"/>
          </w:tcPr>
          <w:p>
            <w:pPr>
              <w:jc w:val="center"/>
              <w:ind w:left="4"/>
              <w:spacing w:after="0"/>
              <w:rPr>
                <w:sz w:val="20"/>
                <w:szCs w:val="20"/>
                <w:color w:val="auto"/>
              </w:rPr>
            </w:pPr>
            <w:r>
              <w:rPr>
                <w:rFonts w:ascii="Arial" w:cs="Arial" w:eastAsia="Arial" w:hAnsi="Arial"/>
                <w:sz w:val="17"/>
                <w:szCs w:val="17"/>
                <w:color w:val="0000FF"/>
                <w:w w:val="92"/>
              </w:rPr>
              <w:t>35,367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center"/>
              <w:ind w:right="169"/>
              <w:spacing w:after="0"/>
              <w:rPr>
                <w:sz w:val="20"/>
                <w:szCs w:val="20"/>
                <w:color w:val="auto"/>
              </w:rPr>
            </w:pPr>
            <w:r>
              <w:rPr>
                <w:rFonts w:ascii="Arial" w:cs="Arial" w:eastAsia="Arial" w:hAnsi="Arial"/>
                <w:sz w:val="11"/>
                <w:szCs w:val="11"/>
                <w:color w:val="008000"/>
                <w:w w:val="91"/>
              </w:rPr>
              <w:t>(10)</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 of</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01/31/2020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left="298"/>
              <w:spacing w:after="0" w:line="148" w:lineRule="exact"/>
              <w:rPr>
                <w:sz w:val="20"/>
                <w:szCs w:val="20"/>
                <w:color w:val="auto"/>
              </w:rPr>
            </w:pPr>
            <w:r>
              <w:rPr>
                <w:rFonts w:ascii="Arial" w:cs="Arial" w:eastAsia="Arial" w:hAnsi="Arial"/>
                <w:sz w:val="13"/>
                <w:szCs w:val="13"/>
                <w:color w:val="0000FF"/>
                <w:w w:val="90"/>
              </w:rPr>
              <w:t>35,367</w:t>
            </w: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80"/>
              <w:spacing w:after="0" w:line="148" w:lineRule="exact"/>
              <w:rPr>
                <w:sz w:val="20"/>
                <w:szCs w:val="20"/>
                <w:color w:val="auto"/>
              </w:rPr>
            </w:pPr>
            <w:r>
              <w:rPr>
                <w:rFonts w:ascii="Arial" w:cs="Arial" w:eastAsia="Arial" w:hAnsi="Arial"/>
                <w:sz w:val="13"/>
                <w:szCs w:val="13"/>
                <w:color w:val="0000FF"/>
                <w:w w:val="88"/>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jc w:val="center"/>
              <w:ind w:left="178"/>
              <w:spacing w:after="0" w:line="148"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Tradeweb</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Markets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LLC</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D</w:t>
            </w:r>
          </w:p>
        </w:tc>
        <w:tc>
          <w:tcPr>
            <w:tcW w:w="660" w:type="dxa"/>
            <w:vAlign w:val="bottom"/>
            <w:vMerge w:val="restart"/>
          </w:tcPr>
          <w:p>
            <w:pPr>
              <w:jc w:val="center"/>
              <w:ind w:left="101"/>
              <w:spacing w:after="0"/>
              <w:rPr>
                <w:sz w:val="20"/>
                <w:szCs w:val="20"/>
                <w:color w:val="auto"/>
              </w:rPr>
            </w:pPr>
            <w:r>
              <w:rPr>
                <w:rFonts w:ascii="Arial" w:cs="Arial" w:eastAsia="Arial" w:hAnsi="Arial"/>
                <w:sz w:val="11"/>
                <w:szCs w:val="11"/>
                <w:color w:val="008000"/>
                <w:w w:val="91"/>
              </w:rPr>
              <w:t>(11)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26"/>
                <w:szCs w:val="26"/>
                <w:color w:val="0000FF"/>
                <w:w w:val="95"/>
                <w:vertAlign w:val="subscript"/>
              </w:rPr>
              <w:t>J</w:t>
            </w:r>
            <w:r>
              <w:rPr>
                <w:rFonts w:ascii="Arial" w:cs="Arial" w:eastAsia="Arial" w:hAnsi="Arial"/>
                <w:sz w:val="11"/>
                <w:szCs w:val="11"/>
                <w:color w:val="008000"/>
                <w:w w:val="95"/>
              </w:rPr>
              <w:t>(1)(12)</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820" w:type="dxa"/>
            <w:vAlign w:val="bottom"/>
            <w:vMerge w:val="restart"/>
          </w:tcPr>
          <w:p>
            <w:pPr>
              <w:jc w:val="center"/>
              <w:ind w:left="7"/>
              <w:spacing w:after="0"/>
              <w:rPr>
                <w:sz w:val="20"/>
                <w:szCs w:val="20"/>
                <w:color w:val="auto"/>
              </w:rPr>
            </w:pPr>
            <w:r>
              <w:rPr>
                <w:rFonts w:ascii="Arial" w:cs="Arial" w:eastAsia="Arial" w:hAnsi="Arial"/>
                <w:sz w:val="11"/>
                <w:szCs w:val="11"/>
                <w:color w:val="008000"/>
                <w:w w:val="91"/>
              </w:rPr>
              <w:t>(11)</w:t>
            </w:r>
          </w:p>
        </w:tc>
        <w:tc>
          <w:tcPr>
            <w:tcW w:w="540" w:type="dxa"/>
            <w:vAlign w:val="bottom"/>
          </w:tcPr>
          <w:p>
            <w:pPr>
              <w:ind w:left="100"/>
              <w:spacing w:after="0"/>
              <w:rPr>
                <w:sz w:val="20"/>
                <w:szCs w:val="20"/>
                <w:color w:val="auto"/>
              </w:rPr>
            </w:pPr>
            <w:r>
              <w:rPr>
                <w:rFonts w:ascii="Arial" w:cs="Arial" w:eastAsia="Arial" w:hAnsi="Arial"/>
                <w:sz w:val="13"/>
                <w:szCs w:val="13"/>
                <w:color w:val="0000FF"/>
                <w:w w:val="93"/>
              </w:rPr>
              <w:t>Class A</w:t>
            </w:r>
          </w:p>
        </w:tc>
        <w:tc>
          <w:tcPr>
            <w:tcW w:w="680" w:type="dxa"/>
            <w:vAlign w:val="bottom"/>
            <w:vMerge w:val="restart"/>
          </w:tcPr>
          <w:p>
            <w:pPr>
              <w:jc w:val="center"/>
              <w:ind w:left="4"/>
              <w:spacing w:after="0"/>
              <w:rPr>
                <w:sz w:val="20"/>
                <w:szCs w:val="20"/>
                <w:color w:val="auto"/>
              </w:rPr>
            </w:pPr>
            <w:r>
              <w:rPr>
                <w:rFonts w:ascii="Arial" w:cs="Arial" w:eastAsia="Arial" w:hAnsi="Arial"/>
                <w:sz w:val="17"/>
                <w:szCs w:val="17"/>
                <w:color w:val="0000FF"/>
                <w:w w:val="92"/>
              </w:rPr>
              <w:t>35,367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center"/>
              <w:ind w:right="169"/>
              <w:spacing w:after="0"/>
              <w:rPr>
                <w:sz w:val="20"/>
                <w:szCs w:val="20"/>
                <w:color w:val="auto"/>
              </w:rPr>
            </w:pPr>
            <w:r>
              <w:rPr>
                <w:rFonts w:ascii="Arial" w:cs="Arial" w:eastAsia="Arial" w:hAnsi="Arial"/>
                <w:sz w:val="11"/>
                <w:szCs w:val="11"/>
                <w:color w:val="008000"/>
                <w:w w:val="91"/>
              </w:rPr>
              <w:t>(11)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01/31/2020</w:t>
            </w:r>
          </w:p>
        </w:tc>
        <w:tc>
          <w:tcPr>
            <w:tcW w:w="1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left="298"/>
              <w:spacing w:after="0" w:line="148" w:lineRule="exact"/>
              <w:rPr>
                <w:sz w:val="20"/>
                <w:szCs w:val="20"/>
                <w:color w:val="auto"/>
              </w:rPr>
            </w:pPr>
            <w:r>
              <w:rPr>
                <w:rFonts w:ascii="Arial" w:cs="Arial" w:eastAsia="Arial" w:hAnsi="Arial"/>
                <w:sz w:val="13"/>
                <w:szCs w:val="13"/>
                <w:color w:val="0000FF"/>
                <w:w w:val="90"/>
              </w:rPr>
              <w:t>35,367</w:t>
            </w: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ind w:left="80"/>
              <w:spacing w:after="0" w:line="148" w:lineRule="exact"/>
              <w:rPr>
                <w:sz w:val="20"/>
                <w:szCs w:val="20"/>
                <w:color w:val="auto"/>
              </w:rPr>
            </w:pPr>
            <w:r>
              <w:rPr>
                <w:rFonts w:ascii="Arial" w:cs="Arial" w:eastAsia="Arial" w:hAnsi="Arial"/>
                <w:sz w:val="13"/>
                <w:szCs w:val="13"/>
                <w:color w:val="0000FF"/>
                <w:w w:val="88"/>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jc w:val="center"/>
              <w:ind w:left="178"/>
              <w:spacing w:after="0" w:line="148"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ind w:left="20"/>
              <w:spacing w:after="0" w:line="214"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(13)</w:t>
            </w: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left="4"/>
              <w:spacing w:after="0"/>
              <w:rPr>
                <w:sz w:val="20"/>
                <w:szCs w:val="20"/>
                <w:color w:val="auto"/>
              </w:rPr>
            </w:pPr>
            <w:r>
              <w:rPr>
                <w:rFonts w:ascii="Arial" w:cs="Arial" w:eastAsia="Arial" w:hAnsi="Arial"/>
                <w:sz w:val="17"/>
                <w:szCs w:val="17"/>
                <w:color w:val="0000FF"/>
                <w:w w:val="93"/>
              </w:rPr>
              <w:t>2,300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restart"/>
          </w:tcPr>
          <w:p>
            <w:pPr>
              <w:jc w:val="center"/>
              <w:ind w:left="81"/>
              <w:spacing w:after="0" w:line="14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02/03/2020</w:t>
            </w: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gridSpan w:val="2"/>
            <w:vMerge w:val="restart"/>
          </w:tcPr>
          <w:p>
            <w:pPr>
              <w:jc w:val="center"/>
              <w:ind w:left="318"/>
              <w:spacing w:after="0" w:line="148" w:lineRule="exact"/>
              <w:rPr>
                <w:sz w:val="20"/>
                <w:szCs w:val="20"/>
                <w:color w:val="auto"/>
              </w:rPr>
            </w:pPr>
            <w:r>
              <w:rPr>
                <w:rFonts w:ascii="Arial" w:cs="Arial" w:eastAsia="Arial" w:hAnsi="Arial"/>
                <w:sz w:val="13"/>
                <w:szCs w:val="13"/>
                <w:color w:val="0000FF"/>
                <w:w w:val="92"/>
              </w:rPr>
              <w:t>2,300</w:t>
            </w:r>
          </w:p>
        </w:tc>
        <w:tc>
          <w:tcPr>
            <w:tcW w:w="800" w:type="dxa"/>
            <w:vAlign w:val="bottom"/>
            <w:vMerge w:val="continue"/>
          </w:tcPr>
          <w:p>
            <w:pPr>
              <w:spacing w:after="0"/>
              <w:rPr>
                <w:sz w:val="6"/>
                <w:szCs w:val="6"/>
                <w:color w:val="auto"/>
              </w:rPr>
            </w:pPr>
          </w:p>
        </w:tc>
        <w:tc>
          <w:tcPr>
            <w:tcW w:w="820" w:type="dxa"/>
            <w:vAlign w:val="bottom"/>
            <w:vMerge w:val="restart"/>
          </w:tcPr>
          <w:p>
            <w:pPr>
              <w:jc w:val="center"/>
              <w:ind w:left="7"/>
              <w:spacing w:after="0" w:line="148"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88"/>
              </w:rPr>
              <w:t>common</w:t>
            </w: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center"/>
              <w:ind w:right="16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307,683</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ind w:left="20"/>
              <w:spacing w:after="0" w:line="214"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(13)</w:t>
            </w: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left="4"/>
              <w:spacing w:after="0"/>
              <w:rPr>
                <w:sz w:val="20"/>
                <w:szCs w:val="20"/>
                <w:color w:val="auto"/>
              </w:rPr>
            </w:pPr>
            <w:r>
              <w:rPr>
                <w:rFonts w:ascii="Arial" w:cs="Arial" w:eastAsia="Arial" w:hAnsi="Arial"/>
                <w:sz w:val="17"/>
                <w:szCs w:val="17"/>
                <w:color w:val="0000FF"/>
                <w:w w:val="93"/>
              </w:rPr>
              <w:t>5,104</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restart"/>
          </w:tcPr>
          <w:p>
            <w:pPr>
              <w:jc w:val="center"/>
              <w:ind w:left="81"/>
              <w:spacing w:after="0" w:line="14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02/04/2020</w:t>
            </w: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gridSpan w:val="2"/>
            <w:vMerge w:val="restart"/>
          </w:tcPr>
          <w:p>
            <w:pPr>
              <w:jc w:val="center"/>
              <w:ind w:left="318"/>
              <w:spacing w:after="0" w:line="148" w:lineRule="exact"/>
              <w:rPr>
                <w:sz w:val="20"/>
                <w:szCs w:val="20"/>
                <w:color w:val="auto"/>
              </w:rPr>
            </w:pPr>
            <w:r>
              <w:rPr>
                <w:rFonts w:ascii="Arial" w:cs="Arial" w:eastAsia="Arial" w:hAnsi="Arial"/>
                <w:sz w:val="13"/>
                <w:szCs w:val="13"/>
                <w:color w:val="0000FF"/>
                <w:w w:val="92"/>
              </w:rPr>
              <w:t>5,104</w:t>
            </w:r>
          </w:p>
        </w:tc>
        <w:tc>
          <w:tcPr>
            <w:tcW w:w="800" w:type="dxa"/>
            <w:vAlign w:val="bottom"/>
            <w:vMerge w:val="continue"/>
          </w:tcPr>
          <w:p>
            <w:pPr>
              <w:spacing w:after="0"/>
              <w:rPr>
                <w:sz w:val="6"/>
                <w:szCs w:val="6"/>
                <w:color w:val="auto"/>
              </w:rPr>
            </w:pPr>
          </w:p>
        </w:tc>
        <w:tc>
          <w:tcPr>
            <w:tcW w:w="820" w:type="dxa"/>
            <w:vAlign w:val="bottom"/>
            <w:vMerge w:val="restart"/>
          </w:tcPr>
          <w:p>
            <w:pPr>
              <w:jc w:val="center"/>
              <w:ind w:left="7"/>
              <w:spacing w:after="0" w:line="148"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88"/>
              </w:rPr>
              <w:t>common</w:t>
            </w: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center"/>
              <w:ind w:right="16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302,579</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1" w:lineRule="exact"/>
        <w:rPr>
          <w:rFonts w:ascii="Arial" w:cs="Arial" w:eastAsia="Arial" w:hAnsi="Arial"/>
          <w:sz w:val="13"/>
          <w:szCs w:val="13"/>
          <w:color w:val="008000"/>
        </w:rPr>
      </w:pPr>
    </w:p>
    <w:p>
      <w:pPr>
        <w:ind w:left="40" w:right="28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the issuer's Class A common stock ("Class A Common Stock") that were obtained in exchange for an equal number of non-voting common units of Tradeweb Markets LLC, a subsidiary of the issuer (the "LLC Units"). The LLC Units may be exchanged for an equal number of shares of Class A Common Stock, as described in footnote 10 to this Form 4.</w:t>
      </w:r>
    </w:p>
    <w:p>
      <w:pPr>
        <w:spacing w:after="0" w:line="10" w:lineRule="exact"/>
        <w:rPr>
          <w:rFonts w:ascii="Arial" w:cs="Arial" w:eastAsia="Arial" w:hAnsi="Arial"/>
          <w:sz w:val="13"/>
          <w:szCs w:val="13"/>
          <w:color w:val="008000"/>
        </w:rPr>
      </w:pPr>
    </w:p>
    <w:p>
      <w:pPr>
        <w:ind w:left="40" w:right="68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31,663 unvested restricted stock units ("RSUs") in respect of Class A Common Stock which are scheduled to vest on January 1, 2021, subject to the reporting person's continued employment through the vesting date. This amount also includes 35,711 vested RSUs which were settled on February 3, 2020.</w:t>
      </w:r>
    </w:p>
    <w:p>
      <w:pPr>
        <w:spacing w:after="0" w:line="10" w:lineRule="exact"/>
        <w:rPr>
          <w:rFonts w:ascii="Arial" w:cs="Arial" w:eastAsia="Arial" w:hAnsi="Arial"/>
          <w:sz w:val="13"/>
          <w:szCs w:val="13"/>
          <w:color w:val="008000"/>
        </w:rPr>
      </w:pPr>
    </w:p>
    <w:p>
      <w:pPr>
        <w:ind w:left="40" w:right="28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4, 8 and 9 to this Form 4.</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RSUs in respect of Class A Common Stock held by the reporting person.</w:t>
      </w:r>
    </w:p>
    <w:p>
      <w:pPr>
        <w:spacing w:after="0" w:line="51" w:lineRule="exact"/>
        <w:rPr>
          <w:rFonts w:ascii="Arial" w:cs="Arial" w:eastAsia="Arial" w:hAnsi="Arial"/>
          <w:sz w:val="13"/>
          <w:szCs w:val="13"/>
          <w:color w:val="008000"/>
        </w:rPr>
      </w:pPr>
    </w:p>
    <w:p>
      <w:pPr>
        <w:ind w:right="100" w:firstLine="7"/>
        <w:spacing w:after="0" w:line="271"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amount includes 31,663 unvested RSUs in respect of Class A Common Stock which are scheduled to vest on January 1, 2021, subject to the reporting person's continued employment through the vesting date.</w:t>
      </w:r>
    </w:p>
    <w:p>
      <w:pPr>
        <w:spacing w:after="0" w:line="10" w:lineRule="exact"/>
        <w:rPr>
          <w:rFonts w:ascii="Arial" w:cs="Arial" w:eastAsia="Arial" w:hAnsi="Arial"/>
          <w:sz w:val="13"/>
          <w:szCs w:val="13"/>
          <w:color w:val="008000"/>
        </w:rPr>
      </w:pPr>
    </w:p>
    <w:p>
      <w:pPr>
        <w:ind w:right="280" w:firstLine="7"/>
        <w:spacing w:after="0" w:line="271"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0"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$47.05, inclusive.</w:t>
      </w:r>
    </w:p>
    <w:p>
      <w:pPr>
        <w:spacing w:after="0" w:line="51"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$47.02, inclusive.</w:t>
      </w:r>
    </w:p>
    <w:p>
      <w:pPr>
        <w:spacing w:after="0" w:line="51" w:lineRule="exact"/>
        <w:rPr>
          <w:rFonts w:ascii="Arial" w:cs="Arial" w:eastAsia="Arial" w:hAnsi="Arial"/>
          <w:sz w:val="13"/>
          <w:szCs w:val="13"/>
          <w:color w:val="008000"/>
        </w:rPr>
      </w:pPr>
    </w:p>
    <w:p>
      <w:pPr>
        <w:jc w:val="both"/>
        <w:ind w:right="60" w:firstLine="7"/>
        <w:spacing w:after="0" w:line="247" w:lineRule="auto"/>
        <w:tabs>
          <w:tab w:leader="none" w:pos="20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of the issuer ("Class D Common Stock") (or shares of the issuer's Class C common stock ("Class C Common Stock"), in the event the reporting person exchanged their shares of Class D Common Stock as described in footnote 11 to this Form 4) will be canceled. These exchange rights do not expire.</w:t>
      </w:r>
    </w:p>
    <w:p>
      <w:pPr>
        <w:spacing w:after="0" w:line="26" w:lineRule="exact"/>
        <w:rPr>
          <w:rFonts w:ascii="Arial" w:cs="Arial" w:eastAsia="Arial" w:hAnsi="Arial"/>
          <w:sz w:val="13"/>
          <w:szCs w:val="13"/>
          <w:color w:val="008000"/>
        </w:rPr>
      </w:pPr>
    </w:p>
    <w:p>
      <w:pPr>
        <w:ind w:right="220" w:firstLine="7"/>
        <w:spacing w:after="0" w:line="253" w:lineRule="auto"/>
        <w:tabs>
          <w:tab w:leader="none" w:pos="19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of Class D Common Stock have ten votes per share but no economic rights (including rights to dividends or, other than their par value, any distribution upon liquidation) and are issued in an equal amount to the number of LLC Units held. Shares of Class D Common Stock are exchangeable for shares of Class C Common Stock, which have one vote per share but no economic rights (other than their par value upon liquidation), on a one-for-one basis at the discretion of the holder. These exchange rights do not expire.</w:t>
      </w:r>
    </w:p>
    <w:p>
      <w:pPr>
        <w:spacing w:after="0" w:line="22" w:lineRule="exact"/>
        <w:rPr>
          <w:rFonts w:ascii="Arial" w:cs="Arial" w:eastAsia="Arial" w:hAnsi="Arial"/>
          <w:sz w:val="13"/>
          <w:szCs w:val="13"/>
          <w:color w:val="008000"/>
        </w:rPr>
      </w:pPr>
    </w:p>
    <w:p>
      <w:pPr>
        <w:ind w:firstLine="7"/>
        <w:spacing w:after="0" w:line="271" w:lineRule="auto"/>
        <w:tabs>
          <w:tab w:leader="none" w:pos="20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the cancellation for no consideration of a number of shares of Class D Common Stock in connection with the exchange by the reporting person of an equal number of LLC Units for Class A Common Stock.</w:t>
      </w:r>
    </w:p>
    <w:p>
      <w:pPr>
        <w:spacing w:after="0" w:line="1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6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02/04/2020</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8"/>
              </w:rPr>
              <w:t>Fact for James Spencer</w:t>
            </w:r>
          </w:p>
        </w:tc>
        <w:tc>
          <w:tcPr>
            <w:tcW w:w="4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6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2020-02-04T16:48:31Z</dcterms:created>
  <dcterms:modified xsi:type="dcterms:W3CDTF">2020-02-04T16:48:31Z</dcterms:modified>
</cp:coreProperties>
</file>