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6056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0566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06/25/2021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3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06/25/2021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24,434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425,292</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06/25/2021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24,434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85.567</w:t>
            </w:r>
            <w:r>
              <w:rPr>
                <w:rFonts w:ascii="Arial" w:cs="Arial" w:eastAsia="Arial" w:hAnsi="Arial"/>
                <w:sz w:val="21"/>
                <w:szCs w:val="21"/>
                <w:color w:val="008000"/>
                <w:w w:val="89"/>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06/29/2021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17,654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418,512</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06/29/2021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17,654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85.6006</w:t>
            </w:r>
            <w:r>
              <w:rPr>
                <w:rFonts w:ascii="Arial" w:cs="Arial" w:eastAsia="Arial" w:hAnsi="Arial"/>
                <w:sz w:val="21"/>
                <w:szCs w:val="21"/>
                <w:color w:val="008000"/>
                <w:w w:val="88"/>
                <w:vertAlign w:val="superscript"/>
              </w:rPr>
              <w:t>(4)</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24,434</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Arial" w:cs="Arial" w:eastAsia="Arial" w:hAnsi="Arial"/>
                <w:sz w:val="13"/>
                <w:szCs w:val="13"/>
                <w:color w:val="0000FF"/>
              </w:rPr>
              <w:t>06/25/2021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24,434</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271,909</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17,654</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Arial" w:cs="Arial" w:eastAsia="Arial" w:hAnsi="Arial"/>
                <w:sz w:val="13"/>
                <w:szCs w:val="13"/>
                <w:color w:val="0000FF"/>
              </w:rPr>
              <w:t>06/29/2021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17,654</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254,255</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-2550795</wp:posOffset>
            </wp:positionV>
            <wp:extent cx="29210" cy="255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8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3, 2021.</w:t>
      </w:r>
    </w:p>
    <w:p>
      <w:pPr>
        <w:spacing w:after="0" w:line="44" w:lineRule="exact"/>
        <w:rPr>
          <w:rFonts w:ascii="Arial" w:cs="Arial" w:eastAsia="Arial" w:hAnsi="Arial"/>
          <w:sz w:val="13"/>
          <w:szCs w:val="13"/>
          <w:color w:val="008000"/>
        </w:rPr>
      </w:pPr>
    </w:p>
    <w:p>
      <w:pPr>
        <w:ind w:left="40" w:right="20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249,102 unvested restricted stock units ("RSUs") in respect of issuer's Class A common stock ("Class A Common Stock") which are scheduled to vest on January 1, 2022, (ii) 28,728 unvested RSUs in respect of Class A Common Stock which are scheduled to vest in equal installments on each of March 17, 2022 and March 17, 2023, (iii) 86,184 unvested RSUs in respect of Class A Common Stock which are scheduled to vest on January 1, 2023, and (iv) 24,844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$85.50 to $85.80,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$85.50 to $85.84,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06/29/2021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2021-06-29T20:24:54Z</dcterms:created>
  <dcterms:modified xsi:type="dcterms:W3CDTF">2021-06-29T20:24:54Z</dcterms:modified>
</cp:coreProperties>
</file>