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00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006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Dixon Troy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360"/>
        <w:spacing w:after="0" w:line="365" w:lineRule="auto"/>
        <w:rPr>
          <w:sz w:val="20"/>
          <w:szCs w:val="20"/>
          <w:color w:val="auto"/>
        </w:rPr>
      </w:pPr>
      <w:r>
        <w:rPr>
          <w:rFonts w:ascii="Times New Roman" w:cs="Times New Roman" w:eastAsia="Times New Roman" w:hAnsi="Times New Roman"/>
          <w:sz w:val="17"/>
          <w:szCs w:val="17"/>
          <w:color w:val="0000FF"/>
        </w:rPr>
        <w:t>TRADEWEB MARKETS INC. 1177 AVENUE OF AMERICAS</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10036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Tradeweb Markets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TW</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840" w:type="dxa"/>
            <w:vAlign w:val="bottom"/>
            <w:tcBorders>
              <w:bottom w:val="single" w:sz="8" w:color="0000EE"/>
            </w:tcBorders>
          </w:tcPr>
          <w:p>
            <w:pPr>
              <w:spacing w:after="0"/>
              <w:rPr>
                <w:sz w:val="3"/>
                <w:szCs w:val="3"/>
                <w:color w:val="auto"/>
              </w:rPr>
            </w:pPr>
          </w:p>
        </w:tc>
        <w:tc>
          <w:tcPr>
            <w:tcW w:w="1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840" w:type="dxa"/>
            <w:vAlign w:val="bottom"/>
            <w:tcBorders>
              <w:bottom w:val="single" w:sz="8" w:color="2C2C2C"/>
            </w:tcBorders>
          </w:tcPr>
          <w:p>
            <w:pPr>
              <w:spacing w:after="0"/>
              <w:rPr>
                <w:sz w:val="10"/>
                <w:szCs w:val="10"/>
                <w:color w:val="auto"/>
              </w:rPr>
            </w:pPr>
          </w:p>
        </w:tc>
        <w:tc>
          <w:tcPr>
            <w:tcW w:w="178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20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08/08/2024</w:t>
            </w:r>
          </w:p>
        </w:tc>
        <w:tc>
          <w:tcPr>
            <w:tcW w:w="1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840" w:type="dxa"/>
            <w:vAlign w:val="bottom"/>
            <w:tcBorders>
              <w:bottom w:val="single" w:sz="8" w:color="2C2C2C"/>
            </w:tcBorders>
          </w:tcPr>
          <w:p>
            <w:pPr>
              <w:spacing w:after="0"/>
              <w:rPr>
                <w:sz w:val="8"/>
                <w:szCs w:val="8"/>
                <w:color w:val="auto"/>
              </w:rPr>
            </w:pPr>
          </w:p>
        </w:tc>
        <w:tc>
          <w:tcPr>
            <w:tcW w:w="17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00"/>
              <w:spacing w:after="0"/>
              <w:rPr>
                <w:sz w:val="20"/>
                <w:szCs w:val="20"/>
                <w:color w:val="auto"/>
              </w:rPr>
            </w:pPr>
            <w:r>
              <w:rPr>
                <w:rFonts w:ascii="Arial" w:cs="Arial" w:eastAsia="Arial" w:hAnsi="Arial"/>
                <w:sz w:val="12"/>
                <w:szCs w:val="12"/>
                <w:b w:val="1"/>
                <w:bCs w:val="1"/>
                <w:color w:val="auto"/>
              </w:rPr>
              <w:t>2. Transaction</w:t>
            </w:r>
          </w:p>
        </w:tc>
        <w:tc>
          <w:tcPr>
            <w:tcW w:w="1280" w:type="dxa"/>
            <w:vAlign w:val="bottom"/>
            <w:gridSpan w:val="2"/>
          </w:tcPr>
          <w:p>
            <w:pPr>
              <w:ind w:left="240"/>
              <w:spacing w:after="0"/>
              <w:rPr>
                <w:sz w:val="20"/>
                <w:szCs w:val="20"/>
                <w:color w:val="auto"/>
              </w:rPr>
            </w:pPr>
            <w:r>
              <w:rPr>
                <w:rFonts w:ascii="Arial" w:cs="Arial" w:eastAsia="Arial" w:hAnsi="Arial"/>
                <w:sz w:val="12"/>
                <w:szCs w:val="12"/>
                <w:b w:val="1"/>
                <w:bCs w:val="1"/>
                <w:color w:val="auto"/>
              </w:rPr>
              <w:t>2A. Deemed</w:t>
            </w:r>
          </w:p>
        </w:tc>
        <w:tc>
          <w:tcPr>
            <w:tcW w:w="180" w:type="dxa"/>
            <w:vAlign w:val="bottom"/>
          </w:tcPr>
          <w:p>
            <w:pPr>
              <w:ind w:left="8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3"/>
                <w:szCs w:val="13"/>
                <w:color w:val="auto"/>
              </w:rPr>
            </w:pPr>
          </w:p>
        </w:tc>
        <w:tc>
          <w:tcPr>
            <w:tcW w:w="20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  if any</w:t>
            </w:r>
          </w:p>
        </w:tc>
        <w:tc>
          <w:tcPr>
            <w:tcW w:w="52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(Month/Day/Year)</w:t>
            </w:r>
          </w:p>
        </w:tc>
        <w:tc>
          <w:tcPr>
            <w:tcW w:w="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4"/>
              </w:rPr>
              <w:t>Owned</w:t>
            </w:r>
          </w:p>
        </w:tc>
        <w:tc>
          <w:tcPr>
            <w:tcW w:w="700" w:type="dxa"/>
            <w:vAlign w:val="bottom"/>
          </w:tcPr>
          <w:p>
            <w:pPr>
              <w:spacing w:after="0"/>
              <w:rPr>
                <w:sz w:val="11"/>
                <w:szCs w:val="11"/>
                <w:color w:val="auto"/>
              </w:rPr>
            </w:pP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Borders>
              <w:bottom w:val="single" w:sz="8" w:color="808080"/>
            </w:tcBorders>
          </w:tcPr>
          <w:p>
            <w:pPr>
              <w:spacing w:after="0"/>
              <w:rPr>
                <w:sz w:val="13"/>
                <w:szCs w:val="13"/>
                <w:color w:val="auto"/>
              </w:rPr>
            </w:pPr>
          </w:p>
        </w:tc>
        <w:tc>
          <w:tcPr>
            <w:tcW w:w="62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64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Borders>
              <w:top w:val="single" w:sz="8" w:color="2C2C2C"/>
            </w:tcBorders>
          </w:tcPr>
          <w:p>
            <w:pPr>
              <w:spacing w:after="0"/>
              <w:rPr>
                <w:sz w:val="7"/>
                <w:szCs w:val="7"/>
                <w:color w:val="auto"/>
              </w:rPr>
            </w:pPr>
          </w:p>
        </w:tc>
        <w:tc>
          <w:tcPr>
            <w:tcW w:w="62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spacing w:after="0"/>
              <w:rPr>
                <w:sz w:val="20"/>
                <w:szCs w:val="20"/>
                <w:color w:val="auto"/>
              </w:rPr>
            </w:pPr>
            <w:r>
              <w:rPr>
                <w:rFonts w:ascii="Arial" w:cs="Arial" w:eastAsia="Arial" w:hAnsi="Arial"/>
                <w:sz w:val="12"/>
                <w:szCs w:val="12"/>
                <w:b w:val="1"/>
                <w:bCs w:val="1"/>
                <w:color w:val="auto"/>
              </w:rPr>
              <w:t>(A) or</w:t>
            </w:r>
          </w:p>
        </w:tc>
        <w:tc>
          <w:tcPr>
            <w:tcW w:w="64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6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8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7"/>
                <w:szCs w:val="17"/>
                <w:color w:val="0000FF"/>
                <w:w w:val="98"/>
              </w:rPr>
              <w:t>08/08/2024</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2,486</w:t>
            </w:r>
          </w:p>
        </w:tc>
        <w:tc>
          <w:tcPr>
            <w:tcW w:w="4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113.6407</w:t>
            </w:r>
            <w:r>
              <w:rPr>
                <w:rFonts w:ascii="Times New Roman" w:cs="Times New Roman" w:eastAsia="Times New Roman" w:hAnsi="Times New Roman"/>
                <w:sz w:val="22"/>
                <w:szCs w:val="22"/>
                <w:color w:val="008000"/>
                <w:vertAlign w:val="superscript"/>
              </w:rPr>
              <w:t>(1)</w:t>
            </w:r>
          </w:p>
        </w:tc>
        <w:tc>
          <w:tcPr>
            <w:tcW w:w="116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1,323</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100"/>
              <w:spacing w:after="0"/>
              <w:rPr>
                <w:sz w:val="20"/>
                <w:szCs w:val="20"/>
                <w:color w:val="auto"/>
              </w:rPr>
            </w:pPr>
            <w:r>
              <w:rPr>
                <w:rFonts w:ascii="Arial" w:cs="Arial" w:eastAsia="Arial" w:hAnsi="Arial"/>
                <w:sz w:val="12"/>
                <w:szCs w:val="12"/>
                <w:b w:val="1"/>
                <w:bCs w:val="1"/>
                <w:color w:val="auto"/>
                <w:w w:val="99"/>
              </w:rPr>
              <w:t>6. Date Exercisable and</w:t>
            </w:r>
          </w:p>
        </w:tc>
        <w:tc>
          <w:tcPr>
            <w:tcW w:w="1180" w:type="dxa"/>
            <w:vAlign w:val="bottom"/>
            <w:gridSpan w:val="3"/>
          </w:tcPr>
          <w:p>
            <w:pPr>
              <w:ind w:left="18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14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Security (Instr.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3 and 4)</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30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460" w:type="dxa"/>
            <w:vAlign w:val="bottom"/>
            <w:gridSpan w:val="2"/>
          </w:tcPr>
          <w:p>
            <w:pPr>
              <w:ind w:left="10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18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$113.61 to $113.68, inclusive. The reporting person undertakes to provide the issuer, any security holder of the issuer,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40" w:right="2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1,323 unvested restricted stock units in respect of the issuer's Class A Common Stock that are scheduled to vest on May 10, 2025, subject to the reporting person's continued service as a director through the applicable vesting date or as may be pro-rated pursuant to the issuer's Non-Employee Director Compensation Policy, as disclosed in the issuer's Proxy Statement on DEF 14A filed with the SEC on March 28, 2024.</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Douglas Friedman,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747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7472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Troy</w:t>
      </w:r>
      <w:r>
        <w:rPr>
          <w:sz w:val="20"/>
          <w:szCs w:val="20"/>
          <w:color w:val="auto"/>
        </w:rPr>
        <w:tab/>
      </w:r>
      <w:r>
        <w:rPr>
          <w:rFonts w:ascii="Times New Roman" w:cs="Times New Roman" w:eastAsia="Times New Roman" w:hAnsi="Times New Roman"/>
          <w:sz w:val="17"/>
          <w:szCs w:val="17"/>
          <w:color w:val="0000FF"/>
        </w:rPr>
        <w:t>08/12/2024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Dixon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749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7495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75539"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2024-08-12T15:54:54Z</dcterms:created>
  <dcterms:modified xsi:type="dcterms:W3CDTF">2024-08-12T15:54:54Z</dcterms:modified>
</cp:coreProperties>
</file>