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6483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839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2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Bruni Enrico</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12/16/2021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78"/>
        <w:spacing w:after="0"/>
        <w:rPr>
          <w:sz w:val="20"/>
          <w:szCs w:val="20"/>
          <w:color w:val="auto"/>
        </w:rPr>
      </w:pPr>
      <w:r>
        <w:rPr>
          <w:rFonts w:ascii="Arial" w:cs="Arial" w:eastAsia="Arial" w:hAnsi="Arial"/>
          <w:sz w:val="17"/>
          <w:szCs w:val="17"/>
          <w:color w:val="0000FF"/>
        </w:rPr>
        <w:t>Managing Director, Europe/Asia</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266"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3"/>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12/16/2021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85,800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184,972</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12/16/2021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49,486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94.2842</w:t>
            </w:r>
            <w:r>
              <w:rPr>
                <w:rFonts w:ascii="Arial" w:cs="Arial" w:eastAsia="Arial" w:hAnsi="Arial"/>
                <w:sz w:val="21"/>
                <w:szCs w:val="21"/>
                <w:color w:val="008000"/>
                <w:w w:val="88"/>
                <w:vertAlign w:val="superscript"/>
              </w:rPr>
              <w:t>(3)</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135,486</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12/16/2021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31,704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95.2137</w:t>
            </w:r>
            <w:r>
              <w:rPr>
                <w:rFonts w:ascii="Arial" w:cs="Arial" w:eastAsia="Arial" w:hAnsi="Arial"/>
                <w:sz w:val="21"/>
                <w:szCs w:val="21"/>
                <w:color w:val="008000"/>
                <w:w w:val="88"/>
                <w:vertAlign w:val="superscript"/>
              </w:rPr>
              <w:t>(4)</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103,782</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12/16/2021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4,610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95.8666</w:t>
            </w:r>
            <w:r>
              <w:rPr>
                <w:rFonts w:ascii="Arial" w:cs="Arial" w:eastAsia="Arial" w:hAnsi="Arial"/>
                <w:sz w:val="21"/>
                <w:szCs w:val="21"/>
                <w:color w:val="008000"/>
                <w:w w:val="88"/>
                <w:vertAlign w:val="superscript"/>
              </w:rPr>
              <w:t>(5)</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99,172</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12/17/2021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8,610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107,782</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12/17/2021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8,610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95.0301</w:t>
            </w:r>
            <w:r>
              <w:rPr>
                <w:rFonts w:ascii="Arial" w:cs="Arial" w:eastAsia="Arial" w:hAnsi="Arial"/>
                <w:sz w:val="21"/>
                <w:szCs w:val="21"/>
                <w:color w:val="008000"/>
                <w:w w:val="88"/>
                <w:vertAlign w:val="superscript"/>
              </w:rPr>
              <w:t>(6)</w:t>
            </w:r>
          </w:p>
        </w:tc>
        <w:tc>
          <w:tcPr>
            <w:tcW w:w="12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3"/>
              </w:rPr>
              <w:t>99,172</w:t>
            </w:r>
            <w:r>
              <w:rPr>
                <w:rFonts w:ascii="Arial" w:cs="Arial" w:eastAsia="Arial" w:hAnsi="Arial"/>
                <w:sz w:val="21"/>
                <w:szCs w:val="21"/>
                <w:color w:val="008000"/>
                <w:w w:val="83"/>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4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0000FF"/>
              </w:rPr>
              <w:t>85,800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Arial" w:cs="Arial" w:eastAsia="Arial" w:hAnsi="Arial"/>
                <w:sz w:val="13"/>
                <w:szCs w:val="13"/>
                <w:color w:val="0000FF"/>
              </w:rPr>
              <w:t>12/16/2021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jc w:val="right"/>
              <w:ind w:right="20"/>
              <w:spacing w:after="0" w:line="143" w:lineRule="exact"/>
              <w:rPr>
                <w:sz w:val="20"/>
                <w:szCs w:val="20"/>
                <w:color w:val="auto"/>
              </w:rPr>
            </w:pPr>
            <w:r>
              <w:rPr>
                <w:rFonts w:ascii="Arial" w:cs="Arial" w:eastAsia="Arial" w:hAnsi="Arial"/>
                <w:sz w:val="13"/>
                <w:szCs w:val="13"/>
                <w:color w:val="0000FF"/>
              </w:rPr>
              <w:t>85,800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115,432</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7"/>
                <w:szCs w:val="17"/>
                <w:color w:val="0000FF"/>
              </w:rPr>
              <w:t>8,610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Arial" w:cs="Arial" w:eastAsia="Arial" w:hAnsi="Arial"/>
                <w:sz w:val="13"/>
                <w:szCs w:val="13"/>
                <w:color w:val="0000FF"/>
              </w:rPr>
              <w:t>12/17/2021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right"/>
              <w:spacing w:after="0" w:line="143" w:lineRule="exact"/>
              <w:rPr>
                <w:sz w:val="20"/>
                <w:szCs w:val="20"/>
                <w:color w:val="auto"/>
              </w:rPr>
            </w:pPr>
            <w:r>
              <w:rPr>
                <w:rFonts w:ascii="Arial" w:cs="Arial" w:eastAsia="Arial" w:hAnsi="Arial"/>
                <w:sz w:val="13"/>
                <w:szCs w:val="13"/>
                <w:color w:val="0000FF"/>
              </w:rPr>
              <w:t>8,610</w:t>
            </w: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106,822</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-2550795</wp:posOffset>
            </wp:positionV>
            <wp:extent cx="29210" cy="255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8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16, 2021.</w:t>
      </w:r>
    </w:p>
    <w:p>
      <w:pPr>
        <w:spacing w:after="0" w:line="44" w:lineRule="exact"/>
        <w:rPr>
          <w:rFonts w:ascii="Arial" w:cs="Arial" w:eastAsia="Arial" w:hAnsi="Arial"/>
          <w:sz w:val="13"/>
          <w:szCs w:val="13"/>
          <w:color w:val="008000"/>
        </w:rPr>
      </w:pPr>
    </w:p>
    <w:p>
      <w:pPr>
        <w:ind w:left="40" w:right="18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44,004 unvested restricted stock units ("RSUs") in respect of the issuer's Class A common stock ("Class A Common Stock") which are scheduled to vest on January 1, 2022, (ii) 10,719 unvested RSUs in respect of Class A Common Stock which are scheduled to vest in equal installments on each of March 17, 2022, and March 17, 2023, (iii) 32,158 unvested RSUs in respect of Class A Common Stock which are scheduled to vest on January 1, 2023, and (iv) 9,439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sole in multiple transactions at prices ranging from $93.63 to 94.62, inclusive. The reporting person undertakes to provide the issuer, any security holder of the issuer, or the staff of the Securities and Exchange Commission, upon request, full information regarding the number of shares sole at each separate price within the ranges set forth in footnotes 3, 4, 5, and 6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as prices ranging from $94.63 to $95.59,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as prices ranging from $95.64 to $96.04,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as prices ranging from $95.00 to $95.15,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12/20/2021</w:t>
            </w:r>
          </w:p>
        </w:tc>
        <w:tc>
          <w:tcPr>
            <w:tcW w:w="0" w:type="dxa"/>
            <w:vAlign w:val="bottom"/>
          </w:tcPr>
          <w:p>
            <w:pPr>
              <w:spacing w:after="0"/>
              <w:rPr>
                <w:sz w:val="1"/>
                <w:szCs w:val="1"/>
                <w:color w:val="auto"/>
              </w:rPr>
            </w:pPr>
          </w:p>
        </w:tc>
      </w:tr>
      <w:tr>
        <w:trPr>
          <w:trHeight w:val="84"/>
        </w:trPr>
        <w:tc>
          <w:tcPr>
            <w:tcW w:w="146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Fact for Enrico Bruni</w:t>
            </w:r>
          </w:p>
        </w:tc>
        <w:tc>
          <w:tcPr>
            <w:tcW w:w="6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2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2021-12-20T19:03:52Z</dcterms:created>
  <dcterms:modified xsi:type="dcterms:W3CDTF">2021-12-20T19:03:52Z</dcterms:modified>
</cp:coreProperties>
</file>