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8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200" w:right="1720" w:hanging="4174"/>
        <w:spacing w:after="0" w:line="390" w:lineRule="auto"/>
        <w:tabs>
          <w:tab w:leader="none" w:pos="3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22"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8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245 Park Avenue</w:t>
            </w:r>
          </w:p>
        </w:tc>
        <w:tc>
          <w:tcPr>
            <w:tcW w:w="4880" w:type="dxa"/>
            <w:vAlign w:val="bottom"/>
          </w:tcPr>
          <w:p>
            <w:pPr>
              <w:spacing w:after="0"/>
              <w:rPr>
                <w:sz w:val="24"/>
                <w:szCs w:val="24"/>
                <w:color w:val="auto"/>
              </w:rPr>
            </w:pPr>
          </w:p>
        </w:tc>
      </w:tr>
      <w:tr>
        <w:trPr>
          <w:trHeight w:val="265"/>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8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10167</w:t>
            </w:r>
          </w:p>
        </w:tc>
      </w:tr>
      <w:tr>
        <w:trPr>
          <w:trHeight w:val="243"/>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(646) 430-6000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324"/>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5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186"/>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TW</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10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94" w:lineRule="exact"/>
        <w:rPr>
          <w:sz w:val="24"/>
          <w:szCs w:val="24"/>
          <w:color w:val="auto"/>
        </w:rPr>
      </w:pPr>
    </w:p>
    <w:p>
      <w:pPr>
        <w:ind w:left="20" w:right="760"/>
        <w:spacing w:after="0" w:line="38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8"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29" w:right="339" w:bottom="1440" w:gutter="0" w:footer="0" w:header="0"/>
          <w:type w:val="continuous"/>
        </w:sectPr>
      </w:pPr>
    </w:p>
    <w:p>
      <w:pPr>
        <w:ind w:right="560"/>
        <w:spacing w:after="0" w:line="214"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740" w:type="dxa"/>
            <w:vAlign w:val="bottom"/>
            <w:gridSpan w:val="2"/>
          </w:tcPr>
          <w:p>
            <w:pPr>
              <w:ind w:left="2320"/>
              <w:spacing w:after="0"/>
              <w:rPr>
                <w:sz w:val="20"/>
                <w:szCs w:val="20"/>
                <w:color w:val="auto"/>
              </w:rPr>
            </w:pPr>
            <w:r>
              <w:rPr>
                <w:rFonts w:ascii="Times New Roman" w:cs="Times New Roman" w:eastAsia="Times New Roman" w:hAnsi="Times New Roman"/>
                <w:sz w:val="14"/>
                <w:szCs w:val="14"/>
                <w:color w:val="auto"/>
              </w:rPr>
              <w:t>Class of Stock</w:t>
            </w:r>
          </w:p>
        </w:tc>
        <w:tc>
          <w:tcPr>
            <w:tcW w:w="5500" w:type="dxa"/>
            <w:vAlign w:val="bottom"/>
          </w:tcPr>
          <w:p>
            <w:pPr>
              <w:jc w:val="right"/>
              <w:ind w:right="1528"/>
              <w:spacing w:after="0"/>
              <w:rPr>
                <w:sz w:val="20"/>
                <w:szCs w:val="20"/>
                <w:color w:val="auto"/>
              </w:rPr>
            </w:pPr>
            <w:r>
              <w:rPr>
                <w:rFonts w:ascii="Times New Roman" w:cs="Times New Roman" w:eastAsia="Times New Roman" w:hAnsi="Times New Roman"/>
                <w:sz w:val="14"/>
                <w:szCs w:val="14"/>
                <w:color w:val="auto"/>
              </w:rPr>
              <w:t>Shares Outstanding as of April 22, 2026</w:t>
            </w:r>
          </w:p>
        </w:tc>
      </w:tr>
      <w:tr>
        <w:trPr>
          <w:trHeight w:val="23"/>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18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116,035,961</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96,933,192</w:t>
            </w: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18,000,000</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5,056,868</w:t>
            </w:r>
          </w:p>
        </w:tc>
      </w:tr>
      <w:tr>
        <w:trPr>
          <w:trHeight w:val="186"/>
        </w:trPr>
        <w:tc>
          <w:tcPr>
            <w:tcW w:w="5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MARCH 31, 2026</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3051F2"/>
                <w:w w:val="98"/>
              </w:rPr>
              <w:t>INTRODUCTORY NOTE</w:t>
            </w:r>
          </w:p>
        </w:tc>
        <w:tc>
          <w:tcPr>
            <w:tcW w:w="8720" w:type="dxa"/>
            <w:vAlign w:val="bottom"/>
            <w:gridSpan w:val="19"/>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40" w:type="dxa"/>
            <w:vAlign w:val="bottom"/>
            <w:tcBorders>
              <w:bottom w:val="single" w:sz="8" w:color="3051F2"/>
            </w:tcBorders>
            <w:gridSpan w:val="9"/>
            <w:vMerge w:val="continue"/>
          </w:tcPr>
          <w:p>
            <w:pPr>
              <w:spacing w:after="0"/>
              <w:rPr>
                <w:sz w:val="15"/>
                <w:szCs w:val="15"/>
                <w:color w:val="auto"/>
              </w:rPr>
            </w:pPr>
          </w:p>
        </w:tc>
        <w:tc>
          <w:tcPr>
            <w:tcW w:w="8720" w:type="dxa"/>
            <w:vAlign w:val="bottom"/>
            <w:gridSpan w:val="19"/>
            <w:vMerge w:val="continue"/>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USE OF NON-GAAP FINANCIAL MEASURES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CAUTIONARY NOTE REGARDING FORWARD-LOOKING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rPr>
              <w:t>PART I — FINANCIAL INFORMATION</w:t>
            </w:r>
          </w:p>
        </w:tc>
        <w:tc>
          <w:tcPr>
            <w:tcW w:w="488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1.</w:t>
            </w:r>
          </w:p>
        </w:tc>
        <w:tc>
          <w:tcPr>
            <w:tcW w:w="240" w:type="dxa"/>
            <w:vAlign w:val="bottom"/>
            <w:tcBorders>
              <w:top w:val="single" w:sz="8" w:color="3051F2"/>
            </w:tcBorders>
            <w:gridSpan w:val="2"/>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2180" w:type="dxa"/>
            <w:vAlign w:val="bottom"/>
            <w:tcBorders>
              <w:top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rPr>
              <w:t>Financial Statements</w:t>
            </w:r>
          </w:p>
        </w:tc>
        <w:tc>
          <w:tcPr>
            <w:tcW w:w="760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Financial Condition as of March 31, 2026 and December 31, 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80" w:type="dxa"/>
            <w:vAlign w:val="bottom"/>
            <w:tcBorders>
              <w:top w:val="single" w:sz="8" w:color="3051F2"/>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Income for the three months ended March 31, 2026 and 2025</w:t>
            </w:r>
          </w:p>
        </w:tc>
        <w:tc>
          <w:tcPr>
            <w:tcW w:w="360" w:type="dxa"/>
            <w:vAlign w:val="bottom"/>
            <w:tcBorders>
              <w:top w:val="single" w:sz="8" w:color="3051F2"/>
            </w:tcBorders>
            <w:gridSpan w:val="2"/>
          </w:tcPr>
          <w:p>
            <w:pPr>
              <w:spacing w:after="0"/>
              <w:rPr>
                <w:sz w:val="24"/>
                <w:szCs w:val="24"/>
                <w:color w:val="auto"/>
              </w:rPr>
            </w:pPr>
          </w:p>
        </w:tc>
        <w:tc>
          <w:tcPr>
            <w:tcW w:w="192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60" w:type="dxa"/>
            <w:vAlign w:val="bottom"/>
            <w:tcBorders>
              <w:bottom w:val="single" w:sz="8" w:color="3051F2"/>
            </w:tcBorders>
            <w:gridSpan w:val="22"/>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Comprehensive Income for the three months ended March 31, 2026 and 2025</w:t>
            </w:r>
          </w:p>
        </w:tc>
        <w:tc>
          <w:tcPr>
            <w:tcW w:w="11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Changes in Equity for the three months ended March 31, 2026 and 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60" w:type="dxa"/>
            <w:vAlign w:val="bottom"/>
            <w:tcBorders>
              <w:top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rPr>
              <w:t>Condensed Consolidated Statements of Cash Flows for the three months ended March 31, 2026 and 2025</w:t>
            </w:r>
          </w:p>
        </w:tc>
        <w:tc>
          <w:tcPr>
            <w:tcW w:w="150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top w:val="single" w:sz="8" w:color="3051F2"/>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3580" w:type="dxa"/>
            <w:vAlign w:val="bottom"/>
            <w:tcBorders>
              <w:top w:val="single" w:sz="8" w:color="3051F2"/>
            </w:tcBorders>
            <w:gridSpan w:val="6"/>
          </w:tcPr>
          <w:p>
            <w:pPr>
              <w:spacing w:after="0"/>
              <w:rPr>
                <w:sz w:val="24"/>
                <w:szCs w:val="24"/>
                <w:color w:val="auto"/>
              </w:rPr>
            </w:pPr>
          </w:p>
        </w:tc>
        <w:tc>
          <w:tcPr>
            <w:tcW w:w="198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Management’s Discussion and Analysis of Financial Condition and Results of Operations</w:t>
            </w:r>
          </w:p>
        </w:tc>
        <w:tc>
          <w:tcPr>
            <w:tcW w:w="332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Quantitative and Qualitative Disclosures about Market Risk</w:t>
            </w:r>
          </w:p>
        </w:tc>
        <w:tc>
          <w:tcPr>
            <w:tcW w:w="546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Controls and Procedures</w:t>
            </w:r>
          </w:p>
        </w:tc>
        <w:tc>
          <w:tcPr>
            <w:tcW w:w="80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76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7"/>
              </w:rPr>
              <w:t>PART II — OTHER INFORMATION</w:t>
            </w:r>
          </w:p>
        </w:tc>
        <w:tc>
          <w:tcPr>
            <w:tcW w:w="790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Legal Proceedings</w:t>
            </w:r>
          </w:p>
        </w:tc>
        <w:tc>
          <w:tcPr>
            <w:tcW w:w="8440" w:type="dxa"/>
            <w:vAlign w:val="bottom"/>
            <w:gridSpan w:val="1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Item 1A.</w:t>
            </w:r>
          </w:p>
        </w:tc>
        <w:tc>
          <w:tcPr>
            <w:tcW w:w="990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3051F2"/>
              </w:rPr>
              <w:t>Risk Factors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Unregistered Sales of Equity Securities and Use of Proceeds</w:t>
            </w:r>
          </w:p>
        </w:tc>
        <w:tc>
          <w:tcPr>
            <w:tcW w:w="542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Mine Safety Disclosures</w:t>
            </w:r>
          </w:p>
        </w:tc>
        <w:tc>
          <w:tcPr>
            <w:tcW w:w="540" w:type="dxa"/>
            <w:vAlign w:val="bottom"/>
            <w:tcBorders>
              <w:top w:val="single" w:sz="8" w:color="3051F2"/>
            </w:tcBorders>
            <w:gridSpan w:val="3"/>
          </w:tcPr>
          <w:p>
            <w:pPr>
              <w:spacing w:after="0"/>
              <w:rPr>
                <w:sz w:val="24"/>
                <w:szCs w:val="24"/>
                <w:color w:val="auto"/>
              </w:rPr>
            </w:pPr>
          </w:p>
        </w:tc>
        <w:tc>
          <w:tcPr>
            <w:tcW w:w="746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5.</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Other Information</w:t>
            </w:r>
          </w:p>
        </w:tc>
        <w:tc>
          <w:tcPr>
            <w:tcW w:w="8460" w:type="dxa"/>
            <w:vAlign w:val="bottom"/>
            <w:gridSpan w:val="1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6.</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2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Signatures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78</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3051F2"/>
            </w:tcBorders>
            <w:gridSpan w:val="3"/>
          </w:tcPr>
          <w:p>
            <w:pPr>
              <w:spacing w:after="0"/>
              <w:rPr>
                <w:sz w:val="24"/>
                <w:szCs w:val="24"/>
                <w:color w:val="auto"/>
              </w:rPr>
            </w:pPr>
          </w:p>
        </w:tc>
        <w:tc>
          <w:tcPr>
            <w:tcW w:w="4140" w:type="dxa"/>
            <w:vAlign w:val="bottom"/>
            <w:gridSpan w:val="1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its subsidiaries, including TWM LLC and all of its subsidiaries, and any predecessor entities.</w:t>
      </w:r>
    </w:p>
    <w:p>
      <w:pPr>
        <w:spacing w:after="0" w:line="123" w:lineRule="exact"/>
        <w:rPr>
          <w:rFonts w:ascii="Times New Roman" w:cs="Times New Roman" w:eastAsia="Times New Roman" w:hAnsi="Times New Roman"/>
          <w:sz w:val="17"/>
          <w:szCs w:val="17"/>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spacing w:after="0" w:line="142"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refer collectively to (i) those Original LLC Owners (as defined below), including an indirect subsidiary of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6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35"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single class of common membership interests of TWM LLC. LLC Interests, other than those held directly or indirectly by Tradeweb Markets Inc., are redeemable or exchangeable in accordance with the TWM LLC Agreement for shares of Class A common stock or Class B common stock, as the case may be, on a one-for-one basis.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4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Transaction” refer to the acquisition of the Refinitiv business by LSEG (as defined below), in an all share transaction, which closed on January 29, 2021. The Refinitiv business was rebranded by LSEG as LSEG Data &amp; Analytics during the fourth quarter of 2023.</w:t>
      </w:r>
    </w:p>
    <w:p>
      <w:pPr>
        <w:spacing w:after="0" w:line="13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refer to London Stock Exchange Group plc, and unless otherwise stated or the context otherwise requires, all of its direct and indirect subsidiaries, including Refinitiv.</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198"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4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or “TR” refer to Thomson Reuters Corporation, which prior to the LSEG Transaction indirectly held a 45% ownership interest in Refinitiv.</w:t>
      </w:r>
    </w:p>
    <w:p>
      <w:pPr>
        <w:spacing w:after="0" w:line="13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USE OF NON-GAAP FINANCIAL MEASURES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contains “non-GAAP financial measures,” which are financial measures that are not calculated and presented in accordance with accounting principles generally accepted in the United States of America (“GAAP”).</w:t>
      </w:r>
    </w:p>
    <w:p>
      <w:pPr>
        <w:spacing w:after="0" w:line="135"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21" w:lineRule="exact"/>
        <w:rPr>
          <w:sz w:val="20"/>
          <w:szCs w:val="20"/>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presentation with equal or greater prominence of the most comparable financial measure or measures calculated and presented in accordance with GAAP;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the purposes for which the registrant’s management uses the non-GAAP financial measure.</w:t>
      </w:r>
    </w:p>
    <w:p>
      <w:pPr>
        <w:spacing w:after="0" w:line="19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 Item 2.</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For the definition of constant currency revenue change, see Part I, Item 2. – “Management’s Discussion and Analysis of Financial Condition and Results of Operations—Results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 Item 2. – “Management’s Discussion and Analysis of Financial Condition and Results of Operations—Non-GAAP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4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provides useful comparisons of our performance and trends between periods.</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Each of the adjustments described in the definition of Adjusted Net Income helps to provide management with a measure of our operating performance over time by removing items that are not related to day-to-day operations or are non-cash expenses.</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49" w:lineRule="exact"/>
        <w:rPr>
          <w:sz w:val="20"/>
          <w:szCs w:val="20"/>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changes in our working capital needs;</w:t>
      </w:r>
    </w:p>
    <w:p>
      <w:pPr>
        <w:spacing w:after="0" w:line="18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any interest income or expense, or the amounts necessary to service interest or principal payments on any debt obligations;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income tax expense, which is a necessary element of our costs and ability to operate;</w:t>
      </w:r>
    </w:p>
    <w:p>
      <w:pPr>
        <w:spacing w:after="0" w:line="18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3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non-cash component of certain employee stock-based compensation expense and associated payroll taxes;</w:t>
      </w:r>
    </w:p>
    <w:p>
      <w:pPr>
        <w:spacing w:after="0" w:line="13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measures do not reflect the impact of foreign currency fluctuations; and</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acquisitions, investments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Quarterly Report on Form 10-Q are forward-looking statements.</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stock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the forward-looking statements include:</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successfully;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adapt our business effectively to keep pace with industry and technological changes;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dealer clients;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defects, errors, failures or delays with our platform or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profitably;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joint ventures or investments;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cryptocurrency and other digital assets;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grow the capacity of our trading platform, systems and infrastructure;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our intellectual property;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services of our senior management team;</w:t>
      </w:r>
    </w:p>
    <w:p>
      <w:pPr>
        <w:spacing w:after="0" w:line="19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spacing w:after="0" w:line="13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LSEG’s control of us and our status as a controlled company; and</w:t>
      </w:r>
    </w:p>
    <w:p>
      <w:pPr>
        <w:spacing w:after="0" w:line="18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 of our Annual Report on Form 10-K for the year ended December 31, 2025 (the “2025 Form 10-K”), filed with the SEC and in other filings we may make from time to time with the SEC.</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Quarterly Report on Form 10-Q are not guarantees of future events or performance and future events, our actual results of operations, financial condition or liquidity, and the development of the industry and markets in which we operate, may differ materially from the forward-looking statements contained in this Quarterly Report on Form 10-Q. In addition, even if future events, our results of operations, financial condition or liquidity, and events in the industry and markets in which we operate, are consistent with the forward-looking statements contained in this Quarterly Report on Form 10-Q, they may not be predictive of events, results or developments in future periods.</w:t>
      </w:r>
    </w:p>
    <w:p>
      <w:pPr>
        <w:spacing w:after="0" w:line="16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Financial Condition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1,937,301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2,084,739</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58,282</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$366 and $587 at March 31, 2026 and December 31, 2025, respectively</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257,845</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purchased software and leasehold improvements, net of accumulated depreciation and amortization</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78,193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123,065</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270,295</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3,150,112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1,118,932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1,148,015</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and due from related parties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568,832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Digital assets and other investments at fair value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291,997</w:t>
            </w: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198,481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140,249</w:t>
            </w:r>
          </w:p>
        </w:tc>
      </w:tr>
      <w:tr>
        <w:trPr>
          <w:trHeight w:val="203"/>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8,295,749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8,189,557</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3"/>
        </w:trPr>
        <w:tc>
          <w:tcPr>
            <w:tcW w:w="8440" w:type="dxa"/>
            <w:vAlign w:val="bottom"/>
          </w:tcPr>
          <w:p>
            <w:pPr>
              <w:ind w:left="35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130,651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251,169</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183,970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139,168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and due to related parties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50,011</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335,800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336,519</w:t>
            </w:r>
          </w:p>
        </w:tc>
      </w:tr>
      <w:tr>
        <w:trPr>
          <w:trHeight w:val="19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986,111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1,000,320</w:t>
            </w:r>
          </w:p>
        </w:tc>
      </w:tr>
      <w:tr>
        <w:trPr>
          <w:trHeight w:val="203"/>
        </w:trPr>
        <w:tc>
          <w:tcPr>
            <w:tcW w:w="8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6"/>
        </w:trPr>
        <w:tc>
          <w:tcPr>
            <w:tcW w:w="8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$0.00001 par value; 250,000,000 shares authorized; none issued or outstanding</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1,000,000,000 shares authorized; 116,035,961 and 115,502,689 shares issued and outstanding as of</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2026 and December 31, 2025, respectively</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$0.00001 par value; 450,000,000 shares authorized; 96,933,192 and 96,933,192 shares issued and outstanding as of</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2026 and December 31, 2025,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C common stock, $0.00001 par value; 350,000,000 shares authorized; 18,000,000 and 18,000,000 shares issued and outstanding as of</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2026 and December 31, 2025, respectively</w:t>
            </w:r>
          </w:p>
        </w:tc>
        <w:tc>
          <w:tcPr>
            <w:tcW w:w="2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D common stock, $0.00001 par value; 300,000,000 shares authorized; 5,056,868 and 5,056,868 shares issued and outstanding as of</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2026 and December 31, 2025,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4,886,485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4,895,810</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10,899</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1,725,834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1,601,044</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Tradeweb Markets Inc.</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6,620,254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6,507,755</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689,384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681,482</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7,309,638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7,189,237</w:t>
            </w:r>
          </w:p>
        </w:tc>
      </w:tr>
      <w:tr>
        <w:trPr>
          <w:trHeight w:val="191"/>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8,295,749</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8,189,557</w:t>
            </w:r>
          </w:p>
        </w:tc>
      </w:tr>
      <w:tr>
        <w:trPr>
          <w:trHeight w:val="25"/>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fees and commissions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523,833</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421,344</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Subscription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55,777</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LSEG market data fees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28,925</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6,916</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w:t>
            </w:r>
          </w:p>
        </w:tc>
      </w:tr>
      <w:tr>
        <w:trPr>
          <w:trHeight w:val="186"/>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617,764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509,677</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8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197,793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176,877</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60,709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62,699</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and communications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28,728</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19,740</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12,458</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5,074</w:t>
            </w:r>
          </w:p>
        </w:tc>
      </w:tr>
      <w:tr>
        <w:trPr>
          <w:trHeight w:val="203"/>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330,511</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305,576</w:t>
            </w:r>
          </w:p>
        </w:tc>
      </w:tr>
      <w:tr>
        <w:trPr>
          <w:trHeight w:val="19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287,253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204,101</w:t>
            </w:r>
          </w:p>
        </w:tc>
      </w:tr>
      <w:tr>
        <w:trPr>
          <w:trHeight w:val="196"/>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17,451</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13,849</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4,221</w:t>
            </w:r>
          </w:p>
        </w:tc>
      </w:tr>
      <w:tr>
        <w:trPr>
          <w:trHeight w:val="19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302,924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221,584</w:t>
            </w: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(69,757)</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(53,279)</w:t>
            </w: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233,167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168,305</w:t>
            </w: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19,923</w:t>
            </w: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205,284</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148,382</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attributable to Tradeweb Markets Inc. Class A and B common stockholders: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8"/>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0.69</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212,685,136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213,087,496</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213,324,648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214,895,418</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6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r>
      <w:tr>
        <w:trPr>
          <w:trHeight w:val="203"/>
        </w:trPr>
        <w:tc>
          <w:tcPr>
            <w:tcW w:w="8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233,167</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168,305</w:t>
            </w:r>
          </w:p>
        </w:tc>
      </w:tr>
      <w:tr>
        <w:trPr>
          <w:trHeight w:val="17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 with no tax benefit for each of the three months ended March 31, 2026 and 2025</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5,964</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Unrealized gain on available-for-sale debt security, net of tax expense of $264 and $58 for the three months ended March 31, 2026 and 2025</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3,092</w:t>
            </w: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w:t>
            </w:r>
          </w:p>
        </w:tc>
      </w:tr>
      <w:tr>
        <w:trPr>
          <w:trHeight w:val="203"/>
        </w:trPr>
        <w:tc>
          <w:tcPr>
            <w:tcW w:w="8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229,903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177,361</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8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19,923</w:t>
            </w:r>
          </w:p>
        </w:tc>
      </w:tr>
      <w:tr>
        <w:trPr>
          <w:trHeight w:val="2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Other comprehensive income (loss) attributable to non-controlling interests</w:t>
            </w: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Tradeweb Markets Inc.</w:t>
            </w:r>
          </w:p>
        </w:tc>
        <w:tc>
          <w:tcPr>
            <w:tcW w:w="8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202,315</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156,553</w:t>
            </w:r>
          </w:p>
        </w:tc>
      </w:tr>
      <w:tr>
        <w:trPr>
          <w:trHeight w:val="20"/>
        </w:trPr>
        <w:tc>
          <w:tcPr>
            <w:tcW w:w="8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6"/>
              </w:rPr>
              <w:t>Tradeweb Markets Inc. Stockholders’ Equity</w:t>
            </w: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4,895,810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1,601,044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681,482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7,189,237</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2,983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(50,724)</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34,905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34,905</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12,037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($0.14 per share)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25,728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(84,978)</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233,167</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4,886,485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1,725,834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689,384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7,309,638</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 – (Continued)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ind w:left="200"/>
              <w:spacing w:after="0"/>
              <w:rPr>
                <w:sz w:val="20"/>
                <w:szCs w:val="20"/>
                <w:color w:val="auto"/>
              </w:rPr>
            </w:pPr>
            <w:r>
              <w:rPr>
                <w:rFonts w:ascii="Times New Roman" w:cs="Times New Roman" w:eastAsia="Times New Roman" w:hAnsi="Times New Roman"/>
                <w:sz w:val="13"/>
                <w:szCs w:val="13"/>
                <w:b w:val="1"/>
                <w:bCs w:val="1"/>
                <w:color w:val="auto"/>
                <w:w w:val="95"/>
              </w:rPr>
              <w:t>Tradeweb Markets Inc. Stockholders’ Equity</w:t>
            </w: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2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104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4"/>
                <w:szCs w:val="14"/>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4,813,408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598,693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6,398,885</w:t>
            </w: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28,830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28,830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($0.12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(25,573)</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22,708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168,305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4,821,151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1,119,572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608,291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6,547,205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233,167</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168,305</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60,709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62,699</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22,187</w:t>
            </w:r>
          </w:p>
        </w:tc>
      </w:tr>
      <w:tr>
        <w:trPr>
          <w:trHeight w:val="206"/>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Digital assets received as revenue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9,610</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(4,221)</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 from/payable to brokers and dealers and clearing organizations,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(30,972)</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(47,246)</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(95,857)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(46,632)</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and due from related parties/payable and due to related parties,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6,604</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tax asset as a result of transferable tax credit purchase</w:t>
            </w:r>
          </w:p>
        </w:tc>
        <w:tc>
          <w:tcPr>
            <w:tcW w:w="3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17,646</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(18,607)</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(141,244)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(121,644)</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16,064</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26,716</w:t>
            </w:r>
          </w:p>
        </w:tc>
      </w:tr>
      <w:tr>
        <w:trPr>
          <w:trHeight w:val="18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103,829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60,207</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investments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(50,191)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furniture, equipment, software and leasehold improvements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(17,514)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(13,172)</w:t>
            </w:r>
          </w:p>
        </w:tc>
      </w:tr>
      <w:tr>
        <w:trPr>
          <w:trHeight w:val="20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(77,301)</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(14,817)</w:t>
            </w:r>
          </w:p>
        </w:tc>
      </w:tr>
      <w:tr>
        <w:trPr>
          <w:trHeight w:val="17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6"/>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(53,331)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stock-based compensation exercises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(25,573)</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r>
      <w:tr>
        <w:trPr>
          <w:trHeight w:val="217"/>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(83,659)</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(46,127)</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on tax receivable agreement liability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(3,066)</w:t>
            </w:r>
          </w:p>
        </w:tc>
      </w:tr>
      <w:tr>
        <w:trPr>
          <w:trHeight w:val="20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(172,142)</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(83,026)</w:t>
            </w: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(147,438)</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(33,847)</w:t>
            </w: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2,085,739</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1,341,302</w:t>
            </w: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1,938,301</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1,307,455</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66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4"/>
          </w:tcPr>
          <w:p>
            <w:pPr>
              <w:jc w:val="right"/>
              <w:ind w:right="100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78,293</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11,863</w:t>
            </w: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w:t>
            </w:r>
          </w:p>
        </w:tc>
      </w:tr>
      <w:tr>
        <w:trPr>
          <w:trHeight w:val="19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6"/>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received upon conversion of receivables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Furniture, equipment, software and leasehold improvement additions included in accounts payable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share repurchases and excise tax included in other liabilities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Withholding taxes payable relating to stock-based compensation settlements included in accrued compensation</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w:t>
            </w: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Items arising from LLC Interest ownership changes: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28,830</w:t>
            </w:r>
          </w:p>
        </w:tc>
      </w:tr>
      <w:tr>
        <w:trPr>
          <w:trHeight w:val="395"/>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1160" w:type="dxa"/>
            <w:vAlign w:val="bottom"/>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24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1,937,301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2,084,739</w:t>
            </w:r>
          </w:p>
        </w:tc>
      </w:tr>
      <w:tr>
        <w:trPr>
          <w:trHeight w:val="196"/>
        </w:trPr>
        <w:tc>
          <w:tcPr>
            <w:tcW w:w="8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21"/>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1,938,301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2,085,739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3051F2"/>
                <w:w w:val="98"/>
              </w:rPr>
              <w:t>Note 1</w:t>
            </w:r>
          </w:p>
        </w:tc>
        <w:tc>
          <w:tcPr>
            <w:tcW w:w="80" w:type="dxa"/>
            <w:vAlign w:val="bottom"/>
          </w:tcPr>
          <w:p>
            <w:pPr>
              <w:spacing w:after="0"/>
              <w:rPr>
                <w:sz w:val="17"/>
                <w:szCs w:val="17"/>
                <w:color w:val="auto"/>
              </w:rPr>
            </w:pPr>
          </w:p>
        </w:tc>
        <w:tc>
          <w:tcPr>
            <w:tcW w:w="4760" w:type="dxa"/>
            <w:vAlign w:val="bottom"/>
            <w:gridSpan w:val="17"/>
          </w:tcPr>
          <w:p>
            <w:pPr>
              <w:ind w:left="280"/>
              <w:spacing w:after="0" w:line="196" w:lineRule="exact"/>
              <w:rPr>
                <w:sz w:val="20"/>
                <w:szCs w:val="20"/>
                <w:color w:val="auto"/>
              </w:rPr>
            </w:pPr>
            <w:r>
              <w:rPr>
                <w:rFonts w:ascii="Times New Roman" w:cs="Times New Roman" w:eastAsia="Times New Roman" w:hAnsi="Times New Roman"/>
                <w:sz w:val="18"/>
                <w:szCs w:val="18"/>
                <w:color w:val="3051F2"/>
              </w:rPr>
              <w:t>Organization</w:t>
            </w:r>
          </w:p>
        </w:tc>
        <w:tc>
          <w:tcPr>
            <w:tcW w:w="5880" w:type="dxa"/>
            <w:vAlign w:val="bottom"/>
            <w:gridSpan w:val="2"/>
          </w:tcPr>
          <w:p>
            <w:pPr>
              <w:jc w:val="center"/>
              <w:ind w:left="4810"/>
              <w:spacing w:after="0" w:line="196" w:lineRule="exact"/>
              <w:rPr>
                <w:sz w:val="20"/>
                <w:szCs w:val="20"/>
                <w:color w:val="auto"/>
              </w:rPr>
            </w:pPr>
            <w:r>
              <w:rPr>
                <w:rFonts w:ascii="Times New Roman" w:cs="Times New Roman" w:eastAsia="Times New Roman" w:hAnsi="Times New Roman"/>
                <w:sz w:val="18"/>
                <w:szCs w:val="18"/>
                <w:color w:val="3051F2"/>
                <w:w w:val="9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2</w:t>
            </w:r>
          </w:p>
        </w:tc>
        <w:tc>
          <w:tcPr>
            <w:tcW w:w="80" w:type="dxa"/>
            <w:vAlign w:val="bottom"/>
          </w:tcPr>
          <w:p>
            <w:pPr>
              <w:spacing w:after="0"/>
              <w:rPr>
                <w:sz w:val="21"/>
                <w:szCs w:val="21"/>
                <w:color w:val="auto"/>
              </w:rPr>
            </w:pPr>
          </w:p>
        </w:tc>
        <w:tc>
          <w:tcPr>
            <w:tcW w:w="476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3051F2"/>
              </w:rPr>
              <w:t>Significant Accounting Policies</w:t>
            </w: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3</w:t>
            </w:r>
          </w:p>
        </w:tc>
        <w:tc>
          <w:tcPr>
            <w:tcW w:w="80" w:type="dxa"/>
            <w:vAlign w:val="bottom"/>
          </w:tcPr>
          <w:p>
            <w:pPr>
              <w:spacing w:after="0"/>
              <w:rPr>
                <w:sz w:val="21"/>
                <w:szCs w:val="21"/>
                <w:color w:val="auto"/>
              </w:rPr>
            </w:pPr>
          </w:p>
        </w:tc>
        <w:tc>
          <w:tcPr>
            <w:tcW w:w="476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3051F2"/>
              </w:rPr>
              <w:t>Restricted Cash</w:t>
            </w: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8"/>
              </w:rPr>
              <w:t>Note 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5"/>
              </w:rPr>
              <w:t>Revenue</w:t>
            </w:r>
          </w:p>
        </w:tc>
        <w:tc>
          <w:tcPr>
            <w:tcW w:w="200" w:type="dxa"/>
            <w:vAlign w:val="bottom"/>
            <w:tcBorders>
              <w:top w:val="single" w:sz="8" w:color="3051F2"/>
              <w:bottom w:val="single" w:sz="8" w:color="3051F2"/>
            </w:tcBorders>
          </w:tcPr>
          <w:p>
            <w:pPr>
              <w:spacing w:after="0"/>
              <w:rPr>
                <w:sz w:val="21"/>
                <w:szCs w:val="21"/>
                <w:color w:val="auto"/>
              </w:rPr>
            </w:pPr>
          </w:p>
        </w:tc>
        <w:tc>
          <w:tcPr>
            <w:tcW w:w="180" w:type="dxa"/>
            <w:vAlign w:val="bottom"/>
            <w:tcBorders>
              <w:top w:val="single" w:sz="8" w:color="3051F2"/>
              <w:bottom w:val="single" w:sz="8" w:color="3051F2"/>
            </w:tcBorders>
            <w:gridSpan w:val="2"/>
          </w:tcPr>
          <w:p>
            <w:pPr>
              <w:spacing w:after="0"/>
              <w:rPr>
                <w:sz w:val="21"/>
                <w:szCs w:val="21"/>
                <w:color w:val="auto"/>
              </w:rPr>
            </w:pPr>
          </w:p>
        </w:tc>
        <w:tc>
          <w:tcPr>
            <w:tcW w:w="140" w:type="dxa"/>
            <w:vAlign w:val="bottom"/>
            <w:tcBorders>
              <w:top w:val="single" w:sz="8" w:color="3051F2"/>
              <w:bottom w:val="single" w:sz="8" w:color="3051F2"/>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5</w:t>
            </w:r>
          </w:p>
        </w:tc>
        <w:tc>
          <w:tcPr>
            <w:tcW w:w="28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6</w:t>
            </w:r>
          </w:p>
        </w:tc>
        <w:tc>
          <w:tcPr>
            <w:tcW w:w="28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8"/>
              </w:rPr>
              <w:t>Tax Receivable Agreement</w:t>
            </w:r>
          </w:p>
        </w:tc>
        <w:tc>
          <w:tcPr>
            <w:tcW w:w="4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7</w:t>
            </w:r>
          </w:p>
        </w:tc>
        <w:tc>
          <w:tcPr>
            <w:tcW w:w="28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9"/>
              </w:rPr>
              <w:t>Non-Controlling Interests</w:t>
            </w:r>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8</w:t>
            </w:r>
          </w:p>
        </w:tc>
        <w:tc>
          <w:tcPr>
            <w:tcW w:w="280" w:type="dxa"/>
            <w:vAlign w:val="bottom"/>
          </w:tcPr>
          <w:p>
            <w:pPr>
              <w:spacing w:after="0"/>
              <w:rPr>
                <w:sz w:val="18"/>
                <w:szCs w:val="18"/>
                <w:color w:val="auto"/>
              </w:rPr>
            </w:pPr>
          </w:p>
        </w:tc>
        <w:tc>
          <w:tcPr>
            <w:tcW w:w="430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Stockholders’ Equity and Stock-Based Compensation Plans</w:t>
            </w: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33</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9</w:t>
            </w:r>
          </w:p>
        </w:tc>
        <w:tc>
          <w:tcPr>
            <w:tcW w:w="28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7"/>
              </w:rPr>
              <w:t>Related Party Transactions</w:t>
            </w:r>
          </w:p>
        </w:tc>
        <w:tc>
          <w:tcPr>
            <w:tcW w:w="480" w:type="dxa"/>
            <w:vAlign w:val="bottom"/>
            <w:gridSpan w:val="3"/>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10</w:t>
            </w:r>
          </w:p>
        </w:tc>
        <w:tc>
          <w:tcPr>
            <w:tcW w:w="280" w:type="dxa"/>
            <w:vAlign w:val="bottom"/>
          </w:tcPr>
          <w:p>
            <w:pPr>
              <w:spacing w:after="0"/>
              <w:rPr>
                <w:sz w:val="18"/>
                <w:szCs w:val="18"/>
                <w:color w:val="auto"/>
              </w:rPr>
            </w:pPr>
          </w:p>
        </w:tc>
        <w:tc>
          <w:tcPr>
            <w:tcW w:w="382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8"/>
              </w:rPr>
              <w:t>Fair Value of Financial Instruments and Other Assets</w:t>
            </w:r>
          </w:p>
        </w:tc>
        <w:tc>
          <w:tcPr>
            <w:tcW w:w="66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11</w:t>
            </w:r>
          </w:p>
        </w:tc>
        <w:tc>
          <w:tcPr>
            <w:tcW w:w="28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6"/>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12</w:t>
            </w:r>
          </w:p>
        </w:tc>
        <w:tc>
          <w:tcPr>
            <w:tcW w:w="28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9"/>
              </w:rPr>
              <w:t>Commitments and Contingencies</w:t>
            </w:r>
          </w:p>
        </w:tc>
        <w:tc>
          <w:tcPr>
            <w:tcW w:w="10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13</w:t>
            </w:r>
          </w:p>
        </w:tc>
        <w:tc>
          <w:tcPr>
            <w:tcW w:w="28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Earnings Per Share</w:t>
            </w:r>
          </w:p>
        </w:tc>
        <w:tc>
          <w:tcPr>
            <w:tcW w:w="1020" w:type="dxa"/>
            <w:vAlign w:val="bottom"/>
            <w:gridSpan w:val="5"/>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43</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14</w:t>
            </w:r>
          </w:p>
        </w:tc>
        <w:tc>
          <w:tcPr>
            <w:tcW w:w="28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8"/>
              </w:rPr>
              <w:t>Regulatory Capital Requirements</w:t>
            </w:r>
          </w:p>
        </w:tc>
        <w:tc>
          <w:tcPr>
            <w:tcW w:w="10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15</w:t>
            </w:r>
          </w:p>
        </w:tc>
        <w:tc>
          <w:tcPr>
            <w:tcW w:w="280" w:type="dxa"/>
            <w:vAlign w:val="bottom"/>
          </w:tcPr>
          <w:p>
            <w:pPr>
              <w:spacing w:after="0"/>
              <w:rPr>
                <w:sz w:val="18"/>
                <w:szCs w:val="18"/>
                <w:color w:val="auto"/>
              </w:rPr>
            </w:pPr>
          </w:p>
        </w:tc>
        <w:tc>
          <w:tcPr>
            <w:tcW w:w="340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Business Segment and Geographic Information</w:t>
            </w: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16</w:t>
            </w:r>
          </w:p>
        </w:tc>
        <w:tc>
          <w:tcPr>
            <w:tcW w:w="28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Subsequent Events</w:t>
            </w:r>
          </w:p>
        </w:tc>
        <w:tc>
          <w:tcPr>
            <w:tcW w:w="3120" w:type="dxa"/>
            <w:vAlign w:val="bottom"/>
            <w:gridSpan w:val="10"/>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vMerge w:val="restart"/>
          </w:tcPr>
          <w:p>
            <w:pPr>
              <w:jc w:val="right"/>
              <w:ind w:right="445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3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7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 The Refinitiv business was rebranded by LSEG as LSEG Data &amp; Analytics during the fourth quarter of 2023.</w:t>
      </w:r>
    </w:p>
    <w:p>
      <w:pPr>
        <w:spacing w:after="0" w:line="13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both</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March 31, 2026 and December 31, 2025, Tradeweb Markets Inc. owned 90.2% of TWM LLC and the non-controlling interest holders owned the remaining 9.8% of TWM LLC.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6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4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retail and corporates client sectors. The Company’s principal subsidiaries include:</w:t>
      </w:r>
    </w:p>
    <w:p>
      <w:pPr>
        <w:spacing w:after="0" w:line="121"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39"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Dealerweb LLC (“DW”) (formerly known as Hilliard Farber &amp; Co., Inc. and Dealerweb Inc.), a registered broker-dealer under the Exchange Act and a member of FINRA and MSRB. DW is also registered as an introducing broker with the CFTC and a member of the NFA.</w:t>
      </w:r>
    </w:p>
    <w:p>
      <w:pPr>
        <w:spacing w:after="0" w:line="13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Direct LLC (“TWD”) (formerly known as BondDesk Trading LLC), a registered broker-dealer under the Exchange Act and a member of FINRA and MSRB.</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LLC (“ICDLC”), acquired on August 1, 2024, a registered broker-dealer under the Exchange Act and a member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w:t>
      </w:r>
    </w:p>
    <w:p>
      <w:pPr>
        <w:spacing w:after="0" w:line="16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Europe Limited (“TEL”), a MiFID Investment Firm regulated by the Financial Conduct Authority (the “FCA”) in the UK and certain other global regulators and that maintains branches in Hong Kong and Singapore.</w:t>
      </w:r>
    </w:p>
    <w:p>
      <w:pPr>
        <w:spacing w:after="0" w:line="134"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SEF LLC (“TW SEF”), a Swap Execution Facility (“SEF”) regulated by the CFTC and certain other global regulators and a registered security-based swap execution facility (“SBSEF”) under the Exchange Act.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 SEF LLC (“DW SEF”), a SEF regulated by the CFTC and certain other global regulators.</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pacing w:after="0" w:line="13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 B.V. (“TWEU”), a MiFID Investment Firm regulated by the Netherlands Authority for the Financial Markets (“AFM”), the De Nederlandsche Bank (“DNB”) and certain other global regulators and that maintains branches in France and Italy.</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Limited (“TESL”), an Investment Firm (“BIPRU Firm”) regulated by the FCA in the UK with an exemption from the Australian Securities &amp; Investments Commission (“ASIC”) from having to hold an Australian financial services license.</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B.V. (“TESBV”), a MiFID Investment Firm authorized and regulated by the AFM, with permission to trade on a matched principal basis.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Australia Pty Ltd (formerly Yieldbroker Pty Limited) (“YB” or “Yieldbroker”), acquired in August 2023, a Tier 1 Australian Markets Licensee in Australia, regulated by ASIC.</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right="380" w:hanging="328"/>
        <w:spacing w:after="0" w:line="312"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Tradeweb (DIFC) Limited (“TDIFC”), an Authorized Firm regulated by the Dubai Financial Services Authority (“DFSA”) with a license for “arranging deals in investments” for users to access the Company’s various trading venues that are also separately recognized by the DFSA.</w:t>
      </w:r>
    </w:p>
    <w:p>
      <w:pPr>
        <w:spacing w:after="0" w:line="112" w:lineRule="exact"/>
        <w:rPr>
          <w:rFonts w:ascii="Times New Roman" w:cs="Times New Roman" w:eastAsia="Times New Roman" w:hAnsi="Times New Roman"/>
          <w:sz w:val="17"/>
          <w:szCs w:val="17"/>
          <w:color w:val="auto"/>
        </w:rPr>
      </w:pPr>
    </w:p>
    <w:p>
      <w:pPr>
        <w:ind w:left="660" w:right="2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Technology and Trading Private Limited (“TTTL”), a private limited company incorporated in Mumbai, India. Its business scope includes providing a sales relationship support function for Tradeweb’s offshore trading platform into India.</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Brasil Ltda (“TWB”), a limited liability company incorporated in Sao Paulo, Brazil.</w:t>
      </w:r>
    </w:p>
    <w:p>
      <w:pPr>
        <w:spacing w:after="0" w:line="184"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Limited (“ICDLT”), acquired on August 1, 2024, a firm engaged in the provision of intermediary services authorized and regulated by the FCA in the UK.</w:t>
      </w:r>
    </w:p>
    <w:p>
      <w:pPr>
        <w:spacing w:after="0" w:line="134"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Company, a Joint Stock Company incorporated in the Kingdom of Saudi Arabia (“TWSA”), authorized and regulated by the Capital Markets Authority (“CMA”) to operate an Alternative Trading System (“ATS”).</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Asia Pte. Ltd. (“TAPL”), a Singapore based company licensed by the Monetary Authority of Singapore (“MAS”) as a Capital Markets Service Provider.</w:t>
      </w:r>
    </w:p>
    <w:p>
      <w:pPr>
        <w:spacing w:after="0" w:line="12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Global Capability Centre Private Limited (India) (“TWGC”), a private limited company based in Bangalore, India, operates as a support center for various administrative functions.</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August 2024, the Company acquired Institutional Cash Distributors (“ICD”) by purchasing all of the outstanding equity interests of each of ICD Intermediate Holdco 1, LLC, SCIC - ICD Blocker 1, Inc. and Parthenon Investors V ICD Blocker, Inc. (the “ICD Acquisition”). 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 With the 2024 acquisition of ICD and its proprietary technology, the Company added “corporates” as a client channel, serving corporate treasury professionals, complementing the Company’s previously existing focus on institutional, wholesale and retail clients.</w:t>
      </w:r>
    </w:p>
    <w:p>
      <w:pPr>
        <w:spacing w:after="0" w:line="14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January 2024, the Company acquired R8FIN Holdings LP (together with its subsidiaries, “r8fin”) (the “r8fin Acquisition”). 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Automated Intelligent Execution (“AiEX”) offerings.</w:t>
      </w:r>
    </w:p>
    <w:p>
      <w:pPr>
        <w:spacing w:after="0" w:line="1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August 2023, the Company acquired Yieldbroker, a leading Australian trading platform for Australian and New Zealand government bonds and interest rate derivatives, covering the institutional and wholesale client sector (the “Yieldbroker Acquisition”). This acquisition combined Australia and New Zealand’s highly attractive, fast-growing markets with Tradeweb’s international reach and scale.</w:t>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June 2021, the Company acquired Nasdaq’s U.S. fixed income electronic trading platform, formerly known as eSpeed (the “NFI Acquisition”), which is a fully executable CLOB for electronic trading in on-the-run (“OTR”) U.S. government bonds.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w:t>
      </w:r>
    </w:p>
    <w:p>
      <w:pPr>
        <w:spacing w:after="0" w:line="185" w:lineRule="exact"/>
        <w:rPr>
          <w:sz w:val="20"/>
          <w:szCs w:val="20"/>
          <w:color w:val="auto"/>
        </w:rPr>
      </w:pPr>
    </w:p>
    <w:p>
      <w:pPr>
        <w:ind w:left="660" w:right="2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investors collectively owned 116,035,961 shares of Class A common stock, representing 10.1% of the combined voting power of Tradeweb Markets Inc.’s issued and outstanding common stock and indirectly, through Tradeweb Markets Inc., owned 49.2% of the economic interest in TWM LLC;</w:t>
      </w:r>
    </w:p>
    <w:p>
      <w:pPr>
        <w:spacing w:after="0" w:line="14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indirectly owned 96,933,192 shares of Class B common stock, 18,000,000 shares of Class C common stock and 4,988,329 shares of Class D common stock, collectively representing 89.9% of the combined voting power of Tradeweb Markets Inc.’s issued and outstanding common stock and directly and indirectly, through Tradeweb Markets Inc., owned 50.8% of the economic interest in TWM LLC; and</w:t>
      </w:r>
    </w:p>
    <w:p>
      <w:pPr>
        <w:spacing w:after="0" w:line="135"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stockholders that continued to own LLC Interests also collectively owned 68,539 shares of Class D common stock, representing less than 0.1% of the combined voting power of Tradeweb Markets Inc.’s issued and outstanding common stock. Collectively, these stockholders directly owned less than 0.1% of the economic interest in TWM LLC.</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the Company’s basic and diluted earnings per share calculations for the three months ended March 31, 2026 were impacted by 78,389 of weighted average shares resulting from unvested or unsettled vested stock awards that were considered participating securities for purposes of calculating earnings per share in accordance with the two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class method. The Company’s diluted earnings per share calculation for the three months ended March 31, 2026 also includes 639,512 of weighted average shares resulting from the dilutive effect of its equity incentive plans. See Note 13 – Earnings Per Share for additional details.</w:t>
      </w:r>
    </w:p>
    <w:p>
      <w:pPr>
        <w:spacing w:after="0" w:line="15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Continuing LLC Owners.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audited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Company’s Annual Report on Form 10-K for the year ended December 31, 2025. The consolidated financial information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has been derived from audited financial statements not included herein. These unaudited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been prepared in accordance with accounting principles generally accepted in the United States of America (“GAAP”) and the rules and regulations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Securities and Exchange Commission (“SEC”) with respect to interim financial reporting and Form 10-Q. In accordance with such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certain disclosures that are normally included in annual financial statements have been omitted. These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reflect all normal and recurring adjustments that are, in the opinion of management, necessary for a fair statement of the results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periods presented. Operating results for interim periods are not necessarily indicative of the results that may be expected for the full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Transaction costs incurred to effect a business combination are expensed as incurred and are included as a component of professional fees or general and administrative expenses in the condensed consolidated statements of income.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Pushdown Accounting</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cash and highly liquid investments with remaining maturities at the time of purchase of three months or less.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An analysis of the financial condition of the Company’s counterparties is also performed. When estimating credit losses on current accounts receivable and current contract assets arising from revenue from contracts with customers, the Company has elected the practical expedient to assume that current conditions as of the statement of financial condition date do not change for the remaining life of the asset. Additions to the allowance for credit losses relating to client receivables are charged to credit loss expense, included as a component of general and administrative expenses in the condensed consolidated statements of income. Aged balances that are determined to be uncollectible are written off against the allowance for credit losses.</w:t>
      </w:r>
    </w:p>
    <w:p>
      <w:pPr>
        <w:spacing w:after="0" w:line="15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An allowance for credit losses is also recognized for any credit impairment of the Company’s digital asset loan receivable and available-for-sale debt securities, with the credit loss included as a component of other income (loss), net in the condensed consolidated statements of income. See Note 11 – Credit Risk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Receivable from and payable to brokers and dealers and clearing organizations consists of proceeds from wholesale transactions executed on the Company’s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with Clearing Organizations</w:t>
      </w:r>
    </w:p>
    <w:p>
      <w:pPr>
        <w:spacing w:after="0" w:line="202" w:lineRule="exact"/>
        <w:rPr>
          <w:sz w:val="20"/>
          <w:szCs w:val="20"/>
          <w:color w:val="auto"/>
        </w:rPr>
      </w:pPr>
    </w:p>
    <w:p>
      <w:pPr>
        <w:ind w:right="5560"/>
        <w:spacing w:after="0" w:line="480" w:lineRule="auto"/>
        <w:rPr>
          <w:sz w:val="20"/>
          <w:szCs w:val="20"/>
          <w:color w:val="auto"/>
        </w:rPr>
      </w:pPr>
      <w:r>
        <w:rPr>
          <w:rFonts w:ascii="Times New Roman" w:cs="Times New Roman" w:eastAsia="Times New Roman" w:hAnsi="Times New Roman"/>
          <w:sz w:val="17"/>
          <w:szCs w:val="17"/>
          <w:color w:val="auto"/>
        </w:rPr>
        <w:t xml:space="preserve">Deposits with clearing organizations are comprised of cash deposits. </w:t>
      </w:r>
      <w:r>
        <w:rPr>
          <w:rFonts w:ascii="Times New Roman" w:cs="Times New Roman" w:eastAsia="Times New Roman" w:hAnsi="Times New Roman"/>
          <w:sz w:val="17"/>
          <w:szCs w:val="17"/>
          <w:b w:val="1"/>
          <w:bCs w:val="1"/>
          <w:color w:val="auto"/>
        </w:rPr>
        <w:t>Furniture, Equipment, Purchased Software and Leasehold Improvements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accumulated depreciation related to furniture, equipment, purchased software and leasehold improvements totaled $101.7 million and $96.7 million, respectively. Depreciation expense for furniture, equipment, purchased software and leasehold improvements was $7.2 million and $6.1 million for the three months ended March 31, 2026 and 2025, respectively.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ICD Acquisition are amortized over eight years, software development costs acquired as part of the r8fin Acquisition are amortized over seven years and software development costs acquired as part of the Yieldbroker Acquisition and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accumulated amortization related to software development costs totaled $411.5 million and $387.1 million, respectively. Amortization expense for software development costs was $24.4 million and $22.0 million for the three months ended March 31, 2026 and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ICD Acquisition, the r8fin Acquisition, the Yieldbroker Acquisition and the NFI Acquisition, which were all accounted for as business combinations. Goodwill is not amortized, but is tested for impairment annually on October 1st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last tested for impairment on October 1, 2025 and no impairment of goodwill was identified.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four to fifteen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accumulated amortization related to intangible assets totaled $828.8 million and $799.7 million, respectively. Amortization expense for definite-lived intangible assets was $29.1 million and $34.6 million for the three months ended March 31, 2026 and 2025,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Assets and Other Investments at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Digital Assets - Canton Coins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performs services as a Super Validator and Validator on the Global Synchronizer, the Canton Network’s decentralized interoperability infrastructure. The Canton Network is a public-permissioned blockchain network designed with privacy and controls to facilitate the exchange of regulated financial assets. The Canton Network’s Global Synchronizer includes a utility token, which is a digital asset called the Canton Coin. As a Super Validator and Validator on the network, the Company verifies network transactions and contributes to the consensus mechanism of the network. For these validation services, the Company earns Canton Coins and then generally holds the Canton Coins on its balance sheet for investment purposes and may use Canton Coins to pay fees associated with its own Canton Network activity. The cost basis of the Canton Coins received throughout each day is initially recorded at its fair value on the date of receipt as a component of digital assets and other investments at fair value on the condensed consolidated statements of financial condition. The Canton Coins are then remeasured to fair market value at the end of each reporting period through an adjustment to unrealized gain/(loss), included as a component of other income (loss), net on the condensed consolidated statements of income. The Company employs the first-in-first-out (“FIFO”) method to determine the cost basis of its Canton Coins for the computation of gains and losses on any disposal or sale of Canton Coins. Realized gain/(loss) on any disposal or sale of Canton Coins are also included as a component of other income (loss), net in the condensed consolidated statements of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Available-for-Sale Debt Securities</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Investments in available-for-sale debt securities are carried at fair value with unrealized gains or losses excluded from earnings and reported in accumulated other comprehensive loss in the condensed consolidated statements of financial condition until realized. On a quarterly basis, the Company assesses whether an impairment loss on its available-for-sale debt securities has occurred due to declines in fair value or other market conditions. When the amortized cost basis of an available-for-sale debt security exceeds its fair value, the security is deemed to be impaired. The portion of an impairment related to credit losses is determined by comparing the present value of cash flows expected to be collected from the security with the amortized cost basis of the security and is recorded as a charge in the condensed consolidated statements of income. The remainder of an impairment is recognized in accumulated other comprehensive loss if the Company does not intend to sell the security and it is more likely than not that the Company will not be required to sell the security prior to recovery. Investments in available-for-sale debt securities are included as a component of digital assets and other investments at fair value on the condensed consolidated statements of financial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Equity Securities with a Readily Determinable Fair Value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Minority investments in equity securities with a readily determinable fair value that are not accounted for under the equity method are remeasured to fair market value at the end of each reporting period through an adjustment to unrealized gain/(loss) included as a component of other income (loss), net on the condensed consolidated statements of income. These investments are included as a component of digital assets and other investments at fair value on the condensed consolidated statements of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Equity Investments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generally accounts for equity investments under the equity method of accounting when it has significant influence over the entity’s operating and financial policies but does not have a controlling financial interest. For equity investments in corporations, the equity method applies only to investments in common stock or in-substance common stock.</w:t>
      </w:r>
    </w:p>
    <w:p>
      <w:pPr>
        <w:spacing w:after="0" w:line="13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For equity method investments, the Company records its estimated pro rata share of earnings or losses each reporting period as a component of other income (loss) in the condensed consolidated statements of income and records any dividends as a reduction of the investment balance. Equity method investments are reviewed for impairment whenever events or changes in circumstances indicate that the carrying amount of the investment may not be recoverable. If the estimated fair value of the investment is less than the carrying amount and management considers the decline in value to be other than temporary, the excess of the carrying amount over the estimated fair value is recognized in net income as an impairment in the period the impairment occurs.</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minority investments in equity securities without a readily determinable fair value that are not accounted for under the equity method, the Company applies the measurement alternative. Under the measurement alternative, these investments are measured at cost, less impairment, plus or minus observable price changes (in orderly transactions) of an identical or similar investment of the same issuer. On a quarterly basis, the Company performs a qualitative assessment to evaluate whether the equity investment is impaired and if the Company determines that the equity investment is impaired on the basis of a qualitative assessment, the Company will recognize an impairment loss in net income equal to the amount by which the investment’s carrying amount exceeds its fair value.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Equity method investments and investments in equity securities without a readily determinable fair value are included as a component of other assets on the condensed consolidated statements of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From time to time, the Company sells securities under agreements to repurchase in order to facilitate the clearance of securities. Securities sold under agreements to repurchase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condensed consolidated statements of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classification of revenues in the condensed consolidated statements of income primarily represents revenues from contracts with customers disaggregated by type of revenue. See Note 4 – Revenue for additional details regarding revenue types and the Company’s policies regarding revenue recognition.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and Foreign Exchange Derivative Contracts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gains/losses totaled a loss of $1.5 million and a gain of $0.9 million during the three months ended March 31, 2026 and 2025,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condensed consolidated statements of income within general and administrative expenses and related cash flows are included in cash flows from operating activities. The Company does not use derivative instruments for trading or speculative purposes. Realized and unrealized gains/losses on foreign currency forward contracts totaled a gain of $5.5 million and a loss of $6.3 million during the three months ended March 31, 2026 and 2025, respectively. As of March 31, 2026 and December 31, 2025, the counterparty on each of the foreign exchange derivative contracts was an affiliate of LSEG and therefore the corresponding assets or liabilities on such contracts were included in receivable and due from related parties or payable and due to related parties, respectively, on the accompanying condensed consolidated statements of financial condition. See Note 10 – Fair Value of Financial Instruments and Other Assets for additional details on the Company’s derivative instruments.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2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condensed consolidated statements of financial condition as of March 31,</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2026 or December 31, 2025 or the Company’s condensed consolidated statements of income or cash flows for the three months ended March 31, 2026. The Company will continue to evaluate the implications of this legislation on future periods.</w:t>
      </w:r>
    </w:p>
    <w:p>
      <w:pPr>
        <w:spacing w:after="0" w:line="1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 material impact on the Company’s condensed consolidated statements of financial condition as of March 31, 2026 or December 31, 2025 or the Company’s condensed consolidated statements of income or cash flows for the three months ended March 31, 2026 or 2025. The Company is subject to the current 15% CAMT, however, it did not have an impact on the Company’s effective tax rate for the three months ended March 31, 2026 or 2025.</w:t>
      </w:r>
    </w:p>
    <w:p>
      <w:pPr>
        <w:spacing w:after="0" w:line="14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 material impact on the Company’s condensed consolidated statements of financial condition as of March 31, 2026 or December 31, 2025 or the Company’s condensed consolidated statements of income or cash flows for the three months ended March 31, 2026 or 2025. The Company continues to monitor developments related to the G7’s discussions on global tax reform and is awaiting legislative updates.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grant-date fair value of stock-based awards with only time-based vesting requirements and stock-based awards that also vest based on the financial performance of the Company are determined based on the price of the Company’s Class A common stock on the grant date. For performance-based restricted stock units that vest based on the financial performance of the Company, the number of shares included in the stock-based compensation expense calculation each period is based on management’s estimate of the probable number of shares expected to be issued at settlement.</w:t>
      </w:r>
    </w:p>
    <w:p>
      <w:pPr>
        <w:spacing w:after="0" w:line="13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For performance-based restricted stock units that vest based on market conditions, the Company recognizes stock-based compensation expense based on the estimated grant-date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If the service condition applicable for such award is met, expense is recognized based on the grant-date fair value of the award even if the market condition is not achieved.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of stock-based awards related to service conditions not being met are recognized as they occur.</w:t>
      </w:r>
    </w:p>
    <w:p>
      <w:pPr>
        <w:spacing w:after="0" w:line="18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The non-cash stock-based compensation expense associated with the Special Option Award was expensed beginning in the second quarter of 2019 and ended during the first quarter of 2024 when all previously awarded options were fully vested.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Basic and diluted earnings per share are computed in accordance with the two-class method as unvested or unsettled vested stock awards issued to certain retired or terminated employees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stockholders.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4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dilutive effect of stock options and other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payment awards is calculated using the treasury stock method, which assumes the proceeds from the exercise of these instruments are used to purchase shares of Class A common stock at the average market price for the period. The dilutive effect of LLC Interests held by non-controlling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stock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4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represents the amount that would be received to sell an asset or paid to transfer a liability in an orderly transaction between market participants at the measurement date (the exit price). Financial instruments that the Company owns (long positions) are marked to bid prices, and instruments that the Company has sold, but not yet purchased (short positions) are marked to offer prices. Fair value measurements do not include transaction costs.</w:t>
      </w:r>
    </w:p>
    <w:p>
      <w:pPr>
        <w:spacing w:after="0" w:line="133"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The fair value hierarchy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asset or liability’s level within the fair value hierarchy is based on the lowest level of any input that is significant to the fair value measurement.</w:t>
      </w:r>
    </w:p>
    <w:p>
      <w:pPr>
        <w:spacing w:after="0" w:line="18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184"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in markets that are not considered to be active or for which all significant inputs are observable, either directly or indirectly;</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(“FASB”) issued Accounting Standards Update (“ASU”) 2025-11, </w:t>
      </w:r>
      <w:r>
        <w:rPr>
          <w:rFonts w:ascii="Times New Roman" w:cs="Times New Roman" w:eastAsia="Times New Roman" w:hAnsi="Times New Roman"/>
          <w:sz w:val="18"/>
          <w:szCs w:val="18"/>
          <w:i w:val="1"/>
          <w:iCs w:val="1"/>
          <w:color w:val="auto"/>
        </w:rPr>
        <w:t>Interim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270): Narrow-Scope Improvements </w:t>
      </w:r>
      <w:r>
        <w:rPr>
          <w:rFonts w:ascii="Times New Roman" w:cs="Times New Roman" w:eastAsia="Times New Roman" w:hAnsi="Times New Roman"/>
          <w:sz w:val="18"/>
          <w:szCs w:val="18"/>
          <w:color w:val="auto"/>
        </w:rPr>
        <w:t>(“ASU 2025-11”), which clarifies interim disclosure requirements and the applicability of Topic 270. The amendments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ASU result in a comprehensive list of interim disclosures that are required by GAAP and include a disclosure principle that requires entities to disclose events since the end of the last annual reporting period that had a material impact on the entity. ASU 2025-11 also clarifies the types of interim reporting and the form and content of interim financial statements prepared in accordance with GAAP. ASU 2025-11 is effective for the Company’s interim reporting periods beginning on January 1, 2028. The guidance may be applied on a prospective or retrospective basis and early adoption is permitted. The Company is currently evaluating the impact of adopting ASU 2025-11 on its interim consolidated financial statements.</w:t>
      </w:r>
    </w:p>
    <w:p>
      <w:pPr>
        <w:spacing w:after="0" w:line="1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Scope Refinements and Scope Clarification for Share-Based Noncash Consideration from a Customer in a Revenue Contract </w:t>
      </w:r>
      <w:r>
        <w:rPr>
          <w:rFonts w:ascii="Times New Roman" w:cs="Times New Roman" w:eastAsia="Times New Roman" w:hAnsi="Times New Roman"/>
          <w:sz w:val="18"/>
          <w:szCs w:val="18"/>
          <w:color w:val="auto"/>
        </w:rPr>
        <w:t>(“ASU 2025-07”). ASU 2025-07 adds a new scope exception to derivative accounting guidance for non-exchange traded contracts with underlyings based on operations or activities specific to one of the parties to the contract. However, this scope exception does not apply to (1) variables based on a market rate, market price or market index, (2) variables based on the price or performance (including default) of a financial asset or financial liability of one of the parties to the contract, (3) contracts (or features) involving the issuer’s own equity and (4) call and put options on debt instruments. The ASU also clarifies that an entity should apply the guidance from revenue from contracts with customers, including the non-cash consideration guidance therein, to a contract with share-based non-cash consideration from a customer for the transfer of goods or services unless and until the entity’s right to receive or retain the share-based non-cash consideration is unconditional. ASU 2025-07 is effective for the Company’s interim and annual reporting periods beginning on January 1, 2027. The guidance may be applied on a prospective or modified retrospective basis and early adoption is permitted. The Company is currently evaluating the impact of adopting ASU 2025-07 on its consolidated financial statements.</w:t>
      </w:r>
    </w:p>
    <w:p>
      <w:pPr>
        <w:spacing w:after="0" w:line="1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which amends certain aspects of the accounting for and disclosure of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costs. To address that software is not always developed in a linear manner, ASU 2025-06 removes the previous references to project development stages and enhances the guidance on how to evaluate whether the probable-to-complete recognition threshold has been met. ASU 2025-06 is effective for the Company’s interim and annual reporting periods beginning on January 1, 2028. The guidance may be applied on a prospective, retrospective or modified prospective transition basis and early adoption is permitted. The Company is currently evaluating the impact of adopting ASU 2025-06 on its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(“ASU 2025-05”). ASU 2025-05 introduces a practical expedient for measuring expected credit losses that permits entities to assume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current conditions as of the balance sheet date do not change for the remaining life of current accounts receivable and current contract assets arising from revenue from contracts with customers. On January 1, 2026, the Company adopted ASU 2025-05 on a prospective basis. The adoption of ASU 2025-05 did not have a material impact on the Company’s consolidated financial statements.</w:t>
      </w:r>
    </w:p>
    <w:p>
      <w:pPr>
        <w:spacing w:after="0" w:line="15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ASU 2024-03 requires the disaggregation of certain costs and expenses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financial statements to provide enhanced transparency into the expense captions presented on the face of the income statement. ASU 2024-03 is effective for the Company’s Annual Report on Form 10-K for the fiscal year ending December 31, 2027 and for interim periods beginning in 2028. The guidance may be applied on a prospective or retrospective basis and early adoption is permitted. The Company is currently evaluating the impact of adopting ASU 2024-03 on its consolidated financial statements.</w:t>
      </w:r>
    </w:p>
    <w:p>
      <w:pPr>
        <w:spacing w:after="0" w:line="1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March 31, 2026 and December 31, 2025, cash in the amount of $1.0 million, has been segregated in the PAB reserve account, exceeding the requirements pursuant to SEC Rule 15c3-3.</w:t>
      </w:r>
    </w:p>
    <w:p>
      <w:pPr>
        <w:spacing w:after="0" w:line="1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and reporting of trades thereon, which are highly interrelated services. The stand-ready connection to the electronic marketplaces is considered a single performance obligation satisfied over time as the client simultaneously receives and consumes the benefit from the Company’s performance as access is provided. This performance obligation constitutes a series of services that are substantially the same in nature and are provided over time using the same measure of progress.</w:t>
      </w:r>
    </w:p>
    <w:p>
      <w:pPr>
        <w:spacing w:after="0" w:line="16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its services, the Company may earn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earns transaction fees and/or commissions from transactions executed on the Company’s electronic marketplaces, including the basis point commissions earned on the monthly average daily balance (“ADB”) of money market fund investments made through its ICD Portal, and commission revenue from its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13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Transaction fees and commissions are generated both on a variable and fixed price basis and vary by geographic region, product type and trade size. Fixed monthly transaction fees and commissions, or monthly transaction fees and commission minimums, are earned on a monthly basis in the period the stand-ready trading services are provided and are generally billed monthly. For variable transaction fees and commissions, the Company charges its clients amounts calculated based on the mix of products traded and the volume of transactions executed. Variable transaction fee and commission revenue associated with a particular trade is recognized and recorded on a trade-date basis when the individual trade occurs and is generally billed when the trade settles or is billed monthly. Variable commission revenue based upon a client’s ADB invested in money market funds during a calendar month is recorded monthly and the rates billed may vary by money market fund and by the total level of funds invested. Variable discounts or rebates on transaction fees and commissions are earned and applied monthly or quarterly, are generally resolved within the same reporting period and are recorded as a reduction to revenue in the period the relevant trades occur.</w:t>
      </w:r>
    </w:p>
    <w:p>
      <w:pPr>
        <w:spacing w:after="0" w:line="1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also earns fees from an affiliate of LSEG relating to the sale of market data to LSEG, which distributes that data. Included in these fees, which are billed quarterly, are real-time market data fees which are recognized monthly on a straight-line basis, as LSEG receives and consumes the benefit evenly over the contract period, as the data is provided. Also included in these fees are fees for historical data sets, which are recognized when the historical data set is provided to LSEG.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judgments used in accounting for the Company’s market data agreement with LSEG include the following determinations:</w:t>
      </w:r>
    </w:p>
    <w:p>
      <w:pPr>
        <w:spacing w:after="0" w:line="19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5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Company also earns revenue for performing services as a Super Validator and Validator on the Canton Network, (collectively, “Validator Revenue”), included as a component of other revenue on the condensed consolidated statements of income. As a Super Validator and Validator, the Company verifies network transactions and contributes to the consensus mechanism of the network. For these services, the Company earns Canton Coins and the number of Canton Coins earned in a particular period is variable based on the Canton Network’s minting curve and burn-mint equilibrium and the amount of time that the Company’s nodes are active during any given minting cycle (with new rounds beginning at regular 10 minute intervals throughout each day), in comparison to other network participants. Since the Canton Network is not an entity, it may not meet the definition of a customer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 result, the Company has determined that, in the absence of a contract with a customer, it applies ASC 606, ‘by analogy’ to its Validator Revenue, considering the Canton Network’s protocol as a contract-like arrangement. Each block creation or validation round is considered a separate performance obligation and the Validator Revenue is recognized at the point in time when the validation round is complete and the Canton Coins are transferred into the Company’s digital wallet at the end of the round. Validator Revenue is recognized based on the fair value of each Canton Coin at contract inception, which has been deemed to be the start of each validation round, and therefore Validator Revenue will also vary based on any changes in the fair value of the Canton Coin, which may be highly volatile.</w:t>
      </w:r>
    </w:p>
    <w:p>
      <w:pPr>
        <w:spacing w:after="0" w:line="1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fees and commissions. The breakdown of revenues between fixed and variable revenues for the three months ended March 31, 2026 and 2025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8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8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80" w:type="dxa"/>
            <w:vAlign w:val="bottom"/>
          </w:tcPr>
          <w:p>
            <w:pPr>
              <w:spacing w:after="0"/>
              <w:rPr>
                <w:sz w:val="19"/>
                <w:szCs w:val="19"/>
                <w:color w:val="auto"/>
              </w:rPr>
            </w:pPr>
          </w:p>
        </w:tc>
        <w:tc>
          <w:tcPr>
            <w:tcW w:w="8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473,098</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50,735</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378,757</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42,587</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55,317</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28,925</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477,692</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140,072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380,009</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129,668</w:t>
            </w: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60" w:hanging="332"/>
        <w:spacing w:after="0" w:line="302"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Validator Revenue totaling $3.7 million and $0.3 million for the three months ended March 31, 2026 and 2025, respectively. The Company applies ASC 606 by analogy to its Validator Revenue.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Fees received by the Company which are not yet earned are included in deferred revenue on the condensed consolidated statements of financial condition until the revenue recognition criteria have been met. The revenue recognized and the remaining deferred revenue balances are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27"/>
        </w:trPr>
        <w:tc>
          <w:tcPr>
            <w:tcW w:w="9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billings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100,430</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(75,112)</w:t>
            </w:r>
          </w:p>
        </w:tc>
      </w:tr>
      <w:tr>
        <w:trPr>
          <w:trHeight w:val="23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March 31,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54,242</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into revenue $10.8 million in deferred revenue that was deferred as of December 31, 2025. During the three months ended March 31, 2025, the Company recognized into revenue $15.2 million in deferred revenue that was deferred as of December 31, 2024.</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The Company’s actual effective tax rate is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also varies from period to period depending on changes in the mix of earnings, tax legislation and tax rates in various jurisdictions. The Company’s provision for income taxes includes U.S., federal, state, local and foreign taxes.</w:t>
      </w:r>
    </w:p>
    <w:p>
      <w:pPr>
        <w:spacing w:after="0" w:line="13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2026 and 2025 was approximately 23.0% and 24.0%, respectively. The effective tax rate for the three months ended March 31, 2026 differed from the U.S. federal statutory rate of 21.0% primarily due to state, local and foreign taxes and the disallowance of compensation expense tax deductions, partially offset by the effect of non-controlling interests, the Foreign-Derived Intangible Income (“FDII”) deduction and benefits associated with purchasing transferable tax credits at a discount. The effective tax rate for the three months ended March 31, 2025 differed from the U.S. federal statutory rate of 21.0% primarily due to state, local and foreign taxes and the disallowance of compensation expense tax deductions, partially offset by the effect of non-controlling interests and the FDII deduction.</w:t>
      </w:r>
    </w:p>
    <w:p>
      <w:pPr>
        <w:spacing w:after="0" w:line="15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6 – Tax Receivable Agreement for further details. The tax benefit has been recognized in deferred tax assets on the condensed consolidated statements of financial condition.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Tax Receivable Agreement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due within 150 days after the filing of the tax return based on the actual tax savings realized by the Corporation, and estimated payments may be made in advance.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3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condensed consolidated statements of income in the period in which the change occurs. As of March 31, 2026 and December 31, 2025, the tax receivable agreement liability on the condensed consolidated statements of financial condition totaled $335.8 million and $336.5 million, respectively. During both the three months ended March 31, 2026 and 2025, no tax receivable agreement liability adjustment was recognized in the condensed consolidated statements of income.</w:t>
      </w:r>
    </w:p>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Continuing LLC Owners. Income or loss is attributed to the non-controlling interests based on the relative ownership percentages of LLC Interests held during the period by Tradeweb Markets Inc. and the Continuing LLC Owners.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98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900" w:type="dxa"/>
            <w:vAlign w:val="bottom"/>
            <w:gridSpan w:val="3"/>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3"/>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29"/>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LLC</w:t>
            </w:r>
          </w:p>
        </w:tc>
        <w:tc>
          <w:tcPr>
            <w:tcW w:w="1460" w:type="dxa"/>
            <w:vAlign w:val="bottom"/>
            <w:tcBorders>
              <w:top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LLC</w:t>
            </w:r>
          </w:p>
        </w:tc>
        <w:tc>
          <w:tcPr>
            <w:tcW w:w="1480" w:type="dxa"/>
            <w:vAlign w:val="bottom"/>
            <w:tcBorders>
              <w:top w:val="single" w:sz="8" w:color="auto"/>
            </w:tcBorders>
          </w:tcPr>
          <w:p>
            <w:pPr>
              <w:jc w:val="right"/>
              <w:ind w:right="317"/>
              <w:spacing w:after="0" w:line="129" w:lineRule="exact"/>
              <w:rPr>
                <w:sz w:val="20"/>
                <w:szCs w:val="20"/>
                <w:color w:val="auto"/>
              </w:rPr>
            </w:pPr>
            <w:r>
              <w:rPr>
                <w:rFonts w:ascii="Times New Roman" w:cs="Times New Roman" w:eastAsia="Times New Roman" w:hAnsi="Times New Roman"/>
                <w:sz w:val="14"/>
                <w:szCs w:val="14"/>
                <w:b w:val="1"/>
                <w:bCs w:val="1"/>
                <w:color w:val="auto"/>
              </w:rPr>
              <w:t>Ownership</w:t>
            </w:r>
          </w:p>
        </w:tc>
      </w:tr>
      <w:tr>
        <w:trPr>
          <w:trHeight w:val="196"/>
        </w:trPr>
        <w:tc>
          <w:tcPr>
            <w:tcW w:w="536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212,927,448</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213,330,868</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23,056,868</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23,066,538</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235,984,316</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236,397,406</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such holders, for shares of Class A common stock or Class B common stock, as applicable, on a one-for-one basis or, at the Company’s option, a cash payment in accordance with the terms of the TWM LLC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on Tradeweb Market Inc.’s equity due to changes in the Corporation’s ownership interest in TWM LLC:</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Non-Controlling Interests</w:t>
            </w:r>
          </w:p>
        </w:tc>
        <w:tc>
          <w:tcPr>
            <w:tcW w:w="8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8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4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Increase/(decrease) in Tradeweb Markets Inc.’s additional paid-in capital as a result of ownership changes in</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TWM LLC</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from net income attributable to Tradeweb Markets Inc. and transfers (to) from non-controlling interests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217,321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Stockholders’ Equity and Stock-Based Compensation Plans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and privileges of the Company’s stockholders’ equity and LLC Interests are described in the audited consolidated financial statements included in the Company’s Annual Report on Form 10-K for the year ended December 31, 2025 and there have been no changes to those rights and privileges during the three months ended March 31,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during the period: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115,502,689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5,056,868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235,492,749</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1,015,893</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1,015,893</w:t>
            </w: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(482,621)</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(482,621)</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116,035,961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5,056,868</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236,026,021</w:t>
            </w:r>
          </w:p>
        </w:tc>
      </w:tr>
      <w:tr>
        <w:trPr>
          <w:trHeight w:val="20"/>
        </w:trPr>
        <w:tc>
          <w:tcPr>
            <w:tcW w:w="4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85"/>
        </w:trPr>
        <w:tc>
          <w:tcPr>
            <w:tcW w:w="4160" w:type="dxa"/>
            <w:vAlign w:val="bottom"/>
          </w:tcPr>
          <w:p>
            <w:pPr>
              <w:spacing w:after="0"/>
              <w:rPr>
                <w:sz w:val="24"/>
                <w:szCs w:val="24"/>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115,977,551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5,073,538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235,984,281</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454,830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454,830</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116,439,381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5,066,538</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236,439,111</w:t>
            </w:r>
          </w:p>
        </w:tc>
      </w:tr>
      <w:tr>
        <w:trPr>
          <w:trHeight w:val="21"/>
        </w:trPr>
        <w:tc>
          <w:tcPr>
            <w:tcW w:w="4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restricted stock units (“RSUs”) and restricted stock awards (“RSAs”) with only time-based vesting conditions, performance-based restricted stock units with both time and performance-based vesting conditions, stock options and dividend equivalent rights. The Company refers to performance-based restricted stock units that vest based on the financial performance of the Company as “PRSUs” and performance-based restricted stock units that vest based on market conditions, such as total shareholder return, as “PSUs,” RSUs, PRSUs and PSUs each represent promises to issue actual shares of Class A common stock at the end of a vesting period. RSAs are issued shares of restricted Class A common stock that are released to an employee at the end of a vesting period. Stock options have a maximum contractual term of 10 years.</w:t>
      </w:r>
    </w:p>
    <w:p>
      <w:pPr>
        <w:spacing w:after="0" w:line="1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455,214 RSUs, 229,487 PRSUs and 113,428 PSUs at a weighted-average grant-date fair value per share of $123.86, $124.42 and $175.62,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RSU awards granted to employees will generally vest one-third each year over a three-year period, RSU awards granted to non-employee directors will generally vest after one year and RSAs vest at the end of a two-year period.</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For PRSU awards granted during 2024 and thereafter, the financial performance of the Company will be determined based on the compound annual growth rate over a three-year performance period beginning on January 1 in the year of grant. For all PRSU awards granted, the performance modifier can vary between 0% (minimum) and 250% (maximum) of the target (100%) award amount.</w:t>
      </w:r>
    </w:p>
    <w:p>
      <w:pPr>
        <w:spacing w:after="0" w:line="1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PSUs cliff vest on January 1 of the third calendar year from the calendar year of the date of grant and the number of shares a participant will receive upon vesting is determined by a performance modifier, which is adjusted as a result of the Company’s total shareholder return over a three-year performance period. The performance modifier for PSUs can vary between 0% (minimum) and 250% (maximum) of the target (100%) award amount. The grant date fair value of PSUs granted in March 2026 and 2025 was estimated using the Monte Carlo simulation model and the significant valuation assumptions used in those models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15, 2026 PSU</w:t>
            </w: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March 17, 2025 PSU</w:t>
            </w:r>
          </w:p>
        </w:tc>
      </w:tr>
      <w:tr>
        <w:trPr>
          <w:trHeight w:val="190"/>
        </w:trPr>
        <w:tc>
          <w:tcPr>
            <w:tcW w:w="82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4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37"/>
        </w:trPr>
        <w:tc>
          <w:tcPr>
            <w:tcW w:w="82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(years)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25.33 %</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25.04 %</w:t>
            </w:r>
          </w:p>
        </w:tc>
      </w:tr>
      <w:tr>
        <w:trPr>
          <w:trHeight w:val="27"/>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7"/>
        </w:trPr>
        <w:tc>
          <w:tcPr>
            <w:tcW w:w="8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total stock-based compensation expense is presented below:</w:t>
      </w:r>
    </w:p>
    <w:p>
      <w:pPr>
        <w:spacing w:after="0" w:line="23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62" w:lineRule="exact"/>
        <w:rPr>
          <w:sz w:val="20"/>
          <w:szCs w:val="20"/>
          <w:color w:val="auto"/>
        </w:rPr>
      </w:pPr>
    </w:p>
    <w:p>
      <w:pPr>
        <w:ind w:left="898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76"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440" w:val="left"/>
          <w:tab w:leader="none" w:pos="9200" w:val="left"/>
          <w:tab w:leader="none" w:pos="9880" w:val="left"/>
          <w:tab w:leader="none" w:pos="10660" w:val="left"/>
        </w:tabs>
        <w:rPr>
          <w:sz w:val="20"/>
          <w:szCs w:val="20"/>
          <w:color w:val="auto"/>
        </w:rPr>
      </w:pPr>
      <w:r>
        <w:rPr>
          <w:rFonts w:ascii="Times New Roman" w:cs="Times New Roman" w:eastAsia="Times New Roman" w:hAnsi="Times New Roman"/>
          <w:sz w:val="18"/>
          <w:szCs w:val="18"/>
          <w:color w:val="auto"/>
        </w:rPr>
        <w:t>Total stock-based compensation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25,060</w:t>
        <w:tab/>
        <w:t>$</w:t>
      </w:r>
      <w:r>
        <w:rPr>
          <w:sz w:val="20"/>
          <w:szCs w:val="20"/>
          <w:color w:val="auto"/>
        </w:rPr>
        <w:tab/>
      </w:r>
      <w:r>
        <w:rPr>
          <w:rFonts w:ascii="Times New Roman" w:cs="Times New Roman" w:eastAsia="Times New Roman" w:hAnsi="Times New Roman"/>
          <w:sz w:val="17"/>
          <w:szCs w:val="17"/>
          <w:color w:val="auto"/>
        </w:rPr>
        <w:t>22,187</w:t>
      </w:r>
    </w:p>
    <w:p>
      <w:pPr>
        <w:spacing w:after="0" w:line="30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above excludes $0.7 million and $0.5 million of stock-based compensation expense capitalized to software development costs during the three months ended March 31, 2026 and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authorized share repurchase programs from time to time, which authorize the repurchase of shares of the Company’s Class A common stock to offset annual dilution from stock-based compensation plans, as well as to opportunistically repurchase the Company’s Class A common stock. Pursuant to these share repurchase programs, the Company may make repurchases in the open market, through privately negotiated transactions, through accelerated repurchase programs (including through the use of derivatives), pursuant to Rule 10b5-1 plans or through enhanced open-market repurchases (eOMR). Any share repurchases are conducted in compliance with applicable legal requirements and the manner, timing and amount of any repurchases are based on an evaluation of market conditions, stock price and other factors. The Company’s share repurchase programs do not require the Company to acquire a specific number of shares, have no termination date and may be suspended, amended or discontinued at any time. The excess of the repurchase price paid over the par value of the Class A common stock, including any excise tax payable on such share repurchase, is recorded as a reduction to retained earnings.</w:t>
      </w:r>
    </w:p>
    <w:p>
      <w:pPr>
        <w:spacing w:after="0" w:line="16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December 5, 2022, the board of directors authorized a share repurchase program for the purchase of up to $300.0 million of the Company’s Class A common stock (the “2022 Share Repurchase Program”), after completing in October 2022, the $150.0 million of total repurchases of the Company’s Class A common stock authorized under its previous share repurchase program. During the three months ended March 31, 2026, the Company acquired a total of 482,621 shares of Class A common stock at an average price of $105.10, for purchases totaling $50.7 million, pursuant to the 2022 Share Repurchase Program. There were no share repurchases during the three months ended March 31, 2025. As of March 31, 2026, a total of $23.2 million remained available for repurchase pursuant to the 2022 Share Repurchase Program.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February 5, 2026, the board of directors authorized a new share repurchase program for the purchase of up to $500.0 million of the Company’s Class A common stock (the “2026 Share Repurchase Program”) once the 2022 Share Repurchase Program has been exhausted. As of March 31, 2026, a total of $500.0 million remained available for repurchase pursuant to the 2026 Share Repurchase Program.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Share Repurchases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withheld 765,130 and 346,219 shares, respectively, of Class A common stock from employee stock option, PRSU, PSU and RSU awards, at an average price per share of $111.06 and $137.46, respectively, and an aggregate value of approximately $85.0 million and $47.6 million, respectively, based on the price of the Class A common stock on the date the relevant withholding occurred. These shares are withheld in order for the Company to cover the employee payroll tax withholding obligations upon the exercise of stock options and settlement of PRSUs, PSUs and RSUs and such shares were not withheld in connection with the share repurchase programs discussed above.</w:t>
      </w:r>
    </w:p>
    <w:p>
      <w:pPr>
        <w:spacing w:after="0" w:line="1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the Company enters into transactions with its related parties which are considered to be related party transactions. As of March 31, 2026 and December 31, 2025, the following balances relating to transactions with such related parties were included in the condensed consolidated statements of financial condition in the following line items: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related parties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r>
      <w:tr>
        <w:trPr>
          <w:trHeight w:val="230"/>
        </w:trPr>
        <w:tc>
          <w:tcPr>
            <w:tcW w:w="8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and due to related parties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r>
    </w:tbl>
    <w:p>
      <w:pPr>
        <w:spacing w:after="0" w:line="72" w:lineRule="exact"/>
        <w:rPr>
          <w:sz w:val="20"/>
          <w:szCs w:val="20"/>
          <w:color w:val="auto"/>
        </w:rPr>
      </w:pPr>
    </w:p>
    <w:p>
      <w:pPr>
        <w:ind w:left="340" w:right="80" w:hanging="332"/>
        <w:spacing w:after="0" w:line="268"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and December 31, 2025, other assets included an equity method investment of $4.0 million and $4.5 million, respectively, representing a 50% equity interest in iAltA Capital Markets, LLC (“iAltA Capital”), in which an entity affiliated with a member of the Company’s board of directors is the other 50% investor (“iAltA Holdings”) and the Company’s director is also the Chief Executive Officer of both iAltA Capital and iAltA Holdings. As of March 31, 2026, other assets also included other equity investments totaling $40.2 million, through which the Company is able to exert significant influence over the investee’s operating and financial policies and are therefore also considered related parties.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amounts relating to transactions with such related parties were included in the condensed consolidated statements of income in the following line items:</w:t>
      </w:r>
    </w:p>
    <w:p>
      <w:pPr>
        <w:spacing w:after="0" w:line="16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898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Subscription fees</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LSEG market data fees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Other fees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23"/>
          <w:szCs w:val="23"/>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 xml:space="preserve">Employee compensation and benefits </w:t>
      </w:r>
      <w:r>
        <w:rPr>
          <w:rFonts w:ascii="Times New Roman" w:cs="Times New Roman" w:eastAsia="Times New Roman" w:hAnsi="Times New Roman"/>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Professional fees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Occupancy</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Other income (loss), net </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318" w:lineRule="exact"/>
        <w:rPr>
          <w:sz w:val="20"/>
          <w:szCs w:val="20"/>
          <w:color w:val="auto"/>
        </w:rPr>
      </w:pPr>
    </w:p>
    <w:p>
      <w:pPr>
        <w:spacing w:after="0"/>
        <w:tabs>
          <w:tab w:leader="none" w:pos="980" w:val="left"/>
          <w:tab w:leader="none" w:pos="1420" w:val="left"/>
          <w:tab w:leader="none" w:pos="2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292</w:t>
        <w:tab/>
        <w:t>$</w:t>
      </w:r>
      <w:r>
        <w:rPr>
          <w:sz w:val="20"/>
          <w:szCs w:val="20"/>
          <w:color w:val="auto"/>
        </w:rPr>
        <w:tab/>
      </w:r>
      <w:r>
        <w:rPr>
          <w:rFonts w:ascii="Times New Roman" w:cs="Times New Roman" w:eastAsia="Times New Roman" w:hAnsi="Times New Roman"/>
          <w:sz w:val="17"/>
          <w:szCs w:val="17"/>
          <w:color w:val="auto"/>
        </w:rPr>
        <w:t>326</w:t>
      </w:r>
    </w:p>
    <w:p>
      <w:pPr>
        <w:spacing w:after="0" w:line="27" w:lineRule="exact"/>
        <w:rPr>
          <w:sz w:val="20"/>
          <w:szCs w:val="20"/>
          <w:color w:val="auto"/>
        </w:rPr>
      </w:pPr>
    </w:p>
    <w:p>
      <w:pPr>
        <w:ind w:left="760"/>
        <w:spacing w:after="0"/>
        <w:tabs>
          <w:tab w:leader="none" w:pos="2200" w:val="left"/>
        </w:tabs>
        <w:rPr>
          <w:sz w:val="20"/>
          <w:szCs w:val="20"/>
          <w:color w:val="auto"/>
        </w:rPr>
      </w:pPr>
      <w:r>
        <w:rPr>
          <w:rFonts w:ascii="Times New Roman" w:cs="Times New Roman" w:eastAsia="Times New Roman" w:hAnsi="Times New Roman"/>
          <w:sz w:val="17"/>
          <w:szCs w:val="17"/>
          <w:color w:val="auto"/>
        </w:rPr>
        <w:t>26,742</w:t>
      </w:r>
      <w:r>
        <w:rPr>
          <w:sz w:val="20"/>
          <w:szCs w:val="20"/>
          <w:color w:val="auto"/>
        </w:rPr>
        <w:tab/>
      </w:r>
      <w:r>
        <w:rPr>
          <w:rFonts w:ascii="Times New Roman" w:cs="Times New Roman" w:eastAsia="Times New Roman" w:hAnsi="Times New Roman"/>
          <w:sz w:val="17"/>
          <w:szCs w:val="17"/>
          <w:color w:val="auto"/>
        </w:rPr>
        <w:t>28,925</w:t>
      </w:r>
    </w:p>
    <w:p>
      <w:pPr>
        <w:spacing w:after="0" w:line="70" w:lineRule="exact"/>
        <w:rPr>
          <w:sz w:val="20"/>
          <w:szCs w:val="20"/>
          <w:color w:val="auto"/>
        </w:rPr>
      </w:pPr>
    </w:p>
    <w:p>
      <w:pPr>
        <w:ind w:left="2440" w:hanging="1446"/>
        <w:spacing w:after="0"/>
        <w:tabs>
          <w:tab w:leader="none" w:pos="2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147</w:t>
      </w:r>
    </w:p>
    <w:p>
      <w:pPr>
        <w:spacing w:after="0" w:line="304" w:lineRule="exact"/>
        <w:rPr>
          <w:rFonts w:ascii="Times New Roman" w:cs="Times New Roman" w:eastAsia="Times New Roman" w:hAnsi="Times New Roman"/>
          <w:sz w:val="17"/>
          <w:szCs w:val="17"/>
          <w:color w:val="auto"/>
        </w:rPr>
      </w:pPr>
    </w:p>
    <w:p>
      <w:pPr>
        <w:ind w:left="2520" w:hanging="1511"/>
        <w:spacing w:after="0"/>
        <w:tabs>
          <w:tab w:leader="none" w:pos="25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860"/>
        <w:spacing w:after="0"/>
        <w:tabs>
          <w:tab w:leader="none" w:pos="2280" w:val="left"/>
        </w:tabs>
        <w:rPr>
          <w:sz w:val="20"/>
          <w:szCs w:val="20"/>
          <w:color w:val="auto"/>
        </w:rPr>
      </w:pPr>
      <w:r>
        <w:rPr>
          <w:rFonts w:ascii="Times New Roman" w:cs="Times New Roman" w:eastAsia="Times New Roman" w:hAnsi="Times New Roman"/>
          <w:sz w:val="18"/>
          <w:szCs w:val="18"/>
          <w:color w:val="auto"/>
        </w:rPr>
        <w:t>7,007</w:t>
      </w:r>
      <w:r>
        <w:rPr>
          <w:sz w:val="20"/>
          <w:szCs w:val="20"/>
          <w:color w:val="auto"/>
        </w:rPr>
        <w:tab/>
      </w:r>
      <w:r>
        <w:rPr>
          <w:rFonts w:ascii="Times New Roman" w:cs="Times New Roman" w:eastAsia="Times New Roman" w:hAnsi="Times New Roman"/>
          <w:sz w:val="18"/>
          <w:szCs w:val="18"/>
          <w:color w:val="auto"/>
        </w:rPr>
        <w:t>2,140</w:t>
      </w:r>
    </w:p>
    <w:p>
      <w:pPr>
        <w:spacing w:after="0" w:line="58" w:lineRule="exact"/>
        <w:rPr>
          <w:sz w:val="20"/>
          <w:szCs w:val="20"/>
          <w:color w:val="auto"/>
        </w:rPr>
      </w:pPr>
    </w:p>
    <w:p>
      <w:pPr>
        <w:jc w:val="both"/>
        <w:ind w:left="1080"/>
        <w:spacing w:after="0"/>
        <w:tabs>
          <w:tab w:leader="none" w:pos="2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—76</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2023</w:t>
      </w:r>
    </w:p>
    <w:p>
      <w:pPr>
        <w:spacing w:after="0" w:line="293" w:lineRule="exact"/>
        <w:rPr>
          <w:sz w:val="20"/>
          <w:szCs w:val="20"/>
          <w:color w:val="auto"/>
        </w:rPr>
      </w:pPr>
    </w:p>
    <w:p>
      <w:pPr>
        <w:ind w:left="2520" w:hanging="1601"/>
        <w:spacing w:after="0"/>
        <w:tabs>
          <w:tab w:leader="none" w:pos="2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85" w:lineRule="exact"/>
        <w:rPr>
          <w:sz w:val="20"/>
          <w:szCs w:val="20"/>
          <w:color w:val="auto"/>
        </w:rPr>
      </w:pPr>
    </w:p>
    <w:p>
      <w:pPr>
        <w:sectPr>
          <w:pgSz w:w="11900" w:h="16838" w:orient="portrait"/>
          <w:cols w:equalWidth="0" w:num="2">
            <w:col w:w="7740" w:space="720"/>
            <w:col w:w="2780"/>
          </w:cols>
          <w:pgMar w:left="320" w:top="121" w:right="339" w:bottom="1440" w:gutter="0" w:footer="0" w:header="0"/>
          <w:type w:val="continuous"/>
        </w:sectPr>
      </w:pPr>
    </w:p>
    <w:p>
      <w:pPr>
        <w:ind w:left="340" w:right="80" w:hanging="332"/>
        <w:spacing w:after="0" w:line="271"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an affiliate of LSEG. Under the agreement, the Company delivers to LSEG certain market data feeds which LSEG distributes to its customers. The Company earns license fees and royalties for these feeds.</w:t>
      </w: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agreements with LSEG to provide the Company with certain market data, office space, finance, human resources and other administrative services.</w:t>
      </w:r>
    </w:p>
    <w:p>
      <w:pPr>
        <w:spacing w:after="0" w:line="14" w:lineRule="exact"/>
        <w:rPr>
          <w:rFonts w:ascii="Times New Roman" w:cs="Times New Roman" w:eastAsia="Times New Roman" w:hAnsi="Times New Roman"/>
          <w:sz w:val="14"/>
          <w:szCs w:val="14"/>
          <w:color w:val="auto"/>
        </w:rPr>
      </w:pPr>
    </w:p>
    <w:p>
      <w:pPr>
        <w:ind w:left="340" w:right="320" w:hanging="332"/>
        <w:spacing w:after="0" w:line="254"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shared services agreement with iAltA Capital, through which the Company receives a reimbursement for employee compensation and benefits costs incurred related to work performed by the Company’s employees on behalf of iAltA Capital.</w:t>
      </w:r>
    </w:p>
    <w:p>
      <w:pPr>
        <w:ind w:left="340" w:right="360" w:hanging="332"/>
        <w:spacing w:after="0" w:line="278"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estimated pro rata share of losses from its equity method investments in iAltA Capital (50% equity ownership) and MAXEX, LLC (“MAXEX”) (9% equity ownership).</w:t>
      </w:r>
    </w:p>
    <w:p>
      <w:pPr>
        <w:spacing w:after="0" w:line="14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addition to the above, the Company also periodically does business with certain entities with which its directors are affiliated. During the three months ended March 31, 2026 and 2025, such transactions have not had, and are not currently expected to have, a material impact on the Company’s condensed consolidated financial statements.</w:t>
      </w:r>
    </w:p>
    <w:p>
      <w:pPr>
        <w:spacing w:after="0" w:line="1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of Financial Instruments and Other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and Other Assets Measured at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and other assets measured at fair value on the condensed consolidated statements of financial condition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 have been categorized based upon the fair value hierarchy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5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20" w:type="dxa"/>
            <w:vAlign w:val="bottom"/>
          </w:tcPr>
          <w:p>
            <w:pPr>
              <w:spacing w:after="0"/>
              <w:rPr>
                <w:sz w:val="8"/>
                <w:szCs w:val="8"/>
                <w:color w:val="auto"/>
              </w:rPr>
            </w:pPr>
          </w:p>
        </w:tc>
        <w:tc>
          <w:tcPr>
            <w:tcW w:w="12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5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for Identical Assets</w:t>
            </w:r>
          </w:p>
        </w:tc>
        <w:tc>
          <w:tcPr>
            <w:tcW w:w="14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4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March 31, 2026</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1,722,837</w:t>
            </w:r>
          </w:p>
        </w:tc>
        <w:tc>
          <w:tcPr>
            <w:tcW w:w="10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1,722,837</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Investment in available for sale debt securities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Investment in equity securities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26,585</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Digital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Canton Coins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243,498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243,498</w:t>
            </w: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Receivable and due from related parties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Foreign exchange derivative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4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2,021,977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340" w:hanging="314"/>
        <w:spacing w:after="0"/>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as a component of digital assets and other investments at fair value on the condensed consolidated statements of financial condition.</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20" w:type="dxa"/>
            <w:vAlign w:val="bottom"/>
          </w:tcPr>
          <w:p>
            <w:pPr>
              <w:spacing w:after="0"/>
              <w:rPr>
                <w:sz w:val="9"/>
                <w:szCs w:val="9"/>
                <w:color w:val="auto"/>
              </w:rPr>
            </w:pPr>
          </w:p>
        </w:tc>
        <w:tc>
          <w:tcPr>
            <w:tcW w:w="12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5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for Identical Assets</w:t>
            </w:r>
          </w:p>
        </w:tc>
        <w:tc>
          <w:tcPr>
            <w:tcW w:w="142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1,810,560</w:t>
            </w:r>
          </w:p>
        </w:tc>
        <w:tc>
          <w:tcPr>
            <w:tcW w:w="100" w:type="dxa"/>
            <w:vAlign w:val="bottom"/>
          </w:tcPr>
          <w:p>
            <w:pPr>
              <w:spacing w:after="0"/>
              <w:rPr>
                <w:sz w:val="22"/>
                <w:szCs w:val="22"/>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1,810,560</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Investment in available for sale debt securities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Digital asset loan receivable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Digital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Canton Coins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242,729</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2,053,289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2,102,557</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and due to related parties – Foreign exchange derivative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as a component of digital assets and other investments at fair value on the condensed consolidated statements of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classified within Level 1 of the fair value hierarchy because they are valued using quoted market prices in active markets.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Available-for-Sale Debt Securities</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April 2024, the Company made a strategic investment in a convertible note with a principal amount and original amortized cost basis of $10.0 million. The investment was made as part of the Company’s broader initiative to support the digitization of capital markets through the adoption of blockchain technology. The convertible note accrues interest at a rate of 5% per annum, compounded annually, and matures on the earliest to occur of January 19, 2027, an event of default or a change in control as each term is defined in the convertible note. The note and accrued interest will convert to equity securities of the issuer on January 19, 2027, if not previously repaid or converted upon certain defined financing events. In the fourth quarter of 2025, the issuer announced that it entered into a definitive business combination agreement through which the issuer will become a publicly-listed company (the “Merger Transaction”), subject to issuer shareholder approval, customary closing conditions and regulatory approvals, at a $1.25 billion pre-money equity value, subject to customary valuation adjustments. If completed, the Merger Transaction would trigger the conversion of the convertible note and accrued interest.</w:t>
      </w:r>
    </w:p>
    <w:p>
      <w:pPr>
        <w:spacing w:after="0" w:line="14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convertible note is accounted for as an available-for-sale debt security and the convertible note and accrued interest is included within digital assets and other investments at fair value on the accompanying condensed consolidated statements of financial condition at a fair value of $26.1 million and $24.9 million as of March 31, 2026 and December 31, 2025, respectively. The convertible note, including accrued interest, had an amortized cost basis of $11.0 million and $10.9 million as of March 31, 2026 and December 31, 2025, respectively. There were no credit losses recorded on the convertible note during the three months ended March 31, 2026 and 2025. During the three months ended March 31, 2026 and 2025, there were $1.1 million and $3.2 million of unrealized gains, respectively, recorded as a component of other comprehensive income related to an increase in fair value of the convertible note during the periods. The convertible note is classified within Level 3 of the fair value hierarchy because the valuation requires assumptions that are both significant and unobservable. The primary method used to estimate the fair value of the convertible note as of March 31, 2026 was a probability-weighted expected return model which incorporated the credit risk of the issuer and scenarios in which the note would convert into equity, the estimated equity value of the issuer and the conversion terms outlined in the convertible note agreement. Significant unobservable inputs included a discount rate of 12% and management’s assessment of the probability of the issuer obtaining shareholder approval for the Merger Transaction and the corresponding expected realization of value to the Company if the Merger Transaction closes at the expected valuation. Any increase in the discount rate used, any decrease in the probability of shareholder approval, the closing of the merger at a lower valuation and/or any increase in the estimated time to close would result in a lower fair value measurement. Similarly, any decrease in the discount rate used, any increase in the probability of shareholder approval, the closing of the Merger Transaction at a higher valuation and/or any decrease in the estimated time to close would result in a higher fair value measurement.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Canton Coins</w:t>
      </w:r>
    </w:p>
    <w:p>
      <w:pPr>
        <w:spacing w:after="0" w:line="18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The Canton Network’s Global Synchronizer includes a utility token, which is a digital asset called the Canton Coin. Beginning in the third quarter of 2024, the Company began earning and continues to earn Canton Coins for its function as a Super Validator and Validator on the Global Synchronizer, and then generally holds the Canton Coins on its balance sheet for investment purposes and may use Canton Coins to pay fees associated with its own Canton Network activity. On March 3, 2026, the Canton Network approved a long-term locking and commitment framework for Super Validators (the “Locking Commitment”) designed to align Super Validator incentives with the long-term success of the Canton Network and create visible, on-chain commitment of the Super Validators to the Canton Network. To continue earning Canton Coins for its function as a Super Validator, the Locking Commitment requires Super Validators, including the Company, to lock a defined percentage of its aggregate lifetime Canton Coins earned for its function as a Super Validator. Once implemented, the amount of Super Validator weight assigned to the Company will be based on the tiered percentage Locking Commitment elected by the Company. The Locking Commitment percentages step down over time and are scheduled to end in mid-2029. While Canton Coins are locked, they may not be transferred to third parties and once an election to unlock is made, 1/365 of the requested unlock amount becomes liquid each day. The final Locking Commitment election is binding beginning in May 2026 and the Company is currently still evaluating its final Locking Commitment election.</w:t>
      </w:r>
    </w:p>
    <w:p>
      <w:pPr>
        <w:spacing w:after="0" w:line="16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$3.7 million and $0.3 million, respectively, in other revenue relating to Canton Coins earned in exchange for providing services as a Super Validator and Validator on the Canton Network.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Canton Coin holdings as of March 31, 2026 and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27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278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 of Coins</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 of Coins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9"/>
        </w:trPr>
        <w:tc>
          <w:tcPr>
            <w:tcW w:w="2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2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Canton Coins</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1.6 billion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15,130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243,498</w:t>
            </w:r>
          </w:p>
        </w:tc>
        <w:tc>
          <w:tcPr>
            <w:tcW w:w="1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1.6 billion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242,729</w:t>
            </w:r>
          </w:p>
        </w:tc>
      </w:tr>
    </w:tbl>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2025, the Canton Coin began spot trading across several global digital asset exchanges and therefore its valuation was transferred from Level 3 to Level 1 of the fair value hierarchy as a result of the increase in observable pricing available from active markets. As of March 31, 2026 and December 31, 2025, the Company’s Canton Coin holdings were measured at fair value using quoted prices from the Company’s principal market for the sale of Canton Coins at the time of measurement.</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unrealized gains/losses related to changes of the fair value of Canton Coins totaled a loss of $2.9 million and a gain of $4.2 million, respectively, included as a component of other income (loss), net on the condensed consolidated statements of income. There were no material realized gains or realized losses recorded on the disposition of Canton Coins during both the three months ended March 31, 2026 and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Canton Strategic Holdings</w:t>
      </w:r>
    </w:p>
    <w:p>
      <w:pPr>
        <w:spacing w:after="0" w:line="20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November 2025, the Company exchanged approximately 161 million Canton Coins for approximately 8 million pre-funded warrants (“PFWs”), which upon exercise, entitle the Company the right to receive an equivalent number of shares of common stock of Canton Strategic Holdings, Inc. (formerly known as Tharimmune, Inc.) (“CNTN”). The exercisability of the PFWs was contingent on the approval of CNTN’s shareholders and if shareholder approval was not obtained by May 13, 2026, the PFWs would have been terminated and the Company would have been entitled to the receipt of the</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161 million Canton Coins originally pre-funded. On the date of the exchange, both the 161 million Canton Coins and the 8 million PFWs were valued at approximately $25.0 million.</w:t>
      </w:r>
    </w:p>
    <w:p>
      <w:pPr>
        <w:spacing w:after="0" w:line="14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Until the approval of CNTN’s shareholders was obtained, the PFWs were accounted for as a digital asset loan receivable. On the November 2025 date of exchange, the Company derecognized the 161 million Canton Coins, recognized a $24.9 million realized gain on the transfer of the Canton Coins during the fourth quarter of 2025 and recorded a $25.0 million digital asset loan receivable, included as a component of digital assets and other investments at fair value on the condensed consolidated statements of financial condition as of December 31, 2025. Until shareholder approval was obtained, the digital asset loan receivable was remeasured on a recurring basis to the fair market value of the Canton Coins, through an adjustment to unrealized gain/(loss), included as a component of other income (loss), net on the condensed consolidated statements of income. As of December 31, 2025, the digital asset loan receivable was classified within Level 2 of the fair value hierarchy. Its carrying value was determined based on the fair value of the Canton Coin, as adjusted for an allowance for credit loss. As of December 31, 2025, the fair value of the Canton Coin was an observable valuation input.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January 30, 2026, CNTN’s shareholders approved the issuance of the PFWs and the Company derecognized the digital asset loan receivable which had a carrying value as of December 31, 2025 totaling $24.4 million, including the reversal of the allowance for credit loss of $0.2 million and previously unrealized losses totaling $0.4 million, recorded a $39.8 million investment in the PFWs and recognized a $14.8 million realized gain, included as a component of other income (loss), net on the condensed consolidated statements of income.</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Subsequent to the January 30, 2026 approval of CNTN’s shareholders, the PFWs are accounted for as an equity security with a readily determinable fair value and included as a component of digital assets and other investments at fair value on the condensed consolidated statements of financial condition. The PFWs are measured at fair value based on the quoted public share price of CNTN common stock and are therefore classified within Level 2 of the fair value hierarchy as of March 31, 2026. During the three months ended March 31, 2026, the Company recognized unrealized losses related to changes of the fair value of the PFWs totaling $13.2 million, included as a component of other income (loss), net on the condensed consolidated statements of income.</w:t>
      </w:r>
    </w:p>
    <w:p>
      <w:pPr>
        <w:spacing w:after="0" w:line="14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2026, the PFWs are not able to be sold or transferred by the Company and if exercised, one-third of the shares of common stock are also subject to lock-up restrictions on the sale or transfer of those shares through May 5,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Roll Forward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fair value for Level 3 assets during the three months ended March 31,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r>
      <w:tr>
        <w:trPr>
          <w:trHeight w:val="203"/>
        </w:trPr>
        <w:tc>
          <w:tcPr>
            <w:tcW w:w="7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7"/>
                <w:szCs w:val="17"/>
                <w:color w:val="auto"/>
              </w:rPr>
            </w:pPr>
          </w:p>
        </w:tc>
      </w:tr>
      <w:tr>
        <w:trPr>
          <w:trHeight w:val="23"/>
        </w:trPr>
        <w:tc>
          <w:tcPr>
            <w:tcW w:w="7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7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60" w:type="dxa"/>
            <w:vAlign w:val="bottom"/>
          </w:tcPr>
          <w:p>
            <w:pPr>
              <w:spacing w:after="0"/>
              <w:rPr>
                <w:sz w:val="19"/>
                <w:szCs w:val="19"/>
                <w:color w:val="auto"/>
              </w:rPr>
            </w:pPr>
          </w:p>
        </w:tc>
      </w:tr>
      <w:tr>
        <w:trPr>
          <w:trHeight w:val="23"/>
        </w:trPr>
        <w:tc>
          <w:tcPr>
            <w:tcW w:w="7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Investments in Available for Sale Debt Securities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10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gains included in other comprehensive income (loss)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13,627</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Digital Assets – Canton Coins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7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gains included in other income (loss), net</w:t>
            </w:r>
          </w:p>
        </w:tc>
        <w:tc>
          <w:tcPr>
            <w:tcW w:w="106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unrealized gains relating to Level 3 assets held at March 31, 2026 totaling $1.1 million, included as a component of other comprehensive income on the accompanying condensed consolidated statements of comprehensive income.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unrealized gains relating to Level 3 assets held at March 31, 2025 totaling $4.2 million, included as a component of other income (loss), net on the accompanying condensed consolidated statements of income and $3.2 million included as a component of other comprehensive income on the accompanying condensed consolidated statements of comprehensive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Derivative Contracts</w:t>
      </w:r>
    </w:p>
    <w:p>
      <w:pPr>
        <w:spacing w:after="0" w:line="200"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The Company enters into foreign currency forward contracts to mitigate its U.S. dollar and British pound sterling versus euro exposure, generally with a duration of less than 12 months. The valuations for the Company’s foreign currency forward contracts are primarily based on the difference between the exchange rate associated with the contract and the exchange rate at the current period end for the tenor of the contract. Foreign currency forward contracts are categorized as Level 2 in the fair value hierarchy. As of March 31, 2026 and December 31, 2025, the counterparty on each of these foreign exchange derivative contracts was an affiliate of LSEG and therefore the corresponding assets or liabilities on such contracts were included in receivable and due from related parties or payable and due to related parties, respectively, on the accompanying condensed consolidated statements of financial condition.</w:t>
      </w:r>
    </w:p>
    <w:p>
      <w:pPr>
        <w:spacing w:after="0" w:line="13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U.S. dollar equivalent notional amount of the Company’s foreign exchange derivative contracts not designated as hedges for accounting purposes: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 Gross notional amount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355,106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339,794</w:t>
            </w:r>
          </w:p>
        </w:tc>
      </w:tr>
    </w:tbl>
    <w:p>
      <w:pPr>
        <w:spacing w:after="0" w:line="2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Company’s foreign exchange derivative contracts are not designated as hedges for accounting purposes and changes in the fair value of these contracts during the period are recognized in the condensed consolidated statements of income. The total realized and unrealized gains (losses) on foreign exchange derivative contracts recorded within the condensed consolidated statements of income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2"/>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not designated in accounting hedge relationship – 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5,531</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not measured at fair value on the condensed consolidated statements of financial condition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have been categorized based upon the fair value hierarchy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Identical Assets</w:t>
            </w: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4"/>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7"/>
                <w:szCs w:val="17"/>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Total Fair Value</w:t>
            </w:r>
          </w:p>
        </w:tc>
      </w:tr>
      <w:tr>
        <w:trPr>
          <w:trHeight w:val="23"/>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3"/>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March 31, 2026</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215,464</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215,464</w:t>
            </w: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131,252</w:t>
            </w: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57,346</w:t>
            </w: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351,009</w:t>
            </w: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758,339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130,651</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130,651</w:t>
            </w: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130,651</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905"/>
        </w:trPr>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Identical Assets</w:t>
            </w: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4"/>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7"/>
                <w:szCs w:val="17"/>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7"/>
                <w:szCs w:val="17"/>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Total Fair Value</w:t>
            </w:r>
          </w:p>
        </w:tc>
      </w:tr>
      <w:tr>
        <w:trPr>
          <w:trHeight w:val="23"/>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3"/>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275,179</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275,179</w:t>
            </w:r>
          </w:p>
        </w:tc>
      </w:tr>
      <w:tr>
        <w:trPr>
          <w:trHeight w:val="176"/>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w:t>
            </w: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257,845</w:t>
            </w: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603,063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0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Company measures certain assets and liabilities at fair value on a non-recurring basis, such as assets acquired in a business combination, intangible assets, equity method investments and equity investments without readily determinable fair values for which the measurement alternative has been elected.</w:t>
      </w:r>
    </w:p>
    <w:p>
      <w:pPr>
        <w:spacing w:after="0" w:line="9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the Company held equity method investments totaling $24.1 million and $4.5 million, respectively, included as a component of other assets on the condensed consolidated statements of financial condition. As of both March 31, 2026 and December 31, 2025, the Company also had $5.0 million in unfunded capital commitments related to its equity method investments. During the three months ended March 31, 2026 and 2025, the Company recognized an equity pickup loss of $0.4 million and none, respectively, included in other income (loss), net in the condensed consolidated statements of income, relating to its pro rata share of operating performance of its equity method investments. There were no impairments recorded on equity method investments during the three months ended March 31, 2026 and 2025.</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held minority equity investments in various companies without readily determinable fair values totaling $74.9 million and $44.8 million, respectively, included as a component of other assets on the condensed consolidated statements of financial condition. There were no impairments or unrealized gains recorded on minority equity investments during the three months ended March 31, 2026 and 2025. Cumulative impairments on minority equity investments held as of March 31, 2026 totaled $22.7 million. Cumulative unrealized gains on minority equity investments held as of March 31, 2026 totaled $4.3 million.</w:t>
      </w:r>
    </w:p>
    <w:p>
      <w:pPr>
        <w:spacing w:after="0" w:line="1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investments are subject to general contractual sale restrictions that may prohibit the transfer or sale of the investment without prior consent of the investee and/or other investors.</w:t>
      </w:r>
    </w:p>
    <w:p>
      <w:pPr>
        <w:spacing w:after="0" w:line="117" w:lineRule="exact"/>
        <w:rPr>
          <w:sz w:val="20"/>
          <w:szCs w:val="20"/>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self-clears wholesale U.S. Treasury trades executed on its platform by non-FICC members. The number of self-cleared trades that settle over the fed wire, instead of FICC clearing, may impact the number of U.S. Treasury failed settlement transactions. As of March 31, 2026, the Company recorded a $131.3 million receivable and a $130.7 million payable from/to brokers and dealers and clearing organizations related to failed settlement transactions and the Company self-funded the remaining $0.6 million difference between the fail to deliver and fail to receive. All of the failed settlement transactions outstanding as of March 31, 2026 were fully settled during April 2026.</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clients of the Company, which are cleared by a clearing broker. Under the arrangement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143"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3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Analysis of the financial condition of the Company’s counterparties is also performed.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balances are pooled based on the following risk characteristics:</w:t>
      </w:r>
    </w:p>
    <w:p>
      <w:pPr>
        <w:spacing w:after="0" w:line="2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type (billing type)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allowance for credit losses is also recognized for any credit impairment of the Company’s digital asset loan receivable and available-for-sale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As of December 31, 2025, the Company maintained an allowance for credit loss with regards to its digital asset loan receivable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 based on a review of the credit risk of the counterparty and the characteristics of the arrangement. As further described in Note 10 –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Financial Instruments and Other Assets, in January 2026, upon CNTN shareholder approval for the issuance of the PFWs, the digital asset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receivable and the related allowance for credit loss were reversed, resulting in a reversal of credit loss expense totaling $0.2 million during the three months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March 31, 2026. There was no allowance for credit losses recorded on available-for-sale debt securities as of March 31, 2026 and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there was no credit loss expense recognized during each of the three months ended March 31, 2026 and 2025.</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Write-Offs</w:t>
      </w:r>
    </w:p>
    <w:p>
      <w:pPr>
        <w:spacing w:after="0" w:line="20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Once determined uncollectible, aged balances are written off against the allowance for credit losses. This determination is based on analysis of individual receivables and aging schedules, which are disaggregated based on the risk characteristics described above. Based on current policy, this generally occurs when the receivable is 360 days past due.</w:t>
      </w:r>
    </w:p>
    <w:p>
      <w:pPr>
        <w:spacing w:after="0" w:line="13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maintained an allowance for credit losses with regard to its receivables of $0.4 million and $0.6 million, respectively. During the three months ended March 31, 2026 and 2025, recoveries resulted in a reversal of credit loss expense relating to receivables totaling $0.1 million and $0.2 million, respectively.</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could reasonably be expected to have a material adverse effect on its business, financial condition or results of operations.</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its clients which provide the clients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Although the Company was dismissed from a lawsuit relating to interest rate swaps in 2017, the claims brought by certain swap execution facilities against the remaining defendant financial institutions continue and could still be appealed as to the Company.</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and therefore does not have any contingency reserves established for any of these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November 21, 2023, the Company entered into a five year, $500.0 million unsecured revolving credit facility (the “2023 Revolving Credit Facility”) with a syndicate of banks, which replaced its $500.0 million secured credit facility entered into on April 8, 2019.</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The 2023 Revolving Credit Facility will mature on November 21, 2028.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spacing w:after="0" w:line="27" w:lineRule="exact"/>
        <w:rPr>
          <w:sz w:val="20"/>
          <w:szCs w:val="20"/>
          <w:color w:val="auto"/>
        </w:rPr>
      </w:pPr>
    </w:p>
    <w:p>
      <w:pPr>
        <w:ind w:right="40" w:firstLine="8"/>
        <w:spacing w:after="0" w:line="252" w:lineRule="auto"/>
        <w:tabs>
          <w:tab w:leader="none" w:pos="2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and other administrative fees that are payable quarterly. Financial covenant requirements include maintaining minimum ratios related to interest coverage and leverage.</w:t>
      </w:r>
    </w:p>
    <w:p>
      <w:pPr>
        <w:spacing w:after="0" w:line="14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both March 31, 2026 and December 31, 2025, there were $0.5 million in letters of credit issued and no borrowings outstanding under the 2023 Revolving Credit Facility.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data centers with initial lease terms ranging from one to 16 years. The following table presents the future minimum lease payments and the maturity of lease liabilities as of March 31, 2026: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186"/>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23,935</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17,717</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114,053</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197,271</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(54,445)</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142,826</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calculations of basic and diluted earnings per share of Class A and Class B common stock for Tradeweb Markets Inc.: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5"/>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w:t>
            </w: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20" w:type="dxa"/>
            <w:vAlign w:val="bottom"/>
          </w:tcPr>
          <w:p>
            <w:pPr>
              <w:spacing w:after="0"/>
              <w:rPr>
                <w:sz w:val="17"/>
                <w:szCs w:val="17"/>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8"/>
              </w:rPr>
              <w:t>Numerator:</w:t>
            </w:r>
          </w:p>
        </w:tc>
        <w:tc>
          <w:tcPr>
            <w:tcW w:w="758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205,284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148,382</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Less: Distributed and undistributed earnings allocated to participating securities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outstanding shares of Class A and Class B common stock - 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205,208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148,253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84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Basic</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212,685,136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213,087,496</w:t>
            </w:r>
          </w:p>
        </w:tc>
      </w:tr>
      <w:tr>
        <w:trPr>
          <w:trHeight w:val="229"/>
        </w:trPr>
        <w:tc>
          <w:tcPr>
            <w:tcW w:w="20" w:type="dxa"/>
            <w:vAlign w:val="bottom"/>
          </w:tcPr>
          <w:p>
            <w:pPr>
              <w:spacing w:after="0"/>
              <w:rPr>
                <w:sz w:val="19"/>
                <w:szCs w:val="19"/>
                <w:color w:val="auto"/>
              </w:rPr>
            </w:pPr>
          </w:p>
        </w:tc>
        <w:tc>
          <w:tcPr>
            <w:tcW w:w="8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434,441</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289,873</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RSUs and RSAs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553,747</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PSUs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529,861</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Diluted</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213,324,648</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214,895,418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40" w:right="420" w:hanging="332"/>
        <w:spacing w:after="0" w:line="302"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2026 and 2025, there was a total of 78,389 and 185,309, respectively, weighted average unvested or unsettled vested stock awards that were considered a participating security for purposes of calculating earnings per share in accordance with the two-class method.</w:t>
      </w:r>
    </w:p>
    <w:p>
      <w:pPr>
        <w:spacing w:after="0" w:line="12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held by Continuing LLC Owners are evaluated under the if-converted method. The potential dilutive effect of PRSUs, shares underlying options, RSUs, RSAs and PSUs are evaluated under the treasury stock method.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PRSUs, shares underlying options, RSUs, RSAs, PSUs and weighted-average LLC Interests held by Continuing LLC Owners that were anti-dilutive for the periods indicated. As a result, these shares, which were outstanding, were excluded from the computation of diluted earnings per share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820" w:type="dxa"/>
            <w:vAlign w:val="bottom"/>
            <w:gridSpan w:val="3"/>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9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9"/>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Anti-dilutive Shares: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PRSUs</w:t>
            </w:r>
          </w:p>
        </w:tc>
        <w:tc>
          <w:tcPr>
            <w:tcW w:w="69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and RSAs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240,797</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23,056,868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23,070,027</w:t>
            </w:r>
          </w:p>
        </w:tc>
      </w:tr>
    </w:tbl>
    <w:p>
      <w:pPr>
        <w:spacing w:after="0" w:line="2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Regulatory Capital Requirements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TWL, DW, TWD and ICDLC are subject to the Uniform Net Capital Rule 15c3-1 under the Exchange Act and certain of the Company's foreign subsidiaries are subject to financial resource requirements from their local regulators. At March 31, 2026 and December 31, 2025, the regulatory capital requirements and regulatory capital for these entities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58"/>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4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Excess Regulatory</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380" w:type="dxa"/>
            <w:vAlign w:val="bottom"/>
          </w:tcPr>
          <w:p>
            <w:pPr>
              <w:jc w:val="right"/>
              <w:ind w:right="112"/>
              <w:spacing w:after="0" w:line="158" w:lineRule="exact"/>
              <w:rPr>
                <w:sz w:val="20"/>
                <w:szCs w:val="20"/>
                <w:color w:val="auto"/>
              </w:rPr>
            </w:pPr>
            <w:r>
              <w:rPr>
                <w:rFonts w:ascii="Times New Roman" w:cs="Times New Roman" w:eastAsia="Times New Roman" w:hAnsi="Times New Roman"/>
                <w:sz w:val="14"/>
                <w:szCs w:val="14"/>
                <w:b w:val="1"/>
                <w:bCs w:val="1"/>
                <w:color w:val="auto"/>
              </w:rPr>
              <w:t>Excess Regulatory</w:t>
            </w:r>
          </w:p>
        </w:tc>
      </w:tr>
      <w:tr>
        <w:trPr>
          <w:trHeight w:val="204"/>
        </w:trPr>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7"/>
                <w:szCs w:val="17"/>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7"/>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
        </w:trPr>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60,183</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TWD</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53,021</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61,388</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TWJ</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TWEU</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TESL</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TESBV</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YB</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TDIFC</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ICDLC</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w:t>
            </w:r>
          </w:p>
        </w:tc>
      </w:tr>
      <w:tr>
        <w:trPr>
          <w:trHeight w:val="260"/>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ICDLT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8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TWSA</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50"/>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TAPL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March 31, 2026 and December 31, 2025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15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Financial</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3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Excess Financial</w:t>
            </w:r>
          </w:p>
        </w:tc>
      </w:tr>
      <w:tr>
        <w:trPr>
          <w:trHeight w:val="190"/>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Resources</w:t>
            </w:r>
          </w:p>
        </w:tc>
      </w:tr>
      <w:tr>
        <w:trPr>
          <w:trHeight w:val="37"/>
        </w:trPr>
        <w:tc>
          <w:tcPr>
            <w:tcW w:w="15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6"/>
        </w:trPr>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91,621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50,063</w:t>
            </w:r>
          </w:p>
        </w:tc>
      </w:tr>
      <w:tr>
        <w:trPr>
          <w:trHeight w:val="243"/>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15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r>
      <w:tr>
        <w:trPr>
          <w:trHeight w:val="190"/>
        </w:trPr>
        <w:tc>
          <w:tcPr>
            <w:tcW w:w="152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34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340" w:type="dxa"/>
            <w:vAlign w:val="bottom"/>
          </w:tcPr>
          <w:p>
            <w:pPr>
              <w:spacing w:after="0"/>
              <w:rPr>
                <w:sz w:val="16"/>
                <w:szCs w:val="16"/>
                <w:color w:val="auto"/>
              </w:rPr>
            </w:pPr>
          </w:p>
        </w:tc>
        <w:tc>
          <w:tcPr>
            <w:tcW w:w="12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15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0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29,690</w:t>
            </w:r>
          </w:p>
        </w:tc>
      </w:tr>
      <w:tr>
        <w:trPr>
          <w:trHeight w:val="243"/>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2,138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Business Segment and Geographic Information</w:t>
      </w:r>
    </w:p>
    <w:p>
      <w:pPr>
        <w:spacing w:after="0" w:line="18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The Company operates electronic marketplaces for the trading of products across the rates, credit, equities and money markets asset classes and provides related pre-trade and post-trade services. Through its electronic marketplaces, the Company facilitates trading by clients across the institutional, wholesale, retail and corporates client sectors and builds comprehensive market data sets that it is able to separately sell to clients, primarily LSEG, as incremental market data revenue. Because of the highly integrated nature of these marketplaces and services and the global financial markets in which the Company competes, the Chief Operating Decision Maker (the “CODM”) reviews financial information on a global consolidated basis for purposes of making operating decisions, allocating resources and evaluating financial performance. As such, the Company has determined it operates as one operating segment and one reportable segment.</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Consolidated net income is the measure of segment profit most consistent with U.S. GAAP that is regularly reviewed by the CODM to allocate resources and assess performance. Significant expense categories included in consolidated net income that are regularly provided to the CODM include employee compensation and benefits, technology and communications, general and administrative, professional fees and occupancy, each as presented on the accompanying condensed consolidated statements of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revenue from external clients by client sector, significant segment expenses and consolidated net income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404,925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308,071</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102,287</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35,895</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38,707</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509,677</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176,877</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28,728</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19,740</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r>
      <w:tr>
        <w:trPr>
          <w:trHeight w:val="230"/>
        </w:trPr>
        <w:tc>
          <w:tcPr>
            <w:tcW w:w="84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114,795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98,495</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40" w:right="140" w:hanging="332"/>
        <w:spacing w:after="0" w:line="302"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depreciation and amortization, the tax receivable agreement liability adjustment (as applicable), interest income, interest expense, other (income) loss, net and provision for income taxes, each as presented on the accompanying condensed consolidated statements of income.</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Asia and Australia regions. Variable revenues are generally attributed to geographic area based on the jurisdiction where the underlying transactions take place. The attribution of fixed revenues may vary by revenue and contract type. Given the global nature of the financial markets in which we operate and our clients’ worldwide businesses and contracts, the results by geographic region and allocation of revenues to individual countries are not necessarily meaningful in understanding the Company’s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the accompanying condensed consolidated statements of financial condition as total consolidated assets. Total expenditures for additions to long-lived assets are as reported on the accompanying condensed consolidated statements of cash flows. Long-lived assets are attributed to the geographic area based on the location of the particular subsidiary.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4"/>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8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343,652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297,881</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211,796</w:t>
            </w:r>
          </w:p>
        </w:tc>
        <w:tc>
          <w:tcPr>
            <w:tcW w:w="0" w:type="dxa"/>
            <w:vAlign w:val="bottom"/>
          </w:tcPr>
          <w:p>
            <w:pPr>
              <w:spacing w:after="0"/>
              <w:rPr>
                <w:sz w:val="1"/>
                <w:szCs w:val="1"/>
                <w:color w:val="auto"/>
              </w:rPr>
            </w:pPr>
          </w:p>
        </w:tc>
      </w:tr>
      <w:tr>
        <w:trPr>
          <w:trHeight w:val="22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617,764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509,677</w:t>
            </w:r>
          </w:p>
        </w:tc>
        <w:tc>
          <w:tcPr>
            <w:tcW w:w="0" w:type="dxa"/>
            <w:vAlign w:val="bottom"/>
          </w:tcPr>
          <w:p>
            <w:pPr>
              <w:spacing w:after="0"/>
              <w:rPr>
                <w:sz w:val="1"/>
                <w:szCs w:val="1"/>
                <w:color w:val="auto"/>
              </w:rPr>
            </w:pPr>
          </w:p>
        </w:tc>
      </w:tr>
      <w:tr>
        <w:trPr>
          <w:trHeight w:val="21"/>
        </w:trPr>
        <w:tc>
          <w:tcPr>
            <w:tcW w:w="8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8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11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4,704,551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4,737,934</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31,746</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4,736,993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4,769,680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0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April 29, 2026, the board of directors of Tradeweb Markets Inc. declared a cash dividend of $0.14 per share of Class A common stock and Class B common stock for the second quarter of 2026. This dividend will be payable on June 15, 2026 to stockholders of record as of June 1, 2026.</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April 29, 2026, Tradeweb Markets Inc., as the sole manager, approved a distribution by TWM LLC to its equityholders, including Tradeweb Markets Inc., in an aggregate amount of $24.5 million, as adjusted by required state and local tax withholdings that will be determined prior to the record date of June 1, 2026 payable on June 11,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80"/>
        <w:spacing w:after="0" w:line="224"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“Basis of Presentation,” “Use of Non-GAAP Financial Measures” and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the section titled “Item 1A. Risk Factors” in Part I of the 2025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more than 3,000 clients across the financial ecosystem. Our network is comprised of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The Tradeweb platform includes marketplaces that facilitate trading global products across a range of asset classes, including rates, credit, equities and money markets. We are a global company serving clients through offices in North America, South America, Europe, Australia, Asia and the Middle East. We believe our proprietary technology and culture of collaborative innovation allow us to adapt our platform offerings to enter new markets, create new trading marketplaces and solutions and adjust to regulations quickly and efficiently. We support our clients by providing solutions across the trade lifecycle, including pre-trade, execution, post-trade and data and analytics.</w:t>
      </w:r>
    </w:p>
    <w:p>
      <w:pPr>
        <w:spacing w:after="0" w:line="16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institutional client sector serves institutional investors in over 85 countries around the globe and across over 30 currencies. We connect institutional investors with deep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fully electronic, voice and hybrid trading options to dealers and financial institutions trading on our platform. We entered the wholesale client sector through our acquisitions of the inter-dealer broker Hilliard Farber &amp; Co., Inc. in 2008, and then Rafferty Capital Markets in 2011 and in June 2021, we acquired Nasdaq’s U.S. fixed income electronic trading platform (formerly known as eSpeed) (the “NFI Acquisition”). Today, we actively compete in wholesale trading across a range of rates, credit, money markets, derivatives and equity markets.</w:t>
      </w:r>
    </w:p>
    <w:p>
      <w:pPr>
        <w:spacing w:after="0" w:line="1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our retail client sector, our platform provides advanced trading solutions for financial advisory firms and traders. We entered the retail sector through our acquisition of LeverTrade in 2006 and scaled our retail market position through our acquisition of BondDesk in 2013. Through our platform we provide financial advisory firms access to live offerings, accurate pricing in the retail marketplace and fast execution.</w:t>
      </w:r>
    </w:p>
    <w:p>
      <w:pPr>
        <w:spacing w:after="0" w:line="1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corporates client sector, we provide comprehensive investment technology and research solutions tailored to the needs of corporate treasury organizations globally. These solutions enable efficient trading of institutional money market funds and other short-term investments. We expanded into the corporates client sector through our acquisition of Institutional Cash Distributors (“ICD”) on August 1, 2024 (the “ICD Acquisition”). The addition of ICD to our platform broadened our product suite, further diversified our client and revenue bases and strengthened our position in the corporate treasury space, enabling us to provide a more comprehensive range of liquidity management tools and services.</w:t>
      </w:r>
    </w:p>
    <w:p>
      <w:pPr>
        <w:spacing w:after="0" w:line="1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in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 provides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 and electronic trading solutions will continue to grow.</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Impacting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Acquisitions and Investments</w:t>
      </w:r>
    </w:p>
    <w:p>
      <w:pPr>
        <w:spacing w:after="0" w:line="17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From time to time, we may evaluate potential strategic acquisitions and investments and engage in discussions and negotiations regarding potential acquisitions and investments. Our revenues and profitability are affected by our acquisition activity, including the speed and cost at which we successfully integrate completed consolidated acquisitions into our existing business operations. In addition, our earnings volatility and profitability may be affected by any unrealized or realized gains or losses or income or losses from our Canton Coin holdings or unconsolidated minority equity or debt investments.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during the remainder of 2026 include, among other things, evolving monetary policies of central banks, economic, political and social conditions, global geopolitical tensions, legislative, regulatory or government policy changes, including the recent and potential future changes in tariffs, international trade agreements or trade policies and other potential material changes to prior laws, rules and regulations, guidance and enforcement stances and concerns with respect to the banking industry, including as a result of any bank failures.</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Quarterly Report on Form 10-Q. To the extent inflation, along with other factors, continues to result in elevated interest rates and has other adverse effects on the securities markets and the overall economy, it may adversely affect our results of operations and financial condition.</w:t>
      </w:r>
    </w:p>
    <w:p>
      <w:pPr>
        <w:spacing w:after="0" w:line="14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typically resulting in enforcement of new laws and regulations that apply to our business. The regulatory environment in the United States and abroad may be subject to future legislative and regulatory changes driven by current U.S. and global issues and priorities. Legislative and regulatory changes may include the promulgation of new or revised laws and regulations, or the adoption of changes in the interpretation of or the repeal of existing laws and regulations, or the abandonment of any pending legislative or regulatory proposals. The impact of any changes in the legal or regulatory landscape on us and our operations generally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 and, as a result, our profitability. However, under certain circumstances regulation may increase demand for our platform and solutions, and we believe we are well positioned to benefit from any potential increased electronification due to regulatory changes as market participants seek platforms that meet regulatory requirements and solutions that help them comply with their regulatory obligations. Currently, we believe that uncertainty and potential delays around the final form of certain new rules and regulations may negatively impact our clients and trading volumes in certain markets in which we transact, although a relaxation of or the amendment of existing rules and regulations could potentially have a positive impact on certain markets.</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 Our ability to compete is influenced by key factors such as (i) developments in our trading platform and solutions, (ii) the liquidity we provide on transactions, (iii) the transaction costs we incur in providing our solutions, (iv) the efficiency in execution of transactions on our platform, (v) our ability to hire and retain talent, (vi) our ability to pursue strategic acquisitions and alliances and (vii) our ability to maintain the security of our platform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 offerings is essential to maintaining our level of competitiveness in the market and attracting new clients seeking platforms that provide advanced automation and better liquidity. We believe we will continue to increase demand for our platform and solutions and the volume of transactions on our platform,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 and solutions to further enhance our market position.</w:t>
      </w:r>
    </w:p>
    <w:p>
      <w:pPr>
        <w:spacing w:after="0" w:line="162"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 for the change in revenue and operating income caused by fluctuations in foreign currency rates used in translation and realized and unrealized gains/losses from foreign currency remeasurement of transactions in nonfunctional currencies during the three months ended March 31, 2026 and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condensed consolidated statements of financial condition as of March 31,</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2026 or December 31, 2025 or the Company’s condensed consolidated statements of income or cash flows for the three months ended March 31, 2026. The Company will continue to evaluate the implications of this legislation on future periods.</w:t>
      </w:r>
    </w:p>
    <w:p>
      <w:pPr>
        <w:spacing w:after="0" w:line="1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 material impact on the Company’s condensed consolidated statements of financial condition as of March 31, 2026 or December 31, 2025 or the Company’s condensed consolidated statements of income or cash flows for the three months ended March 31, 2026 or 2025. The Company is subject to the current 15% CAMT, however, it did not have an impact on the Company’s effective tax rate for the three months ended March 31, 2026 or 2025. The IRA also has not had an impact to our non-GAAP adjusted effective tax rate used for purposes of calculating our non-GAAP measure of Adjusted Net Income for the three months ended March 31, 2026 or 2025.</w:t>
      </w:r>
    </w:p>
    <w:p>
      <w:pPr>
        <w:spacing w:after="0" w:line="14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 material impact on the Company’s condensed consolidated statements of financial condition as of March 31, 2026 or December 31, 2025 or the Company’s condensed consolidated statements of income or cash flows for the three months ended March 31, 2026 or 2025. The Company continues to monitor developments related to the G7’s discussions on global tax reform and is awaiting legislative updates.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derived primarily from transaction fees, commissions, subscription fees and market data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 and Commissions</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earn transaction fees and/or commissions from transactions executed on our trading platform on both a variable and fixed price basis, which vary by geographic region, product type and trade size. For most of our products, clients pay both fixed minimum monthly transaction fees and variable transaction fees on a per transaction basis in excess of the monthly minimum. Clients may also pay a subscription fee in addition to or instead of the minimum monthly transaction fees. For other products, instead of a minimum monthly transaction fee, clients may pay a fixed transaction fee or only a variable transaction fee on a per transaction basis. We also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to-be-announced mortgage backed securities (“TBA-MBS”), U.S. Treasury and repurchase agreement transactions executed by our wholesale clients, we also generate revenue from fixed commissions that are generally invoiced monthly.</w:t>
      </w:r>
    </w:p>
    <w:p>
      <w:pPr>
        <w:spacing w:after="0" w:line="1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variable transaction fees and commissions, we charge clients based on the mix of products traded and the volume of transactions executed. Transaction volume is determined by using a measure of the notional volume of the products traded, a count of the number of trades or, in the case of the ICD Portal, the client’s average daily balance (“ADB”) invested in the money market funds during a calendar month. Because transaction fees and commissions are sometimes subject to plans with tiered pricing based on product mix, volume, monthly minimums and monthly maximum fee caps, average variable fees per million dollars of volume traded generated for a client may vary each month depending on the mix of products and volume traded. Furthermore, because transaction fees and commissions vary by geographic region, product type and trade size, our revenues may not correlate with volume growth. The mix between fixed and variable revenue may change over time.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20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platform for trading and market data. For a limited number of products, we only charge subscription fees and no transaction fees or commissions. Subscription fees are generally charged on a fixed price basis.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line with our digital asset strategy, currently included in our other revenue is revenue earned for performing Super Validator and Validator services on the Canton Network (collectively “Validator Revenue”). For these services, we earn Canton Coins and the number of Canton Coins earned in a particular period is variable based on the Canton Network’s minting curve and burn-mint equilibrium and the amount of time that our nodes are active during any given minting cycle (with new rounds beginning at regular 10 minute intervals throughout each day), in comparison to other network participants. Validator Revenue is recognized based on the fair value of each Canton Coin at contract inception, which has been deemed to be the start of each validation round, and therefore Validator Revenue will also vary based on any changes in the fair value of the Canton Coin, which may be highly volatile. As our digital asset strategy continues to evolve, in the future, we may also begin earning revenue from applications developed on the Canton Network.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or acquiring new employees and trading activity which generates broker commissions. We expect employee compensation and benefits expense to increase as we hire or acquire additional employees to support revenue and earnings growth. As a result, employee compensation and benefits can vary from period to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2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data strategy and cybersecurity.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platform and infrastructure, as well as costs related to business acquisition transactions.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20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Occupancy expense consists of operating lease rent and related costs for office space and data centers leased in North America, South America, Europe, Australia, Asia and the Middle East. We expect occupancy expense to increase as our space needs grow in line with our global expansion.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Liability Adjustment</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tax receivable agreement liability adjustment reflects changes in the tax receivable agreement liability recorded in our condensed consolidated statements of financial condition as a result of changes in the mix of earnings, tax legislation and tax rates in various jurisdictions which impacted our estimated future tax savings.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earned from our cash deposited with large commercial banks and money market funds, as well as interest earned from our investments in available-for-sale debt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any interest expense incurred or payable on our tax receivable agreement liability, commitment fees payable on, and, if applicable, interest payable on any borrowings outstanding under our credit facility and amortization of deferred financing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income (loss), net consists of any income or loss earned from investments, any mark-to-market adjustments or impairments recorded on investments, any unrealized and realized gain/loss on foreign exchange derivative contracts entered into for foreign exchange risk management purposes relating to investing activities and any other non-operating items. Other income (loss), net may vary period over period based on any changes in the fair value of the Canton Coin, which may be highly volatile.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As of March 31, 2026, we owned 90.2% of TWM LLC and Continuing LLC Owners owned the remaining 9.8% of TWM LLC.</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2026 and March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three months ended March 31,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617,764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330,511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24,935</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(69,757)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205,284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three months ended March 31, 2026 and 2025,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440" w:type="dxa"/>
            <w:vAlign w:val="bottom"/>
          </w:tcPr>
          <w:p>
            <w:pPr>
              <w:spacing w:after="0"/>
              <w:rPr>
                <w:sz w:val="13"/>
                <w:szCs w:val="13"/>
                <w:color w:val="auto"/>
              </w:rPr>
            </w:pPr>
          </w:p>
        </w:tc>
        <w:tc>
          <w:tcPr>
            <w:tcW w:w="7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24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523,833</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84.8 %</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421,344</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102,489</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87,015</w:t>
            </w:r>
          </w:p>
        </w:tc>
        <w:tc>
          <w:tcPr>
            <w:tcW w:w="1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84,702</w:t>
            </w:r>
          </w:p>
        </w:tc>
        <w:tc>
          <w:tcPr>
            <w:tcW w:w="152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52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90.5 %</w:t>
            </w:r>
          </w:p>
        </w:tc>
        <w:tc>
          <w:tcPr>
            <w:tcW w:w="0" w:type="dxa"/>
            <w:vAlign w:val="bottom"/>
          </w:tcPr>
          <w:p>
            <w:pPr>
              <w:spacing w:after="0"/>
              <w:rPr>
                <w:sz w:val="1"/>
                <w:szCs w:val="1"/>
                <w:color w:val="auto"/>
              </w:rPr>
            </w:pPr>
          </w:p>
        </w:tc>
      </w:tr>
      <w:tr>
        <w:trPr>
          <w:trHeight w:val="248"/>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617,764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509,677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3"/>
        </w:trPr>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three months ended March 31, 2026 and 2025 include $26.7 million and $28.9 million, respectively, of LSEG market data fees.</w:t>
      </w:r>
    </w:p>
    <w:p>
      <w:pPr>
        <w:spacing w:after="0" w:line="27" w:lineRule="exact"/>
        <w:rPr>
          <w:rFonts w:ascii="Times New Roman" w:cs="Times New Roman" w:eastAsia="Times New Roman" w:hAnsi="Times New Roman"/>
          <w:sz w:val="14"/>
          <w:szCs w:val="14"/>
          <w:color w:val="auto"/>
        </w:rPr>
      </w:pPr>
    </w:p>
    <w:p>
      <w:pPr>
        <w:ind w:left="340" w:right="300" w:hanging="332"/>
        <w:spacing w:after="0" w:line="262"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Our strong results for the first quarter of 2026 reflected robust client engagement among heightened volatility driven by overall inflationary and central bank policy concerns and global market sensitivity to geopolitical developments. The primary driver of the $108.1 million increase in revenue was related to a $102.5 million increase in transaction fees and commissions to $523.8 million for the three months ended March 31, 2026 from $421.3 million for the three months ended March 31, 2025, primarily due to higher revenues for rates and credit derivatives products, U.S. government bonds, mortgages, U.S. and international exchange traded funds (“ETFs”) and European and U.S. corporate bonds.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three months ended March 31, 2026 and 2025,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344,172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617,764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108,087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three months ended March 31, 2026 and 2025,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4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271,740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197,357</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140,072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380,009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97,683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 by asset class for the three months ended March 31, 2026 and 2025, and the resulting percentage changes, are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ADV</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ADV</w:t>
            </w:r>
          </w:p>
        </w:tc>
        <w:tc>
          <w:tcPr>
            <w:tcW w:w="24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38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ADV</w:t>
            </w:r>
          </w:p>
        </w:tc>
        <w:tc>
          <w:tcPr>
            <w:tcW w:w="240" w:type="dxa"/>
            <w:vAlign w:val="bottom"/>
          </w:tcPr>
          <w:p>
            <w:pPr>
              <w:spacing w:after="0"/>
              <w:rPr>
                <w:sz w:val="16"/>
                <w:szCs w:val="16"/>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2,080,963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128,165,598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88,768,625</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41,021,925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34,192,846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1,410,838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87,143,673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54,575,779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Swaps / Swaptions Tenor (≥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43,554,189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31,417,062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43,589,484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23,158,716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4,244,465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2,991,131</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742,665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3,363,594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2,248,466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1,998,535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1,607,922</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757,839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850,083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1,165,165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79,862,965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71,157,452</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13.2 %</w:t>
            </w: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3,347,592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214,271,563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2,547,321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164,525,130</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21.6 %</w:t>
            </w:r>
          </w:p>
        </w:tc>
        <w:tc>
          <w:tcPr>
            <w:tcW w:w="0" w:type="dxa"/>
            <w:vAlign w:val="bottom"/>
          </w:tcPr>
          <w:p>
            <w:pPr>
              <w:spacing w:after="0" w:line="20" w:lineRule="exact"/>
              <w:rPr>
                <w:sz w:val="1"/>
                <w:szCs w:val="1"/>
                <w:color w:val="auto"/>
              </w:rPr>
            </w:pPr>
          </w:p>
        </w:tc>
      </w:tr>
      <w:tr>
        <w:trPr>
          <w:trHeight w:val="272"/>
        </w:trPr>
        <w:tc>
          <w:tcPr>
            <w:tcW w:w="4080" w:type="dxa"/>
            <w:vAlign w:val="bottom"/>
            <w:vMerge w:val="continue"/>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2,643,129</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170,682,079</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2,174,176</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141,366,414</w:t>
            </w:r>
          </w:p>
        </w:tc>
        <w:tc>
          <w:tcPr>
            <w:tcW w:w="156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40" w:right="220" w:hanging="332"/>
        <w:spacing w:after="0" w:line="261"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totals for all periods presented.</w:t>
      </w:r>
    </w:p>
    <w:p>
      <w:pPr>
        <w:spacing w:after="0" w:line="24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average variable fees per million dollars of volume traded on our trading platform by asset class for the three months ended March 31, 2026 and 2025 are summarized below. There are four potential drivers of quarterly fluctuations in our average variable fees per million: (1) the mix and duration of cash and derivatives products traded, (2) the mix of protocols underpinning cash and derivatives products, (3) volume discounts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Rates Derivatives (≥ 1 year)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312"/>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8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40" w:right="220" w:hanging="332"/>
        <w:spacing w:after="0" w:line="254"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blended fees per million across all periods presented.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volumes and variable fees per million by asset class are summarized as follows:</w:t>
      </w:r>
    </w:p>
    <w:p>
      <w:pPr>
        <w:spacing w:after="0" w:line="23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$78.7 million or 29.7% to $344.2 million for the three months ended March 31, 2026 compared to $265.4 million for the three months ended March 31, 2025 primarily due to higher variable transaction fees and commissions on higher trading volumes for rates derivatives products, U.S. government bonds and mortgages.</w:t>
      </w:r>
    </w:p>
    <w:p>
      <w:pPr>
        <w:spacing w:after="0" w:line="15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Average variable fees per million for rates decreased primarily due to a mix shift towards swaps and swaptions with tenors of less than one year, which have a lower variable fee capture compared to overall rates.</w:t>
      </w:r>
    </w:p>
    <w:p>
      <w:pPr>
        <w:spacing w:after="0" w:line="17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$14.2 million or 11.5% to $138.2 million for the three months ended March 31, 2026 compared to $124.0 million for the three months ended March 31, 2025 primarily due to higher variable transaction fees and commissions on higher trading volumes for credit derivatives products and European corporate bonds. The increase in fixed revenue was primarily driven by certain market participants for U.S. corporate bonds switching during 2025 from fully variable pricing plans to pricing plans that include minimum fee floors or subscription fees, resulting in a shift of a portion of revenues from variable to fixed revenue.</w:t>
      </w:r>
    </w:p>
    <w:p>
      <w:pPr>
        <w:spacing w:after="0" w:line="144"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Average variable fees per million for credit decreased primarily due to certain market participants opting for pricing plans with more fixed fee components as described above, resulting in a shift from variable to fixed revenue within U.S. corporate bonds, along with a mix shift towards credit derivatives, which have a lower variable fee capture compared to overall credit.</w:t>
      </w:r>
    </w:p>
    <w:p>
      <w:pPr>
        <w:spacing w:after="0" w:line="20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$9.9 million or 31.5% to $41.3 million for the three months ended March 31, 2026 compared to $31.4 million for the three months ended March 31, 2025 primarily due to higher variable transaction fees and commissions on higher trading volumes for U.S. and international ETFs and equity derivative products.</w:t>
      </w:r>
    </w:p>
    <w:p>
      <w:pPr>
        <w:spacing w:after="0" w:line="15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equities increased primarily due to a mix shift towards cash equities, which have a higher variable fee capture compared to overall equities.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$3.4 million or 7.8% to $47.1 million for the three months ended March 31, 2026 compared to $43.7 million for the three months ended March 31, 2025 primarily due to higher variable transaction fees and commissions on higher average daily balances of money market fund investments made through the ICD Portal and higher trading volumes for repurchase agreements.</w:t>
      </w:r>
    </w:p>
    <w:p>
      <w:pPr>
        <w:spacing w:after="0" w:line="1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money markets decreased primarily due to a mix shift away from certificates of deposit, which have a higher variable fee capture compared to overall money markets.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decreased by $1.8 million or 4.6% to $36.9 million for the three months ended March 31, 2026 compared to $38.7 million for the three months ended March 31, 2025. The decrease was primarily due to amendments to our LSEG market data license agreement which were effective in November 2025 and was partially offset by growth in our proprietary market data revenues. The amended market data license agreement resulted in a change in the timing of delivery of periodic historical data sets, with more frequent deliveries scheduled under the amended agreement and a corresponding decrease in revenue during the first quarter of 2026 that was partially offset by higher overall fees under the amended agreement. During the three months ended March 31, 2025, $8.4 million of revenue was recognized from the periodic delivery of historical data sets delivered and recognized all in January 2025, as compared to quarterly delivery of historical data sets under the amended agreement beginning in the first quarter of 2026 and totaling $2.2 million of revenue during the three months ended March 31, 2026.</w:t>
      </w:r>
    </w:p>
    <w:p>
      <w:pPr>
        <w:spacing w:after="0" w:line="15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increased by $3.6 million or 56.2% to $10.0 million for the three months ended March 31, 2026 compared to $6.4 million for the three months ended March 31, 2025 primarily due to an increase in digital asset revenue earned for performing validation services on the Canton Network.</w:t>
      </w:r>
    </w:p>
    <w:p>
      <w:pPr>
        <w:spacing w:after="0" w:line="1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three months ended March 31, 2026 and 2025,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404,925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617,764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$96.9 million or 31.4% to $404.9 million for the three months ended March 31, 2026 compared to $308.1 million for the three months ended March 31, 2025. The increase was derived primarily from higher revenues for rates and credit derivatives products, U.S. and international ETFs, U.S. and European government bonds and mortgages, as well as an increase in digital asset revenue earned for performing validation services on the Canton Network.</w:t>
      </w:r>
    </w:p>
    <w:p>
      <w:pPr>
        <w:spacing w:after="0" w:line="212"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$13.3 million or 13.0% to $115.6 million for the three months ended March 31, 2026, compared to $102.3 million for the three months ended March 31, 2025. The increase was derived primarily from higher revenues for U.S. and European corporate bonds, U.S. government bonds, mortgages and repurchase agreements.</w:t>
      </w:r>
    </w:p>
    <w:p>
      <w:pPr>
        <w:spacing w:after="0" w:line="15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decreased by $2.5 million or 6.9% to $33.4 million for the three months ended March 31, 2026 compared to $35.9 million for the three months ended March 31, 2025. The decrease was derived primarily from lower revenues for U.S. corporate and U.S. government bonds.</w:t>
      </w:r>
    </w:p>
    <w:p>
      <w:pPr>
        <w:spacing w:after="0" w:line="14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u w:val="single" w:color="auto"/>
          <w:color w:val="auto"/>
        </w:rPr>
        <w:t>Corporates.</w:t>
      </w:r>
      <w:r>
        <w:rPr>
          <w:rFonts w:ascii="Times New Roman" w:cs="Times New Roman" w:eastAsia="Times New Roman" w:hAnsi="Times New Roman"/>
          <w:sz w:val="18"/>
          <w:szCs w:val="18"/>
          <w:color w:val="auto"/>
        </w:rPr>
        <w:t xml:space="preserve"> Revenues from our corporates client sector increased by $2.2 million or 8.8% to $26.9 million for the three months ended March 31, 2026 compared to $24.7 million for the three months ended March 31, 2025. The primary driver of the increase was higher commissions earned on higher average daily balances of money market fund investments made through the ICD Portal.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decreased by $1.8 million or 4.6% to $36.9 million for the three months ended March 31, 2026 compared to $38.7 million for the three months ended March 31, 2025. The decrease was primarily due to amendments to our LSEG market data license agreement which were effective in November 2025 and was partially offset by growth in our proprietary market data revenues. The amended market data license agreement resulted in a change in the timing of delivery of periodic historical data sets, with more frequent deliveries scheduled under the amended agreement and a corresponding decrease in revenue during the first quarter of 2026 that was partially offset by higher overall fees under the amended agreement. During the three months ended March 31, 2025, $8.4 million of revenue was recognized from the periodic delivery of historical data sets delivered and recognized all in January 2025, as compared to quarterly delivery of historical data sets under the amended agreement beginning in the first quarter of 2026 and totaling $2.2 million of revenue during the three months ended March 31,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and the resulting dollar and percentage changes,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343,652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297,881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274,112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617,764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108,087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300"/>
        <w:spacing w:after="0" w:line="264" w:lineRule="auto"/>
        <w:rPr>
          <w:sz w:val="20"/>
          <w:szCs w:val="20"/>
          <w:color w:val="auto"/>
        </w:rPr>
      </w:pPr>
      <w:r>
        <w:rPr>
          <w:rFonts w:ascii="Times New Roman" w:cs="Times New Roman" w:eastAsia="Times New Roman" w:hAnsi="Times New Roman"/>
          <w:sz w:val="17"/>
          <w:szCs w:val="17"/>
          <w:u w:val="single" w:color="auto"/>
          <w:color w:val="auto"/>
        </w:rPr>
        <w:t>U.S.</w:t>
      </w:r>
      <w:r>
        <w:rPr>
          <w:rFonts w:ascii="Times New Roman" w:cs="Times New Roman" w:eastAsia="Times New Roman" w:hAnsi="Times New Roman"/>
          <w:sz w:val="17"/>
          <w:szCs w:val="17"/>
          <w:color w:val="auto"/>
        </w:rPr>
        <w:t xml:space="preserve"> Revenues from U.S. clients increased by $45.8 million or 15.4% to $343.7 million for the three months ended March 31, 2026 compared to $297.9 million for the three months ended March 31, 2025 primarily due to higher revenues for rates derivatives products, U.S. government bonds, mortgages, U.S. ETFs and U.S. corporate bonds as well as higher digital asset revenue earned for performing validation services on the Canton Network.</w:t>
      </w:r>
    </w:p>
    <w:p>
      <w:pPr>
        <w:spacing w:after="0" w:line="192"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$62.3 million or 29.4% to $274.1 million for the three months ended March 31, 2026 compared to $211.8 million for the three months ended March 31, 2025 primarily due to higher revenues for rates and credit derivatives products, international ETFs, European and other government bonds and European corporate bonds.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three months ended March 31, 2026 and 2025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$20.9 million or 11.8% to $197.8 million for the three months ended March 31, 2026 compared to $176.9 million for the three months ended March 31, 2025. The increase was primarily due to an increase in headcount and related salaries, bonus, benefits and stock-based compensation associated with our continued growth. As of March 31, 2026, December 31, 2025 and March 31, 2025, we had 1,598, 1,569 and 1,435 employees globally, respectively. An increase in incentive compensation tied to our financial performance also contributed to the overall increase in employee compensation and benefits expenses.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decreased by $2.0 million or 3.2% to $60.7 million for the three months ended March 31, 2026 compared to $62.7 million for the three months ended March 31, 2025. The decrease was primarily due to content and data intangible assets recognized in connection with the 2018 Refinitiv Transaction that were fully amortized as of the end of the third quarter of 2025, partially offset by an increase in amortization of software development costs driven by increases in investment in our infrastructure and the relocation of our New York City corporate headquarters during September 2025.</w:t>
      </w:r>
    </w:p>
    <w:p>
      <w:pPr>
        <w:spacing w:after="0" w:line="1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$10.8 million or 37.7% to $39.5 million for the three months ended March 31, 2026 compared to $28.7 million for the three months ended March 31, 2025. The increase was primarily due to increased investment in our data strategy and infrastructure and increased data fees driven primarily by higher trading volumes period-over-period.</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decreased by $7.8 million or 39.5% to $11.9 million for the three months ended March 31, 2026 compared to $19.7 million for the three months ended March 31, 2025. The decrease was primarily due to a $9.4 million decrease in foreign exchange losses during the three months ended March 31, 2026 compared to the prior year period. Realized and unrealized foreign currency gains totaled $4.0 million during the three months ended March 31, 2026 as compared to $5.4 million in losses during the three months ended March 31, 2025. The change was primarily driven by the change in fair value of our foreign currency forward contracts used in connection with our foreign currency risk management program, partially offset by an increase in foreign currency re-measurement losses on transactions in nonfunctional currencies. The decrease was partially offset by an increase in travel and entertainment costs to support our continued growth.</w:t>
      </w:r>
    </w:p>
    <w:p>
      <w:pPr>
        <w:spacing w:after="0" w:line="1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Expenses related to professional fees were relatively flat at $12.3 million for the three months ended March 31, 2026, a decrease of $0.1 million or 1.1% compared to $12.5 million for the three months ended March 31, 2025.</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increased by $3.1 million or 61.5% to $8.2 million for the three months ended March 31, 2026 compared to $5.1 million for the three months ended March 31, 2025. The increase was primarily due to higher office and data center rent expense associated with our global expansion, including the commencement in September 2025 of the lease for our new corporate headquarters in New York City.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income increased by $3.6 million or 26.0% to $17.5 million for the three months ended March 31, 2026 compared to $13.8 million for the three months ended March 31, 2025 primarily due to an increase in our average invested cash balance, partially offset by a decrease in the average interest rates earned period-over-period.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relatively flat at $0.6 million for both the three months ended March 31,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Other income (loss), net was a loss of $1.2 million for the three months ended March 31, 2026 due to $2.9 million in unrealized losses on our Canton Coin holdings and $0.4 million in losses from our equity method investments, partially offset by a $2.2 million net increase in fair value in our investment in Canton Strategic Holdings, Inc. (formerly known as Tharimmune, Inc.). Other income was $4.2 million for the three months ended March 31, 2025 due to unrealized gains on our Canton Coin holdings.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increased by $16.5 million or 30.9% to $69.8 million for the three months ended March 31, 2026 compared to $53.3 million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2025. The provision for income taxes includes U.S. federal, state, local and foreign taxes. The effective tax rate for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March 31, 2026 was approximately 23.0%, compared with 24.0% for the three months ended March 31, 2025. The effective tax rate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2026 differed from the U.S. federal statutory rate of 21.0% primarily due to state, local and foreign taxes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disallowance of compensation expense tax deductions, partially offset by the effect of non-controlling interests, the Foreign-Derived Intangible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(“FDII”) deduction and benefits associated with purchasing transferable tax credits at a discount. The effective tax rate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differed from the U.S. federal statutory rate of 21.0% primarily due to state, local and foreign taxes and the disallowance of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tax deductions, partially offset by the effect of non-controlling interests and the FDII deduction.</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inflation may impact our revenues and operating expenses, we believe the effects of inflation, if any, on our results of operations and financial condition have not been significant during each of the three months ended March 31, 2026 and 2025. However, there can be no assurance that our results of operations and financial condition will not be materially impacted by inflation in the future. See “— Trends and Other Factors Impacting Our Performance — Economic Environment”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(as defined below in “— Factors Influencing Our Liquidity and Capital Resources — 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their sufficiency to fund our operating and investing activities.</w:t>
      </w:r>
    </w:p>
    <w:p>
      <w:pPr>
        <w:spacing w:after="0" w:line="1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2023 Revolving Credit Facility.</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2023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we had cash and cash equivalents of approximately $1.9 billion and $2.1 billion, respectively. All cash and cash equivalents were held in accounts with financial institutions or money market funds such that the funds are immediately available or in fixed term deposits or investments with a maximum maturity of three months. See Item 3. “Quantitative and Qualitative Disclosures About Market Risk — Credit Risk.”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$0.14 per share. As discussed below, our ability to pay these quarterly cash dividends on our Class A common stock and Class B common stock will depend on distributions to us from TWM LLC.</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6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18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April 29, 2026, the board of directors of Tradeweb Markets Inc. declared a cash dividend of $0.14 per share of Class A common stock and Class B common stock for the second quarter of 2026. This dividend will be payable on June 15, 2026 to stockholders of record as of June 1, 2026.</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March 2026, Tradeweb Markets Inc. paid quarterly cash dividends to holders of Class A common stock and Class B common stock in an aggregate amount totaling $29.8 million during the three months ended March 31,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18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April 29, 2026, Tradeweb Markets Inc., as the sole manager, approved a distribution by TWM LLC to its equityholders, including Tradeweb Markets Inc., in an aggregate amount of $24.5 million, as adjusted by required state and local tax withholdings that will be determined prior to the record date of June 1, 2026 payable on June 11, 2026.</w:t>
      </w:r>
    </w:p>
    <w:p>
      <w:pPr>
        <w:spacing w:after="0" w:line="14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March 2026, TWM LLC made quarterly cash distributions to its equityholders in an aggregate amount of $78.1 million during the three months ended March 31, 2026, including distributions to Tradeweb Markets Inc. of $70.4 million and distributions to non-controlling interests of $7.6 million. The proceeds of the cash distributions were used by Tradeweb Markets Inc. to fund dividend payments, taxes and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Programs</w:t>
      </w:r>
    </w:p>
    <w:p>
      <w:pPr>
        <w:spacing w:after="0" w:line="18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The Company’s board of directors has authorized share repurchase programs from time to time, which authorize the repurchase of shares of the Company’s Class A common stock to offset annual dilution from stock-based compensation plans, as well as to opportunistically repurchase the Company’s Class A common stock. Pursuant to these share repurchase programs, the Company may make repurchases in the open market, through privately negotiated transactions, through accelerated repurchase programs (including through the use of derivatives), pursuant to Rule 10b5-1 plans or through enhanced open-market repurchases (eOMR). Any share repurchases are conducted in compliance with applicable legal requirements and the manner, timing and amount of any repurchases are based on an evaluation of market conditions, stock price and other factors. The Company’s share repurchase programs do not require the Company to acquire a specific number of shares, have no termination date and may be suspended, amended or discontinued at any time.</w:t>
      </w:r>
    </w:p>
    <w:p>
      <w:pPr>
        <w:spacing w:after="0" w:line="1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5, 2022, the board of directors authorized a share repurchase program for the purchase of up to $300.0 million of our Class A common stock (the “2022 Share Repurchase Program”). During the three months ended March 31, 2026, the Company acquired a total of 482,621 shares of Class A common stock at an average price of $105.10, for purchases totaling $50.7 million, pursuant to the 2022 Share Repurchase Program. As of March 31, 2026, a total of $23.2 million remained available for repurchase pursuant to the 2022 Share Repurchase Program.</w:t>
      </w:r>
    </w:p>
    <w:p>
      <w:pPr>
        <w:spacing w:after="0" w:line="13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February 5, 2026, the board of directors authorized a new share repurchase program for the purchase of up to $500.0 million of our Class A common stock (the “2026 Share Repurchase Program”) once the 2022 Share Repurchase Program has been exhausted. As of March 31, 2026, a total of $500.0 million remained available for repurchase pursuant to the 2026 Share Repurchase Program.</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Share Repurchases</w:t>
      </w:r>
    </w:p>
    <w:p>
      <w:pPr>
        <w:spacing w:after="0" w:line="19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addition to the share repurchase programs discussed above, we may also withhold shares to cover the payroll tax withholding obligations upon the exercise of stock options and vesting of performance-based restricted stock units that vest based on the Company’s financial performance (“PRSUs”), restricted stock units (“RSUs”) and performance-based restricted stock units that vest based on market conditions (“PSUs”).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withheld 765,130 shares of common stock from employee stock option, PRSU, PSU and RSU awards, at an average price per share of $111.06 and an aggregate value of $85.0 million, based on the price of the Class A common stock on the date the relevant withholding occurred.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obligated to make payments under the Tax Receivable Agreement. See Note 6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March 31, 2026, total amounts due to Continuing LLC Owners under the Tax Receivable Agreement were $335.8 million, substantially all due to be paid over 15 years following the purchase of LLC Interests from Continuing LLC Owners or redemption or exchanges by Continuing LLC Owners of LLC Interests. As of March 31, 2026, we expect to make tax receivable agreement liability payments of approximately $22.9 million within the next 12 months and approximately $312.9 million thereafter.</w:t>
      </w:r>
    </w:p>
    <w:p>
      <w:pPr>
        <w:spacing w:after="0" w:line="1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we had no outstanding indebtedness.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21, 2023, TWM LLC entered into a five year, $500.0 million unsecured revolving credit facility (the “2023 Revolving Credit Facility”) with a syndicate of banks, which replaced its $500.0 million secured credit facility entered into on April 8, 2019. Subject to the satisfaction of certain conditions, we will be able to increase the 2023 Revolving Credit Facility by $250.0 million with the consent of the lenders participating in the increase. The 2023 Revolving Credit Facility provides borrowing capacity to be used to fund ongoing working capital needs, letters of credit and for general corporate purposes, including potential future acquisitions and expansions. As of March 31, 2026, there were $0.5 million in letters of credit issued and no borrowings outstanding under the 2023 Revolving Credit Facility. The 2023 Revolving Credit Facility will mature on November 21, 2028.</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 As of March 31, 2026, we were in compliance with all the covenants set forth in the 2023 Revolving Credit Facility.</w:t>
      </w:r>
    </w:p>
    <w:p>
      <w:pPr>
        <w:spacing w:after="0" w:line="15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Liquidity and Capital Resources – Factors Influencing Our Liquidity and Capital Resources – Indebtedness” in Part II of our 2025 Form 10-K for additional details regarding the terms, restrictions and covenants applicable to the 2023 Revolving Credit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currently have operating leases for corporate offices and data centers with initial lease terms ranging from one to 16 years. Our operating lease obligations are primarily related to rental payments under lease agreements for office space in the United States and the United Kingdom through May 2041.</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2026, our operating lease liabilities totaled $142.8 million, with payments pursuant to these obligations due within the next 12 months and thereafter totaling $22.0 million and $175.3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also requires continued investment in our technology for product innovation, proprietary technology architecture, operational reliability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cybersecurity. We expect total cash paid for capital expenditures and software development costs for fiscal year 2026 to be between $107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 million, compared to expenditures of $103.1 million in fiscal year 2025, with the midpoint of our 2026 capital expenditure guidance up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versus fiscal year 2025 primarily driven by platform enhancements, infrastructure modernization and cybersecurity initiatives to support long-term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also had $5.0 million in unfunded capital commitments to our equity method investment.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and Liquidity Requirements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of our U.S. subsidiaries are registered as broker-dealers, SEFs, SBSEFs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March 31, 2026 and December 31, 2025, each of our regulated subsidiaries had maintained sufficient net capital or financial resources to at least satisfy their minimum requirements, which in aggregate were $86.9 million and $90.0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 The Fixed Income Clearing Corporation (“FICC”) and some of our clearing brokers require us to post collateral on unsettled positions, included within deposits with clearing organizations in our condensed consolidated statements of financial condition. Collateral amounts are marked to market on a daily basis, requiring us to pay or receive margin amounts as part of the daily funds settlement. Margin call requirements can vary significantly across periods based on daily market changes and may represent a significant and unpredictable use of our liquidity.</w:t>
      </w:r>
    </w:p>
    <w:p>
      <w:pPr>
        <w:spacing w:after="0" w:line="1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wholesale transactions executed on our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6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self-clear wholesale U.S. Treasury trades executed by non-FICC members on our platform. The number of self-cleared trades that settle over the fed wire, instead of FICC clearing, may impact the number of U.S. Treasury failed settlement transactions. As of March 31, 2026, we recorded a</w:t>
      </w:r>
    </w:p>
    <w:p>
      <w:pPr>
        <w:ind w:right="120"/>
        <w:spacing w:after="0" w:line="253" w:lineRule="auto"/>
        <w:rPr>
          <w:sz w:val="20"/>
          <w:szCs w:val="20"/>
          <w:color w:val="auto"/>
        </w:rPr>
      </w:pPr>
      <w:r>
        <w:rPr>
          <w:rFonts w:ascii="Times New Roman" w:cs="Times New Roman" w:eastAsia="Times New Roman" w:hAnsi="Times New Roman"/>
          <w:sz w:val="18"/>
          <w:szCs w:val="18"/>
          <w:color w:val="auto"/>
        </w:rPr>
        <w:t>$131.3 million receivable and a $130.7 million payable from/to brokers and dealers and clearing organizations related to failed settlement transactions and we self-funded the remaining $0.6 million difference between the fail to deliver and fail to receive. All of the failed settlement transactions outstanding as of March 31, 2026 were fully settled during April 2026. See below for further details regarding the changes to working capital as a result of these failed settlement transactions.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receivable and due from related parties and other current assets. Current liabilities consist of, as applicable, securities sold under agreements to repurchase, payable to brokers and dealers and clearing organizations, accrued compensation, deferred revenue, payable and due to related parties,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 and solutions.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as of March 31, 2026 and December 31, 2025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7"/>
        </w:trPr>
        <w:tc>
          <w:tcPr>
            <w:tcW w:w="8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2,084,739</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257,845</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related parties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73,025</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71,239</w:t>
            </w:r>
          </w:p>
        </w:tc>
      </w:tr>
      <w:tr>
        <w:trPr>
          <w:trHeight w:val="25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2,490,038</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251,169</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related parties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182,583</w:t>
            </w: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w:t>
            </w:r>
          </w:p>
        </w:tc>
      </w:tr>
      <w:tr>
        <w:trPr>
          <w:trHeight w:val="230"/>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36,290</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493,056</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521,437</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working capital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2,061,105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1,968,601</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20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Current assets increased to $2.6 billion as of March 31, 2026 from $2.5 billion as of December 31, 2025 primarily due to an increase in receivables from brokers and dealers and clearing organizations resulting from an increase in unsettled wholesale transactions and a higher value of fails to deliver, all of which settled in April 2026, and an increase in accounts receivable resulting from an increase in revenues and timing of collections. These increases were partially offset by a decrease in cash and cash equivalents primarily due to annual bonus payments, payroll taxes paid on the vesting of stock-based compensation awards and the purchase of transferable tax credits during the three months ended March 31, 2026. See “—</w:t>
      </w:r>
      <w:r>
        <w:rPr>
          <w:rFonts w:ascii="Times New Roman" w:cs="Times New Roman" w:eastAsia="Times New Roman" w:hAnsi="Times New Roman"/>
          <w:sz w:val="18"/>
          <w:szCs w:val="18"/>
          <w:i w:val="1"/>
          <w:iCs w:val="1"/>
          <w:color w:val="auto"/>
        </w:rPr>
        <w:t>Cash Flows”</w:t>
      </w:r>
      <w:r>
        <w:rPr>
          <w:rFonts w:ascii="Times New Roman" w:cs="Times New Roman" w:eastAsia="Times New Roman" w:hAnsi="Times New Roman"/>
          <w:sz w:val="18"/>
          <w:szCs w:val="18"/>
          <w:color w:val="auto"/>
        </w:rPr>
        <w:t xml:space="preserve"> below for further discussion of the change in cash and cash equivalents.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Current liabilities decreased to $493.1 million as of March 31, 2026 from $521.4 million as of December 31, 2025 primarily due to a decrease in accrued compensation as a result of annual bonus payments, which occurred during the three months ended March 31, 2026, as well as a decrease in taxes payable as a result of the purchase of transferable tax credits and other tax payments during the three months ended March 31, 2026. This decrease was partially offset by an increase in payable to brokers and dealers and clearing organizations resulting from an increase in unsettled wholesale transactions and a higher value of fails to receive, all of which settled in April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Other Cash and Liquidity Requirements</w:t>
      </w:r>
      <w:r>
        <w:rPr>
          <w:rFonts w:ascii="Times New Roman" w:cs="Times New Roman" w:eastAsia="Times New Roman" w:hAnsi="Times New Roman"/>
          <w:sz w:val="18"/>
          <w:szCs w:val="18"/>
          <w:color w:val="auto"/>
        </w:rPr>
        <w:t>” above for a discussion on how capital requirements can impact our working capital.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three months ended March 31, 2026 and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31" w:lineRule="exact"/>
        <w:rPr>
          <w:sz w:val="20"/>
          <w:szCs w:val="20"/>
          <w:color w:val="auto"/>
        </w:rPr>
      </w:pPr>
    </w:p>
    <w:p>
      <w:pPr>
        <w:ind w:left="20" w:right="2160"/>
        <w:spacing w:after="0" w:line="344"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3"/>
        </w:trPr>
        <w:tc>
          <w:tcPr>
            <w:tcW w:w="320" w:type="dxa"/>
            <w:vAlign w:val="bottom"/>
          </w:tcPr>
          <w:p>
            <w:pPr>
              <w:spacing w:after="0"/>
              <w:rPr>
                <w:sz w:val="20"/>
                <w:szCs w:val="20"/>
                <w:color w:val="auto"/>
              </w:rPr>
            </w:pPr>
          </w:p>
        </w:tc>
        <w:tc>
          <w:tcPr>
            <w:tcW w:w="24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02"/>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103,829</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60,207</w:t>
            </w:r>
          </w:p>
        </w:tc>
      </w:tr>
      <w:tr>
        <w:trPr>
          <w:trHeight w:val="229"/>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(14,817)</w:t>
            </w:r>
          </w:p>
        </w:tc>
      </w:tr>
      <w:tr>
        <w:trPr>
          <w:trHeight w:val="234"/>
        </w:trPr>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(172,142)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(83,026)</w:t>
            </w:r>
          </w:p>
        </w:tc>
      </w:tr>
      <w:tr>
        <w:trPr>
          <w:trHeight w:val="270"/>
        </w:trPr>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(147,438)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(33,847)</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7720" w:space="720"/>
            <w:col w:w="2800"/>
          </w:cols>
          <w:pgMar w:left="320" w:top="121" w:right="339" w:bottom="1440" w:gutter="0" w:footer="0" w:header="0"/>
        </w:sect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primarily include depreciation and amortization, stock-based compensation expense, digital assets received as revenue, deferred taxes and other income and changes in working capital. Cash flows from operating activities can fluctuate significantly from period-to-period as working capital needs and the timing of payments for accrued compensation (primarily in the first quarter) and other items impact reported cash flows.</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2026 was $103.8 million, an increase of $43.6 million over the three months ended March 31, 2025, primarily driven by an increase in net income and a decrease in cash used to fund deposits with clearing organizations, partially offset by approximately $71 million in cash paid during the three months ended March 31, 2026 for the purchase of transferable tax credits related to our 2025 tax year obligations and other net changes in working capital.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software development costs, investments in technology hardware, purchases of equipment and other tangible assets, business acquisitions and investments.</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$77.3 million for the three months ended March 31, 2026, which consisted of $50.2 million of cash paid for investments, $17.5 million of capitalized software development costs and $9.6 million of purchases of furniture, equipment, purchased software and leasehold improvements. Net cash used in investing activities was $14.8 million for the three months ended March 31, 2025, which consisted of $13.2 million of capitalized software development costs and $1.6 million of purchases of furniture, equipment, purchased software and leasehold improvements.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2026 was $172.1 million, and was primarily driven by $80.7 million in payroll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payments for employee equity awards, net of proceeds from the related stock-based compensation option exercises, $53.3 million in share repurchases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our share repurchase programs, $29.8 million in cash dividends to our Class A and Class B common stockholders, $7.6 million in distributions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non-controlling interest holders and $0.7 million in payments due under our Tax Receivable Agreement. Net cash used in financing activities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2025 was $83.0 million, and was primarily driven by $46.1 million in payroll tax payments for employee equity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$25.6 million in cash dividends to our Class A and Class B common stockholders, $7.4 million in distributions to non-controlling interest holders and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payments due under our Tax Receivable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4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three months ended March 31, 2026 and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60,207</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45,390</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EBIT is defined as net income before interest income, interest 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3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unaudited condensed consolidated financial statements included elsewhere in this Quarterly Report on Form 10-Q and post-IPO options awarded in 2019 to management and other employees as well as payroll taxes associated with exercises of such options during the applicable period. The value of all previously issued options was fully expensed as of March 31, 2024, however we will continue to incur payroll tax expense as previously issued options are exercised by the holders. For applicable periods, we also exclude the incremental non-cash accelerated stock-based compensation expense and related payroll taxes associated with former and/or departing executive officers. We also exclude stock-based compensation expense associated with special equity awards granted to help ensure the retention of key employees during the integration of acquisitions. We believe it is useful to exclude these stock-based compensation expenses and, as applicable, associated payroll taxes because the amount of expense may not directly correlate to the underlying performance of our business and will vary across periods.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certain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6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and net income margin to Adjusted EBITDA, Adjusted EBITDA margin, Adjusted EBIT and Adjusted EBIT margin for the three months ended March 31, 2026 and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233,167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168,305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(17,451)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(13,849)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60,709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62,699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69,757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53,279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8,329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339,683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278,219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(60,709)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(62,699)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D&amp;A related to acquisitions and the Refinitiv Transaction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39,902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45,473</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318,876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260,993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360" w:hanging="332"/>
        <w:spacing w:after="0" w:line="261"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180" w:hanging="332"/>
        <w:spacing w:after="0" w:line="261"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months ended March 31, 2026 and 2025, this adjustment also includes $0.5 million and $0.6 million, respectively, of non-cash stock-based compensation expense and related payroll taxes associated with RSAs and RSUs issued to help retain key ICD employees during the integration of ICD.</w:t>
      </w:r>
    </w:p>
    <w:p>
      <w:pPr>
        <w:spacing w:after="0" w:line="1" w:lineRule="exact"/>
        <w:rPr>
          <w:rFonts w:ascii="Times New Roman" w:cs="Times New Roman" w:eastAsia="Times New Roman" w:hAnsi="Times New Roman"/>
          <w:sz w:val="14"/>
          <w:szCs w:val="14"/>
          <w:color w:val="auto"/>
        </w:rPr>
      </w:pPr>
    </w:p>
    <w:p>
      <w:pPr>
        <w:ind w:left="340" w:right="60" w:hanging="332"/>
        <w:spacing w:after="0" w:line="251"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00" w:hanging="332"/>
        <w:spacing w:after="0" w:line="261"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ind w:left="340" w:right="260" w:hanging="332"/>
        <w:spacing w:after="0" w:line="262"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5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rPr>
                <w:sz w:val="17"/>
                <w:szCs w:val="17"/>
                <w:color w:val="auto"/>
              </w:rPr>
            </w:pPr>
          </w:p>
        </w:tc>
        <w:tc>
          <w:tcPr>
            <w:tcW w:w="1640" w:type="dxa"/>
            <w:vAlign w:val="bottom"/>
            <w:gridSpan w:val="3"/>
          </w:tcPr>
          <w:p>
            <w:pPr>
              <w:jc w:val="center"/>
              <w:ind w:left="7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520" w:type="dxa"/>
            <w:vAlign w:val="bottom"/>
          </w:tcPr>
          <w:p>
            <w:pPr>
              <w:spacing w:after="0"/>
              <w:rPr>
                <w:sz w:val="12"/>
                <w:szCs w:val="12"/>
                <w:color w:val="auto"/>
              </w:rPr>
            </w:pPr>
          </w:p>
        </w:tc>
        <w:tc>
          <w:tcPr>
            <w:tcW w:w="118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Point Change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+40 bps</w:t>
            </w:r>
          </w:p>
        </w:tc>
        <w:tc>
          <w:tcPr>
            <w:tcW w:w="1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+99 bps</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80" w:type="dxa"/>
            <w:vAlign w:val="bottom"/>
          </w:tcPr>
          <w:p>
            <w:pPr>
              <w:spacing w:after="0"/>
              <w:rPr>
                <w:sz w:val="20"/>
                <w:szCs w:val="20"/>
                <w:color w:val="auto"/>
              </w:rPr>
            </w:pP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+41 bps</w:t>
            </w: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+91 bps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60" w:hanging="332"/>
        <w:spacing w:after="0" w:line="265"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15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attributable to Tradeweb Markets Inc. and net income, as applicable, to Adjusted Net Income and Adjusted Diluted EPS for the three months ended March 31, 2026 and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4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7420" w:type="dxa"/>
            <w:vAlign w:val="bottom"/>
          </w:tcPr>
          <w:p>
            <w:pPr>
              <w:spacing w:after="0"/>
              <w:rPr>
                <w:sz w:val="19"/>
                <w:szCs w:val="19"/>
                <w:color w:val="auto"/>
              </w:rPr>
            </w:pPr>
          </w:p>
        </w:tc>
        <w:tc>
          <w:tcPr>
            <w:tcW w:w="3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0" w:type="dxa"/>
            <w:vAlign w:val="bottom"/>
          </w:tcPr>
          <w:p>
            <w:pPr>
              <w:spacing w:after="0"/>
              <w:rPr>
                <w:sz w:val="1"/>
                <w:szCs w:val="1"/>
                <w:color w:val="auto"/>
              </w:rPr>
            </w:pPr>
          </w:p>
        </w:tc>
      </w:tr>
      <w:tr>
        <w:trPr>
          <w:trHeight w:val="23"/>
        </w:trPr>
        <w:tc>
          <w:tcPr>
            <w:tcW w:w="7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20" w:type="dxa"/>
            <w:vAlign w:val="bottom"/>
            <w:vMerge w:val="continue"/>
          </w:tcPr>
          <w:p>
            <w:pPr>
              <w:spacing w:after="0"/>
              <w:rPr>
                <w:sz w:val="18"/>
                <w:szCs w:val="18"/>
                <w:color w:val="auto"/>
              </w:rPr>
            </w:pP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205,284</w:t>
            </w:r>
          </w:p>
        </w:tc>
        <w:tc>
          <w:tcPr>
            <w:tcW w:w="100" w:type="dxa"/>
            <w:vAlign w:val="bottom"/>
          </w:tcPr>
          <w:p>
            <w:pPr>
              <w:spacing w:after="0"/>
              <w:rPr>
                <w:sz w:val="18"/>
                <w:szCs w:val="18"/>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0" w:type="dxa"/>
            <w:vAlign w:val="bottom"/>
          </w:tcPr>
          <w:p>
            <w:pPr>
              <w:spacing w:after="0"/>
              <w:rPr>
                <w:sz w:val="1"/>
                <w:szCs w:val="1"/>
                <w:color w:val="auto"/>
              </w:rPr>
            </w:pP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attributable to non-controlling interests </w:t>
            </w:r>
            <w:r>
              <w:rPr>
                <w:rFonts w:ascii="Times New Roman" w:cs="Times New Roman" w:eastAsia="Times New Roman" w:hAnsi="Times New Roman"/>
                <w:sz w:val="23"/>
                <w:szCs w:val="23"/>
                <w:color w:val="auto"/>
                <w:vertAlign w:val="superscript"/>
              </w:rPr>
              <w:t>(1)</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233,167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168,305</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53,279</w:t>
            </w:r>
          </w:p>
        </w:tc>
        <w:tc>
          <w:tcPr>
            <w:tcW w:w="0" w:type="dxa"/>
            <w:vAlign w:val="bottom"/>
          </w:tcPr>
          <w:p>
            <w:pPr>
              <w:spacing w:after="0"/>
              <w:rPr>
                <w:sz w:val="1"/>
                <w:szCs w:val="1"/>
                <w:color w:val="auto"/>
              </w:rPr>
            </w:pP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(2)</w:t>
            </w:r>
          </w:p>
        </w:tc>
        <w:tc>
          <w:tcPr>
            <w:tcW w:w="1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D&amp;A related to acquisitions and the Refinitiv Transaction </w:t>
            </w:r>
            <w:r>
              <w:rPr>
                <w:rFonts w:ascii="Times New Roman" w:cs="Times New Roman" w:eastAsia="Times New Roman" w:hAnsi="Times New Roman"/>
                <w:sz w:val="23"/>
                <w:szCs w:val="23"/>
                <w:color w:val="auto"/>
                <w:vertAlign w:val="superscript"/>
              </w:rPr>
              <w:t>(3)</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39,902</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45,473</w:t>
            </w:r>
          </w:p>
        </w:tc>
        <w:tc>
          <w:tcPr>
            <w:tcW w:w="0" w:type="dxa"/>
            <w:vAlign w:val="bottom"/>
          </w:tcPr>
          <w:p>
            <w:pPr>
              <w:spacing w:after="0"/>
              <w:rPr>
                <w:sz w:val="1"/>
                <w:szCs w:val="1"/>
                <w:color w:val="auto"/>
              </w:rPr>
            </w:pP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(4)</w:t>
            </w:r>
          </w:p>
        </w:tc>
        <w:tc>
          <w:tcPr>
            <w:tcW w:w="1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(5)</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0" w:type="dxa"/>
            <w:vAlign w:val="bottom"/>
          </w:tcPr>
          <w:p>
            <w:pPr>
              <w:spacing w:after="0"/>
              <w:rPr>
                <w:sz w:val="1"/>
                <w:szCs w:val="1"/>
                <w:color w:val="auto"/>
              </w:rPr>
            </w:pP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(6)</w:t>
            </w:r>
          </w:p>
        </w:tc>
        <w:tc>
          <w:tcPr>
            <w:tcW w:w="1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335,703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274,255</w:t>
            </w:r>
          </w:p>
        </w:tc>
        <w:tc>
          <w:tcPr>
            <w:tcW w:w="0" w:type="dxa"/>
            <w:vAlign w:val="bottom"/>
          </w:tcPr>
          <w:p>
            <w:pPr>
              <w:spacing w:after="0"/>
              <w:rPr>
                <w:sz w:val="1"/>
                <w:szCs w:val="1"/>
                <w:color w:val="auto"/>
              </w:rPr>
            </w:pP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income taxes </w:t>
            </w:r>
            <w:r>
              <w:rPr>
                <w:rFonts w:ascii="Times New Roman" w:cs="Times New Roman" w:eastAsia="Times New Roman" w:hAnsi="Times New Roman"/>
                <w:sz w:val="23"/>
                <w:szCs w:val="23"/>
                <w:color w:val="auto"/>
                <w:vertAlign w:val="superscript"/>
              </w:rPr>
              <w:t>(7)</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(80,569)</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(68,564)</w:t>
            </w: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255,134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205,691</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(8)</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60" w:hanging="332"/>
        <w:spacing w:after="0" w:line="27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5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260" w:hanging="332"/>
        <w:spacing w:after="0" w:line="26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4"/>
          <w:szCs w:val="14"/>
          <w:color w:val="auto"/>
        </w:rPr>
      </w:pPr>
    </w:p>
    <w:p>
      <w:pPr>
        <w:ind w:left="340" w:right="180" w:hanging="332"/>
        <w:spacing w:after="0" w:line="254"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months ended March 31, 2026 and 2025, this adjustment also includes $0.5 million and $0.6 million, respectively, of non-cash stock-based compensation expense and related payroll taxes associated with RSAs and RSUs issued to help retain key ICD employees during the integration of ICD.</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00" w:hanging="332"/>
        <w:spacing w:after="0" w:line="25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ind w:left="340" w:right="20" w:hanging="332"/>
        <w:spacing w:after="0" w:line="26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24.0% and 25.0% applied to Adjusted Net Income before income taxes for the three months ended March 31, 2026 and 2025, respectively.</w:t>
      </w:r>
    </w:p>
    <w:p>
      <w:pPr>
        <w:ind w:left="340" w:right="40" w:hanging="332"/>
        <w:spacing w:after="0" w:line="283"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Adjusted Diluted EPS for the three months ended March 31, 2026 and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 Outstanding to Adjusted Diluted Weighted Average Shares Outstanding and</w:t>
            </w:r>
          </w:p>
        </w:tc>
        <w:tc>
          <w:tcPr>
            <w:tcW w:w="2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44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Diluted EPS</w:t>
            </w: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Class A and Class B common stock outstanding</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213,324,648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214,895,418</w:t>
            </w:r>
          </w:p>
        </w:tc>
        <w:tc>
          <w:tcPr>
            <w:tcW w:w="0" w:type="dxa"/>
            <w:vAlign w:val="bottom"/>
          </w:tcPr>
          <w:p>
            <w:pPr>
              <w:spacing w:after="0"/>
              <w:rPr>
                <w:sz w:val="1"/>
                <w:szCs w:val="1"/>
                <w:color w:val="auto"/>
              </w:rPr>
            </w:pPr>
          </w:p>
        </w:tc>
      </w:tr>
      <w:tr>
        <w:trPr>
          <w:trHeight w:val="27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of other participating securities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185,309</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Assumed exchange of LLC Interests for shares of Class A or Class B common stock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23,056,868</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23,070,027</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236,459,905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238,150,754</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(in thousands)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205,691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00" w:hanging="332"/>
        <w:spacing w:after="0" w:line="266" w:lineRule="auto"/>
        <w:tabs>
          <w:tab w:leader="none" w:pos="33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a discussion of the two-class method.</w:t>
      </w:r>
    </w:p>
    <w:p>
      <w:pPr>
        <w:spacing w:after="0" w:line="1" w:lineRule="exact"/>
        <w:rPr>
          <w:rFonts w:ascii="Times New Roman" w:cs="Times New Roman" w:eastAsia="Times New Roman" w:hAnsi="Times New Roman"/>
          <w:sz w:val="14"/>
          <w:szCs w:val="14"/>
          <w:color w:val="auto"/>
        </w:rPr>
      </w:pPr>
    </w:p>
    <w:p>
      <w:pPr>
        <w:ind w:left="340" w:right="480" w:hanging="332"/>
        <w:spacing w:after="0" w:line="263" w:lineRule="auto"/>
        <w:tabs>
          <w:tab w:leader="none" w:pos="33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forms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clients to provide a stand-ready connection to our electronic marketplaces, which facilitates the execution of trades by our clients. The access to our electronic marketplaces includes market data and continuous pricing data refreshes and the processing and reporting of trades thereon, which are highly interrelated services. The stand-ready connection to our electronic marketplaces is considered a single performance obligation satisfied over time as the client simultaneously receives and consumes the benefit from our performance as access is provided. This performance obligation constitutes a series of services that are substantially the same in nature and are provided over time using the same measure of progress.</w:t>
      </w:r>
    </w:p>
    <w:p>
      <w:pPr>
        <w:spacing w:after="0" w:line="14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For our services, we may earn subscription fees for granting access to our electronic marketplaces. We may also earn transaction fees and/or commissions from transactions executed on our trading platform, including the basis point commissions earned on the monthly ADB of money market fund investments made through our ICD Portal and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and commissions or monthly transaction fee and commission minimums are generally earned on a monthly basis in the period the stand-ready trading services are provided. Variable transaction fee and commission revenue associated with a particular trade is recognized and recorded on a trade-date basis when the individual trade occurs. Variable commission revenue based upon a clients’ ADB invested in money market funds during a calendar month is recorded monthly. Variable discounts or rebates on transaction fees and commissions are generally earned and applied monthly or quarterly, are resolved within the same reporting period and are recorded as a reduction to revenue in the period the relevant trades occur.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earn fees from LSEG relating to the sale of market data to LSEG, which distributes that data. Included in these fees are real-time market data fees which are recognized monthly on a straight-line basis as LSEG receives and consumes the benefit evenly, over the contract period, as the data is provided, and fees for historical data sets which are recognized when the historical data set is provided to LSEG.</w:t>
      </w:r>
    </w:p>
    <w:p>
      <w:pPr>
        <w:spacing w:after="0" w:line="14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required to make significant judgments for the LSEG market data fees. Significant judgments used in accounting for this contract include the following determinations:</w:t>
      </w:r>
    </w:p>
    <w:p>
      <w:pPr>
        <w:spacing w:after="0" w:line="12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34"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March 31, 2026 and 2025, there were no material changes in the methodology or assumptions used to determine the LSEG market data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PSUs,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PSUs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15, 2026, we granted 113,428 PSUs with a grant date fair value totaling $19.9 million, which will be amortized into expense on a straight-line basis through December 31, 2028. The significant assumptions used in determining the grant date fair value of the award were a maturity of 2.8 years, annualized volatility of 25.33% and a risk-free interest rate of 3.67%. A change in any of the assumptions used to value these awards could materially affect stock-based compensation expense recorded in the current and future periods. During each of the three months ended March 31, 2026 and 2025, there were no material changes in the methodology or assumptions used to determine the valuation of our annual PSU grants.</w:t>
      </w:r>
    </w:p>
    <w:p>
      <w:pPr>
        <w:spacing w:after="0" w:line="1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PRSUs, the Company recognizes stock-based compensation based on the fair market value of our Class A common stock at the grant date and an estimate of the number of shares included in expense each period is based on management’s estimate of the probable final performance modifier for those grants, with such estimate updated each period until the performance modifier is finalized. For PRSUs granted in 2024 and after, the financial performance of the Company will be determined based on the compound annual growth rate over a three-year performance period beginning on January 1 in the year of grant and the performance modifier can vary between 0% (minimum) and 250% (maximum) of the target (100%) award amount. As of March 31, 2026, a 10% decrease in the estimated final share payouts would decrease the total expense recognized for these awards for the three months ended March 31, 2026 by approximately $5.1 million.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4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both March 31, 2026 and December 31, 2025, we had a $3.0 million valuation allowance established on our deferred tax assets.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5 – Income Taxes to our unaudited condensed consolidated financial statements included elsewhere in this Quarterly Report on Form 10-Q.</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the condensed consolidated financial statements included elsewhere in this Quarterly Report on Form 10-Q for a discussion of recent accounting pronouncements.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Risk</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revenue and operating expenses denominated in currencies other than the U.S. dollar for the three months ended March 31, 2026 and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hanging="194"/>
        <w:spacing w:after="0"/>
        <w:tabs>
          <w:tab w:leader="none" w:pos="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revenue denominated in foreign currencies </w:t>
      </w:r>
      <w:r>
        <w:rPr>
          <w:rFonts w:ascii="Times New Roman" w:cs="Times New Roman" w:eastAsia="Times New Roman" w:hAnsi="Times New Roman"/>
          <w:sz w:val="9"/>
          <w:szCs w:val="9"/>
          <w:color w:val="auto"/>
        </w:rPr>
        <w:t>(1)</w:t>
      </w:r>
    </w:p>
    <w:p>
      <w:pPr>
        <w:spacing w:after="0" w:line="63" w:lineRule="exact"/>
        <w:rPr>
          <w:rFonts w:ascii="Times New Roman" w:cs="Times New Roman" w:eastAsia="Times New Roman" w:hAnsi="Times New Roman"/>
          <w:sz w:val="18"/>
          <w:szCs w:val="18"/>
          <w:color w:val="auto"/>
        </w:rPr>
      </w:pPr>
    </w:p>
    <w:p>
      <w:pPr>
        <w:ind w:left="220" w:hanging="194"/>
        <w:spacing w:after="0"/>
        <w:tabs>
          <w:tab w:leader="none" w:pos="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operating expenses denominated in foreign currencies </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foreign currencies is primarily denominated in euros.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33655</wp:posOffset>
            </wp:positionV>
            <wp:extent cx="17741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8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color w:val="auto"/>
        </w:rPr>
        <w:t>30%</w:t>
      </w:r>
    </w:p>
    <w:p>
      <w:pPr>
        <w:spacing w:after="0" w:line="7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color w:val="auto"/>
        </w:rPr>
        <w:t>18%</w:t>
      </w:r>
      <w:r>
        <w:rPr>
          <w:sz w:val="20"/>
          <w:szCs w:val="20"/>
          <w:color w:val="auto"/>
        </w:rPr>
        <w:tab/>
      </w:r>
      <w:r>
        <w:rPr>
          <w:rFonts w:ascii="Times New Roman" w:cs="Times New Roman" w:eastAsia="Times New Roman" w:hAnsi="Times New Roman"/>
          <w:sz w:val="17"/>
          <w:szCs w:val="17"/>
          <w:color w:val="auto"/>
        </w:rPr>
        <w:t>15%</w:t>
      </w:r>
    </w:p>
    <w:p>
      <w:pPr>
        <w:spacing w:after="0" w:line="628" w:lineRule="exact"/>
        <w:rPr>
          <w:sz w:val="20"/>
          <w:szCs w:val="20"/>
          <w:color w:val="auto"/>
        </w:rPr>
      </w:pPr>
    </w:p>
    <w:p>
      <w:pPr>
        <w:sectPr>
          <w:pgSz w:w="11900" w:h="16838" w:orient="portrait"/>
          <w:cols w:equalWidth="0" w:num="2">
            <w:col w:w="8240" w:space="720"/>
            <w:col w:w="2280"/>
          </w:cols>
          <w:pgMar w:left="320" w:top="121" w:right="339" w:bottom="1440" w:gutter="0" w:footer="0" w:header="0"/>
          <w:type w:val="continuous"/>
        </w:sect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Realized and unrealized gains/losses from foreign currency remeasurement of transactions in nonfunctional currencies recognized in the condensed consolidated statements of income within general and administrative expense totaled a loss of $1.5 million and a gain of $0.9 million during the three months ended March 31, 2026 and 2025, respectively.</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months ended March 31,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spacing w:after="0" w:line="25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revenue and operating income caused by fluctuations in foreign currency rates used in translation during the three months ended March 31,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 (dollars in thousands)</w:t>
            </w: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auto"/>
            </w:tcBorders>
            <w:vMerge w:val="continue"/>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revenue</w:t>
            </w:r>
          </w:p>
        </w:tc>
        <w:tc>
          <w:tcPr>
            <w:tcW w:w="3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6,700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3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5,200</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886"/>
        </w:trPr>
        <w:tc>
          <w:tcPr>
            <w:tcW w:w="4900" w:type="dxa"/>
            <w:vAlign w:val="bottom"/>
          </w:tcPr>
          <w:p>
            <w:pPr>
              <w:spacing w:after="0"/>
              <w:rPr>
                <w:sz w:val="24"/>
                <w:szCs w:val="24"/>
                <w:color w:val="auto"/>
              </w:rPr>
            </w:pPr>
          </w:p>
        </w:tc>
        <w:tc>
          <w:tcPr>
            <w:tcW w:w="346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three months ended March 31, 2026 and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 (dollars in thousands)</w:t>
            </w: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8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currencies</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80" w:type="dxa"/>
            <w:vAlign w:val="bottom"/>
          </w:tcPr>
          <w:p>
            <w:pPr>
              <w:spacing w:after="0"/>
              <w:rPr>
                <w:sz w:val="23"/>
                <w:szCs w:val="23"/>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Euros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8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British pound sterling</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derivative risk relating to our foreign exchange derivative contracts. We enter into foreign currency forward contracts to mitigate our U.S. dollar and British pound sterling versus euro exposure, generally with a duration of not more than 12 months. We do not use derivative instruments for trading or speculative purposes. As of March 31, 2026 and December 31, 2025, the notional amount of our foreign currency forward contracts was $355.1 million and $339.8 million, respectively. Realized and unrealized gains/losses on foreign currency forward contracts totaled a gain of $5.5 million and a loss of $6.3 million during the three months ended March 31, 2026 and 2025, respectively.</w:t>
      </w:r>
    </w:p>
    <w:p>
      <w:pPr>
        <w:spacing w:after="0" w:line="1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March 31, 2026 and December 31, 2025, the counterparty on each of the foreign exchange derivative contracts was an affiliate of LSEG.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As of March 31, 2026 and December 31, 2025, the allowance for credit losses with regard to these receivables totaled $0.4 million and $0.6 million, respectively.</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5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clients of the Company, which are cleared by a clearing broker. Under the arrangement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also have credit risk relating to our investments in a digital asset loan receivable and available-for-sale debt securities. As of December 31, 2025, the Company maintained an allowance for credit loss with regards to its digital asset loan receivable totaling $0.2 million, based on a review of the credit risk of the counterparty and the characteristics of the arrangement. In January 2026, the digital asset loan receivable and the related allowance for credit loss were reversed, resulting in a reversal of credit loss expense totaling $0.2 million during the three months ended March 31, 2026. See Note 10 – Fair Value of Financial Instruments and Other Assets to our unaudited condensed consolidated financial statements included elsewhere in this Quarterly Report on Form 10-Q. There was no allowance for credit losses recorded on available-for-sale debt securities as of March 31, 2026 and December 31, 2025.</w:t>
      </w:r>
    </w:p>
    <w:p>
      <w:pPr>
        <w:spacing w:after="0" w:line="14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that evaluation, our CEO and CFO have concluded that our disclosure controls and procedures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March 31, 2026 that have materially affected, or that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to the condensed consolidated financial statements included elsewhere in this Quarterly Report on Form 10-Q, there have been no material changes from the legal proceedings previously disclosed under the heading “Item 3. Legal Proceedings” in Part I of our 2025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2025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repurchased the following shares of Class A common stock pursuant to the 2022 Share Repurchase Program: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w:t>
            </w:r>
          </w:p>
        </w:tc>
      </w:tr>
      <w:tr>
        <w:trPr>
          <w:trHeight w:val="19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5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6"/>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75"/>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w:t>
            </w:r>
          </w:p>
        </w:tc>
      </w:tr>
      <w:tr>
        <w:trPr>
          <w:trHeight w:val="162"/>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0"/>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9"/>
                <w:szCs w:val="9"/>
                <w:b w:val="1"/>
                <w:bCs w:val="1"/>
                <w:color w:val="auto"/>
              </w:rPr>
              <w:t>(1)</w:t>
            </w:r>
          </w:p>
        </w:tc>
      </w:tr>
      <w:tr>
        <w:trPr>
          <w:trHeight w:val="37"/>
        </w:trPr>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3"/>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bl>
    <w:p>
      <w:pPr>
        <w:spacing w:after="0" w:line="23" w:lineRule="exact"/>
        <w:rPr>
          <w:sz w:val="20"/>
          <w:szCs w:val="20"/>
          <w:color w:val="auto"/>
        </w:rPr>
      </w:pPr>
    </w:p>
    <w:p>
      <w:pPr>
        <w:sectPr>
          <w:pgSz w:w="11900" w:h="16838" w:orient="portrait"/>
          <w:cols w:equalWidth="0" w:num="2">
            <w:col w:w="8360" w:space="8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January 31, 2026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482,621</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23,237</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523,237</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523,237</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482,621</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482,621</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left="340" w:right="260" w:hanging="332"/>
        <w:spacing w:after="0" w:line="281" w:lineRule="auto"/>
        <w:tabs>
          <w:tab w:leader="none" w:pos="33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5, 2022, our board of directors authorized the 2022 Share Repurchase Program for the purchase of up to $300.0 million of our Class A common stock, after completing in October 2022, the $150.0 million of total repurchases of Class A common stock authorized under our previous share repurchase program. As of March 31, 2026, $23.2 million remained available for repurchase pursuant to the 2022 Share Repurchase Program.</w:t>
      </w:r>
    </w:p>
    <w:p>
      <w:pPr>
        <w:spacing w:after="0" w:line="136" w:lineRule="exact"/>
        <w:rPr>
          <w:rFonts w:ascii="Times New Roman" w:cs="Times New Roman" w:eastAsia="Times New Roman" w:hAnsi="Times New Roman"/>
          <w:sz w:val="14"/>
          <w:szCs w:val="14"/>
          <w:color w:val="auto"/>
        </w:rPr>
      </w:pPr>
    </w:p>
    <w:p>
      <w:pPr>
        <w:ind w:left="340" w:right="480"/>
        <w:spacing w:after="0" w:line="30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5, 2026, our board of directors authorized the 2026 Share Repurchase Program for the purchase up to $500.0 million of our Class A common stock once the 2022 Share Repurchase Program has been exhausted. As of March 31, 2026, $500.0 million remained available for repurchase pursuant to the 2026 Share Repurchase Program.</w:t>
      </w:r>
    </w:p>
    <w:p>
      <w:pPr>
        <w:spacing w:after="0" w:line="121" w:lineRule="exact"/>
        <w:rPr>
          <w:rFonts w:ascii="Times New Roman" w:cs="Times New Roman" w:eastAsia="Times New Roman" w:hAnsi="Times New Roman"/>
          <w:sz w:val="14"/>
          <w:szCs w:val="14"/>
          <w:color w:val="auto"/>
        </w:rPr>
      </w:pPr>
    </w:p>
    <w:p>
      <w:pPr>
        <w:ind w:left="340" w:right="20"/>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share repurchase programs authorize the repurchase of shares of the Company’s Class A common stock to offset annual dilution from stock-based compensation plans, as well as to opportunistically repurchase our Class A common stock. Pursuant to these share repurchase programs, we may make repurchases in the open market, through privately negotiated transactions, through accelerated repurchase programs (including through the use of derivatives), pursuant to Rule 10b5-1 plans or through enhanced open-market repurchases (eOMR). Any share repurchases are conducted in compliance with applicable legal requirements and the manner, timing and amount of any repurchases are based on an evaluation of market conditions, stock price and other factors. Our share repurchase programs do not require the Company to acquire a specific number of shares, have no termination date and may be suspended, amended or discontinued at any time.</w:t>
      </w:r>
    </w:p>
    <w:p>
      <w:pPr>
        <w:spacing w:after="0" w:line="148" w:lineRule="exact"/>
        <w:rPr>
          <w:rFonts w:ascii="Times New Roman" w:cs="Times New Roman" w:eastAsia="Times New Roman" w:hAnsi="Times New Roman"/>
          <w:sz w:val="14"/>
          <w:szCs w:val="14"/>
          <w:color w:val="auto"/>
        </w:rPr>
      </w:pPr>
    </w:p>
    <w:p>
      <w:pPr>
        <w:jc w:val="both"/>
        <w:ind w:left="340" w:right="160"/>
        <w:spacing w:after="0" w:line="28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A common stock repurchased pursuant to our share repurchase programs was funded with the proceeds, on a dollar-for-dollar basis, from the repurchase by Tradeweb Markets LLC of an LLC Interest directly from the Corporation in order to maintain (subject to certain exceptions) the one-to-one ratio between outstanding shares of the Class A common stock and Class B common stock and the LLC Interests owned by the Corporation.</w:t>
      </w:r>
    </w:p>
    <w:p>
      <w:pPr>
        <w:spacing w:after="0" w:line="14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table above does not reflect shares surrendered to cover the payroll tax withholding obligations upon the exercise of stock options and vesting of PRSUs, PSUs and RSUs. During the three months ended March 31, 2026, the Company withheld 765,130 shares of Class A common stock in connection with such exercises and vesting of stock awards.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and Restatement of Bylaws</w:t>
      </w:r>
    </w:p>
    <w:p>
      <w:pPr>
        <w:spacing w:after="0" w:line="20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April 29, 2026, in connection with a periodic review of the bylaws of the Company, the board of directors approved and adopted an amendment and restatement of the Company’s Amended and Restated Bylaws (as so amended and restated, the “A&amp;R Bylaws”). The A&amp;R Bylaws became effective immediately upon approval by the board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the amendments effected by the A&amp;R Bylaws:</w:t>
      </w:r>
    </w:p>
    <w:p>
      <w:pPr>
        <w:spacing w:after="0" w:line="23" w:lineRule="exact"/>
        <w:rPr>
          <w:sz w:val="20"/>
          <w:szCs w:val="20"/>
          <w:color w:val="auto"/>
        </w:rPr>
      </w:pPr>
    </w:p>
    <w:p>
      <w:pPr>
        <w:ind w:left="500" w:right="280" w:hanging="330"/>
        <w:spacing w:after="0" w:line="239" w:lineRule="auto"/>
        <w:tabs>
          <w:tab w:leader="none" w:pos="495"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add notice procedures for adjournments of virtual meetings of stockholders and eliminate the requirement that the list of stockholders be open to examination at meetings of stockholders, in each case, in accordance with 2022 amendments to the Delaware General Corporation Law (the “DGCL”);</w:t>
      </w:r>
    </w:p>
    <w:p>
      <w:pPr>
        <w:spacing w:after="0" w:line="2" w:lineRule="exact"/>
        <w:rPr>
          <w:rFonts w:ascii="Arial" w:cs="Arial" w:eastAsia="Arial" w:hAnsi="Arial"/>
          <w:sz w:val="22"/>
          <w:szCs w:val="22"/>
          <w:color w:val="auto"/>
        </w:rPr>
      </w:pPr>
    </w:p>
    <w:p>
      <w:pPr>
        <w:ind w:left="500" w:hanging="330"/>
        <w:spacing w:after="0" w:line="260" w:lineRule="auto"/>
        <w:tabs>
          <w:tab w:leader="none" w:pos="468"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7"/>
          <w:szCs w:val="17"/>
          <w:color w:val="auto"/>
        </w:rPr>
        <w:t>update certain procedural requirements related to director nominations and other proposals of business by stockholders in light of Rule 14a-19 under the Exchange Act and reflect certain other related changes, including: (1) requiring (i) additional background information and disclosures regarding stockholders proposing director nominations and other business, (ii) D&amp;O questionnaires and certain representations from director nominees proposed by stockholders, including regarding compensation arrangements, indemnification, voting arrangements and compliance with applicable policies and (iii) certain disclosures regarding other persons related to a stockholder’s solicitation of proxies; (2) requiring that any stockholder submitting a notice of nomination or other business (i) make a representation and provide confirmation as to whether such stockholder intends to solicit proxies in support of the proposal, or in the case of nominations, in support of director nominees other than the Company’s nominees in accordance with Rule 14a-19 under the Exchange Act and the A&amp;R Bylaws, and (ii) provide evidence that the stockholder has complied with such requirements; and (3) making clear that stockholders cannot nominate more directors than are to be elected at the applicable annual meeting;</w:t>
      </w:r>
    </w:p>
    <w:p>
      <w:pPr>
        <w:spacing w:after="0" w:line="1" w:lineRule="exact"/>
        <w:rPr>
          <w:rFonts w:ascii="Arial" w:cs="Arial" w:eastAsia="Arial" w:hAnsi="Arial"/>
          <w:sz w:val="21"/>
          <w:szCs w:val="21"/>
          <w:color w:val="auto"/>
        </w:rPr>
      </w:pPr>
    </w:p>
    <w:p>
      <w:pPr>
        <w:ind w:left="500" w:right="80" w:hanging="330"/>
        <w:spacing w:after="0" w:line="232" w:lineRule="auto"/>
        <w:tabs>
          <w:tab w:leader="none" w:pos="468"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require that a stockholder directly or indirectly soliciting proxies from other stockholders use a proxy card color other than white, which is reserved solely for use for solicitation by the board of directors;</w:t>
      </w:r>
    </w:p>
    <w:p>
      <w:pPr>
        <w:ind w:left="500" w:right="80" w:hanging="330"/>
        <w:spacing w:after="0" w:line="232" w:lineRule="auto"/>
        <w:tabs>
          <w:tab w:leader="none" w:pos="468"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add Article III, Section 13 relating to emergency bylaws if a quorum cannot be readily convened for a meeting of the board of directors in the event of an emergency (as defined in the DGCL); and</w:t>
      </w:r>
    </w:p>
    <w:p>
      <w:pPr>
        <w:ind w:left="500" w:right="160" w:hanging="330"/>
        <w:spacing w:after="0" w:line="241" w:lineRule="auto"/>
        <w:tabs>
          <w:tab w:leader="none" w:pos="468"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make certain other non-substantive, ministerial, clarifying and conforming changes, including updating references to Chair (vs. Chairman), adding “close of business” and “affiliate” definitions to advance notice provisions, adding a severability provision, and clarifying procedures around stockholders meetings, who can preside at board and stockholder meetings in the Chair’s absence, when stockholder votes can be disregarded, certain indemnification provisions, and certain officer provisions to provide additional flexibility.</w:t>
      </w:r>
    </w:p>
    <w:p>
      <w:pPr>
        <w:spacing w:after="0" w:line="15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A&amp;R Bylaws does not purport to be complete and is qualified in its entirety by reference to the full text of the A&amp;R Bylaws, a copy of which is filed as Exhibit 3.2 to this Quarterly Report on Form 10-Q and is incorporated herein by reference.</w:t>
      </w:r>
    </w:p>
    <w:p>
      <w:pPr>
        <w:spacing w:after="0" w:line="133"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None.</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Trading Plans of Executive Officers and Director</w:t>
      </w:r>
      <w:r>
        <w:rPr>
          <w:rFonts w:ascii="Times New Roman" w:cs="Times New Roman" w:eastAsia="Times New Roman" w:hAnsi="Times New Roman"/>
          <w:sz w:val="18"/>
          <w:szCs w:val="18"/>
          <w:color w:val="auto"/>
        </w:rPr>
        <w:t>s</w:t>
      </w:r>
    </w:p>
    <w:p>
      <w:pPr>
        <w:spacing w:after="0" w:line="18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executive officers adopted, modified or terminated a trading plan intended to satisfy the affirmative defense conditions of Rule 10b5-1(c) under the Exchange Act, as defined in Item 408 of Regulation S-K (“Rule 10b5-1 trading arrangements”) or a non-Rule 10b5-1 trading arrangement (as defined in Item 408 of Regulation S-K).</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40" w:type="dxa"/>
            <w:vAlign w:val="bottom"/>
            <w:gridSpan w:val="10"/>
          </w:tcPr>
          <w:p>
            <w:pPr>
              <w:ind w:left="2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3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60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Amended and Restated Bylaws of Tradeweb Markets Inc., effective April 29, 2026.</w:t>
            </w:r>
          </w:p>
        </w:tc>
        <w:tc>
          <w:tcPr>
            <w:tcW w:w="3600" w:type="dxa"/>
            <w:vAlign w:val="bottom"/>
            <w:gridSpan w:val="8"/>
          </w:tcPr>
          <w:p>
            <w:pPr>
              <w:spacing w:after="0"/>
              <w:rPr>
                <w:sz w:val="24"/>
                <w:szCs w:val="24"/>
                <w:color w:val="auto"/>
              </w:rPr>
            </w:pPr>
          </w:p>
        </w:tc>
      </w:tr>
      <w:tr>
        <w:trPr>
          <w:trHeight w:val="37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620" w:type="dxa"/>
            <w:vAlign w:val="bottom"/>
            <w:gridSpan w:val="11"/>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Tradeweb Markets Inc. Amended and Restated Executive Severance Policy, effective as of February 5, 2026 (incorporated by</w:t>
              </w:r>
            </w:hyperlink>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reference to Exhibit 10.42 to the Company’s Annual Report on Form 10-K filed on February 5, 2026 (File No. 001-38860)).</w:t>
              </w:r>
            </w:hyperlink>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9620" w:type="dxa"/>
            <w:vAlign w:val="bottom"/>
            <w:gridSpan w:val="11"/>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60" w:type="dxa"/>
            <w:vAlign w:val="bottom"/>
            <w:tcBorders>
              <w:top w:val="single" w:sz="8" w:color="0000FF"/>
            </w:tcBorders>
            <w:gridSpan w:val="3"/>
          </w:tcPr>
          <w:p>
            <w:pPr>
              <w:spacing w:after="0"/>
              <w:rPr>
                <w:sz w:val="13"/>
                <w:szCs w:val="13"/>
                <w:color w:val="auto"/>
              </w:rPr>
            </w:pPr>
          </w:p>
        </w:tc>
        <w:tc>
          <w:tcPr>
            <w:tcW w:w="3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620" w:type="dxa"/>
            <w:vAlign w:val="bottom"/>
            <w:gridSpan w:val="11"/>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5"/>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20" w:type="dxa"/>
            <w:vAlign w:val="bottom"/>
            <w:tcBorders>
              <w:top w:val="single" w:sz="8" w:color="0000FF"/>
            </w:tcBorders>
            <w:gridSpan w:val="2"/>
          </w:tcPr>
          <w:p>
            <w:pPr>
              <w:spacing w:after="0"/>
              <w:rPr>
                <w:sz w:val="13"/>
                <w:szCs w:val="13"/>
                <w:color w:val="auto"/>
              </w:rPr>
            </w:pPr>
          </w:p>
        </w:tc>
        <w:tc>
          <w:tcPr>
            <w:tcW w:w="3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40" w:type="dxa"/>
            <w:vAlign w:val="bottom"/>
            <w:gridSpan w:val="2"/>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80" w:type="dxa"/>
            <w:vAlign w:val="bottom"/>
            <w:gridSpan w:val="3"/>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10"/>
          </w:tcPr>
          <w:p>
            <w:pPr>
              <w:spacing w:after="0" w:line="20" w:lineRule="exact"/>
              <w:rPr>
                <w:sz w:val="1"/>
                <w:szCs w:val="1"/>
                <w:color w:val="auto"/>
              </w:rPr>
            </w:pPr>
          </w:p>
        </w:tc>
      </w:tr>
      <w:tr>
        <w:trPr>
          <w:trHeight w:val="42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r>
        <w:trPr>
          <w:trHeight w:val="522"/>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Indicates a management contract or compensatory plan or arrangement.</w:t>
            </w:r>
          </w:p>
        </w:tc>
      </w:tr>
      <w:tr>
        <w:trPr>
          <w:trHeight w:val="905"/>
        </w:trPr>
        <w:tc>
          <w:tcPr>
            <w:tcW w:w="1600" w:type="dxa"/>
            <w:vAlign w:val="bottom"/>
          </w:tcPr>
          <w:p>
            <w:pPr>
              <w:spacing w:after="0"/>
              <w:rPr>
                <w:sz w:val="24"/>
                <w:szCs w:val="24"/>
                <w:color w:val="auto"/>
              </w:rPr>
            </w:pPr>
          </w:p>
        </w:tc>
        <w:tc>
          <w:tcPr>
            <w:tcW w:w="5880" w:type="dxa"/>
            <w:vAlign w:val="bottom"/>
            <w:gridSpan w:val="3"/>
          </w:tcPr>
          <w:p>
            <w:pPr>
              <w:jc w:val="right"/>
              <w:ind w:right="1688"/>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April 29, 2026</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William Hult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April 29, 2026</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Sara Furber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00"/>
          </w:cols>
          <w:pgMar w:left="320" w:top="121" w:right="37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and registered agent of Tradeweb Markets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shall be as set forth in the Corporation’s certificate of incorporation as then in effect (as the same may be amended and/or restated from time to time, the “</w:t>
      </w:r>
      <w:r>
        <w:rPr>
          <w:rFonts w:ascii="Times New Roman" w:cs="Times New Roman" w:eastAsia="Times New Roman" w:hAnsi="Times New Roman"/>
          <w:sz w:val="18"/>
          <w:szCs w:val="18"/>
          <w:u w:val="single" w:color="auto"/>
          <w:color w:val="auto"/>
        </w:rPr>
        <w:t>Amended and Restated Certificate of Incorporation</w:t>
      </w:r>
      <w:r>
        <w:rPr>
          <w:rFonts w:ascii="Times New Roman" w:cs="Times New Roman" w:eastAsia="Times New Roman" w:hAnsi="Times New Roman"/>
          <w:sz w:val="18"/>
          <w:szCs w:val="18"/>
          <w:color w:val="auto"/>
        </w:rPr>
        <w:t>”). The Corporation may also have offices in such other places in the United States or elsewhere (and may change the Corporation’s registered agent) as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determine or as the business of the Corporation may require as determined by any officer of the 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xml:space="preserve">. Annual meetings of stockholders may be held at such place, if any, either within or without the State of Delaware, and at such time and date as the Board (or its designee) shall determine and state in the notice of meeting. The Board may, in its sole discretion, determine that annual meetings of stockholders shall not be held at any place, but may instead be held solely by means of remote communication as described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accordance with Section 211(a)(2) of the General Corporation Law of the State of Delaware (as the same exists or may hereafter be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The Board may postpone, reschedule or cancel any annual meeting of stockholders previously scheduled by the Board.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Special meetings of the stockholders may only be called in the manner provided in the Amended and Restated Certificate of Incorporation and may be held at such place, if any, either within or without the State of Delaware, and at such time and date as the Board or the Chair of the Board shall determine and state in the notice of such meeting. The Board may, in its sole discretion, determine that special meetings of stockholders shall not be held at any place, but may instead be held solely by means of remote communication as described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accordance with Section 211(a)(2) of the DGCL. The Board may postpone, reschedule or cancel any special meeting of stockholders previously scheduled by the Board or the Chair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special meeting of stockholders previously scheduled by the Board or the Chair of the Board at the request of the Refinitiv Equityholders (as defined in the Amended and Restated Certificate of Incorporation), except as otherwise provided by law, the Board shall not postpone, reschedule or cancel such special meeting without the prior written consent of the Refinitiv Equityholders.</w:t>
      </w:r>
    </w:p>
    <w:p>
      <w:pPr>
        <w:spacing w:after="0" w:line="188"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Notice of Stockholder Business and Nominations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660" w:hanging="356"/>
        <w:spacing w:after="0"/>
        <w:tabs>
          <w:tab w:leader="none" w:pos="1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36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Nominations of persons for election to the Board and the proposal of other business to be considered by the stockholders may be made at an annual meeting of stockholders only (a) as provided in the Stockholders Agreement (as defined in the Amended and Restated Certificate of Incorporation) (with respect to nominations of persons for election to the Board only), (b) pursuant to the Corporation’s notice of meeting (or any supplement thereto) delivered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(c) by or at the direction of the Board or any authorized committee thereof or (d) by any stockholder of the Corporation who is entitled to vote at the meeting, who, subject to </w:t>
      </w:r>
      <w:r>
        <w:rPr>
          <w:rFonts w:ascii="Times New Roman" w:cs="Times New Roman" w:eastAsia="Times New Roman" w:hAnsi="Times New Roman"/>
          <w:sz w:val="18"/>
          <w:szCs w:val="18"/>
          <w:u w:val="single" w:color="auto"/>
          <w:color w:val="auto"/>
        </w:rPr>
        <w:t>paragraph (C)(4)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complied with the notice procedures set forth in </w:t>
      </w:r>
      <w:r>
        <w:rPr>
          <w:rFonts w:ascii="Times New Roman" w:cs="Times New Roman" w:eastAsia="Times New Roman" w:hAnsi="Times New Roman"/>
          <w:sz w:val="18"/>
          <w:szCs w:val="18"/>
          <w:u w:val="single" w:color="auto"/>
          <w:color w:val="auto"/>
        </w:rPr>
        <w:t>paragraph (A)(2)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paragraph (A)(3)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who is a stockholder of record at the time such notice is delivered to the Secretary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79" w:name="page80"/>
    <w:bookmarkEnd w:id="79"/>
    <w:p>
      <w:pPr>
        <w:jc w:val="both"/>
        <w:ind w:firstLine="1952"/>
        <w:spacing w:after="0" w:line="247" w:lineRule="auto"/>
        <w:tabs>
          <w:tab w:leader="none" w:pos="234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paragraph (A)(1)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stockholder must have given timely notice thereof in writing to the Secretary of the Corporation, and, in the case of business other than nominations of persons for election to the Board, such other business must constitute a proper matter for stockholder action. To be timely, a stockholder’s notice shall be delivered to the Secretary of the Corporation at the principal executive offices of the Corporation not later than the close of business (as defined below) on the ninetieth (90th) day nor earlier than the close of business on the one hundred and twentieth (120th) day prior to the date of the first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the date of the annual meeting is advanced by more than thirty (30) days, or delayed by more than seventy (70) days, from the anniversary date of the previous year’s meeting, or if no annual meeting was held in the preceding year, notice by the stockholder to be timely must be so delivered not earlier than the close of business on the one hundred and twentieth (120th) day prior to such annual meeting and not later than the close of business on the later of the ninetieth (90th) day prior to such annual meeting or the tenth (10th) day following the day on which public announcement (as defined below) of the date of such meeting is first made by the Corporation. An adjournment, recess or postponement of an annual meeting (or the public announcement thereof) shall not commence a new time period (or extend any time period) for the giving of a stockholder’s notice. Notwithstanding anything in this </w:t>
      </w:r>
      <w:r>
        <w:rPr>
          <w:rFonts w:ascii="Times New Roman" w:cs="Times New Roman" w:eastAsia="Times New Roman" w:hAnsi="Times New Roman"/>
          <w:sz w:val="18"/>
          <w:szCs w:val="18"/>
          <w:u w:val="single" w:color="auto"/>
          <w:color w:val="auto"/>
        </w:rPr>
        <w:t>Section 3(A)(2)</w:t>
      </w:r>
      <w:r>
        <w:rPr>
          <w:rFonts w:ascii="Times New Roman" w:cs="Times New Roman" w:eastAsia="Times New Roman" w:hAnsi="Times New Roman"/>
          <w:sz w:val="18"/>
          <w:szCs w:val="18"/>
          <w:color w:val="auto"/>
        </w:rPr>
        <w:t xml:space="preserve"> to the contrary, if the number of directors to be elected to the Board at an annual meeting is increased, and there is no public announcement by the Corporation naming all of the nominees for director or specifying the size of the increased Board at least one hundred (100) calendar days prior to the first anniversary of the prior year’s annual meeting of stockholders, then a stockholder’s notice required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considered timely, but only with respect to nominees for any new positions created by such increase, if it is received by the Secretary of the Corporation not later than the close of business on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calendar day following the day on which such public announcement is first made by the Corporation. A stockholder’s notice given in accordance with this </w:t>
      </w:r>
      <w:r>
        <w:rPr>
          <w:rFonts w:ascii="Times New Roman" w:cs="Times New Roman" w:eastAsia="Times New Roman" w:hAnsi="Times New Roman"/>
          <w:sz w:val="18"/>
          <w:szCs w:val="18"/>
          <w:u w:val="single" w:color="auto"/>
          <w:color w:val="auto"/>
        </w:rPr>
        <w:t>Section 3(A)</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4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must contain the names of only the nominees for whom such stockholder (or beneficial owner, if any) intends to solicit proxies. For the avoidance of doubt,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spacing w:after="0" w:line="188" w:lineRule="exact"/>
        <w:rPr>
          <w:rFonts w:ascii="Times New Roman" w:cs="Times New Roman" w:eastAsia="Times New Roman" w:hAnsi="Times New Roman"/>
          <w:sz w:val="18"/>
          <w:szCs w:val="18"/>
          <w:u w:val="single" w:color="auto"/>
          <w:color w:val="auto"/>
        </w:rPr>
      </w:pPr>
    </w:p>
    <w:p>
      <w:pPr>
        <w:jc w:val="both"/>
        <w:ind w:firstLine="1952"/>
        <w:spacing w:after="0" w:line="252" w:lineRule="auto"/>
        <w:tabs>
          <w:tab w:leader="none" w:pos="240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stockholder’s notice delivered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set forth: (a) as to each person whom the stockholder proposes to nominate for election or re-election as a director, (i) all information relating to such person that is required to be disclosed in solicitations of proxies for election of directors in an election contest, or is otherwise required, in each case pursuant to Section 14(a) of the Exchange Act, and the rules and regulations promulgated thereunder, (ii) a fully completed and signed questionnaire (which questionnaire shall be in the form provided by the Secretary within a reasonable time following a request therefor), and (iii) a written representation and agreement, which shall be signed by such person to be nominated and pursuant to which such person shall represent and agree that such person: (A) consents to being named as a nominee in a proxy statement and form of proxy relating to the meeting at which directors are to be elected and to serving as a director if elected, and currently intends to serve as a director for the full term for which such person is standing for election, (B) is not and will not become a party to any agreement, arrangement or understanding with, and has not given any commitment or assurance to, any person or entity: (1) as to how the person, if elected as a director, will act or vote on any issue or question, except as disclosed in such representation and agreement; or (2) that could limit or interfere with the person’s ability to comply, if elected as a director, with such person’s fiduciary duties under applicable law, (C)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except as disclosed in such representation and agreement, (D) if elected as a director, will comply with all of the Corporation’s corporate governance policies and guidelines related to conflict of interest, confidentiality, stock ownership and trading policies and guidelines, and any other policies and guidelines applicable to directors (which will be provided within five (5) business days following a request therefore) and (E) will provide to the Corporation such other information as reasonably necessary for the Corporation to determine whether a nominee will satisfy any qualifications or requirements imposed by the Amended and Restated Certificate of Incorporation or these Amended and Restated Bylaws (as the same may be amended and/or restated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any law, rule, regulation or listing standard that may be applicable to the Corporation, or relevant to a determination whether such person can be considered an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director;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under the 1934 Act) in such business of such stockholder and the beneficial owner, if any, on whose behalf the proposal is made, and if such stockholder or beneficial owner is an entity, as to each individual who is a director, executive officer, general partner or managing member of such entity or of any other entity that has or shares control of such entity, and any of their respective affiliates (as defined below) (together, “related persons”);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that are owned, directly or indirectly, of record by such stockholder and such beneficial owner as of the date of the notice, (iii) a representation that the stockholder is a holder of record of the stock of the Corporation at the time of the giving of the notice, will be entitled to vote at such meeting and will appear, or have a qualified representative (as defined below) appear, at the meeting to propose such business or nomination and (iv)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(d) as to the stockholder giving the notice or, if the notice is given on behalf of a beneficial owner on whose behalf the nomination is made or the other business is proposed, as to such beneficial owner, and if such stockholder or beneficial owner is an entity, as to each related person (individually, a “proponent person” and, together, “proponent persons”) (i) the class or series and number of shares of stock of the Corporation which are beneficially owned by such proponent person as of the date of the notice, (ii) a representation whether such proponent person, or any other participant (as defined in Item 4 of Schedule 14A under the Exchange Act) will be or is part of a group that will engage in a solicitation with respect to such nomination or proposal and, if so, whether such solicitation will be conducted as an exempt solicitation under Rule 14a-2(b) of the Exchange Act, the name of each participant in such solicitation and (A) in the case of a proposal of business other than nominations, whether such person or group intends to deliver a proxy statement and form of proxy, through means satisfying each of the conditions that would be applicable to the corporation under either Rule 14a-16(a) under the Exchange Act or Rule 14a-16(n) under the Exchange Act, to holders of at least the percentage of the Corporation’s voting shares required under applicable law to carry the proposal and (B) in the case of any solicitation that is subject to Rule 14a-19 of the Exchange Act, confirming that such person or group will deliver, through means satisfying each of the conditions that would be applicable to the Corporation under either Exchange Act Rule 14a-16(a) or Exchange Act Rule 14a-16(n), a proxy statement and form of proxy to holders of at least sixty-seven percent (67%) of the voting power of the Corporation’s stock entitled to vote generally in the election of directors, (iii) a representation that promptly after soliciting the stockholders referred to in the representation required under the preceding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and in any event no later than the tenth (10th) day before such meeting of stockholders, such stockholder or beneficial owner will provide the Corporation with documents, which may take the form of a certified statement and documentation from a proxy solicitor, specifically demonstrating that the necessary steps have been taken to deliver a proxy statement and form of proxy to holders of such percentage of the voting power of the Corporation’s outstanding capital stock, (iv) any other information relating to such proponent person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(v) a description of (A) any plans or proposals which such proponent person may have with respect to securities of the Corporation that would be required to be disclosed pursuant to Item 4 of Exchange Act Schedule 13D and (B) any agreement, arrangement or understanding with respect to the nomination or proposal and/or the voting of shares of any class or series of stock of the Corporation between or among any proponent person and any other person, including, without limitation any agreements that would be required to be disclosed pursuant to Item 5 or Item 6 of Exchange Act Schedule 13D, which description shall include, in addition to all other information, information identifying all parties thereto (in the case of either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regardless of whether the requirement to file a Schedule 13D is applicable), (vi) a description of any agreement, arrangement or understanding (including without limitation any short positions, contract to purchase or sell, acquisition or grant of any option, right or warrant to purchase or sell, swap, hedging or pledging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81" w:name="page82"/>
    <w:bookmarkEnd w:id="81"/>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transactions, voting rights, dividend rights, borrowed or loaned shares or other instrument), whether the agreement, arrangement or understanding is to be settled with shares or with cash based on the notional amount or value of outstanding shares of stock, to which such proponent person is a party, the intent or effect of which may be (A) to transfer to or from any proponent person, in whole or in part, any of the economic consequences of ownership of any security of the Corporation, (B) to maintain, increase or decrease the voting power of any proponent person with respect to shares of any class or series of stock of the Corporation and/or (C) to provide any proponent person, directly or indirectly, with the opportunity to profit or share in any profit derived from, or to otherwise benefit economically from, any increase or decrease in the value of any security of the Corporation, and (vii) any performance-related fees (other than an asset-based fee) that such proponent person is directly or indirectly entitled to based on any increase or decrease in the value of shares of the Corporation or based on any agreement, arrangement or understanding under the preceding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A stockholder providing notice of a proposed nomination for election to the Board or other business proposed to be brought before a meeting (whether given pursuant to this </w:t>
      </w:r>
      <w:r>
        <w:rPr>
          <w:rFonts w:ascii="Times New Roman" w:cs="Times New Roman" w:eastAsia="Times New Roman" w:hAnsi="Times New Roman"/>
          <w:sz w:val="18"/>
          <w:szCs w:val="18"/>
          <w:u w:val="single" w:color="auto"/>
          <w:color w:val="auto"/>
        </w:rPr>
        <w:t>paragraph (A)(3)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fifteen (15) days prior to the meeting or any adjournment or postponement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of the Corporation at the principal executive offices of the Corporation not later than five (5) days after the record date for determining the stockholders entitled to notice of the meeting (in the case of any update and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adjournment or postponement thereof) and not later than five</w:t>
      </w:r>
    </w:p>
    <w:p>
      <w:pPr>
        <w:spacing w:after="0" w:line="10" w:lineRule="exact"/>
        <w:rPr>
          <w:sz w:val="20"/>
          <w:szCs w:val="20"/>
          <w:color w:val="auto"/>
        </w:rPr>
      </w:pPr>
    </w:p>
    <w:p>
      <w:pPr>
        <w:jc w:val="both"/>
        <w:ind w:firstLine="8"/>
        <w:spacing w:after="0" w:line="252" w:lineRule="auto"/>
        <w:tabs>
          <w:tab w:leader="none" w:pos="2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record date for determining the stockholders entitled to vote at the meeting, but no later than the day prior to the meeting or any adjournment or postponement thereof (in the case of any update and supplement required to be made as of a date less than fifteen (15) days prior to the date of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188" w:lineRule="exact"/>
        <w:rPr>
          <w:rFonts w:ascii="Times New Roman" w:cs="Times New Roman" w:eastAsia="Times New Roman" w:hAnsi="Times New Roman"/>
          <w:sz w:val="18"/>
          <w:szCs w:val="18"/>
          <w:color w:val="auto"/>
        </w:rPr>
      </w:pPr>
    </w:p>
    <w:p>
      <w:pPr>
        <w:jc w:val="both"/>
        <w:ind w:firstLine="1304"/>
        <w:spacing w:after="0" w:line="247" w:lineRule="auto"/>
        <w:tabs>
          <w:tab w:leader="none" w:pos="173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xml:space="preserve">. Only such business (including the election of specific individuals to fill vacancies or newly created directorships on the Board, subject to Section 7.1(ii) of the Amended and Restated Certificate of Incorporation)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(1) as provided in the Stockholders Agreement, (2) by or at the direction of the Board or any committee thereof or (3) provided that the Board (at the request of the Refinitiv Equityholders pursuant to Section 9.2 of Article IX of the Amended and Restated Certificate of Incorporation) has determined that directors shall be elected at such meeting, by any stockholder of the Corporation who is entitled to vote at the meeting, who (subject to </w:t>
      </w:r>
      <w:r>
        <w:rPr>
          <w:rFonts w:ascii="Times New Roman" w:cs="Times New Roman" w:eastAsia="Times New Roman" w:hAnsi="Times New Roman"/>
          <w:sz w:val="18"/>
          <w:szCs w:val="18"/>
          <w:u w:val="single" w:color="auto"/>
          <w:color w:val="auto"/>
        </w:rPr>
        <w:t>paragraph (C)(4)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complies with the notice procedures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who is a stockholder of record at the time such notice is delivered to the Secretary of the Corporation.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as required by </w:t>
      </w:r>
      <w:r>
        <w:rPr>
          <w:rFonts w:ascii="Times New Roman" w:cs="Times New Roman" w:eastAsia="Times New Roman" w:hAnsi="Times New Roman"/>
          <w:sz w:val="18"/>
          <w:szCs w:val="18"/>
          <w:u w:val="single" w:color="auto"/>
          <w:color w:val="auto"/>
        </w:rPr>
        <w:t>paragraph (A)(2)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Section3</w:t>
      </w:r>
      <w:r>
        <w:rPr>
          <w:rFonts w:ascii="Times New Roman" w:cs="Times New Roman" w:eastAsia="Times New Roman" w:hAnsi="Times New Roman"/>
          <w:sz w:val="18"/>
          <w:szCs w:val="18"/>
          <w:color w:val="auto"/>
        </w:rPr>
        <w:t xml:space="preserve"> shall be delivered to the Secretary at the principal executive offices of the Corporation not earlier than the close of business on the one hundred and twentieth (120th) day prior to such special meeting and not later than the close of business on the later of the ninetieth (90th) day prior to such special meeting or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day on which the Corporation first makes a public announcement of the date of the special meeting and of the nominees proposed by the Board to be elected at such meeting. A stockholder’s notice given in accordance with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must contain the names of only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82" w:name="page83"/>
    <w:bookmarkEnd w:id="82"/>
    <w:p>
      <w:pPr>
        <w:jc w:val="both"/>
        <w:spacing w:after="0" w:line="258" w:lineRule="auto"/>
        <w:rPr>
          <w:sz w:val="20"/>
          <w:szCs w:val="20"/>
          <w:color w:val="auto"/>
        </w:rPr>
      </w:pPr>
      <w:r>
        <w:rPr>
          <w:rFonts w:ascii="Times New Roman" w:cs="Times New Roman" w:eastAsia="Times New Roman" w:hAnsi="Times New Roman"/>
          <w:sz w:val="18"/>
          <w:szCs w:val="18"/>
          <w:color w:val="auto"/>
        </w:rPr>
        <w:t>nominees for whom such stockholder (or beneficial owner, if any) intends to solicit proxies. For the avoidance of doubt,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no event shall an adjournment, recess, or postponement of a special meeting (or the public announcement thereof) commence a new time period (or extend any time period) for the giving of a stockholder’s notice as described above.</w:t>
      </w:r>
    </w:p>
    <w:p>
      <w:pPr>
        <w:spacing w:after="0" w:line="183" w:lineRule="exact"/>
        <w:rPr>
          <w:sz w:val="20"/>
          <w:szCs w:val="20"/>
          <w:color w:val="auto"/>
        </w:rPr>
      </w:pPr>
    </w:p>
    <w:p>
      <w:pPr>
        <w:ind w:left="1640" w:hanging="336"/>
        <w:spacing w:after="0"/>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1" w:lineRule="auto"/>
        <w:tabs>
          <w:tab w:leader="none" w:pos="239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paragraph (C)(4)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only such persons who are nominated in accordance with the procedures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the Stockholders Agreement shall be eligible to be elected at any meeting of stockholders of the Corporation to serve as directors and only such business shall be conducted at an annual or special meeting of stockholders as shall have been brought before the meeting in accordance with the procedures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including providing the information required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to the Corporation within the time frames specified herein and complying with the requirements of the Exchange Act. Except as otherwise provided by law, the Amended and Restated Certificate of Incorporation or these Bylaws, the Board, the Chair of the Board or the chair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(including whether a stockholder or proponent person provided all information and complied with all representations required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and/or complied with the requirements of Rule 14a-19 under the Exchange Act), and, if any proposed nomination or business is not in compliance with these Bylaws, including due to a failure to comply with the requirements of Rule 14a-19 under the Exchange Act, shall declare that such defective proposal or nomination shall be disregarded, notwithstanding that proxies and votes in respect of any such nomination or other business may have been received by the Corporation. In furtherance and not by way of limitation of the foregoing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 if the stockholder does not provide the information required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to the Corporation within the time frames specified herein or (B) if the stockholder (or a qualified representative of the stockholder) does not appear at the annual or special meeting of stockholders of the Corporation to present a nomination or other business, any such nomination shall be disregarded or such other business shall not be transacted, notwithstanding that proxies and votes in respect of any such nomination or other business may have been received by the Corporation. The date and time of the opening and the closing of the polls for each matter upon which the stockholders will vote at a meeting shall be announced at the meeting. The Board may adopt by resolution such rules and regulations for the conduct of the meeting of stockholders as it shall deem appropriate. Except to the extent inconsistent with such rules and regulations as adopted by the Board, the chair of the meeting shall have the right and authority to convene and (for any or no reason) to recess and/or adjourn the meeting, to prescribe such rules, regulations and procedures for the conduct of any meeting of stockholders and the safety of those in attendance as, in the judgment of the chairperson, are necessary, and to do all such acts as, in the judgment of such chair, are appropriate for the proper conduct of the meeting. Such rules, regulations or procedures, whether adopted by the Board or prescribed by the chair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qualified representatives (including rules around who qualifies as such) and such other persons as the chair of the meeting shall determine; (iv) restrictions on entry to the meeting after the time fixed for the commencement thereof; (v) limitations on the time allotted to questions or comments by participants;</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3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regulations for the opening and closing of the polls for balloting and matters which are to be voted on by ballot (if any); and (vii) procedures (if any) requiring attendees to provide the Corporation advance notice of their intent to attend the meeting. For purposes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to be considered a qualified representative of the stockholder, a person must be a duly authorized officer, manager or partner of such stockholder or must be authorized by a writing executed by such stockholder or an electronic transmission delivered to the Corporation prior to the making of such nomination or proposal at such meeting (and in any event not fewer than five (5) business days before the meeting) to act for such stockholder as proxy at the meeting of stockholders, and such person must produce such writing or electronic transmission, or a reliable reproduction of the writing or electronic transmission, at the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83" w:name="page84"/>
    <w:bookmarkEnd w:id="83"/>
    <w:p>
      <w:pPr>
        <w:spacing w:after="0" w:line="282" w:lineRule="auto"/>
        <w:rPr>
          <w:sz w:val="20"/>
          <w:szCs w:val="20"/>
          <w:color w:val="auto"/>
        </w:rPr>
      </w:pPr>
      <w:r>
        <w:rPr>
          <w:rFonts w:ascii="Times New Roman" w:cs="Times New Roman" w:eastAsia="Times New Roman" w:hAnsi="Times New Roman"/>
          <w:sz w:val="18"/>
          <w:szCs w:val="18"/>
          <w:color w:val="auto"/>
        </w:rPr>
        <w:t>stockholders. Unless and to the extent determined by the Board or the chair of the meeting, the meeting of stockholders shall not be required to be held in accordance with the rules of parliamentary procedure.</w:t>
      </w:r>
    </w:p>
    <w:p>
      <w:pPr>
        <w:spacing w:after="0" w:line="162" w:lineRule="exact"/>
        <w:rPr>
          <w:sz w:val="20"/>
          <w:szCs w:val="20"/>
          <w:color w:val="auto"/>
        </w:rPr>
      </w:pPr>
    </w:p>
    <w:p>
      <w:pPr>
        <w:jc w:val="both"/>
        <w:ind w:firstLine="1952"/>
        <w:spacing w:after="0" w:line="253" w:lineRule="auto"/>
        <w:tabs>
          <w:tab w:leader="none" w:pos="237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in these Bylaws, (A) the “</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shall mean 6:00 p.m. eastern time at the principal executive offices of the Corporation on any calendar day, whether or not the day is a business day, (B) a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xml:space="preserve">” shall mean disclosure (a) in a press release released by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press release is released by the Corporation following its customary procedures, is reported by the Dow Jones News Service, Associated Press or 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 and (C)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shall have the meaning ascribed thereto in Rule 405 under the Securities Act of 1933, as amended. For purposes of </w:t>
      </w:r>
      <w:r>
        <w:rPr>
          <w:rFonts w:ascii="Times New Roman" w:cs="Times New Roman" w:eastAsia="Times New Roman" w:hAnsi="Times New Roman"/>
          <w:sz w:val="18"/>
          <w:szCs w:val="18"/>
          <w:u w:val="single" w:color="auto"/>
          <w:color w:val="auto"/>
        </w:rPr>
        <w:t>clause (A)(3)(d)(i)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with others; and/or (C) investment power with respect to such shares, including the power to dispose of, or to direct the disposition of, such shares.</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5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 stockholder shall also comply with all applicable requirements of the Exchange Act and the rules and regulations promulgated thereunder with respect to the matters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w:t>
      </w:r>
      <w:r>
        <w:rPr>
          <w:rFonts w:ascii="Times New Roman" w:cs="Times New Roman" w:eastAsia="Times New Roman" w:hAnsi="Times New Roman"/>
          <w:sz w:val="18"/>
          <w:szCs w:val="18"/>
          <w:u w:val="single" w:color="auto"/>
          <w:color w:val="auto"/>
        </w:rPr>
        <w:t>paragraph (A)(1)(d)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compliance with </w:t>
      </w:r>
      <w:r>
        <w:rPr>
          <w:rFonts w:ascii="Times New Roman" w:cs="Times New Roman" w:eastAsia="Times New Roman" w:hAnsi="Times New Roman"/>
          <w:sz w:val="18"/>
          <w:szCs w:val="18"/>
          <w:u w:val="single" w:color="auto"/>
          <w:color w:val="auto"/>
        </w:rPr>
        <w:t>paragraphs (A)(1)(a) and (A)(1)(d)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these Bylaws shall be the exclusive means for a stockholder to make nominations or submit other business (other than a proposal included in the Corporation’s proxy statement pursuant to and in compliance with Rule 14a-8 under the Exchange Act or as provided in </w:t>
      </w:r>
      <w:r>
        <w:rPr>
          <w:rFonts w:ascii="Times New Roman" w:cs="Times New Roman" w:eastAsia="Times New Roman" w:hAnsi="Times New Roman"/>
          <w:sz w:val="18"/>
          <w:szCs w:val="18"/>
          <w:u w:val="single" w:color="auto"/>
          <w:color w:val="auto"/>
        </w:rPr>
        <w:t>paragraph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C(4)</w:t>
      </w:r>
      <w:r>
        <w:rPr>
          <w:rFonts w:ascii="Times New Roman" w:cs="Times New Roman" w:eastAsia="Times New Roman" w:hAnsi="Times New Roman"/>
          <w:sz w:val="18"/>
          <w:szCs w:val="18"/>
          <w:color w:val="auto"/>
        </w:rPr>
        <w:t xml:space="preserve"> below). Nothing in these Bylaws shall be deemed to affect any rights of (A) stockholders to request inclusion of proposals in the Corporation’s proxy statement pursuant to Rule 14a-8 promulgated under the Exchange Act or (B) the holders of any class or series of stock having a preference over the Common Stock (as defined in the Amended and Restated Certificate of Incorporation) as to dividends or upon liquidation to elect directors under specified circumstances.</w:t>
      </w:r>
    </w:p>
    <w:p>
      <w:pPr>
        <w:spacing w:after="0" w:line="19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notwithstanding anything to the contrary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these Bylaws, for as long as the Stockholders Agreement remains in effect with respect to the Refinitiv Equityholders, the Refinitiv Equityholders (to the extent then subject to the Stockholders Agreement) shall not be subject to the notice procedures set forth in </w:t>
      </w:r>
      <w:r>
        <w:rPr>
          <w:rFonts w:ascii="Times New Roman" w:cs="Times New Roman" w:eastAsia="Times New Roman" w:hAnsi="Times New Roman"/>
          <w:sz w:val="18"/>
          <w:szCs w:val="18"/>
          <w:u w:val="single" w:color="auto"/>
          <w:color w:val="auto"/>
        </w:rPr>
        <w:t>paragraph (A)(2)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paragraph (A)(3)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with respect to any annual or special meeting of stockholders.</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3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the exclusive use for solicitation by the Board.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a timely notice in writing or by electronic transmission, in the manner provided in Section 232 of the DGCL,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to or, if permitted by law, transmitted electronically by the Corporation to each stockholder of record entitled to vote thereat as of the record date for determining the stockholders entitled to notice of the meeting. Unless otherwise provided by law, the Amended and Restated Certificate of Incorporation or these Bylaws, the notice of any meeting shall be given not less than ten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7" w:right="339" w:bottom="1440" w:gutter="0" w:footer="0" w:header="0"/>
        </w:sectPr>
      </w:pPr>
    </w:p>
    <w:bookmarkStart w:id="84" w:name="page85"/>
    <w:bookmarkEnd w:id="84"/>
    <w:p>
      <w:pPr>
        <w:jc w:val="both"/>
        <w:spacing w:after="0" w:line="282" w:lineRule="auto"/>
        <w:rPr>
          <w:sz w:val="20"/>
          <w:szCs w:val="20"/>
          <w:color w:val="auto"/>
        </w:rPr>
      </w:pPr>
      <w:r>
        <w:rPr>
          <w:rFonts w:ascii="Times New Roman" w:cs="Times New Roman" w:eastAsia="Times New Roman" w:hAnsi="Times New Roman"/>
          <w:sz w:val="18"/>
          <w:szCs w:val="18"/>
          <w:color w:val="auto"/>
        </w:rPr>
        <w:t>nor more than sixty (60) days before the date of the meeting to each stockholder entitled to vote at such meeting as of the record date for determining the stockholders entitled to notice of the meeting.</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Unless otherwise required by law, the Amended and Restated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Each holder of Class A common stock, with the par value of $0.00001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or Class C common stock, with the par value of $0.00001 per share (the “</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as such, will be entitled to one vote for each share of Class A Common Stock or Class C Common Stock held of record by such holder on all matters on which stockholders generally are entitled to vote, and each holder of Class B common stock, with the par value of $0.00001 per share (the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or Class D common stock, with the par value of $0.00001 per share (the “</w:t>
      </w:r>
      <w:r>
        <w:rPr>
          <w:rFonts w:ascii="Times New Roman" w:cs="Times New Roman" w:eastAsia="Times New Roman" w:hAnsi="Times New Roman"/>
          <w:sz w:val="18"/>
          <w:szCs w:val="18"/>
          <w:u w:val="single" w:color="auto"/>
          <w:color w:val="auto"/>
        </w:rPr>
        <w:t>Class D Common Stock</w:t>
      </w:r>
      <w:r>
        <w:rPr>
          <w:rFonts w:ascii="Times New Roman" w:cs="Times New Roman" w:eastAsia="Times New Roman" w:hAnsi="Times New Roman"/>
          <w:sz w:val="18"/>
          <w:szCs w:val="18"/>
          <w:color w:val="auto"/>
        </w:rPr>
        <w:t>”), as such, will be entitled to ten votes for each share of Class B Common Stock or Class D Common Stock held of record by such holder on all matters on which stockholders generally are entitled to vote. Each stockholder entitled to vote at a meeting of stockholders or to express consent to corporate action in writing without a meeting may authorize another person or persons to act for such stockholder by proxy in any manner provided by applicable law,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Amended and Restated Certificate of Incorporation or applicable law, or determined by the chair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Amended and Restated Certificate of Incorporation or of these Bylaws, a different vote is required, in which case such express provision shall govern and control the decision of such question. Notwithstanding the foregoing sentence and subject to the Amended and Restated Certificate of Incorporation, all elections of directors shall be determined by a plurality of the votes cast in respect of the shares present in person or represented by proxy at the meeting and entitled to vote on the election of directors.</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Chair of Meetings</w:t>
      </w:r>
      <w:r>
        <w:rPr>
          <w:rFonts w:ascii="Times New Roman" w:cs="Times New Roman" w:eastAsia="Times New Roman" w:hAnsi="Times New Roman"/>
          <w:sz w:val="18"/>
          <w:szCs w:val="18"/>
          <w:color w:val="auto"/>
        </w:rPr>
        <w:t>. Such person as the Board may have designated, or in the absence of such a person, the Chair of the Board, if one is elected, or, in his or her absence or disability, the Chief Executive Officer of the Corporation, or in the absence of the Chair of the Board and the Chief Executive Officer, an officer or a director designated by the Board, shall be the chair of the meeting and, as such, preside at all meetings of the stockholders.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Secretary of Meetings</w:t>
      </w:r>
      <w:r>
        <w:rPr>
          <w:rFonts w:ascii="Times New Roman" w:cs="Times New Roman" w:eastAsia="Times New Roman" w:hAnsi="Times New Roman"/>
          <w:sz w:val="18"/>
          <w:szCs w:val="18"/>
          <w:color w:val="auto"/>
        </w:rPr>
        <w:t>. The Secretary of the Corporation shall act as secretary at all meetings of the stockholders. In the absence or disability of the Secretary, the Chair of the Board, the Chief Executive Officer, the chair of the meeting shall appoint a person to act as Secretary at such meetings.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Consent of Stockholders in Lieu of Meeting</w:t>
      </w:r>
      <w:r>
        <w:rPr>
          <w:rFonts w:ascii="Times New Roman" w:cs="Times New Roman" w:eastAsia="Times New Roman" w:hAnsi="Times New Roman"/>
          <w:sz w:val="18"/>
          <w:szCs w:val="18"/>
          <w:color w:val="auto"/>
        </w:rPr>
        <w:t>. Any action required or permitted to be taken at any annual or special meeting of stockholders of the Corporation may be taken without a meeting,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sectPr>
      </w:pPr>
    </w:p>
    <w:bookmarkStart w:id="85" w:name="page86"/>
    <w:bookmarkEnd w:id="85"/>
    <w:p>
      <w:pPr>
        <w:jc w:val="both"/>
        <w:spacing w:after="0" w:line="282" w:lineRule="auto"/>
        <w:rPr>
          <w:sz w:val="20"/>
          <w:szCs w:val="20"/>
          <w:color w:val="auto"/>
        </w:rPr>
      </w:pPr>
      <w:r>
        <w:rPr>
          <w:rFonts w:ascii="Times New Roman" w:cs="Times New Roman" w:eastAsia="Times New Roman" w:hAnsi="Times New Roman"/>
          <w:sz w:val="18"/>
          <w:szCs w:val="18"/>
          <w:color w:val="auto"/>
        </w:rPr>
        <w:t>prior notice and without a vote only to the extent permitted by and in the manner provided in the Amended and Restated Certificate of Incorporation and in accordance with applicable law.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At any meeting of stockholders of the Corporation, the meeting may be adjourned from time to time by the chair of the meeting or by the affirmative vote of the stockholders holding a majority in voting power of the outstanding shares of stock of the Corporation, present in person or by proxy and entitled to vote thereat. Any business may be transacted at the adjourned meeting that might have been transacted at the meeting originally noticed.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Remote Communication</w:t>
      </w:r>
      <w:r>
        <w:rPr>
          <w:rFonts w:ascii="Times New Roman" w:cs="Times New Roman" w:eastAsia="Times New Roman" w:hAnsi="Times New Roman"/>
          <w:sz w:val="18"/>
          <w:szCs w:val="18"/>
          <w:color w:val="auto"/>
        </w:rPr>
        <w:t>. If authorized by the Board in its sole discretion, and subject to such guidelines and procedures as the Board may adopt, stockholders and proxyholders not physically present at a meeting of stockholders may, by means of remote communication:</w:t>
      </w:r>
    </w:p>
    <w:p>
      <w:pPr>
        <w:spacing w:after="0" w:line="162" w:lineRule="exact"/>
        <w:rPr>
          <w:sz w:val="20"/>
          <w:szCs w:val="20"/>
          <w:color w:val="auto"/>
        </w:rPr>
      </w:pPr>
    </w:p>
    <w:p>
      <w:pPr>
        <w:ind w:left="1660" w:hanging="356"/>
        <w:spacing w:after="0"/>
        <w:tabs>
          <w:tab w:leader="none" w:pos="1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deemed present in person and vote at a meeting of stockholders whether such meeting is to be held at a designated place or solely by means of remote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7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implement reasonable measures to verify that each person deemed present and permitted to vote at the meeting by means of remote communication is a stockholder or proxyholder;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36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stockholder or proxyholder votes or takes other action at the meeting by means of remote communication, a record of such vote or other action shall be maintained by the Corporation.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Inspectors need not be stockholders. No director or other person who is a candidate for an office at an election may serve as an inspector at such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Except as otherwise provided by the Amended and Restated Certificate of Incorporation or the DGCL, the business and affairs of the Corporation shall be managed by or under the direction of its Board. The Board may exercise all such authority and powers of the Corporation and do all such lawful acts and things as are not by the DGCL or the Amended and Restated Certificate of Incorporation directed or required to be exercised or done by the stockholders.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 Chair</w:t>
      </w:r>
      <w:r>
        <w:rPr>
          <w:rFonts w:ascii="Times New Roman" w:cs="Times New Roman" w:eastAsia="Times New Roman" w:hAnsi="Times New Roman"/>
          <w:sz w:val="18"/>
          <w:szCs w:val="18"/>
          <w:color w:val="auto"/>
        </w:rPr>
        <w:t>. The number of directors shall be determined as set forth in Article VII, Section 7.1(i) of the Amended and Restated Certificate of Incorporation. Directors shall be elected by the stockholders at their annual meeting, and the term of each director shall be as set forth in the Amended and Restated Certificate of Incorporation. Directors need not be stockholders. The Board shall elect from its ranks a Chair of the Board, who shall have the powers and perform such duties as provided in these Bylaws and as the Board may from time to time prescribe. The Chair of the Board shall preside at all meetings of the Board at which he or she is present. If the Chair of the Board is not present at a meeting of the Board or the Chief Executive Officer (if the Chief Executive Officer is a director and is not also the Chair of the Board) shall preside at such meeting, and, if the Chief Executive Officer is not present at such meeting or is not a director and the Board has not otherwise determined or provided for a presiding director, a majority of the directors present at such meeting shall elect one (1) of their members to preside over such meeting.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may resign at any time upon notice given in writing or by electronic transmission to the Board, the Chair of the Board, the Chief Executive Officer or the Secretary of the Corporation. The resignation shall take effect at the time or upon the happening of any event specified therein, and if no specification is so made, at the time of its receipt. The acceptance of a resignation shall not be necessary to make it effective unless otherwise expressly provided in the resignation.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of the Corporation may be removed in the manner provided in the Amended and Restated Certificate of Incorporation and applicable law.</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Except as otherwise provided by law and subject to the Stockholders Agreement, vacancies occurring in any directorship (whether by death, resignation, retirement, disqualification, removal or other cause) and newly created directorships resulting from any increase in the number of directors shall be filled in accordance with the Amended and Restated Certificate of Incorporation. Any director elected to fill a vacancy or newly created directorship shall hold office until the next election of the class for which such director shall have been chosen (if the Board is classified) or, otherwise, until the next annual meeting of stockholders and until his or her successor shall be elected and qualified, or until his or her earlier death, resignation, retirement, disqualification or removal.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xml:space="preserve">. Regular meetings of the Board may be held at such places and times as shall be determined from time to time by the Board. Special meetings of the Board may be called by the Chief Executive Officer of the Corporation or the Chair of the Board, and shall be called by the Chief Executive Officer or the Secretary of the Corporation if directed by a majority of the Board and shall be at such places and times as they or he or she shall fix. Notice need not be given of regular meetings of the Board. At least twenty-four (24) hours before each special meeting of the Board, either written notice, notice by electronic transmission or oral notice (either in person or by telephone) of the time, date and place, if any, of the meeting shall be given to each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written notice is given only by United States mail, such notice be deposited in the United States mail, postage prepaid at least five (5) days before such special meeting of the Board. Unless otherwise indicated in the notice thereof, any and all business may be transacted at a special meeting.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Quorum, Voting and Adjournment</w:t>
      </w:r>
      <w:r>
        <w:rPr>
          <w:rFonts w:ascii="Times New Roman" w:cs="Times New Roman" w:eastAsia="Times New Roman" w:hAnsi="Times New Roman"/>
          <w:sz w:val="18"/>
          <w:szCs w:val="18"/>
          <w:color w:val="auto"/>
        </w:rPr>
        <w:t>. Unless otherwise provided by the DGCL, the Amended and Restated Certificate of Incorporation or these Bylaws, a majority of the total number of directors then in office, whether or not there exist any vacancies in previously authorized directorships, shall constitute a quorum for the transaction of business. Except as otherwise provided by law, the Amended and Restated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7" w:right="339" w:bottom="1440" w:gutter="0" w:footer="0" w:header="0"/>
        </w:sectPr>
      </w:pPr>
    </w:p>
    <w:bookmarkStart w:id="87" w:name="page88"/>
    <w:bookmarkEnd w:id="87"/>
    <w:p>
      <w:pPr>
        <w:jc w:val="both"/>
        <w:spacing w:after="0" w:line="266" w:lineRule="auto"/>
        <w:rPr>
          <w:sz w:val="20"/>
          <w:szCs w:val="20"/>
          <w:color w:val="auto"/>
        </w:rPr>
      </w:pPr>
      <w:r>
        <w:rPr>
          <w:rFonts w:ascii="Times New Roman" w:cs="Times New Roman" w:eastAsia="Times New Roman" w:hAnsi="Times New Roman"/>
          <w:sz w:val="18"/>
          <w:szCs w:val="18"/>
          <w:color w:val="auto"/>
        </w:rPr>
        <w:t>Incorporation .or these Bylaws, the act of a majority of the directors present at a meeting at which a quorum is present shall be the act of the Board. In the absence of a quorum, a majority of the directors present thereat may adjourn such meeting to another time and place. Notice of such adjourned meeting need not be given if the time and place of such adjourned meeting are announced at the meeting so adjourned.</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Committees; Committee Rules</w:t>
      </w:r>
      <w:r>
        <w:rPr>
          <w:rFonts w:ascii="Times New Roman" w:cs="Times New Roman" w:eastAsia="Times New Roman" w:hAnsi="Times New Roman"/>
          <w:sz w:val="18"/>
          <w:szCs w:val="18"/>
          <w:color w:val="auto"/>
        </w:rPr>
        <w:t xml:space="preserve">. The Board may designate one or more committees, each such committee to consist of one or more of the directors of the Corporation. The Board may designate one or more directors as alternate members of any committee to replace any absent or disqualified member at any meeting of the committee.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that may require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these Bylaws. Each committee of the Board may fix its own rules of procedure and shall hold its meetings as provided by such rules, except as may otherwise be provided by a resolution of the Board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such committee is or are absent or disqualified, the member or members thereof present at any meeting and not disqualified from voting, whether or not such member or members constitute a quorum, may unanimously appoint another member of the Board to act at the meeting in place of any such absent or disqualified member.</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Action Without a Meeting</w:t>
      </w:r>
      <w:r>
        <w:rPr>
          <w:rFonts w:ascii="Times New Roman" w:cs="Times New Roman" w:eastAsia="Times New Roman" w:hAnsi="Times New Roman"/>
          <w:sz w:val="18"/>
          <w:szCs w:val="18"/>
          <w:color w:val="auto"/>
        </w:rPr>
        <w:t>. Unless otherwise restricted by the Amended and Restated Certificate of Incorporation, any action required or permitted to be taken at any meeting of the Board or of any committee thereof may be taken without a meeting if all members of the Board or any committee thereof, as the case may be, consent thereto in writing or by electronic transmission, and the writing or writings or electronic transmission or transmissions are filed in the minutes of proceedings of the Board. Such filing shall be in paper form if the minutes are maintained in paper form or shall be in electronic form if the minutes are maintained in electronic form.</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Remote Meeting</w:t>
      </w:r>
      <w:r>
        <w:rPr>
          <w:rFonts w:ascii="Times New Roman" w:cs="Times New Roman" w:eastAsia="Times New Roman" w:hAnsi="Times New Roman"/>
          <w:sz w:val="18"/>
          <w:szCs w:val="18"/>
          <w:color w:val="auto"/>
        </w:rPr>
        <w:t>. Unless otherwise restricted by the Amended and Restated Certificate of Incorporation, members of the Board, or any committee designated by the Board,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Subject to the provisions of the Stockholders Agreement, the Board shall have the authority to fix the compensation, including fees and reimbursement of expenses, of directors for services to the Corporation in any capacity.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Reliance on Books and Records</w:t>
      </w:r>
      <w:r>
        <w:rPr>
          <w:rFonts w:ascii="Times New Roman" w:cs="Times New Roman" w:eastAsia="Times New Roman" w:hAnsi="Times New Roman"/>
          <w:sz w:val="18"/>
          <w:szCs w:val="18"/>
          <w:color w:val="auto"/>
        </w:rPr>
        <w:t>. A member of the Board, or a member of any committee designated by the Board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Emergency Bylaws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operative during any emergency condition as contemplated by Section 110 of the DGCL (an “</w:t>
      </w:r>
      <w:r>
        <w:rPr>
          <w:rFonts w:ascii="Times New Roman" w:cs="Times New Roman" w:eastAsia="Times New Roman" w:hAnsi="Times New Roman"/>
          <w:sz w:val="18"/>
          <w:szCs w:val="18"/>
          <w:u w:val="single" w:color="auto"/>
          <w:color w:val="auto"/>
        </w:rPr>
        <w:t>Emergency</w:t>
      </w:r>
      <w:r>
        <w:rPr>
          <w:rFonts w:ascii="Times New Roman" w:cs="Times New Roman" w:eastAsia="Times New Roman" w:hAnsi="Times New Roman"/>
          <w:sz w:val="18"/>
          <w:szCs w:val="18"/>
          <w:color w:val="auto"/>
        </w:rPr>
        <w:t>”), notwithstanding any different or conflicting provisions in these Bylaws, the Certificate of Incorporation or the DGCL. In the event of any Emergency, or other similar emergency condition, if a quorum cannot be readily convened for a meeting, the director or directors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88" w:name="page89"/>
    <w:bookmarkEnd w:id="88"/>
    <w:p>
      <w:pPr>
        <w:jc w:val="both"/>
        <w:spacing w:after="0" w:line="261" w:lineRule="auto"/>
        <w:rPr>
          <w:sz w:val="20"/>
          <w:szCs w:val="20"/>
          <w:color w:val="auto"/>
        </w:rPr>
      </w:pPr>
      <w:r>
        <w:rPr>
          <w:rFonts w:ascii="Times New Roman" w:cs="Times New Roman" w:eastAsia="Times New Roman" w:hAnsi="Times New Roman"/>
          <w:sz w:val="18"/>
          <w:szCs w:val="18"/>
          <w:color w:val="auto"/>
        </w:rPr>
        <w:t>attendance at a meeting of the Board or a standing committee thereof shall constitute a quorum. Such director or directors in attendance may further take action to appoint one or more of themselves or other directors to membership on any standing or temporary committees of the Board as they shall deem necessary and appropriate. Except as the Board may otherwise determine, during any Emergency, the Corporation and its directors and officers, may exercise any authority and take any action or measure contemplated by Section 110 of the DGCL.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officers of the Corporation shall include a Chief Executive Officer and a Secretary, each of whom shall be elected by the Board and who shall hold office for such terms as shall be determined by the Board and until their successors are elected and qualify or until their earlier resignation or removal. In addition, the Board may elect one or more Vice Presidents, including one or more Executive Vice Presidents, Senior Vice Presidents, a Treasurer and one or more Assistant Treasurers and one or more Assistant Secretaries and any other additional officers as the Board deems necessary or advisable, who shall hold their office for such terms and shall exercise such powers and perform such duties as shall be determined from time to time by the Board. To the extent not so set forth or determined, each such officer shall have such authority, functions or duties as those that generally pertain to their respective offices, subject to the control of the Board. Any number of offices may be held by the same person. The Board may determine to leave any office vacant.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Other Officers and Agents</w:t>
      </w:r>
      <w:r>
        <w:rPr>
          <w:rFonts w:ascii="Times New Roman" w:cs="Times New Roman" w:eastAsia="Times New Roman" w:hAnsi="Times New Roman"/>
          <w:sz w:val="18"/>
          <w:szCs w:val="18"/>
          <w:color w:val="auto"/>
        </w:rPr>
        <w:t>. The Board may appoint such other officers and agents as it deems advisable, who shall hold their office for such terms and shall exercise and perform such powers and duties as shall be determined from time to time by the Board.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subject to the determination of the Board,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has not elected a Chair of the Board or in the absence or inability to act as the Chair of the Board, the Chief Executive Officer, if available, shall exercise all of the powers and discharge all of the duties of the Chair of the Board, but only if, in such a case, the Chief Executive Officer is a director of the Corporation.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Each Vice President, if any are elected, of whom one or more may be designated an Executive Vice President or Senior Vice President, shall have such powers and shall perform such duties as shall be assigned to him or her by the Chief Executive Officer or the Board.</w:t>
      </w:r>
    </w:p>
    <w:p>
      <w:pPr>
        <w:spacing w:after="0" w:line="162"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Treasurer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65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Treasurer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or its designees selected for such purposes. The Treasurer shall disburse the funds of the Corporation, taking proper vouchers therefor. The Treasurer shall render to the Chief Executive Officer and the Board, upon their request, a report of the financial condition of the Corporation. If required by the Board, the Treasurer shall give the Corporation a bond for the faithful discharge of his or her duties in such amount and with such surety as the Board shall prescribe.</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Treasurer shall have such further powers and perform such other duties incident to the office of Treasurer as from time to time are assigned to him or her by the Chief Executive Officer or the Board.</w:t>
      </w:r>
    </w:p>
    <w:p>
      <w:pPr>
        <w:spacing w:after="0" w:line="162"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 cause minutes of all meetings of the stockholders and directors to be recorded and kept properly;</w:t>
      </w:r>
    </w:p>
    <w:p>
      <w:pPr>
        <w:spacing w:after="0" w:line="27" w:lineRule="exact"/>
        <w:rPr>
          <w:sz w:val="20"/>
          <w:szCs w:val="20"/>
          <w:color w:val="auto"/>
        </w:rPr>
      </w:pPr>
    </w:p>
    <w:p>
      <w:pPr>
        <w:ind w:right="20" w:firstLine="8"/>
        <w:spacing w:after="0" w:line="260" w:lineRule="auto"/>
        <w:tabs>
          <w:tab w:leader="none" w:pos="2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notices required by these Bylaws or otherwise to be given properly; (C) see that the minute books, stock books, and other nonfinancial books, records and papers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7" w:right="339" w:bottom="1440" w:gutter="0" w:footer="0" w:header="0"/>
        </w:sectPr>
      </w:pPr>
    </w:p>
    <w:bookmarkStart w:id="89" w:name="page90"/>
    <w:bookmarkEnd w:id="89"/>
    <w:p>
      <w:pPr>
        <w:jc w:val="both"/>
        <w:spacing w:after="0" w:line="266" w:lineRule="auto"/>
        <w:rPr>
          <w:sz w:val="20"/>
          <w:szCs w:val="20"/>
          <w:color w:val="auto"/>
        </w:rPr>
      </w:pPr>
      <w:r>
        <w:rPr>
          <w:rFonts w:ascii="Times New Roman" w:cs="Times New Roman" w:eastAsia="Times New Roman" w:hAnsi="Times New Roman"/>
          <w:sz w:val="18"/>
          <w:szCs w:val="18"/>
          <w:color w:val="auto"/>
        </w:rPr>
        <w:t>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Assistant Treasurers and Assistant Secretaries</w:t>
      </w:r>
      <w:r>
        <w:rPr>
          <w:rFonts w:ascii="Times New Roman" w:cs="Times New Roman" w:eastAsia="Times New Roman" w:hAnsi="Times New Roman"/>
          <w:sz w:val="18"/>
          <w:szCs w:val="18"/>
          <w:color w:val="auto"/>
        </w:rPr>
        <w:t>. Each Assistant Treasurer and each Assistant Secretary, if any are elected, shall be vested with all the powers and shall perform all the duties of the Treasurer and Secretary, respectively, in the absence or disability of such officer, unless or until the Chief Executive Officer or the Board shall otherwise determine. In addition, Assistant Treasurers and Assistant Secretaries shall have such powers and shall perform such duties as shall be assigned to them by the Chief Executive Officer or the Board.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Corporate Funds and Checks</w:t>
      </w:r>
      <w:r>
        <w:rPr>
          <w:rFonts w:ascii="Times New Roman" w:cs="Times New Roman" w:eastAsia="Times New Roman" w:hAnsi="Times New Roman"/>
          <w:sz w:val="18"/>
          <w:szCs w:val="18"/>
          <w:color w:val="auto"/>
        </w:rPr>
        <w:t>. The funds of the Corporation shall be kept in such depositories as shall from time to time be prescribed by the Board or its designees selected for such purposes. All checks or other orders for the payment of money shall be signed by the Chief Executive Officer, a Vice President, the Treasurer or the Secretary or such other person or agent as may from time to time be authorized and with such countersignature, if any, as may be required by the Board.</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Contracts and Other Documents</w:t>
      </w:r>
      <w:r>
        <w:rPr>
          <w:rFonts w:ascii="Times New Roman" w:cs="Times New Roman" w:eastAsia="Times New Roman" w:hAnsi="Times New Roman"/>
          <w:sz w:val="18"/>
          <w:szCs w:val="18"/>
          <w:color w:val="auto"/>
        </w:rPr>
        <w:t>. The Chief Executive Officer and the Secretary, or such other officer or officers as may from time to time be authorized by the Board or any other committee given specific authority in the premises by the Board during the intervals between the meetings of the Board, shall have power to sign and execute on behalf of the Corporation deeds, conveyances and contracts, and any and all other documents requiring execution by the Corporation.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Ownership of Equity Interests or other Securities of Another Entity</w:t>
      </w:r>
      <w:r>
        <w:rPr>
          <w:rFonts w:ascii="Times New Roman" w:cs="Times New Roman" w:eastAsia="Times New Roman" w:hAnsi="Times New Roman"/>
          <w:sz w:val="18"/>
          <w:szCs w:val="18"/>
          <w:color w:val="auto"/>
        </w:rPr>
        <w:t>. Unless otherwise directed by the Board, the Chief Executive Officer, a Vice President, the Treasurer or the Secretary, or such other officer or agent as shall be authorized by the Board,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In the absence, disability or refusal of any officer to exercise and perform his or her duties, the Board may delegate to another officer such powers or duties. The Board may delegate to any officer or officers the power to take any action required by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to be taken or authorized by the Board.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Resignation and Removal</w:t>
      </w:r>
      <w:r>
        <w:rPr>
          <w:rFonts w:ascii="Times New Roman" w:cs="Times New Roman" w:eastAsia="Times New Roman" w:hAnsi="Times New Roman"/>
          <w:sz w:val="18"/>
          <w:szCs w:val="18"/>
          <w:color w:val="auto"/>
        </w:rPr>
        <w:t xml:space="preserve">. Any officer of the Corporation may be removed from office for or without cause at any time by the Board. Any officer may resign at any time in the same manner prescribed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these Bylaws.</w:t>
      </w:r>
    </w:p>
    <w:p>
      <w:pPr>
        <w:spacing w:after="0" w:line="16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The Board shall have the power to fill vacancies occurring in any office.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Certificated Shares</w:t>
      </w:r>
      <w:r>
        <w:rPr>
          <w:rFonts w:ascii="Times New Roman" w:cs="Times New Roman" w:eastAsia="Times New Roman" w:hAnsi="Times New Roman"/>
          <w:sz w:val="18"/>
          <w:szCs w:val="18"/>
          <w:color w:val="auto"/>
        </w:rPr>
        <w:t xml:space="preserve">. The shares of stock of the Corporation shall be represented by certificates;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each of the Chair of the Board, the Chief Executive Officer, the General Counsel, a Vice President, the Treasurer, any Assistant Treasurer, the Secretary or any Assistant Secretary of the Corporation shall be an authorized officer for such purpose), representing the number of shares registered in certificate form. Any or all of the signatures on the certificate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7" w:right="339" w:bottom="1440" w:gutter="0" w:footer="0" w:header="0"/>
        </w:sectPr>
      </w:pPr>
    </w:p>
    <w:bookmarkStart w:id="90" w:name="page91"/>
    <w:bookmarkEnd w:id="90"/>
    <w:p>
      <w:pPr>
        <w:jc w:val="both"/>
        <w:spacing w:after="0" w:line="266" w:lineRule="auto"/>
        <w:rPr>
          <w:sz w:val="20"/>
          <w:szCs w:val="20"/>
          <w:color w:val="auto"/>
        </w:rPr>
      </w:pPr>
      <w:r>
        <w:rPr>
          <w:rFonts w:ascii="Times New Roman" w:cs="Times New Roman" w:eastAsia="Times New Roman" w:hAnsi="Times New Roman"/>
          <w:sz w:val="18"/>
          <w:szCs w:val="18"/>
          <w:color w:val="auto"/>
        </w:rPr>
        <w:t>be a facsimile or electronic signature. The Board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xml:space="preserve">. If the Board chooses to issue uncertificated shares, the Corporation, if required by the DGCL, shall, within a reasonable time after the issue or transfer of uncertificated shares, send the stockholder a written statement of the information required by the DGCL. The Corporation may adopt a system of issuance, recordation and transfer of its shares of stock by electronic or other means not involving the issuance of certificates;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use of such system by the Corporation is permitted by applicable law.</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Shares of stock of the Corporation represented by certificates shall be transferable upon its books by the holders thereof, in person or by their duly authorized attorneys or legal representatives, upon surrender to the Corporation by delivery thereof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any procedures adopted by the Corporation or its agents and applicable law. A record shall be made of each transfer. Whenever any transfer of shares shall be made for collateral security, and not absolutely, it shall be so expressed in the entry of the transfer if, when the certificates are presented to the Corporation for transfer or uncertificated shares requested to be transferred, both the transferor and transferee request the Corporation do so. The Corporation shall have power and authority to make such rules and regulations as it may deem necessary or proper concerning the issue, transfer and registration of certificates representing shares of stock of the Corporation and uncertificated shares.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Lost, Stolen, Destroyed or Mutilated Certificates</w:t>
      </w:r>
      <w:r>
        <w:rPr>
          <w:rFonts w:ascii="Times New Roman" w:cs="Times New Roman" w:eastAsia="Times New Roman" w:hAnsi="Times New Roman"/>
          <w:sz w:val="18"/>
          <w:szCs w:val="18"/>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The Corporation shall prepare and make, no later than the tenth (10th) day before each meeting of stockholders, a complete list of the stockholders entitled to vote at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record date for determining the stockholders entitled to vote is less than ten (10) days before the date of the meeting, the list shall reflect the stockholders entitled to vote as of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before the meeting date), arranged in alphabetical order, and showing the address of each stockholder and the number of shares registered in the name of each stockholder. Such list shall be open to the examination of any stockholder, for any purpose germane to the meeting, for ten (10) days ending at the close of business on the day before the meeting date (a) on a reasonably accessible electronic 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to vote in person or by proxy at any meeting of stockholders.</w:t>
      </w:r>
    </w:p>
    <w:p>
      <w:pPr>
        <w:spacing w:after="0" w:line="195"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Fixing Date for Determination of Stockholders of Record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6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sectPr>
      </w:pPr>
    </w:p>
    <w:bookmarkStart w:id="91" w:name="page92"/>
    <w:bookmarkEnd w:id="9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2" w:lineRule="exact"/>
        <w:rPr>
          <w:sz w:val="20"/>
          <w:szCs w:val="20"/>
          <w:color w:val="auto"/>
        </w:rPr>
      </w:pPr>
    </w:p>
    <w:p>
      <w:pPr>
        <w:jc w:val="both"/>
        <w:ind w:firstLine="1304"/>
        <w:spacing w:after="0" w:line="258" w:lineRule="auto"/>
        <w:tabs>
          <w:tab w:leader="none" w:pos="169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Amended and Restated Certificate of Incorporation, in order that the Corporation may determine the stockholders entitled to express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express consent to corporate action in writing without a meeting is fixed by the Board, (i) when no prior action of the Board is required by law, the record date for such purpose shall be the first date on which a signed written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AND WAIVER OF NOTICE</w:t>
      </w:r>
    </w:p>
    <w:p>
      <w:pPr>
        <w:spacing w:after="0" w:line="207"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 to stockholders shall be deemed given (i) if mailed, when deposited in the United States mail, postage prepaid, directed to the stockholder at such stockholder’s address as it appears on the records of the Corporation, (ii) if by facsimile, when directed to a number at which the stockholder has consented to receive notice, (iii) if by e-mail, when directed to an e-mail address at which the stockholder has consented to receive such notice and (iv) if by any other form of electronic transmission, when directed to the stockholder as required by law and, to the extent required by applicable law, in the manner consented to by that stockholder;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 stockholder submits a request to the Secretary that notice be delivered to it by a specific method of delivery or transmission contemplated herein, then notice is deemed given only if delivered or transmitted in the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7" w:right="339" w:bottom="1440" w:gutter="0" w:footer="0" w:header="0"/>
        </w:sectPr>
      </w:pPr>
    </w:p>
    <w:bookmarkStart w:id="92" w:name="page93"/>
    <w:bookmarkEnd w:id="92"/>
    <w:p>
      <w:pPr>
        <w:spacing w:after="0" w:line="282" w:lineRule="auto"/>
        <w:rPr>
          <w:sz w:val="20"/>
          <w:szCs w:val="20"/>
          <w:color w:val="auto"/>
        </w:rPr>
      </w:pPr>
      <w:r>
        <w:rPr>
          <w:rFonts w:ascii="Times New Roman" w:cs="Times New Roman" w:eastAsia="Times New Roman" w:hAnsi="Times New Roman"/>
          <w:sz w:val="18"/>
          <w:szCs w:val="18"/>
          <w:color w:val="auto"/>
        </w:rPr>
        <w:t>manner. Without limiting the manner by which notice otherwise may be given effectively to stockholders, any notice to stockholders may be given by electronic transmission in any manner provided in Section 232 of the DGCL.</w:t>
      </w:r>
    </w:p>
    <w:p>
      <w:pPr>
        <w:spacing w:after="0" w:line="162" w:lineRule="exact"/>
        <w:rPr>
          <w:sz w:val="20"/>
          <w:szCs w:val="20"/>
          <w:color w:val="auto"/>
        </w:rPr>
      </w:pPr>
    </w:p>
    <w:p>
      <w:pPr>
        <w:jc w:val="both"/>
        <w:ind w:firstLine="1304"/>
        <w:spacing w:after="0" w:line="261" w:lineRule="auto"/>
        <w:tabs>
          <w:tab w:leader="none" w:pos="169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affidavit that notice has been given, executed by the Secretary, Assistant Secretary or any transfer agent or other agent of the Corporation,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in the notice in the absence of fraud. Notice shall be deemed to have been given to all stockholders who share an address if notice is given in accordance with the “householding” rules set forth in Rule 14a 3(e) under the Exchange Act and Section 233 of the DGCL.</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 meeting is adjourned to another time or place (including an adjournment taken to address a technical failure to convene or continue a meeting using remote communication), notice need not be given of the adjourned meeting if the place, if any, date and time thereof, and the means of remote communications,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proxyholders to participate in the meeting by means of remote communication; or (iii) set forth in the notice of meeting given in accordance with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provided, however, that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and shall give notice of the adjourned meeting to each stockholder of record entitled to vote at such adjourned meeting as of the record date fixed for notice of such adjourned meeting.</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Each person who was or is made a party or is threatened to be made a party to or was or is otherwise involved in any action, suit, arbitration, alternative dispute resolution mechanism, investigation, inquiry, judicial, administrative or legislative hearing, or any other threatened, pending or completed or proceeding, whether brought by or in the right of the Corporation or otherwise, including any and all appeals, whether civil, criminal, administrative or investigative (hereinafter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member of the Board or an officer of the Corporation or, while a member of the Board or an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by or on behalf of the indemnitee) actually and reasonably incurred or suffered by such indemnitee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otherwise required by law or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with respect to proceedings to enforce rights to indemnification or advancement of expenses or with respect to any compulsory counterclaim brought by such indemnitee, the Corporation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7" w:right="339" w:bottom="1440" w:gutter="0" w:footer="0" w:header="0"/>
        </w:sectPr>
      </w:pPr>
    </w:p>
    <w:bookmarkStart w:id="93" w:name="page94"/>
    <w:bookmarkEnd w:id="93"/>
    <w:p>
      <w:pPr>
        <w:jc w:val="both"/>
        <w:spacing w:after="0" w:line="282" w:lineRule="auto"/>
        <w:rPr>
          <w:sz w:val="20"/>
          <w:szCs w:val="20"/>
          <w:color w:val="auto"/>
        </w:rPr>
      </w:pPr>
      <w:r>
        <w:rPr>
          <w:rFonts w:ascii="Times New Roman" w:cs="Times New Roman" w:eastAsia="Times New Roman" w:hAnsi="Times New Roman"/>
          <w:sz w:val="18"/>
          <w:szCs w:val="18"/>
          <w:color w:val="auto"/>
        </w:rPr>
        <w:t>indemnify any such indemnitee in connection with a proceeding (or part thereof) voluntarily initiated by such indemnitee only if such proceeding (or part thereof) was authorized or ratified by the Board.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Without limiting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any reference to an officer of the Corporation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be deemed to refer exclusively to the chief executive officer, general counsel, secretary, chief technology officer, chief financial officer, chief administrative officer or the treasurer of the Corporation or other officer of the Corporation appointed or elected from time to time by the Board or who are deemed to be Executive Officers for purposes of the annual report of the Corporation filed on Form 10-K under the Exchange Act,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“Managing Director”, “Director” or any other title that could be construed to suggest or imply that such person is or may be such a member of the Board or officer of the Corporation or of such other corporation, partnership, joint venture, trust, employee benefit plan or other enterprise shall not result in such person being constituted as, or being deemed to be, such a member of the Board or officer of the Corporation or of such other corporation, partnership, joint venture, trust, employee benefit plan or other enterprise 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Right to Advancement of Expenses</w:t>
      </w:r>
      <w:r>
        <w:rPr>
          <w:rFonts w:ascii="Times New Roman" w:cs="Times New Roman" w:eastAsia="Times New Roman" w:hAnsi="Times New Roman"/>
          <w:sz w:val="18"/>
          <w:szCs w:val="18"/>
          <w:color w:val="auto"/>
        </w:rPr>
        <w:t xml:space="preserve">. In addition to the right to indemnification conferred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 indemnitee shall, to the fullest extent permitted by law, 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(which shall be governed by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(hereinafter an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DGCL requires or in the case of an advance made in a proceeding brought to establish or enforce a right to indemnification or advancement, an advancement of expenses incurred by an indemnitee in his or her capacity as a member of the Board or officer of the Corporation (and not in any other capacity in which service was or is rendered by such indemnitee, including, without limitation, service to an employee benefit plan) shall be made solely upon delivery to the Corporation of an undertaking (hereinafter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by or on behalf of such indemnitee, to repay all amounts so advanced if it shall ultimately be determined by final judicial decision of a court of competent jurisdiction from which there is no further right to appeal (hereinafter a “</w:t>
      </w:r>
      <w:r>
        <w:rPr>
          <w:rFonts w:ascii="Times New Roman" w:cs="Times New Roman" w:eastAsia="Times New Roman" w:hAnsi="Times New Roman"/>
          <w:sz w:val="18"/>
          <w:szCs w:val="18"/>
          <w:u w:val="single" w:color="auto"/>
          <w:color w:val="auto"/>
        </w:rPr>
        <w:t>final adjudication</w:t>
      </w:r>
      <w:r>
        <w:rPr>
          <w:rFonts w:ascii="Times New Roman" w:cs="Times New Roman" w:eastAsia="Times New Roman" w:hAnsi="Times New Roman"/>
          <w:sz w:val="18"/>
          <w:szCs w:val="18"/>
          <w:color w:val="auto"/>
        </w:rPr>
        <w:t xml:space="preserve">”) that such indemnitee is not entitled to be indemnified or entitled to advancement of expenses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otherwise.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Right of Indemnitee to Bring Suit</w:t>
      </w:r>
      <w:r>
        <w:rPr>
          <w:rFonts w:ascii="Times New Roman" w:cs="Times New Roman" w:eastAsia="Times New Roman" w:hAnsi="Times New Roman"/>
          <w:sz w:val="18"/>
          <w:szCs w:val="18"/>
          <w:color w:val="auto"/>
        </w:rPr>
        <w:t xml:space="preserve">. If a claim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is not paid in full by the Corporation within (i) sixty (60) days after a written claim for indemnification has been received by the Corporation or (ii) twenty (20) days after a claim for an advancement of expenses has been received by the Corporation, the indemnitee may at any time thereafter bring suit against the Corporation in a court of competent jurisdiction in the State of Delaware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members of the Board who are not parties to such action, a committee of such members,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members of the Board who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94" w:name="page95"/>
    <w:bookmarkEnd w:id="94"/>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not parties to such action, a committee of such members,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otherwise shall be on the Corporation.</w:t>
      </w:r>
    </w:p>
    <w:p>
      <w:pPr>
        <w:spacing w:after="0" w:line="183"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Indemnification Not Exclusive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7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 of indemnification to or the advancement of expenses and costs to any indemnitee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the entitlement of any indemnitee to indemnification or advancement of expenses and costs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member of the Board, employee or agent of the Corporation and as to action in any other capacity.</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Given that certain jointly indemnifiable claims (as defined below) may arise due to the service of the indemnitee as a member of the Board and/or officer of the Corporation and as a director, officer, employee or agent of one or more indemnitee-related entities (as defined below), the Corporation shall be fully and primarily responsible for the payment to the indemnitee in respect of indemnification or advancement of expenses in connection with any such jointly indemnifiable claims, pursuant to and in accordance with the terms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irrespective of any right of recovery the indemnitee may have from any indemnitee-related entity. Under no circumstance shall the Corporation be entitled to any right of subrogation or contribution by any indemnitee-related entity and no right of advancement or recovery the indemnitee may have from any indemnitee-related entity shall reduce or otherwise alter the rights of the indemnitee or the obligations of the Corporation hereunder. In the event that any indemnitee-related entity shall make any payment to the indemnitee in respect of indemnification or advancement of expenses with respect to any jointly indemnifiable claim, such indemnitee-related entity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any indemnitee-related entity effectively to bring suit to enforce such rights.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the following terms shall have the following meanings:</w:t>
      </w:r>
    </w:p>
    <w:p>
      <w:pPr>
        <w:spacing w:after="0" w:line="225" w:lineRule="exact"/>
        <w:rPr>
          <w:rFonts w:ascii="Times New Roman" w:cs="Times New Roman" w:eastAsia="Times New Roman" w:hAnsi="Times New Roman"/>
          <w:sz w:val="18"/>
          <w:szCs w:val="18"/>
          <w:color w:val="auto"/>
        </w:rPr>
      </w:pPr>
    </w:p>
    <w:p>
      <w:pPr>
        <w:jc w:val="both"/>
        <w:ind w:left="660" w:firstLine="1940"/>
        <w:spacing w:after="0" w:line="256" w:lineRule="auto"/>
        <w:tabs>
          <w:tab w:leader="none" w:pos="3133"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 (other than as a result of obligations under an insurance policy).</w:t>
      </w:r>
    </w:p>
    <w:p>
      <w:pPr>
        <w:spacing w:after="0" w:line="187" w:lineRule="exact"/>
        <w:rPr>
          <w:rFonts w:ascii="Times New Roman" w:cs="Times New Roman" w:eastAsia="Times New Roman" w:hAnsi="Times New Roman"/>
          <w:sz w:val="18"/>
          <w:szCs w:val="18"/>
          <w:color w:val="auto"/>
        </w:rPr>
      </w:pPr>
    </w:p>
    <w:p>
      <w:pPr>
        <w:jc w:val="both"/>
        <w:ind w:left="660" w:firstLine="1940"/>
        <w:spacing w:after="0" w:line="258" w:lineRule="auto"/>
        <w:tabs>
          <w:tab w:leader="none" w:pos="308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without limitation, any action, suit or proceeding for which the indemnitee shall be entitled to indemnification or advancement of expenses from both an indemnitee-related entity and the Corporation pursuant to applicable law, any agreement, certificate of incorporation, bylaws, partnership agreement, operating agreement, certificate of formation, certificate of limited partnership or comparable organizational documents of the Corporation or an indemnitee-related entity,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95" w:name="page96"/>
    <w:bookmarkEnd w:id="9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Nature of Rights</w:t>
      </w:r>
      <w:r>
        <w:rPr>
          <w:rFonts w:ascii="Times New Roman" w:cs="Times New Roman" w:eastAsia="Times New Roman" w:hAnsi="Times New Roman"/>
          <w:sz w:val="18"/>
          <w:szCs w:val="18"/>
          <w:color w:val="auto"/>
        </w:rPr>
        <w:t xml:space="preserve">. The rights conferred upon indemnitees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be contract rights and such rights shall continue as to an indemnitee who has ceased to be a member of the Board or officer and shall inure to the benefit of the indemnitee’s heirs, executors and administrators. Any amendment, alteration or repeal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at its expense, to protect itself and any member of the Board,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Indemnification Pursuant to a Board Resolution</w:t>
      </w:r>
      <w:r>
        <w:rPr>
          <w:rFonts w:ascii="Times New Roman" w:cs="Times New Roman" w:eastAsia="Times New Roman" w:hAnsi="Times New Roman"/>
          <w:sz w:val="18"/>
          <w:szCs w:val="18"/>
          <w:color w:val="auto"/>
        </w:rPr>
        <w:t>. The Corporation may, to the extent authorized from time to time by a resolution adopted by the Board, grant rights to indemnification and to the advancement of expenses to any person, including without limitation any employee or other agent of the Corporation, or any director, officer, employee, agent, trustee, member, stockholder, partner, incorporator or liquidator of any subsidiary of the Corporation or any other enterprise, with any such rights subject to the terms, conditions and limitations established pursuant to the Board resolution.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or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be held to be invalid, illegal or unenforceable as applied to any person or entity or circumstance for any reason whatsoever (including contravention of any stock exchange listing standard to which the Corporation is then subject), then, to the fullest extent permitted by law: (a) the validity, legality and enforceability of such provision in any other circumstance and of the remaining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(including, without limitation, all portions of any paragraph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containing any such provision held to be invalid, illegal or unenforceable, that are not by themselves invalid, illegal or unenforceable) and the application of such provision to other persons or entities or circumstances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(including, without limitation, all portions of any paragraph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containing any such provision held to be invalid, illegal or unenforceable, that are not themselves invalid, illegal or unenforceable) shall be construed so as to give effect to the intent of the parties that the Corporation provide protection to the indemnitee to the fullest extent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For purposes of these Bylaws, the terms “</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shall have the meanings ascribed thereto in the DGCL.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Board may provide a suitable seal, containing the name of the Corporation, which seal shall be in the charge of the Secretary. If and when so directed by the Board or a committee thereof, duplicates of the seal may be kept and used by the Treasurer or by an Assistant Secretary or Assistant Treasurer.</w:t>
      </w:r>
    </w:p>
    <w:p>
      <w:pPr>
        <w:spacing w:after="0" w:line="176"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fiscal year of the Corporation shall end on December 31 of each year or such other date as the Board may designate.</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Section Headings and References</w:t>
      </w:r>
      <w:r>
        <w:rPr>
          <w:rFonts w:ascii="Times New Roman" w:cs="Times New Roman" w:eastAsia="Times New Roman" w:hAnsi="Times New Roman"/>
          <w:sz w:val="18"/>
          <w:szCs w:val="18"/>
          <w:color w:val="auto"/>
        </w:rPr>
        <w:t>. Section headings in these Bylaws are for convenience of reference only and shall not be given any substantive effect in limiting or otherwise construing any provision herein. Except as otherwise indicated, section references herein refer to sections of these Bylaws.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Inconsistent Provisions</w:t>
      </w:r>
      <w:r>
        <w:rPr>
          <w:rFonts w:ascii="Times New Roman" w:cs="Times New Roman" w:eastAsia="Times New Roman" w:hAnsi="Times New Roman"/>
          <w:sz w:val="18"/>
          <w:szCs w:val="18"/>
          <w:color w:val="auto"/>
        </w:rPr>
        <w:t>. In the event that any provision of these Bylaws is or becomes inconsistent with any provision of the Amended and Restated Certificate of Incorporation, the DGCL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7" w:right="3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applicable law, such provision of these Bylaws shall not be given any effect to the extent of such inconsistency but shall otherwise be given full force and effect.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AMENDMENTS</w:t>
      </w:r>
    </w:p>
    <w:p>
      <w:pPr>
        <w:spacing w:after="0" w:line="20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The Board is authorized to make, repeal, alter, amend and rescind, in whole or in part, these Bylaws without the assent or vote of the stockholders in any manner not inconsistent with the laws of the State of Delaware or the Amended and Restated Certificate of Incorporation. Subject to the prior sentence but notwithstanding anything to the contrary contained in the Amended and Restated Certificate of Incorporation, these Bylaws or any provision of law that might otherwise permit a lesser vote of the stockholders, in addition to any vote of the holders of any class or series of capital stock of the Corporation required by the Amended and Restated Certificate of Incorporation (including any certificate of designation relating to any series of Preferred Stock (as defined in the Amended and Restated Certificate of Incorporation)), these Bylaws or applicable law, any provision of the Bylaws of the Corporation may be altered, amended, repealed or rescinded, in whole or in part or new provisions inconsistent therewith may be adopted at any time when the Refinitiv Equityholders beneficially own, in the aggregate, (i) 50% or more in voting power of the stock of the Corporation entitled to vote generally in the election of directors, by the affirmative vote of the holders of a majority of the total voting power of all the then-outstanding shares of stock of the Corporation, present in person or represented by proxy at the shareholder meeting and entitled to vote thereon, and (ii) less than 50% in voting power of the stock of the Corporation entitled to vote generally in the election of directors, by the affirmative vote of the holders of at least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18"/>
          <w:szCs w:val="18"/>
          <w:color w:val="auto"/>
        </w:rPr>
        <w:t>% in voting power of all the then-outstanding shares of stock of the Corporation entitled to vote thereon,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2026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April 29,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Hult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2026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April 29, 2026</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Furber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March 31, 2026,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April 29, 2026</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March 31, 2026,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76" w:lineRule="exact"/>
        <w:rPr>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April 29,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Furber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Furber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endash "/>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26"/>
    </w:lvl>
    <w:lvl w:ilvl="1">
      <w:lvlJc w:val="left"/>
      <w:lvlText w:val="(%2)"/>
      <w:numFmt w:val="decimal"/>
      <w:start w:val="47"/>
    </w:lvl>
  </w:abstractNum>
  <w:abstractNum w:abstractNumId="17">
    <w:nsid w:val="5E884ADC"/>
    <w:multiLevelType w:val="hybridMultilevel"/>
    <w:lvl w:ilvl="0">
      <w:lvlJc w:val="left"/>
      <w:lvlText w:val="\emdash "/>
      <w:numFmt w:val="bullet"/>
      <w:start w:val="1"/>
    </w:lvl>
  </w:abstractNum>
  <w:abstractNum w:abstractNumId="18">
    <w:nsid w:val="51EAD36B"/>
    <w:multiLevelType w:val="hybridMultilevel"/>
    <w:lvl w:ilvl="0">
      <w:lvlJc w:val="left"/>
      <w:lvlText w:val="(%1)"/>
      <w:numFmt w:val="decimal"/>
      <w:start w:val="429"/>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lowerRoman"/>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lowerLetter"/>
      <w:start w:val="2"/>
    </w:lvl>
  </w:abstractNum>
  <w:abstractNum w:abstractNumId="41">
    <w:nsid w:val="1BA026FA"/>
    <w:multiLevelType w:val="hybridMultilevel"/>
    <w:lvl w:ilvl="0">
      <w:lvlJc w:val="left"/>
      <w:lvlText w:val="%1."/>
      <w:numFmt w:val="upperLetter"/>
      <w:start w:val="1"/>
    </w:lvl>
    <w:lvl w:ilvl="1">
      <w:lvlJc w:val="left"/>
      <w:lvlText w:val="(%2)"/>
      <w:numFmt w:val="decimal"/>
      <w:start w:val="1"/>
    </w:lvl>
  </w:abstractNum>
  <w:abstractNum w:abstractNumId="42">
    <w:nsid w:val="79A1DEAA"/>
    <w:multiLevelType w:val="hybridMultilevel"/>
    <w:lvl w:ilvl="0">
      <w:lvlJc w:val="left"/>
      <w:lvlText w:val="%1"/>
      <w:numFmt w:val="decimal"/>
      <w:start w:val="1"/>
    </w:lvl>
    <w:lvl w:ilvl="1">
      <w:lvlJc w:val="left"/>
      <w:lvlText w:val="(%2)"/>
      <w:numFmt w:val="decimal"/>
      <w:start w:val="2"/>
    </w:lvl>
  </w:abstractNum>
  <w:abstractNum w:abstractNumId="43">
    <w:nsid w:val="75C6C33A"/>
    <w:multiLevelType w:val="hybridMultilevel"/>
    <w:lvl w:ilvl="0">
      <w:lvlJc w:val="left"/>
      <w:lvlText w:val="(%1)"/>
      <w:numFmt w:val="decimal"/>
      <w:start w:val="2"/>
    </w:lvl>
    <w:lvl w:ilvl="1">
      <w:lvlJc w:val="left"/>
      <w:lvlText w:val="(%2)"/>
      <w:numFmt w:val="decimal"/>
      <w:start w:val="3"/>
    </w:lvl>
  </w:abstractNum>
  <w:abstractNum w:abstractNumId="44">
    <w:nsid w:val="12E685FB"/>
    <w:multiLevelType w:val="hybridMultilevel"/>
    <w:lvl w:ilvl="0">
      <w:lvlJc w:val="left"/>
      <w:lvlText w:val="(%1)"/>
      <w:numFmt w:val="decimal"/>
      <w:start w:val="5"/>
    </w:lvl>
    <w:lvl w:ilvl="1">
      <w:lvlJc w:val="left"/>
      <w:lvlText w:val="%2."/>
      <w:numFmt w:val="upperLetter"/>
      <w:start w:val="2"/>
    </w:lvl>
  </w:abstractNum>
  <w:abstractNum w:abstractNumId="45">
    <w:nsid w:val="70C6A529"/>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46">
    <w:nsid w:val="520EEDD1"/>
    <w:multiLevelType w:val="hybridMultilevel"/>
    <w:lvl w:ilvl="0">
      <w:lvlJc w:val="left"/>
      <w:lvlText w:val="(%1)"/>
      <w:numFmt w:val="lowerRoman"/>
      <w:start w:val="6"/>
    </w:lvl>
    <w:lvl w:ilvl="1">
      <w:lvlJc w:val="left"/>
      <w:lvlText w:val="%2"/>
      <w:numFmt w:val="upperLetter"/>
      <w:start w:val="1"/>
    </w:lvl>
    <w:lvl w:ilvl="2">
      <w:lvlJc w:val="left"/>
      <w:lvlText w:val="%3"/>
      <w:numFmt w:val="decimal"/>
      <w:start w:val="1"/>
    </w:lvl>
  </w:abstractNum>
  <w:abstractNum w:abstractNumId="47">
    <w:nsid w:val="374A3FE6"/>
    <w:multiLevelType w:val="hybridMultilevel"/>
    <w:lvl w:ilvl="0">
      <w:lvlJc w:val="left"/>
      <w:lvlText w:val="(%1)"/>
      <w:numFmt w:val="decimal"/>
      <w:start w:val="2"/>
    </w:lvl>
  </w:abstractNum>
  <w:abstractNum w:abstractNumId="48">
    <w:nsid w:val="4F4EF005"/>
    <w:multiLevelType w:val="hybridMultilevel"/>
    <w:lvl w:ilvl="0">
      <w:lvlJc w:val="left"/>
      <w:lvlText w:val="%1."/>
      <w:numFmt w:val="upperLetter"/>
      <w:start w:val="1"/>
    </w:lvl>
    <w:lvl w:ilvl="1">
      <w:lvlJc w:val="left"/>
      <w:lvlText w:val="(%2)"/>
      <w:numFmt w:val="decimal"/>
      <w:start w:val="1"/>
    </w:lvl>
  </w:abstractNum>
  <w:abstractNum w:abstractNumId="49">
    <w:nsid w:val="23F9C13C"/>
    <w:multiLevelType w:val="hybridMultilevel"/>
    <w:lvl w:ilvl="0">
      <w:lvlJc w:val="left"/>
      <w:lvlText w:val="%1."/>
      <w:numFmt w:val="upperLetter"/>
      <w:start w:val="1"/>
    </w:lvl>
  </w:abstractNum>
  <w:abstractNum w:abstractNumId="50">
    <w:nsid w:val="649BB77C"/>
    <w:multiLevelType w:val="hybridMultilevel"/>
    <w:lvl w:ilvl="0">
      <w:lvlJc w:val="left"/>
      <w:lvlText w:val="(%1)"/>
      <w:numFmt w:val="upperLetter"/>
      <w:start w:val="2"/>
    </w:lvl>
  </w:abstractNum>
  <w:abstractNum w:abstractNumId="51">
    <w:nsid w:val="275AC794"/>
    <w:multiLevelType w:val="hybridMultilevel"/>
    <w:lvl w:ilvl="0">
      <w:lvlJc w:val="left"/>
      <w:lvlText w:val="%1."/>
      <w:numFmt w:val="upperLetter"/>
      <w:start w:val="1"/>
    </w:lvl>
  </w:abstractNum>
  <w:abstractNum w:abstractNumId="52">
    <w:nsid w:val="39386575"/>
    <w:multiLevelType w:val="hybridMultilevel"/>
    <w:lvl w:ilvl="0">
      <w:lvlJc w:val="left"/>
      <w:lvlText w:val="%1."/>
      <w:numFmt w:val="upperLetter"/>
      <w:start w:val="2"/>
    </w:lvl>
  </w:abstractNum>
  <w:abstractNum w:abstractNumId="53">
    <w:nsid w:val="1CF10FD8"/>
    <w:multiLevelType w:val="hybridMultilevel"/>
    <w:lvl w:ilvl="0">
      <w:lvlJc w:val="left"/>
      <w:lvlText w:val="%1."/>
      <w:numFmt w:val="upperLetter"/>
      <w:start w:val="1"/>
    </w:lvl>
  </w:abstractNum>
  <w:abstractNum w:abstractNumId="54">
    <w:nsid w:val="180115BE"/>
    <w:multiLevelType w:val="hybridMultilevel"/>
    <w:lvl w:ilvl="0">
      <w:lvlJc w:val="left"/>
      <w:lvlText w:val="%1."/>
      <w:numFmt w:val="upperLetter"/>
      <w:start w:val="2"/>
    </w:lvl>
  </w:abstractNum>
  <w:abstractNum w:abstractNumId="55">
    <w:nsid w:val="235BA861"/>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07" Type="http://schemas.openxmlformats.org/officeDocument/2006/relationships/hyperlink" Target="https://www.sec.gov/Archives/edgar/data/1758730/000175873026000015/twm-2025x12x31xexx10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2026-04-29T06:12:09Z</dcterms:created>
  <dcterms:modified xsi:type="dcterms:W3CDTF">2026-04-29T06:12:09Z</dcterms:modified>
</cp:coreProperties>
</file>