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Olesky Lee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480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480820"/>
                    </a:xfrm>
                    <a:prstGeom prst="rect">
                      <a:avLst/>
                    </a:prstGeom>
                    <a:noFill/>
                  </pic:spPr>
                </pic:pic>
              </a:graphicData>
            </a:graphic>
          </wp:anchor>
        </w:drawing>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02/05/2021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0"/>
              </w:rPr>
              <w:t>102,906</w:t>
            </w:r>
            <w:r>
              <w:rPr>
                <w:rFonts w:ascii="Arial" w:cs="Arial" w:eastAsia="Arial" w:hAnsi="Arial"/>
                <w:sz w:val="22"/>
                <w:szCs w:val="22"/>
                <w:color w:val="008000"/>
                <w:w w:val="9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right="200"/>
              <w:spacing w:after="0"/>
              <w:rPr>
                <w:sz w:val="20"/>
                <w:szCs w:val="20"/>
                <w:color w:val="auto"/>
              </w:rPr>
            </w:pPr>
            <w:r>
              <w:rPr>
                <w:rFonts w:ascii="Arial" w:cs="Arial" w:eastAsia="Arial" w:hAnsi="Arial"/>
                <w:sz w:val="17"/>
                <w:szCs w:val="17"/>
                <w:color w:val="0000FF"/>
              </w:rPr>
              <w:t>564,965</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right"/>
              <w:ind w:right="320"/>
              <w:spacing w:after="0"/>
              <w:rPr>
                <w:sz w:val="20"/>
                <w:szCs w:val="20"/>
                <w:color w:val="auto"/>
              </w:rPr>
            </w:pPr>
            <w:r>
              <w:rPr>
                <w:rFonts w:ascii="Arial" w:cs="Arial" w:eastAsia="Arial" w:hAnsi="Arial"/>
                <w:sz w:val="17"/>
                <w:szCs w:val="17"/>
                <w:color w:val="0000FF"/>
              </w:rPr>
              <w:t>20,000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reflects the acquisition of performance-based restricted stock units ("RSUs") in respect of the issuer's Class A common stock ("Class A Common Stock") that were granted to the reporting person on March 17, 2020, subject to the achievement of certain performance goals in respect of calendar year 2020. Those performance goals were deemed achieved at the maximum performance level on February 5, 2021. These RSUs remain unvested and are scheduled to vest on January 1, 2023, subject to the reporting person's continued employment through such date.</w:t>
      </w:r>
    </w:p>
    <w:p>
      <w:pPr>
        <w:spacing w:after="0" w:line="8" w:lineRule="exact"/>
        <w:rPr>
          <w:rFonts w:ascii="Arial" w:cs="Arial" w:eastAsia="Arial" w:hAnsi="Arial"/>
          <w:sz w:val="12"/>
          <w:szCs w:val="12"/>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298,526 unvested RSUs in respect of Class A Common Stock which are scheduled to vest on January 1, 2022, (ii) 51,453 unvested RSUs in respect of Class A Common Stock which are scheduled to vest in equal installments on each of the first, second and third anniversaries of March 17, 2020, and (iii) 102,906 unvested RSUs in respect of Class A Common Stock which are scheduled to vest on January 1, 2023, in each case subject to the reporting person's continued employment through the applicable vesting date.</w:t>
      </w:r>
    </w:p>
    <w:p>
      <w:pPr>
        <w:spacing w:after="0" w:line="25"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02/09/2021</w:t>
            </w:r>
          </w:p>
        </w:tc>
        <w:tc>
          <w:tcPr>
            <w:tcW w:w="0" w:type="dxa"/>
            <w:vAlign w:val="bottom"/>
          </w:tcPr>
          <w:p>
            <w:pPr>
              <w:spacing w:after="0"/>
              <w:rPr>
                <w:sz w:val="1"/>
                <w:szCs w:val="1"/>
                <w:color w:val="auto"/>
              </w:rPr>
            </w:pPr>
          </w:p>
        </w:tc>
      </w:tr>
      <w:tr>
        <w:trPr>
          <w:trHeight w:val="87"/>
        </w:trPr>
        <w:tc>
          <w:tcPr>
            <w:tcW w:w="1400" w:type="dxa"/>
            <w:vAlign w:val="bottom"/>
            <w:vMerge w:val="restart"/>
          </w:tcPr>
          <w:p>
            <w:pPr>
              <w:spacing w:after="0" w:line="194" w:lineRule="exact"/>
              <w:rPr>
                <w:sz w:val="20"/>
                <w:szCs w:val="20"/>
                <w:color w:val="auto"/>
              </w:rPr>
            </w:pPr>
            <w:r>
              <w:rPr>
                <w:rFonts w:ascii="Arial" w:cs="Arial" w:eastAsia="Arial" w:hAnsi="Arial"/>
                <w:sz w:val="17"/>
                <w:szCs w:val="17"/>
                <w:color w:val="0000FF"/>
                <w:w w:val="93"/>
              </w:rPr>
              <w:t>Fact for Lee Olesky</w:t>
            </w:r>
          </w:p>
        </w:tc>
        <w:tc>
          <w:tcPr>
            <w:tcW w:w="7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0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5"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2021-02-09T19:50:37Z</dcterms:created>
  <dcterms:modified xsi:type="dcterms:W3CDTF">2021-02-09T19:50:37Z</dcterms:modified>
</cp:coreProperties>
</file>