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350520</wp:posOffset>
            </wp:positionV>
            <wp:extent cx="7658100" cy="9593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8100" cy="9593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20"/>
        <w:spacing w:after="0"/>
        <w:rPr>
          <w:sz w:val="20"/>
          <w:szCs w:val="20"/>
          <w:color w:val="auto"/>
        </w:rPr>
      </w:pPr>
      <w:r>
        <w:rPr>
          <w:rFonts w:ascii="Arial" w:cs="Arial" w:eastAsia="Arial" w:hAnsi="Arial"/>
          <w:sz w:val="20"/>
          <w:szCs w:val="20"/>
          <w:color w:val="FFFFFF"/>
        </w:rPr>
        <w:t>2022 ANNUAL REPORT</w:t>
      </w:r>
    </w:p>
    <w:p>
      <w:pPr>
        <w:sectPr>
          <w:pgSz w:w="12060" w:h="15660" w:orient="portrait"/>
          <w:cols w:equalWidth="0" w:num="1">
            <w:col w:w="9180"/>
          </w:cols>
          <w:pgMar w:left="1440" w:top="1440" w:right="1440" w:bottom="893" w:gutter="0" w:footer="0" w:header="0"/>
        </w:sectPr>
      </w:pPr>
    </w:p>
    <w:bookmarkStart w:id="1" w:name="page2"/>
    <w:bookmarkEnd w:id="1"/>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5034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658100" cy="5034280"/>
                    </a:xfrm>
                    <a:prstGeom prst="rect">
                      <a:avLst/>
                    </a:prstGeom>
                    <a:noFill/>
                  </pic:spPr>
                </pic:pic>
              </a:graphicData>
            </a:graphic>
          </wp:anchor>
        </w:drawing>
      </w:r>
    </w:p>
    <w:p>
      <w:pPr>
        <w:ind w:right="1520" w:hanging="161"/>
        <w:spacing w:after="0" w:line="318" w:lineRule="auto"/>
        <w:rPr>
          <w:sz w:val="20"/>
          <w:szCs w:val="20"/>
          <w:color w:val="auto"/>
        </w:rPr>
      </w:pPr>
      <w:r>
        <w:rPr>
          <w:rFonts w:ascii="Arial" w:cs="Arial" w:eastAsia="Arial" w:hAnsi="Arial"/>
          <w:sz w:val="37"/>
          <w:szCs w:val="37"/>
          <w:color w:val="FFFFFF"/>
        </w:rPr>
        <w:t>“I’m proud of how far we’ve come as a company, and I’m grateful for the opportunity to lead the way forward as CEO. We expect global markets will continue to be tested this year as they were in 2022, and, with that, the needs of our clients will continue to evolve. Moments like this can spark intense collaboration with clients— and that is when Tradeweb is at its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20"/>
          <w:szCs w:val="20"/>
          <w:color w:val="12213B"/>
        </w:rPr>
        <w:t>TRADEWEB BY THE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2520" w:val="left"/>
          <w:tab w:leader="none" w:pos="4920" w:val="left"/>
          <w:tab w:leader="none" w:pos="7360" w:val="left"/>
        </w:tabs>
        <w:rPr>
          <w:sz w:val="20"/>
          <w:szCs w:val="20"/>
          <w:color w:val="auto"/>
        </w:rPr>
      </w:pPr>
      <w:r>
        <w:rPr>
          <w:rFonts w:ascii="Arial" w:cs="Arial" w:eastAsia="Arial" w:hAnsi="Arial"/>
          <w:sz w:val="72"/>
          <w:szCs w:val="72"/>
          <w:color w:val="12213B"/>
        </w:rPr>
        <w:t>~2,500</w:t>
        <w:tab/>
        <w:t>65+</w:t>
      </w:r>
      <w:r>
        <w:rPr>
          <w:sz w:val="20"/>
          <w:szCs w:val="20"/>
          <w:color w:val="auto"/>
        </w:rPr>
        <w:tab/>
      </w:r>
      <w:r>
        <w:rPr>
          <w:rFonts w:ascii="Arial" w:cs="Arial" w:eastAsia="Arial" w:hAnsi="Arial"/>
          <w:sz w:val="72"/>
          <w:szCs w:val="72"/>
          <w:color w:val="12213B"/>
        </w:rPr>
        <w:t>40+</w:t>
      </w:r>
      <w:r>
        <w:rPr>
          <w:sz w:val="20"/>
          <w:szCs w:val="20"/>
          <w:color w:val="auto"/>
        </w:rPr>
        <w:tab/>
      </w:r>
      <w:r>
        <w:rPr>
          <w:rFonts w:ascii="Arial" w:cs="Arial" w:eastAsia="Arial" w:hAnsi="Arial"/>
          <w:sz w:val="61"/>
          <w:szCs w:val="61"/>
          <w:color w:val="12213B"/>
        </w:rPr>
        <w:t>350+</w:t>
      </w:r>
    </w:p>
    <w:p>
      <w:pPr>
        <w:ind w:left="100"/>
        <w:spacing w:after="0"/>
        <w:tabs>
          <w:tab w:leader="none" w:pos="2520" w:val="left"/>
          <w:tab w:leader="none" w:pos="4920" w:val="left"/>
          <w:tab w:leader="none" w:pos="7360" w:val="left"/>
        </w:tabs>
        <w:rPr>
          <w:sz w:val="20"/>
          <w:szCs w:val="20"/>
          <w:color w:val="auto"/>
        </w:rPr>
      </w:pPr>
      <w:r>
        <w:rPr>
          <w:rFonts w:ascii="Arial" w:cs="Arial" w:eastAsia="Arial" w:hAnsi="Arial"/>
          <w:sz w:val="25"/>
          <w:szCs w:val="25"/>
          <w:color w:val="12213B"/>
          <w:vertAlign w:val="subscript"/>
        </w:rPr>
        <w:t>Clients</w:t>
      </w:r>
      <w:r>
        <w:rPr>
          <w:sz w:val="20"/>
          <w:szCs w:val="20"/>
          <w:color w:val="auto"/>
        </w:rPr>
        <w:tab/>
      </w:r>
      <w:r>
        <w:rPr>
          <w:rFonts w:ascii="Arial" w:cs="Arial" w:eastAsia="Arial" w:hAnsi="Arial"/>
          <w:sz w:val="25"/>
          <w:szCs w:val="25"/>
          <w:color w:val="12213B"/>
          <w:vertAlign w:val="subscript"/>
        </w:rPr>
        <w:t>Countries</w:t>
      </w:r>
      <w:r>
        <w:rPr>
          <w:sz w:val="20"/>
          <w:szCs w:val="20"/>
          <w:color w:val="auto"/>
        </w:rPr>
        <w:tab/>
      </w:r>
      <w:r>
        <w:rPr>
          <w:rFonts w:ascii="Arial" w:cs="Arial" w:eastAsia="Arial" w:hAnsi="Arial"/>
          <w:sz w:val="16"/>
          <w:szCs w:val="16"/>
          <w:color w:val="12213B"/>
        </w:rPr>
        <w:t>Products</w:t>
      </w:r>
      <w:r>
        <w:rPr>
          <w:sz w:val="20"/>
          <w:szCs w:val="20"/>
          <w:color w:val="auto"/>
        </w:rPr>
        <w:tab/>
      </w:r>
      <w:r>
        <w:rPr>
          <w:rFonts w:ascii="Arial" w:cs="Arial" w:eastAsia="Arial" w:hAnsi="Arial"/>
          <w:sz w:val="14"/>
          <w:szCs w:val="14"/>
          <w:color w:val="12213B"/>
        </w:rPr>
        <w:t>Technologists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62865</wp:posOffset>
                </wp:positionH>
                <wp:positionV relativeFrom="paragraph">
                  <wp:posOffset>203200</wp:posOffset>
                </wp:positionV>
                <wp:extent cx="55835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3555" cy="4763"/>
                        </a:xfrm>
                        <a:prstGeom prst="line">
                          <a:avLst/>
                        </a:prstGeom>
                        <a:solidFill>
                          <a:srgbClr val="FFFFFF"/>
                        </a:solidFill>
                        <a:ln w="4445">
                          <a:solidFill>
                            <a:srgbClr val="4C4E52"/>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16pt" to="444.6pt,16pt" o:allowincell="f" strokecolor="#4C4E52" strokeweight="0.3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tabs>
          <w:tab w:leader="none" w:pos="3220" w:val="left"/>
          <w:tab w:leader="none" w:pos="6640" w:val="left"/>
        </w:tabs>
        <w:rPr>
          <w:sz w:val="20"/>
          <w:szCs w:val="20"/>
          <w:color w:val="auto"/>
        </w:rPr>
      </w:pPr>
      <w:r>
        <w:rPr>
          <w:rFonts w:ascii="Arial" w:cs="Arial" w:eastAsia="Arial" w:hAnsi="Arial"/>
          <w:sz w:val="72"/>
          <w:szCs w:val="72"/>
          <w:color w:val="12213B"/>
        </w:rPr>
        <w:t>90,000+</w:t>
        <w:tab/>
        <w:t>$1.189B</w:t>
      </w:r>
      <w:r>
        <w:rPr>
          <w:sz w:val="20"/>
          <w:szCs w:val="20"/>
          <w:color w:val="auto"/>
        </w:rPr>
        <w:tab/>
      </w:r>
      <w:r>
        <w:rPr>
          <w:rFonts w:ascii="Arial" w:cs="Arial" w:eastAsia="Arial" w:hAnsi="Arial"/>
          <w:sz w:val="55"/>
          <w:szCs w:val="55"/>
          <w:color w:val="12213B"/>
        </w:rPr>
        <w:t>$1,129B</w:t>
      </w:r>
    </w:p>
    <w:p>
      <w:pPr>
        <w:ind w:left="100"/>
        <w:spacing w:after="0"/>
        <w:tabs>
          <w:tab w:leader="none" w:pos="3220" w:val="left"/>
          <w:tab w:leader="none" w:pos="6640" w:val="left"/>
        </w:tabs>
        <w:rPr>
          <w:sz w:val="20"/>
          <w:szCs w:val="20"/>
          <w:color w:val="auto"/>
        </w:rPr>
      </w:pPr>
      <w:r>
        <w:rPr>
          <w:rFonts w:ascii="Arial" w:cs="Arial" w:eastAsia="Arial" w:hAnsi="Arial"/>
          <w:sz w:val="16"/>
          <w:szCs w:val="16"/>
          <w:color w:val="12213B"/>
        </w:rPr>
        <w:t>Daily Trades</w:t>
      </w:r>
      <w:r>
        <w:rPr>
          <w:sz w:val="20"/>
          <w:szCs w:val="20"/>
          <w:color w:val="auto"/>
        </w:rPr>
        <w:tab/>
      </w:r>
      <w:r>
        <w:rPr>
          <w:rFonts w:ascii="Arial" w:cs="Arial" w:eastAsia="Arial" w:hAnsi="Arial"/>
          <w:sz w:val="16"/>
          <w:szCs w:val="16"/>
          <w:color w:val="12213B"/>
        </w:rPr>
        <w:t>December 31, 2022 Full-Year Revenues</w:t>
      </w:r>
      <w:r>
        <w:rPr>
          <w:sz w:val="20"/>
          <w:szCs w:val="20"/>
          <w:color w:val="auto"/>
        </w:rPr>
        <w:tab/>
      </w:r>
      <w:r>
        <w:rPr>
          <w:rFonts w:ascii="Arial" w:cs="Arial" w:eastAsia="Arial" w:hAnsi="Arial"/>
          <w:sz w:val="13"/>
          <w:szCs w:val="13"/>
          <w:color w:val="12213B"/>
        </w:rPr>
        <w:t>December 31, 2022 Full-Year ADV</w:t>
      </w:r>
    </w:p>
    <w:p>
      <w:pPr>
        <w:sectPr>
          <w:pgSz w:w="12060" w:h="15660" w:orient="portrait"/>
          <w:cols w:equalWidth="0" w:num="1">
            <w:col w:w="9520"/>
          </w:cols>
          <w:pgMar w:left="1100" w:top="1440" w:right="1440" w:bottom="1107"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34"/>
          <w:szCs w:val="34"/>
          <w:color w:val="12213B"/>
        </w:rPr>
        <w:t>To My Fellow</w:t>
      </w:r>
    </w:p>
    <w:p>
      <w:pPr>
        <w:spacing w:after="0" w:line="71" w:lineRule="exact"/>
        <w:rPr>
          <w:sz w:val="20"/>
          <w:szCs w:val="20"/>
          <w:color w:val="auto"/>
        </w:rPr>
      </w:pPr>
    </w:p>
    <w:p>
      <w:pPr>
        <w:spacing w:after="0"/>
        <w:rPr>
          <w:sz w:val="20"/>
          <w:szCs w:val="20"/>
          <w:color w:val="auto"/>
        </w:rPr>
      </w:pPr>
      <w:r>
        <w:rPr>
          <w:rFonts w:ascii="Arial" w:cs="Arial" w:eastAsia="Arial" w:hAnsi="Arial"/>
          <w:sz w:val="32"/>
          <w:szCs w:val="32"/>
          <w:color w:val="12213B"/>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color w:val="4C4E52"/>
        </w:rPr>
        <w:t>2022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0"/>
        <w:spacing w:after="0"/>
        <w:rPr>
          <w:sz w:val="20"/>
          <w:szCs w:val="20"/>
          <w:color w:val="auto"/>
        </w:rPr>
      </w:pPr>
      <w:r>
        <w:rPr>
          <w:rFonts w:ascii="Arial" w:cs="Arial" w:eastAsia="Arial" w:hAnsi="Arial"/>
          <w:sz w:val="24"/>
          <w:szCs w:val="24"/>
          <w:color w:val="FFFFFF"/>
        </w:rPr>
        <w:t>BILLY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-3141980</wp:posOffset>
            </wp:positionV>
            <wp:extent cx="7658100" cy="4606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7658100" cy="4606290"/>
                    </a:xfrm>
                    <a:prstGeom prst="rect">
                      <a:avLst/>
                    </a:prstGeom>
                    <a:noFill/>
                  </pic:spPr>
                </pic:pic>
              </a:graphicData>
            </a:graphic>
          </wp:anchor>
        </w:drawing>
      </w:r>
    </w:p>
    <w:p>
      <w:pPr>
        <w:spacing w:after="0" w:line="210" w:lineRule="exact"/>
        <w:rPr>
          <w:sz w:val="20"/>
          <w:szCs w:val="20"/>
          <w:color w:val="auto"/>
        </w:rPr>
      </w:pPr>
    </w:p>
    <w:p>
      <w:pPr>
        <w:ind w:left="3600"/>
        <w:spacing w:after="0"/>
        <w:rPr>
          <w:sz w:val="20"/>
          <w:szCs w:val="20"/>
          <w:color w:val="auto"/>
        </w:rPr>
      </w:pPr>
      <w:r>
        <w:rPr>
          <w:rFonts w:ascii="Arial" w:cs="Arial" w:eastAsia="Arial" w:hAnsi="Arial"/>
          <w:sz w:val="19"/>
          <w:szCs w:val="19"/>
          <w:color w:val="FFFFFF"/>
        </w:rPr>
        <w:t>Chief Executive Officer,</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9"/>
          <w:szCs w:val="19"/>
          <w:color w:val="FFFFFF"/>
        </w:rPr>
        <w:t>Tradeweb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300" w:lineRule="auto"/>
        <w:rPr>
          <w:sz w:val="20"/>
          <w:szCs w:val="20"/>
          <w:color w:val="auto"/>
        </w:rPr>
      </w:pPr>
      <w:r>
        <w:rPr>
          <w:rFonts w:ascii="Arial" w:cs="Arial" w:eastAsia="Arial" w:hAnsi="Arial"/>
          <w:sz w:val="25"/>
          <w:szCs w:val="25"/>
          <w:color w:val="4C4E52"/>
        </w:rPr>
        <w:t>For more than 25 years, we have been steadfast in our core approach—listening to our clients and working closely with them to build services, products, protocols and functionalities that enhance their trading workflows. I’m proud of how far we’ve come as a company, and I’m grateful for the opportunity to lead the way forward as CEO. We expect global markets will continue to be tested this year as they were in 2022, and, with that, the needs of our clients will continue to evolve. Moments like this</w:t>
      </w:r>
    </w:p>
    <w:p>
      <w:pPr>
        <w:spacing w:after="0" w:line="7" w:lineRule="exact"/>
        <w:rPr>
          <w:sz w:val="20"/>
          <w:szCs w:val="20"/>
          <w:color w:val="auto"/>
        </w:rPr>
      </w:pPr>
    </w:p>
    <w:p>
      <w:pPr>
        <w:ind w:right="1100"/>
        <w:spacing w:after="0" w:line="321" w:lineRule="auto"/>
        <w:rPr>
          <w:sz w:val="20"/>
          <w:szCs w:val="20"/>
          <w:color w:val="auto"/>
        </w:rPr>
      </w:pPr>
      <w:r>
        <w:rPr>
          <w:rFonts w:ascii="Arial" w:cs="Arial" w:eastAsia="Arial" w:hAnsi="Arial"/>
          <w:sz w:val="24"/>
          <w:szCs w:val="24"/>
          <w:color w:val="4C4E52"/>
        </w:rPr>
        <w:t>can spark intense collaboration with clients— and that is when Tradeweb is at its best.</w:t>
      </w:r>
    </w:p>
    <w:p>
      <w:pPr>
        <w:spacing w:after="0" w:line="200" w:lineRule="exact"/>
        <w:rPr>
          <w:sz w:val="20"/>
          <w:szCs w:val="20"/>
          <w:color w:val="auto"/>
        </w:rPr>
      </w:pPr>
    </w:p>
    <w:p>
      <w:pPr>
        <w:spacing w:after="0" w:line="390" w:lineRule="exact"/>
        <w:rPr>
          <w:sz w:val="20"/>
          <w:szCs w:val="20"/>
          <w:color w:val="auto"/>
        </w:rPr>
      </w:pPr>
    </w:p>
    <w:p>
      <w:pPr>
        <w:ind w:right="200"/>
        <w:spacing w:after="0" w:line="299" w:lineRule="auto"/>
        <w:rPr>
          <w:sz w:val="20"/>
          <w:szCs w:val="20"/>
          <w:color w:val="auto"/>
        </w:rPr>
      </w:pPr>
      <w:r>
        <w:rPr>
          <w:rFonts w:ascii="Arial" w:cs="Arial" w:eastAsia="Arial" w:hAnsi="Arial"/>
          <w:sz w:val="13"/>
          <w:szCs w:val="13"/>
          <w:color w:val="5B5C61"/>
        </w:rPr>
        <w:t>Note: This letter includes certain forward-looking statements within the meaning of the federal securities laws. Please see Cautionary Note Regarding Forward-Looking Statements on p. 7 of the Tradeweb Markets Inc.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12213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-102235</wp:posOffset>
            </wp:positionV>
            <wp:extent cx="165735" cy="8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65735" cy="89535"/>
                    </a:xfrm>
                    <a:prstGeom prst="rect">
                      <a:avLst/>
                    </a:prstGeom>
                    <a:noFill/>
                  </pic:spPr>
                </pic:pic>
              </a:graphicData>
            </a:graphic>
          </wp:anchor>
        </w:drawing>
      </w:r>
    </w:p>
    <w:p>
      <w:pPr>
        <w:sectPr>
          <w:pgSz w:w="12060" w:h="15660" w:orient="portrait"/>
          <w:cols w:equalWidth="0" w:num="2">
            <w:col w:w="3520" w:space="720"/>
            <w:col w:w="6040"/>
          </w:cols>
          <w:pgMar w:left="1060" w:top="1440" w:right="720" w:bottom="0" w:gutter="0" w:footer="0" w:header="0"/>
        </w:sectPr>
      </w:pPr>
    </w:p>
    <w:bookmarkStart w:id="3" w:name="page4"/>
    <w:bookmarkEnd w:id="3"/>
    <w:p>
      <w:pPr>
        <w:ind w:left="70" w:right="200"/>
        <w:spacing w:after="0" w:line="279" w:lineRule="auto"/>
        <w:rPr>
          <w:sz w:val="20"/>
          <w:szCs w:val="20"/>
          <w:color w:val="auto"/>
        </w:rPr>
      </w:pPr>
      <w:r>
        <w:rPr>
          <w:rFonts w:ascii="Times New Roman" w:cs="Times New Roman" w:eastAsia="Times New Roman" w:hAnsi="Times New Roman"/>
          <w:sz w:val="18"/>
          <w:szCs w:val="18"/>
          <w:color w:val="4C4E52"/>
        </w:rPr>
        <w:t>So, as I reflect on what’s transpired in the nearly four years since Tradeweb’s IPO, one of the first words that comes to mind is resilience. We’ve faced no shortage of headwinds between a global pandemic and geopolitical tensions, while rising inflation, rapid-fire interest rate increases and a persistent threat of recession continue to test markets. But our relentless focus on innovation and collaboration continues to be the North Star for our company. It is our way forward. The combination of our people, network and technology is how collaboration sparks innovation at Tradeweb. Our goal is to be best-in-class in every market that we compete in. We’re already there on many fronts, but our team is hungry to move the needle across the business.</w:t>
      </w:r>
    </w:p>
    <w:p>
      <w:pPr>
        <w:spacing w:after="0" w:line="127" w:lineRule="exact"/>
        <w:rPr>
          <w:sz w:val="20"/>
          <w:szCs w:val="20"/>
          <w:color w:val="auto"/>
        </w:rPr>
      </w:pPr>
    </w:p>
    <w:p>
      <w:pPr>
        <w:ind w:left="70"/>
        <w:spacing w:after="0" w:line="281" w:lineRule="auto"/>
        <w:rPr>
          <w:sz w:val="20"/>
          <w:szCs w:val="20"/>
          <w:color w:val="auto"/>
        </w:rPr>
      </w:pPr>
      <w:r>
        <w:rPr>
          <w:rFonts w:ascii="Times New Roman" w:cs="Times New Roman" w:eastAsia="Times New Roman" w:hAnsi="Times New Roman"/>
          <w:sz w:val="18"/>
          <w:szCs w:val="18"/>
          <w:color w:val="4C4E52"/>
        </w:rPr>
        <w:t>Over the years, spanning virtually every one of our asset classes, from government bonds to munis to corporates to ETFs to swaps, we’ve achieved historic milestones and garnered fascinating responses from the markets as we’ve strived to maintain and improve efficient access to liquidity in challenging environments.</w:t>
      </w:r>
    </w:p>
    <w:p>
      <w:pPr>
        <w:spacing w:after="0" w:line="123" w:lineRule="exact"/>
        <w:rPr>
          <w:sz w:val="20"/>
          <w:szCs w:val="20"/>
          <w:color w:val="auto"/>
        </w:rPr>
      </w:pPr>
    </w:p>
    <w:p>
      <w:pPr>
        <w:ind w:left="70" w:right="80"/>
        <w:spacing w:after="0" w:line="279" w:lineRule="auto"/>
        <w:rPr>
          <w:sz w:val="20"/>
          <w:szCs w:val="20"/>
          <w:color w:val="auto"/>
        </w:rPr>
      </w:pPr>
      <w:r>
        <w:rPr>
          <w:rFonts w:ascii="Times New Roman" w:cs="Times New Roman" w:eastAsia="Times New Roman" w:hAnsi="Times New Roman"/>
          <w:sz w:val="18"/>
          <w:szCs w:val="18"/>
          <w:color w:val="4C4E52"/>
        </w:rPr>
        <w:t>In many ways, we are currently witnessing another evolution of the fixed income markets, with the conversation expanding beyond electronification to automation, a phenomenon most wouldn’t have even considered just a few years ago. While the pandemic fast-tracked the adoption of electronic trading, trades utilizing our innovative automated trading functionality, AiEX, came of age in the post-COVID era. After seeing a decline during March 2020, AiEX average daily trades grew each quarter of 2022, despite volatility surpassing March 2020 levels. Clients are not only increasing the number of AiEX trades, they are also deploying AiEX across a broader collection of products. Innovation comes at the crossroads of technology and human behavior—that’s where the largest leaps occur.</w:t>
      </w:r>
    </w:p>
    <w:p>
      <w:pPr>
        <w:spacing w:after="0" w:line="200" w:lineRule="exact"/>
        <w:rPr>
          <w:sz w:val="20"/>
          <w:szCs w:val="20"/>
          <w:color w:val="auto"/>
        </w:rPr>
      </w:pPr>
    </w:p>
    <w:p>
      <w:pPr>
        <w:spacing w:after="0" w:line="222" w:lineRule="exact"/>
        <w:rPr>
          <w:sz w:val="20"/>
          <w:szCs w:val="20"/>
          <w:color w:val="auto"/>
        </w:rPr>
      </w:pPr>
    </w:p>
    <w:p>
      <w:pPr>
        <w:ind w:left="70"/>
        <w:spacing w:after="0"/>
        <w:rPr>
          <w:sz w:val="20"/>
          <w:szCs w:val="20"/>
          <w:color w:val="auto"/>
        </w:rPr>
      </w:pPr>
      <w:r>
        <w:rPr>
          <w:rFonts w:ascii="Arial" w:cs="Arial" w:eastAsia="Arial" w:hAnsi="Arial"/>
          <w:sz w:val="26"/>
          <w:szCs w:val="26"/>
          <w:color w:val="0C5F9C"/>
        </w:rPr>
        <w:t>GROWTH AND INVESTMENT</w:t>
      </w:r>
    </w:p>
    <w:p>
      <w:pPr>
        <w:spacing w:after="0" w:line="150" w:lineRule="exact"/>
        <w:rPr>
          <w:sz w:val="20"/>
          <w:szCs w:val="20"/>
          <w:color w:val="auto"/>
        </w:rPr>
      </w:pPr>
    </w:p>
    <w:p>
      <w:pPr>
        <w:ind w:left="70" w:right="60"/>
        <w:spacing w:after="0" w:line="279" w:lineRule="auto"/>
        <w:rPr>
          <w:sz w:val="20"/>
          <w:szCs w:val="20"/>
          <w:color w:val="auto"/>
        </w:rPr>
      </w:pPr>
      <w:r>
        <w:rPr>
          <w:rFonts w:ascii="Times New Roman" w:cs="Times New Roman" w:eastAsia="Times New Roman" w:hAnsi="Times New Roman"/>
          <w:sz w:val="18"/>
          <w:szCs w:val="18"/>
          <w:color w:val="4C4E52"/>
        </w:rPr>
        <w:t>While adoption of electronic trading has accelerated and automation continues to grow, it’s amazing that even today, most trading is still conducted by phone. To that end, there’s still tremendous opportunity to help clients further electronify and automate their execution needs in 2023 and beyond. The shifts in trading behaviors, that we believe are sticky, coupled with the strides we’ve made in taking share in many of our markets, give us even more confidence in our ability to leverage our competitive advantage to scale our business and broaden the Tradeweb network across products and geographies. Looking forward, we expect credit and interest rate swaps to continue to be the backbone of our growth, but we plan to expand our emerging markets (EM), ETF and muni footprints in meaningful ways.</w:t>
      </w:r>
    </w:p>
    <w:p>
      <w:pPr>
        <w:spacing w:after="0" w:line="126" w:lineRule="exact"/>
        <w:rPr>
          <w:sz w:val="20"/>
          <w:szCs w:val="20"/>
          <w:color w:val="auto"/>
        </w:rPr>
      </w:pPr>
    </w:p>
    <w:p>
      <w:pPr>
        <w:ind w:left="70" w:right="260"/>
        <w:spacing w:after="0" w:line="279" w:lineRule="auto"/>
        <w:rPr>
          <w:sz w:val="20"/>
          <w:szCs w:val="20"/>
          <w:color w:val="auto"/>
        </w:rPr>
      </w:pPr>
      <w:r>
        <w:rPr>
          <w:rFonts w:ascii="Times New Roman" w:cs="Times New Roman" w:eastAsia="Times New Roman" w:hAnsi="Times New Roman"/>
          <w:sz w:val="18"/>
          <w:szCs w:val="18"/>
          <w:color w:val="4C4E52"/>
        </w:rPr>
        <w:t>2022 was our 23rd consecutive year of revenue growth, yet the magnitude of our growth was softened by the severe FX headwinds that we faced given the strengthening U.S. dollar. Total revenues increased by 10.4% to $1.2 billion, but grew by 14.0% on a constant currency basis. The revenue growth and the resulting scale translated into improved profitability as our adjusted EBITDA margin increased by 111 basis points to 51.9%, adjusted diluted EPS grew 16.6% year over year, and free cash flow grew by 8.7%.</w:t>
      </w:r>
      <w:r>
        <w:rPr>
          <w:rFonts w:ascii="Times New Roman" w:cs="Times New Roman" w:eastAsia="Times New Roman" w:hAnsi="Times New Roman"/>
          <w:sz w:val="10"/>
          <w:szCs w:val="10"/>
          <w:color w:val="4C4E52"/>
        </w:rPr>
        <w:t>1</w:t>
      </w:r>
    </w:p>
    <w:p>
      <w:pPr>
        <w:spacing w:after="0" w:line="128" w:lineRule="exact"/>
        <w:rPr>
          <w:sz w:val="20"/>
          <w:szCs w:val="20"/>
          <w:color w:val="auto"/>
        </w:rPr>
      </w:pPr>
    </w:p>
    <w:p>
      <w:pPr>
        <w:ind w:left="70"/>
        <w:spacing w:after="0" w:line="279" w:lineRule="auto"/>
        <w:rPr>
          <w:sz w:val="20"/>
          <w:szCs w:val="20"/>
          <w:color w:val="auto"/>
        </w:rPr>
      </w:pPr>
      <w:r>
        <w:rPr>
          <w:rFonts w:ascii="Times New Roman" w:cs="Times New Roman" w:eastAsia="Times New Roman" w:hAnsi="Times New Roman"/>
          <w:sz w:val="18"/>
          <w:szCs w:val="18"/>
          <w:color w:val="4C4E52"/>
        </w:rPr>
        <w:t>The strong constant currency revenue growth was led by double-digit growth across rates, credit, equities and money markets, and strong growth in market data. The resilience and diversity of our revenue growth was also on display as rates and credit continued to lead the way, accounting for 38% and 35% of our revenue growth, respectively, while equities provided 20% of the growth, a high-water mark in terms of growth contribution. We continue to gain share and scale our ETF offering. In repo, we produced healthy organic growth and continued our efforts to further digitize the market. As interest rates rose sharply during the course of the year, our retail client channel saw a real resurgence led by our muni and corporate credit offerings.</w:t>
      </w:r>
    </w:p>
    <w:p>
      <w:pPr>
        <w:spacing w:after="0" w:line="200" w:lineRule="exact"/>
        <w:rPr>
          <w:sz w:val="20"/>
          <w:szCs w:val="20"/>
          <w:color w:val="auto"/>
        </w:rPr>
      </w:pPr>
    </w:p>
    <w:p>
      <w:pPr>
        <w:spacing w:after="0" w:line="222" w:lineRule="exact"/>
        <w:rPr>
          <w:sz w:val="20"/>
          <w:szCs w:val="20"/>
          <w:color w:val="auto"/>
        </w:rPr>
      </w:pPr>
    </w:p>
    <w:p>
      <w:pPr>
        <w:ind w:left="70" w:right="240" w:hanging="70"/>
        <w:spacing w:after="0" w:line="278" w:lineRule="auto"/>
        <w:tabs>
          <w:tab w:leader="none" w:pos="70" w:val="left"/>
        </w:tabs>
        <w:numPr>
          <w:ilvl w:val="0"/>
          <w:numId w:val="1"/>
        </w:numPr>
        <w:rPr>
          <w:rFonts w:ascii="Arial" w:cs="Arial" w:eastAsia="Arial" w:hAnsi="Arial"/>
          <w:sz w:val="15"/>
          <w:szCs w:val="15"/>
          <w:color w:val="4C4E52"/>
          <w:vertAlign w:val="superscript"/>
        </w:rPr>
      </w:pPr>
      <w:r>
        <w:rPr>
          <w:rFonts w:ascii="Arial" w:cs="Arial" w:eastAsia="Arial" w:hAnsi="Arial"/>
          <w:sz w:val="13"/>
          <w:szCs w:val="13"/>
          <w:color w:val="5B5C61"/>
        </w:rPr>
        <w:t>Change in revenue on a constant currency basis, Adjusted EBITDA margin, Adjusted Diluted EPS and Free Cash Flow are non-GAAP measures. See pp. 82–88 of the Tradeweb Markets Inc. Annual Report on Form 10-K for the year ended December 31, 2022, for a discussion of these non-GAAP measures including, as applicable, reconciliations.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12213B"/>
        </w:rPr>
        <w:t>2022 AWARD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923925</wp:posOffset>
                </wp:positionH>
                <wp:positionV relativeFrom="paragraph">
                  <wp:posOffset>-273050</wp:posOffset>
                </wp:positionV>
                <wp:extent cx="1003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12700">
                          <a:solidFill>
                            <a:srgbClr val="12213B"/>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21.4999pt" to="80.65pt,-21.4999pt" o:allowincell="f" strokecolor="#12213B" strokeweight="1pt"/>
            </w:pict>
          </mc:Fallback>
        </mc:AlternateContent>
        <w:drawing>
          <wp:anchor simplePos="0" relativeHeight="251657728" behindDoc="1" locked="0" layoutInCell="0" allowOverlap="1">
            <wp:simplePos x="0" y="0"/>
            <wp:positionH relativeFrom="column">
              <wp:posOffset>6350</wp:posOffset>
            </wp:positionH>
            <wp:positionV relativeFrom="paragraph">
              <wp:posOffset>-279400</wp:posOffset>
            </wp:positionV>
            <wp:extent cx="134874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348740" cy="127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12213B"/>
        </w:rPr>
        <w:t>HIGHLIGHTS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GlobalCapital</w:t>
      </w:r>
    </w:p>
    <w:p>
      <w:pPr>
        <w:spacing w:after="0" w:line="74" w:lineRule="exact"/>
        <w:rPr>
          <w:sz w:val="20"/>
          <w:szCs w:val="20"/>
          <w:color w:val="auto"/>
        </w:rPr>
      </w:pPr>
    </w:p>
    <w:p>
      <w:pPr>
        <w:ind w:right="420"/>
        <w:spacing w:after="0" w:line="300" w:lineRule="auto"/>
        <w:rPr>
          <w:sz w:val="20"/>
          <w:szCs w:val="20"/>
          <w:color w:val="auto"/>
        </w:rPr>
      </w:pPr>
      <w:r>
        <w:rPr>
          <w:rFonts w:ascii="Arial" w:cs="Arial" w:eastAsia="Arial" w:hAnsi="Arial"/>
          <w:sz w:val="13"/>
          <w:szCs w:val="13"/>
          <w:color w:val="12213B"/>
        </w:rPr>
        <w:t>SWAP EXECUTION FACILITY OF THE YEAR, AMERICAS DERIVATIVES AWARDS</w:t>
      </w:r>
    </w:p>
    <w:p>
      <w:pPr>
        <w:spacing w:after="0" w:line="63" w:lineRule="exact"/>
        <w:rPr>
          <w:sz w:val="20"/>
          <w:szCs w:val="20"/>
          <w:color w:val="auto"/>
        </w:rPr>
      </w:pPr>
    </w:p>
    <w:p>
      <w:pPr>
        <w:ind w:right="220"/>
        <w:spacing w:after="0" w:line="300" w:lineRule="auto"/>
        <w:rPr>
          <w:sz w:val="20"/>
          <w:szCs w:val="20"/>
          <w:color w:val="auto"/>
        </w:rPr>
      </w:pPr>
      <w:r>
        <w:rPr>
          <w:rFonts w:ascii="Arial" w:cs="Arial" w:eastAsia="Arial" w:hAnsi="Arial"/>
          <w:sz w:val="13"/>
          <w:szCs w:val="13"/>
          <w:color w:val="12213B"/>
        </w:rPr>
        <w:t>OTC TRADING VENUE OF THE YEAR, GLOBAL AND AMERICAS DERIVATIVES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116205</wp:posOffset>
                </wp:positionV>
                <wp:extent cx="14687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9.15pt" to="116.5pt,9.15pt" o:allowincell="f" strokecolor="#12213B" strokeweight="0.35pt"/>
            </w:pict>
          </mc:Fallback>
        </mc:AlternateConten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Fast Company</w:t>
      </w:r>
    </w:p>
    <w:p>
      <w:pPr>
        <w:spacing w:after="0" w:line="74" w:lineRule="exact"/>
        <w:rPr>
          <w:sz w:val="20"/>
          <w:szCs w:val="20"/>
          <w:color w:val="auto"/>
        </w:rPr>
      </w:pPr>
    </w:p>
    <w:p>
      <w:pPr>
        <w:ind w:right="660"/>
        <w:spacing w:after="0" w:line="224" w:lineRule="auto"/>
        <w:rPr>
          <w:sz w:val="20"/>
          <w:szCs w:val="20"/>
          <w:color w:val="auto"/>
        </w:rPr>
      </w:pPr>
      <w:r>
        <w:rPr>
          <w:rFonts w:ascii="Arial" w:cs="Arial" w:eastAsia="Arial" w:hAnsi="Arial"/>
          <w:sz w:val="16"/>
          <w:szCs w:val="16"/>
          <w:color w:val="12213B"/>
        </w:rPr>
        <w:t>BEST WORKPLACES FOR INNOVATORS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131445</wp:posOffset>
                </wp:positionV>
                <wp:extent cx="14687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0.35pt" to="116.5pt,10.35pt" o:allowincell="f" strokecolor="#12213B" strokeweight="0.35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WatersTechnology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12213B"/>
        </w:rPr>
        <w:t>BEST TCA SOLUTION,</w:t>
      </w:r>
    </w:p>
    <w:p>
      <w:pPr>
        <w:spacing w:after="0" w:line="234" w:lineRule="auto"/>
        <w:rPr>
          <w:sz w:val="20"/>
          <w:szCs w:val="20"/>
          <w:color w:val="auto"/>
        </w:rPr>
      </w:pPr>
      <w:r>
        <w:rPr>
          <w:rFonts w:ascii="Arial" w:cs="Arial" w:eastAsia="Arial" w:hAnsi="Arial"/>
          <w:sz w:val="16"/>
          <w:szCs w:val="16"/>
          <w:color w:val="12213B"/>
        </w:rPr>
        <w:t>ASIA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132080</wp:posOffset>
                </wp:positionV>
                <wp:extent cx="146875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0.4pt" to="116.5pt,10.4pt" o:allowincell="f" strokecolor="#12213B" strokeweight="0.35pt"/>
            </w:pict>
          </mc:Fallback>
        </mc:AlternateConten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FOW Global</w:t>
      </w:r>
    </w:p>
    <w:p>
      <w:pPr>
        <w:spacing w:after="0" w:line="223" w:lineRule="auto"/>
        <w:rPr>
          <w:sz w:val="20"/>
          <w:szCs w:val="20"/>
          <w:color w:val="auto"/>
        </w:rPr>
      </w:pPr>
      <w:r>
        <w:rPr>
          <w:rFonts w:ascii="Arial" w:cs="Arial" w:eastAsia="Arial" w:hAnsi="Arial"/>
          <w:sz w:val="22"/>
          <w:szCs w:val="22"/>
          <w:b w:val="1"/>
          <w:bCs w:val="1"/>
          <w:color w:val="12213B"/>
        </w:rPr>
        <w:t>Investor Group</w:t>
      </w:r>
    </w:p>
    <w:p>
      <w:pPr>
        <w:spacing w:after="0" w:line="75" w:lineRule="exact"/>
        <w:rPr>
          <w:sz w:val="20"/>
          <w:szCs w:val="20"/>
          <w:color w:val="auto"/>
        </w:rPr>
      </w:pPr>
    </w:p>
    <w:p>
      <w:pPr>
        <w:ind w:right="620"/>
        <w:spacing w:after="0" w:line="269" w:lineRule="auto"/>
        <w:rPr>
          <w:sz w:val="20"/>
          <w:szCs w:val="20"/>
          <w:color w:val="auto"/>
        </w:rPr>
      </w:pPr>
      <w:r>
        <w:rPr>
          <w:rFonts w:ascii="Arial" w:cs="Arial" w:eastAsia="Arial" w:hAnsi="Arial"/>
          <w:sz w:val="14"/>
          <w:szCs w:val="14"/>
          <w:color w:val="12213B"/>
        </w:rPr>
        <w:t>FIXED INCOME TRADING SYSTEM OF THE YEAR, ASIA CAPITAL MARKETS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135255</wp:posOffset>
                </wp:positionV>
                <wp:extent cx="146875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0.65pt" to="116.5pt,10.65pt" o:allowincell="f" strokecolor="#12213B" strokeweight="0.35pt"/>
            </w:pict>
          </mc:Fallback>
        </mc:AlternateConten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Asia Risk</w:t>
      </w:r>
    </w:p>
    <w:p>
      <w:pPr>
        <w:spacing w:after="0" w:line="74"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12213B"/>
        </w:rPr>
        <w:t>BUY-SIDE TRADING SYSTEM OF THE YEAR, ASIA RISK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142240</wp:posOffset>
                </wp:positionV>
                <wp:extent cx="146875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1.2pt" to="116.5pt,11.2pt" o:allowincell="f" strokecolor="#12213B" strokeweight="0.35pt"/>
            </w:pict>
          </mc:Fallback>
        </mc:AlternateConten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Markets Media</w:t>
      </w:r>
    </w:p>
    <w:p>
      <w:pPr>
        <w:spacing w:after="0" w:line="74" w:lineRule="exact"/>
        <w:rPr>
          <w:sz w:val="20"/>
          <w:szCs w:val="20"/>
          <w:color w:val="auto"/>
        </w:rPr>
      </w:pPr>
    </w:p>
    <w:p>
      <w:pPr>
        <w:spacing w:after="0" w:line="227" w:lineRule="auto"/>
        <w:rPr>
          <w:sz w:val="20"/>
          <w:szCs w:val="20"/>
          <w:color w:val="auto"/>
        </w:rPr>
      </w:pPr>
      <w:r>
        <w:rPr>
          <w:rFonts w:ascii="Arial" w:cs="Arial" w:eastAsia="Arial" w:hAnsi="Arial"/>
          <w:sz w:val="16"/>
          <w:szCs w:val="16"/>
          <w:color w:val="12213B"/>
        </w:rPr>
        <w:t>MARKETS RECOGNITION AWARD, EUROPEAN MARKETS CHOICE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142240</wp:posOffset>
                </wp:positionV>
                <wp:extent cx="14687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1.2pt" to="116.5pt,11.2pt" o:allowincell="f" strokecolor="#12213B" strokeweight="0.35pt"/>
            </w:pict>
          </mc:Fallback>
        </mc:AlternateConten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Financial News</w:t>
      </w:r>
    </w:p>
    <w:p>
      <w:pPr>
        <w:spacing w:after="0" w:line="74"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12213B"/>
        </w:rPr>
        <w:t>TRADING INITIATIVE OF THE YEAR—AiEX AND BEST FIXED INCOME TRADING PLATFORM, EXCELLENCE IN TRADING &amp; TECH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134620</wp:posOffset>
                </wp:positionV>
                <wp:extent cx="146875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4445">
                          <a:solidFill>
                            <a:srgbClr val="12213B"/>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0.6pt" to="116.5pt,10.6pt" o:allowincell="f" strokecolor="#12213B" strokeweight="0.35pt"/>
            </w:pict>
          </mc:Fallback>
        </mc:AlternateConten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12213B"/>
        </w:rPr>
        <w:t>Hedgeweek</w:t>
      </w:r>
    </w:p>
    <w:p>
      <w:pPr>
        <w:spacing w:after="0" w:line="74"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12213B"/>
        </w:rPr>
        <w:t>BEST TRADING AND EXECUTION PLATFORM, EUROPEAN AWARDS</w:t>
      </w:r>
    </w:p>
    <w:p>
      <w:pPr>
        <w:spacing w:after="0" w:line="1868" w:lineRule="exact"/>
        <w:rPr>
          <w:sz w:val="20"/>
          <w:szCs w:val="20"/>
          <w:color w:val="auto"/>
        </w:rPr>
      </w:pPr>
    </w:p>
    <w:p>
      <w:pPr>
        <w:sectPr>
          <w:pgSz w:w="12060" w:h="15660" w:orient="portrait"/>
          <w:cols w:equalWidth="0" w:num="2">
            <w:col w:w="7510" w:space="700"/>
            <w:col w:w="2340"/>
          </w:cols>
          <w:pgMar w:left="650" w:top="1217" w:right="860" w:bottom="0" w:gutter="0" w:footer="0" w:header="0"/>
        </w:sectPr>
      </w:pPr>
    </w:p>
    <w:p>
      <w:pPr>
        <w:spacing w:after="0" w:line="200" w:lineRule="exact"/>
        <w:rPr>
          <w:sz w:val="20"/>
          <w:szCs w:val="20"/>
          <w:color w:val="auto"/>
        </w:rPr>
      </w:pPr>
    </w:p>
    <w:p>
      <w:pPr>
        <w:spacing w:after="0" w:line="349" w:lineRule="exact"/>
        <w:rPr>
          <w:sz w:val="20"/>
          <w:szCs w:val="20"/>
          <w:color w:val="auto"/>
        </w:rPr>
      </w:pPr>
    </w:p>
    <w:p>
      <w:pPr>
        <w:ind w:left="90"/>
        <w:spacing w:after="0"/>
        <w:tabs>
          <w:tab w:leader="none" w:pos="520" w:val="left"/>
        </w:tabs>
        <w:rPr>
          <w:sz w:val="20"/>
          <w:szCs w:val="20"/>
          <w:color w:val="auto"/>
        </w:rPr>
      </w:pPr>
      <w:r>
        <w:rPr>
          <w:rFonts w:ascii="Arial" w:cs="Arial" w:eastAsia="Arial" w:hAnsi="Arial"/>
          <w:sz w:val="18"/>
          <w:szCs w:val="18"/>
          <w:color w:val="12213B"/>
        </w:rPr>
        <w:t>2</w:t>
      </w:r>
      <w:r>
        <w:rPr>
          <w:sz w:val="20"/>
          <w:szCs w:val="20"/>
          <w:color w:val="auto"/>
        </w:rPr>
        <w:tab/>
      </w:r>
      <w:r>
        <w:rPr>
          <w:sz w:val="1"/>
          <w:szCs w:val="1"/>
          <w:color w:val="auto"/>
        </w:rPr>
        <w:drawing>
          <wp:inline distT="0" distB="0" distL="0" distR="0">
            <wp:extent cx="89535" cy="895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12213B"/>
        </w:rPr>
        <w:t xml:space="preserve">                                                                                           TRADEWEB</w:t>
      </w:r>
    </w:p>
    <w:p>
      <w:pPr>
        <w:sectPr>
          <w:pgSz w:w="12060" w:h="15660" w:orient="portrait"/>
          <w:cols w:equalWidth="0" w:num="1">
            <w:col w:w="10550"/>
          </w:cols>
          <w:pgMar w:left="650" w:top="1217" w:right="86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spacing w:after="0" w:line="254" w:lineRule="exact"/>
        <w:rPr>
          <w:sz w:val="20"/>
          <w:szCs w:val="20"/>
          <w:color w:val="auto"/>
        </w:rPr>
      </w:pPr>
    </w:p>
    <w:p>
      <w:pPr>
        <w:ind w:left="26"/>
        <w:spacing w:after="0"/>
        <w:rPr>
          <w:sz w:val="20"/>
          <w:szCs w:val="20"/>
          <w:color w:val="auto"/>
        </w:rPr>
      </w:pPr>
      <w:r>
        <w:rPr>
          <w:rFonts w:ascii="Arial" w:cs="Arial" w:eastAsia="Arial" w:hAnsi="Arial"/>
          <w:sz w:val="110"/>
          <w:szCs w:val="110"/>
          <w:b w:val="1"/>
          <w:bCs w:val="1"/>
          <w:color w:val="FFFFFF"/>
        </w:rPr>
        <w:t>Growth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 w:right="4480" w:hanging="93"/>
        <w:spacing w:after="0" w:line="313" w:lineRule="auto"/>
        <w:rPr>
          <w:sz w:val="20"/>
          <w:szCs w:val="20"/>
          <w:color w:val="auto"/>
        </w:rPr>
      </w:pPr>
      <w:r>
        <w:rPr>
          <w:rFonts w:ascii="Arial" w:cs="Arial" w:eastAsia="Arial" w:hAnsi="Arial"/>
          <w:sz w:val="20"/>
          <w:szCs w:val="20"/>
          <w:color w:val="FFFFFF"/>
        </w:rPr>
        <w:t>“Tradeweb recorded its 23rd consecutive year of revenue growth in 2022. In 2023, we are focused on driving new protocol adoption, increasing our client footprint and expanding our geographic and product networks. We also continue to invest in the future, building our technology pipeline to support</w:t>
      </w:r>
    </w:p>
    <w:p>
      <w:pPr>
        <w:ind w:left="66" w:right="4820"/>
        <w:spacing w:after="0" w:line="278" w:lineRule="auto"/>
        <w:rPr>
          <w:sz w:val="20"/>
          <w:szCs w:val="20"/>
          <w:color w:val="auto"/>
        </w:rPr>
      </w:pPr>
      <w:r>
        <w:rPr>
          <w:rFonts w:ascii="Arial" w:cs="Arial" w:eastAsia="Arial" w:hAnsi="Arial"/>
          <w:sz w:val="22"/>
          <w:szCs w:val="22"/>
          <w:color w:val="FFFFFF"/>
        </w:rPr>
        <w:t>our key growth initiatives. As always, we continue to look for opportunities to better serve our clients’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12213B"/>
        </w:rPr>
        <w:t>Sara Furber</w:t>
      </w:r>
    </w:p>
    <w:p>
      <w:pPr>
        <w:spacing w:after="0" w:line="31" w:lineRule="exact"/>
        <w:rPr>
          <w:sz w:val="20"/>
          <w:szCs w:val="20"/>
          <w:color w:val="auto"/>
        </w:rPr>
      </w:pPr>
    </w:p>
    <w:p>
      <w:pPr>
        <w:ind w:left="66"/>
        <w:spacing w:after="0"/>
        <w:rPr>
          <w:sz w:val="20"/>
          <w:szCs w:val="20"/>
          <w:color w:val="auto"/>
        </w:rPr>
      </w:pPr>
      <w:r>
        <w:rPr>
          <w:rFonts w:ascii="Arial" w:cs="Arial" w:eastAsia="Arial" w:hAnsi="Arial"/>
          <w:sz w:val="18"/>
          <w:szCs w:val="18"/>
          <w:color w:val="12213B"/>
        </w:rPr>
        <w:t>Chief Financial Officer,</w:t>
      </w:r>
    </w:p>
    <w:p>
      <w:pPr>
        <w:ind w:left="66"/>
        <w:spacing w:after="0" w:line="231" w:lineRule="auto"/>
        <w:rPr>
          <w:sz w:val="20"/>
          <w:szCs w:val="20"/>
          <w:color w:val="auto"/>
        </w:rPr>
      </w:pPr>
      <w:r>
        <w:rPr>
          <w:rFonts w:ascii="Arial" w:cs="Arial" w:eastAsia="Arial" w:hAnsi="Arial"/>
          <w:sz w:val="18"/>
          <w:szCs w:val="18"/>
          <w:color w:val="12213B"/>
        </w:rPr>
        <w:t>Tradeweb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
        <w:spacing w:after="0"/>
        <w:rPr>
          <w:sz w:val="20"/>
          <w:szCs w:val="20"/>
          <w:color w:val="auto"/>
        </w:rPr>
      </w:pPr>
      <w:r>
        <w:rPr>
          <w:rFonts w:ascii="Arial" w:cs="Arial" w:eastAsia="Arial" w:hAnsi="Arial"/>
          <w:sz w:val="20"/>
          <w:szCs w:val="20"/>
          <w:color w:val="12213B"/>
        </w:rPr>
        <w:t>TOTAL ADDRESSABLE MARKET—GROWTH OPPORTUNITIES</w:t>
      </w:r>
      <w:r>
        <w:rPr>
          <w:rFonts w:ascii="Arial" w:cs="Arial" w:eastAsia="Arial" w:hAnsi="Arial"/>
          <w:sz w:val="23"/>
          <w:szCs w:val="23"/>
          <w:color w:val="12213B"/>
          <w:vertAlign w:val="superscript"/>
        </w:rPr>
        <w:t>2</w:t>
      </w:r>
    </w:p>
    <w:p>
      <w:pPr>
        <w:spacing w:after="0" w:line="200" w:lineRule="exact"/>
        <w:rPr>
          <w:sz w:val="20"/>
          <w:szCs w:val="20"/>
          <w:color w:val="auto"/>
        </w:rPr>
      </w:pPr>
    </w:p>
    <w:p>
      <w:pPr>
        <w:spacing w:after="0" w:line="375" w:lineRule="exact"/>
        <w:rPr>
          <w:sz w:val="20"/>
          <w:szCs w:val="20"/>
          <w:color w:val="auto"/>
        </w:rPr>
      </w:pPr>
    </w:p>
    <w:p>
      <w:pPr>
        <w:ind w:left="426"/>
        <w:spacing w:after="0"/>
        <w:rPr>
          <w:sz w:val="20"/>
          <w:szCs w:val="20"/>
          <w:color w:val="auto"/>
        </w:rPr>
      </w:pPr>
      <w:r>
        <w:rPr>
          <w:rFonts w:ascii="Arial" w:cs="Arial" w:eastAsia="Arial" w:hAnsi="Arial"/>
          <w:sz w:val="14"/>
          <w:szCs w:val="14"/>
          <w:b w:val="1"/>
          <w:bCs w:val="1"/>
          <w:color w:val="12213B"/>
        </w:rPr>
        <w:t>10.5%</w:t>
      </w:r>
    </w:p>
    <w:p>
      <w:pPr>
        <w:ind w:left="466"/>
        <w:spacing w:after="0" w:line="213" w:lineRule="auto"/>
        <w:rPr>
          <w:sz w:val="20"/>
          <w:szCs w:val="20"/>
          <w:color w:val="auto"/>
        </w:rPr>
      </w:pPr>
      <w:r>
        <w:rPr>
          <w:rFonts w:ascii="Arial" w:cs="Arial" w:eastAsia="Arial" w:hAnsi="Arial"/>
          <w:sz w:val="14"/>
          <w:szCs w:val="14"/>
          <w:color w:val="12213B"/>
        </w:rPr>
        <w:t>CAGR</w:t>
      </w:r>
    </w:p>
    <w:p>
      <w:pPr>
        <w:spacing w:after="0" w:line="174" w:lineRule="exact"/>
        <w:rPr>
          <w:sz w:val="20"/>
          <w:szCs w:val="20"/>
          <w:color w:val="auto"/>
        </w:rPr>
      </w:pPr>
    </w:p>
    <w:tbl>
      <w:tblPr>
        <w:tblLayout w:type="fixed"/>
        <w:tblInd w:w="66" w:type="dxa"/>
        <w:tblCellMar>
          <w:top w:w="0" w:type="dxa"/>
          <w:left w:w="0" w:type="dxa"/>
          <w:bottom w:w="0" w:type="dxa"/>
          <w:right w:w="0" w:type="dxa"/>
        </w:tblCellMar>
      </w:tblPr>
      <w:tr>
        <w:trPr>
          <w:trHeight w:val="31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12213B"/>
              </w:rPr>
              <w:t>$7.9T</w:t>
            </w:r>
          </w:p>
        </w:tc>
        <w:tc>
          <w:tcPr>
            <w:tcW w:w="720" w:type="dxa"/>
            <w:vAlign w:val="bottom"/>
            <w:tcBorders>
              <w:right w:val="single" w:sz="8" w:color="12213B"/>
            </w:tcBorders>
          </w:tcPr>
          <w:p>
            <w:pPr>
              <w:spacing w:after="0"/>
              <w:rPr>
                <w:sz w:val="24"/>
                <w:szCs w:val="24"/>
                <w:color w:val="auto"/>
              </w:rPr>
            </w:pPr>
          </w:p>
        </w:tc>
        <w:tc>
          <w:tcPr>
            <w:tcW w:w="800" w:type="dxa"/>
            <w:vAlign w:val="bottom"/>
            <w:tcBorders>
              <w:top w:val="single" w:sz="8" w:color="12213B"/>
            </w:tcBorders>
            <w:gridSpan w:val="2"/>
            <w:vMerge w:val="restart"/>
          </w:tcPr>
          <w:p>
            <w:pPr>
              <w:spacing w:after="0"/>
              <w:rPr>
                <w:sz w:val="24"/>
                <w:szCs w:val="24"/>
                <w:color w:val="auto"/>
              </w:rPr>
            </w:pPr>
          </w:p>
        </w:tc>
        <w:tc>
          <w:tcPr>
            <w:tcW w:w="20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24AAC0"/>
              </w:rPr>
              <w:t>20%</w:t>
            </w: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24AAC0"/>
              </w:rPr>
              <w:t>5%</w:t>
            </w:r>
          </w:p>
        </w:tc>
        <w:tc>
          <w:tcPr>
            <w:tcW w:w="2620" w:type="dxa"/>
            <w:vAlign w:val="bottom"/>
          </w:tcPr>
          <w:p>
            <w:pPr>
              <w:jc w:val="right"/>
              <w:ind w:right="922"/>
              <w:spacing w:after="0"/>
              <w:rPr>
                <w:sz w:val="20"/>
                <w:szCs w:val="20"/>
                <w:color w:val="auto"/>
              </w:rPr>
            </w:pPr>
            <w:r>
              <w:rPr>
                <w:rFonts w:ascii="Arial" w:cs="Arial" w:eastAsia="Arial" w:hAnsi="Arial"/>
                <w:sz w:val="14"/>
                <w:szCs w:val="14"/>
                <w:b w:val="1"/>
                <w:bCs w:val="1"/>
                <w:color w:val="24AAC0"/>
              </w:rPr>
              <w:t>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right w:val="single" w:sz="8" w:color="12213B"/>
            </w:tcBorders>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24AAC0"/>
              </w:rPr>
              <w:t>15%</w:t>
            </w:r>
          </w:p>
        </w:tc>
        <w:tc>
          <w:tcPr>
            <w:tcW w:w="0" w:type="dxa"/>
            <w:vAlign w:val="bottom"/>
          </w:tcPr>
          <w:p>
            <w:pPr>
              <w:spacing w:after="0"/>
              <w:rPr>
                <w:sz w:val="1"/>
                <w:szCs w:val="1"/>
                <w:color w:val="auto"/>
              </w:rPr>
            </w:pPr>
          </w:p>
        </w:tc>
      </w:tr>
      <w:tr>
        <w:trPr>
          <w:trHeight w:val="98"/>
        </w:trPr>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right w:val="single" w:sz="8" w:color="12213B"/>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12213B"/>
              </w:rPr>
              <w:t>$3.9T</w:t>
            </w: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right w:val="single" w:sz="8" w:color="12213B"/>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vMerge w:val="restart"/>
          </w:tcPr>
          <w:p>
            <w:pPr>
              <w:jc w:val="center"/>
              <w:ind w:right="130"/>
              <w:spacing w:after="0"/>
              <w:rPr>
                <w:sz w:val="20"/>
                <w:szCs w:val="20"/>
                <w:color w:val="auto"/>
              </w:rPr>
            </w:pPr>
            <w:r>
              <w:rPr>
                <w:rFonts w:ascii="Arial" w:cs="Arial" w:eastAsia="Arial" w:hAnsi="Arial"/>
                <w:sz w:val="14"/>
                <w:szCs w:val="14"/>
                <w:b w:val="1"/>
                <w:bCs w:val="1"/>
                <w:color w:val="12213B"/>
              </w:rPr>
              <w:t>$ .   T</w:t>
            </w:r>
          </w:p>
        </w:tc>
        <w:tc>
          <w:tcPr>
            <w:tcW w:w="980" w:type="dxa"/>
            <w:vAlign w:val="bottom"/>
            <w:vMerge w:val="restart"/>
          </w:tcPr>
          <w:p>
            <w:pPr>
              <w:jc w:val="center"/>
              <w:ind w:left="50"/>
              <w:spacing w:after="0"/>
              <w:rPr>
                <w:sz w:val="20"/>
                <w:szCs w:val="20"/>
                <w:color w:val="auto"/>
              </w:rPr>
            </w:pPr>
            <w:r>
              <w:rPr>
                <w:rFonts w:ascii="Arial" w:cs="Arial" w:eastAsia="Arial" w:hAnsi="Arial"/>
                <w:sz w:val="14"/>
                <w:szCs w:val="14"/>
                <w:b w:val="1"/>
                <w:bCs w:val="1"/>
                <w:color w:val="12213B"/>
              </w:rPr>
              <w:t>$   B</w:t>
            </w:r>
          </w:p>
        </w:tc>
        <w:tc>
          <w:tcPr>
            <w:tcW w:w="262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12213B"/>
              </w:rPr>
              <w:t>$ .   T</w:t>
            </w: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12213B"/>
              </w:rPr>
              <w:t>$   B</w:t>
            </w:r>
          </w:p>
        </w:tc>
        <w:tc>
          <w:tcPr>
            <w:tcW w:w="0" w:type="dxa"/>
            <w:vAlign w:val="bottom"/>
          </w:tcPr>
          <w:p>
            <w:pPr>
              <w:spacing w:after="0"/>
              <w:rPr>
                <w:sz w:val="1"/>
                <w:szCs w:val="1"/>
                <w:color w:val="auto"/>
              </w:rPr>
            </w:pPr>
          </w:p>
        </w:tc>
      </w:tr>
      <w:tr>
        <w:trPr>
          <w:trHeight w:val="249"/>
        </w:trPr>
        <w:tc>
          <w:tcPr>
            <w:tcW w:w="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shd w:val="clear" w:color="auto" w:fill="12213B"/>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Borders>
              <w:right w:val="single" w:sz="8" w:color="12213B"/>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6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Borders>
              <w:bottom w:val="single" w:sz="8" w:color="12213B"/>
            </w:tcBorders>
            <w:shd w:val="clear" w:color="auto" w:fill="12213B"/>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Borders>
              <w:bottom w:val="single" w:sz="8" w:color="12213B"/>
            </w:tcBorders>
          </w:tcPr>
          <w:p>
            <w:pPr>
              <w:spacing w:after="0"/>
              <w:rPr>
                <w:sz w:val="7"/>
                <w:szCs w:val="7"/>
                <w:color w:val="auto"/>
              </w:rPr>
            </w:pPr>
          </w:p>
        </w:tc>
        <w:tc>
          <w:tcPr>
            <w:tcW w:w="780" w:type="dxa"/>
            <w:vAlign w:val="bottom"/>
            <w:tcBorders>
              <w:bottom w:val="single" w:sz="8" w:color="12213B"/>
            </w:tcBorders>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shd w:val="clear" w:color="auto" w:fill="12213B"/>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980" w:type="dxa"/>
            <w:vAlign w:val="bottom"/>
            <w:vMerge w:val="restart"/>
          </w:tcPr>
          <w:p>
            <w:pPr>
              <w:jc w:val="center"/>
              <w:ind w:left="50"/>
              <w:spacing w:after="0" w:line="146" w:lineRule="exact"/>
              <w:rPr>
                <w:sz w:val="20"/>
                <w:szCs w:val="20"/>
                <w:color w:val="auto"/>
              </w:rPr>
            </w:pPr>
            <w:r>
              <w:rPr>
                <w:rFonts w:ascii="Arial" w:cs="Arial" w:eastAsia="Arial" w:hAnsi="Arial"/>
                <w:sz w:val="14"/>
                <w:szCs w:val="14"/>
                <w:color w:val="12213B"/>
                <w:w w:val="77"/>
              </w:rPr>
              <w:t>ETFs</w:t>
            </w:r>
          </w:p>
        </w:tc>
        <w:tc>
          <w:tcPr>
            <w:tcW w:w="2620" w:type="dxa"/>
            <w:vAlign w:val="bottom"/>
            <w:vMerge w:val="restart"/>
          </w:tcPr>
          <w:p>
            <w:pPr>
              <w:jc w:val="center"/>
              <w:ind w:right="182"/>
              <w:spacing w:after="0" w:line="93" w:lineRule="exact"/>
              <w:rPr>
                <w:sz w:val="20"/>
                <w:szCs w:val="20"/>
                <w:color w:val="auto"/>
              </w:rPr>
            </w:pPr>
            <w:r>
              <w:rPr>
                <w:rFonts w:ascii="Arial" w:cs="Arial" w:eastAsia="Arial" w:hAnsi="Arial"/>
                <w:sz w:val="10"/>
                <w:szCs w:val="10"/>
                <w:color w:val="12213B"/>
              </w:rPr>
              <w:t>MONEY</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12213B"/>
            </w:tcBorders>
            <w:shd w:val="clear" w:color="auto" w:fill="12213B"/>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Pr>
          <w:p>
            <w:pPr>
              <w:jc w:val="center"/>
              <w:ind w:right="110"/>
              <w:spacing w:after="0" w:line="123" w:lineRule="exact"/>
              <w:rPr>
                <w:sz w:val="20"/>
                <w:szCs w:val="20"/>
                <w:color w:val="auto"/>
              </w:rPr>
            </w:pPr>
            <w:r>
              <w:rPr>
                <w:rFonts w:ascii="Arial" w:cs="Arial" w:eastAsia="Arial" w:hAnsi="Arial"/>
                <w:sz w:val="14"/>
                <w:szCs w:val="14"/>
                <w:color w:val="12213B"/>
                <w:w w:val="85"/>
              </w:rPr>
              <w:t>RATES</w:t>
            </w:r>
          </w:p>
        </w:tc>
        <w:tc>
          <w:tcPr>
            <w:tcW w:w="98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4"/>
                <w:szCs w:val="14"/>
                <w:color w:val="12213B"/>
              </w:rPr>
              <w:t>CREDIT</w:t>
            </w:r>
          </w:p>
        </w:tc>
        <w:tc>
          <w:tcPr>
            <w:tcW w:w="0" w:type="dxa"/>
            <w:vAlign w:val="bottom"/>
          </w:tcPr>
          <w:p>
            <w:pPr>
              <w:spacing w:after="0"/>
              <w:rPr>
                <w:sz w:val="1"/>
                <w:szCs w:val="1"/>
                <w:color w:val="auto"/>
              </w:rPr>
            </w:pPr>
          </w:p>
        </w:tc>
      </w:tr>
      <w:tr>
        <w:trPr>
          <w:trHeight w:val="52"/>
        </w:trPr>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Borders>
              <w:top w:val="single" w:sz="8" w:color="12213B"/>
            </w:tcBorders>
            <w:shd w:val="clear" w:color="auto" w:fill="12213B"/>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right w:val="single" w:sz="8" w:color="12213B"/>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20" w:type="dxa"/>
            <w:vAlign w:val="bottom"/>
          </w:tcPr>
          <w:p>
            <w:pPr>
              <w:jc w:val="center"/>
              <w:ind w:right="182"/>
              <w:spacing w:after="0" w:line="52" w:lineRule="exact"/>
              <w:rPr>
                <w:sz w:val="20"/>
                <w:szCs w:val="20"/>
                <w:color w:val="auto"/>
              </w:rPr>
            </w:pPr>
            <w:r>
              <w:rPr>
                <w:rFonts w:ascii="Arial" w:cs="Arial" w:eastAsia="Arial" w:hAnsi="Arial"/>
                <w:sz w:val="6"/>
                <w:szCs w:val="6"/>
                <w:color w:val="12213B"/>
              </w:rPr>
              <w:t>MARKETS</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12213B"/>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right w:val="single" w:sz="8" w:color="12213B"/>
            </w:tcBorders>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gridSpan w:val="2"/>
            <w:vMerge w:val="restart"/>
          </w:tcPr>
          <w:p>
            <w:pPr>
              <w:jc w:val="right"/>
              <w:ind w:right="490"/>
              <w:spacing w:after="0"/>
              <w:rPr>
                <w:sz w:val="20"/>
                <w:szCs w:val="20"/>
                <w:color w:val="auto"/>
              </w:rPr>
            </w:pPr>
            <w:r>
              <w:rPr>
                <w:rFonts w:ascii="Arial" w:cs="Arial" w:eastAsia="Arial" w:hAnsi="Arial"/>
                <w:sz w:val="14"/>
                <w:szCs w:val="14"/>
                <w:color w:val="12213B"/>
              </w:rPr>
              <w:t>Total Addressable Market for 2022</w:t>
            </w:r>
          </w:p>
        </w:tc>
        <w:tc>
          <w:tcPr>
            <w:tcW w:w="2620" w:type="dxa"/>
            <w:vAlign w:val="bottom"/>
            <w:vMerge w:val="restart"/>
          </w:tcPr>
          <w:p>
            <w:pPr>
              <w:jc w:val="right"/>
              <w:spacing w:after="0"/>
              <w:rPr>
                <w:sz w:val="20"/>
                <w:szCs w:val="20"/>
                <w:color w:val="auto"/>
              </w:rPr>
            </w:pPr>
            <w:r>
              <w:rPr>
                <w:rFonts w:ascii="Arial" w:cs="Arial" w:eastAsia="Arial" w:hAnsi="Arial"/>
                <w:sz w:val="14"/>
                <w:szCs w:val="14"/>
                <w:color w:val="12213B"/>
              </w:rPr>
              <w:t>Tradeweb % of Total Addressable Market</w:t>
            </w: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0"/>
        </w:trPr>
        <w:tc>
          <w:tcPr>
            <w:tcW w:w="520" w:type="dxa"/>
            <w:vAlign w:val="bottom"/>
            <w:shd w:val="clear" w:color="auto" w:fill="12213B"/>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shd w:val="clear" w:color="auto" w:fill="12213B"/>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right w:val="single" w:sz="8" w:color="12213B"/>
            </w:tcBorders>
          </w:tcPr>
          <w:p>
            <w:pPr>
              <w:spacing w:after="0"/>
              <w:rPr>
                <w:sz w:val="24"/>
                <w:szCs w:val="24"/>
                <w:color w:val="auto"/>
              </w:rPr>
            </w:pPr>
          </w:p>
        </w:tc>
        <w:tc>
          <w:tcPr>
            <w:tcW w:w="780" w:type="dxa"/>
            <w:vAlign w:val="bottom"/>
            <w:tcBorders>
              <w:bottom w:val="single" w:sz="8" w:color="12213B"/>
            </w:tcBorders>
          </w:tcPr>
          <w:p>
            <w:pPr>
              <w:spacing w:after="0"/>
              <w:rPr>
                <w:sz w:val="24"/>
                <w:szCs w:val="24"/>
                <w:color w:val="auto"/>
              </w:rPr>
            </w:pPr>
          </w:p>
        </w:tc>
        <w:tc>
          <w:tcPr>
            <w:tcW w:w="20" w:type="dxa"/>
            <w:vAlign w:val="bottom"/>
            <w:tcBorders>
              <w:bottom w:val="single" w:sz="8" w:color="12213B"/>
            </w:tcBorders>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12213B"/>
              </w:rPr>
              <w:t>2015</w:t>
            </w: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12213B"/>
              </w:rPr>
              <w:t>2022</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5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6" w:right="160" w:hanging="66"/>
        <w:spacing w:after="0" w:line="291" w:lineRule="auto"/>
        <w:tabs>
          <w:tab w:leader="none" w:pos="69" w:val="left"/>
        </w:tabs>
        <w:numPr>
          <w:ilvl w:val="0"/>
          <w:numId w:val="2"/>
        </w:numPr>
        <w:rPr>
          <w:rFonts w:ascii="Arial" w:cs="Arial" w:eastAsia="Arial" w:hAnsi="Arial"/>
          <w:sz w:val="15"/>
          <w:szCs w:val="15"/>
          <w:color w:val="4C4E52"/>
          <w:vertAlign w:val="superscript"/>
        </w:rPr>
      </w:pPr>
      <w:r>
        <w:rPr>
          <w:rFonts w:ascii="Arial" w:cs="Arial" w:eastAsia="Arial" w:hAnsi="Arial"/>
          <w:sz w:val="13"/>
          <w:szCs w:val="13"/>
          <w:color w:val="4C4E52"/>
        </w:rPr>
        <w:t>Total ADV by asset class is based on public industry sources and Tradeweb internal estimates and, for the purposes of this slide, total ADVs and Tradeweb ADVs omit volumes in products where the total market ADV cannot be sourced reliably: APAC excluding Japan government bonds in rates, Chinese bonds in credit, equity derivatives in equities, and commercial paper, agency discount notes and certificates of deposits in money markets. Total market size for all products included in each asset class is based on ADV t hrough FY2022 except for EUGV and EM Debt, which are an average of the previous four quarters. Public sources by asset class: rates (SIFMA, TRACE, CLARUS, AFME, JSDA); credit (TRACE, TRAX, CLARUS, SIFMA, CFETS, EMTA); equities (CBOE, Flowtraders); money markets (N.Y. Fed).</w:t>
      </w:r>
    </w:p>
    <w:p>
      <w:pPr>
        <w:sectPr>
          <w:pgSz w:w="12060" w:h="15660" w:orient="portrait"/>
          <w:cols w:equalWidth="0" w:num="1">
            <w:col w:w="10326"/>
          </w:cols>
          <w:pgMar w:left="1014"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
        <w:spacing w:after="0"/>
        <w:rPr>
          <w:sz w:val="20"/>
          <w:szCs w:val="20"/>
          <w:color w:val="auto"/>
        </w:rPr>
      </w:pPr>
      <w:r>
        <w:rPr>
          <w:rFonts w:ascii="Arial" w:cs="Arial" w:eastAsia="Arial" w:hAnsi="Arial"/>
          <w:sz w:val="18"/>
          <w:szCs w:val="18"/>
          <w:color w:val="4C4E52"/>
        </w:rPr>
        <w:t xml:space="preserve">2022 ANNUAL REPORT                                                                                           </w:t>
      </w:r>
      <w:r>
        <w:rPr>
          <w:sz w:val="1"/>
          <w:szCs w:val="1"/>
          <w:color w:val="auto"/>
        </w:rPr>
        <w:drawing>
          <wp:inline distT="0" distB="0" distL="0" distR="0">
            <wp:extent cx="89535" cy="895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12213B"/>
        </w:rPr>
        <w:t xml:space="preserve">     3</w:t>
      </w:r>
    </w:p>
    <w:p>
      <w:pPr>
        <w:sectPr>
          <w:pgSz w:w="12060" w:h="15660" w:orient="portrait"/>
          <w:cols w:equalWidth="0" w:num="1">
            <w:col w:w="10326"/>
          </w:cols>
          <w:pgMar w:left="1014" w:top="1440" w:right="720" w:bottom="0" w:gutter="0" w:footer="0" w:header="0"/>
          <w:type w:val="continuous"/>
        </w:sectPr>
      </w:pPr>
    </w:p>
    <w:bookmarkStart w:id="5" w:name="page6"/>
    <w:bookmarkEnd w:id="5"/>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658100" cy="9944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7658100" cy="9944100"/>
                    </a:xfrm>
                    <a:prstGeom prst="rect">
                      <a:avLst/>
                    </a:prstGeom>
                    <a:noFill/>
                  </pic:spPr>
                </pic:pic>
              </a:graphicData>
            </a:graphic>
          </wp:anchor>
        </w:drawing>
      </w:r>
    </w:p>
    <w:p>
      <w:pPr>
        <w:jc w:val="right"/>
        <w:ind w:right="220"/>
        <w:spacing w:after="0"/>
        <w:rPr>
          <w:sz w:val="20"/>
          <w:szCs w:val="20"/>
          <w:color w:val="auto"/>
        </w:rPr>
      </w:pPr>
      <w:r>
        <w:rPr>
          <w:rFonts w:ascii="Arial" w:cs="Arial" w:eastAsia="Arial" w:hAnsi="Arial"/>
          <w:sz w:val="110"/>
          <w:szCs w:val="110"/>
          <w:b w:val="1"/>
          <w:bCs w:val="1"/>
          <w:color w:val="FFFFFF"/>
        </w:rPr>
        <w:t>Collaboration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80" w:right="1140" w:hanging="62"/>
        <w:spacing w:after="0" w:line="283" w:lineRule="auto"/>
        <w:rPr>
          <w:sz w:val="20"/>
          <w:szCs w:val="20"/>
          <w:color w:val="auto"/>
        </w:rPr>
      </w:pPr>
      <w:r>
        <w:rPr>
          <w:rFonts w:ascii="Arial" w:cs="Arial" w:eastAsia="Arial" w:hAnsi="Arial"/>
          <w:sz w:val="22"/>
          <w:szCs w:val="22"/>
          <w:color w:val="FFFFFF"/>
        </w:rPr>
        <w:t>“As a longtime client and board member I’ve always appreciated the power of Tradeweb’s network—fueled by our people, clients and technology. As President, I’ve now seen firsthand how collaboration is truly at the core of Tradeweb. This ethos, combined with the connectivity of our breadth of clients and products, is what drives innovation and differentiates us in global markets.”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24"/>
          </w:tcPr>
          <w:p>
            <w:pPr>
              <w:ind w:left="40"/>
              <w:spacing w:after="0"/>
              <w:rPr>
                <w:sz w:val="20"/>
                <w:szCs w:val="20"/>
                <w:color w:val="auto"/>
              </w:rPr>
            </w:pPr>
            <w:r>
              <w:rPr>
                <w:rFonts w:ascii="Arial" w:cs="Arial" w:eastAsia="Arial" w:hAnsi="Arial"/>
                <w:sz w:val="20"/>
                <w:szCs w:val="20"/>
                <w:color w:val="12213B"/>
              </w:rPr>
              <w:t>INSTITUTIONAL ETF VOLUME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80" w:type="dxa"/>
            <w:vAlign w:val="bottom"/>
            <w:gridSpan w:val="6"/>
            <w:vMerge w:val="restart"/>
          </w:tcPr>
          <w:p>
            <w:pPr>
              <w:spacing w:after="0"/>
              <w:rPr>
                <w:sz w:val="20"/>
                <w:szCs w:val="20"/>
                <w:color w:val="auto"/>
              </w:rPr>
            </w:pPr>
            <w:r>
              <w:rPr>
                <w:rFonts w:ascii="Arial" w:cs="Arial" w:eastAsia="Arial" w:hAnsi="Arial"/>
                <w:sz w:val="18"/>
                <w:szCs w:val="18"/>
                <w:b w:val="1"/>
                <w:bCs w:val="1"/>
                <w:color w:val="12213B"/>
              </w:rPr>
              <w:t>Thomas Pluta</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24"/>
          </w:tcPr>
          <w:p>
            <w:pPr>
              <w:ind w:left="40"/>
              <w:spacing w:after="0" w:line="211" w:lineRule="exact"/>
              <w:rPr>
                <w:sz w:val="20"/>
                <w:szCs w:val="20"/>
                <w:color w:val="auto"/>
              </w:rPr>
            </w:pPr>
            <w:r>
              <w:rPr>
                <w:rFonts w:ascii="Arial" w:cs="Arial" w:eastAsia="Arial" w:hAnsi="Arial"/>
                <w:sz w:val="20"/>
                <w:szCs w:val="20"/>
                <w:color w:val="12213B"/>
                <w:w w:val="87"/>
              </w:rPr>
              <w:t>ADV IN MILLIONS BY ASSET CLASS</w:t>
            </w:r>
          </w:p>
        </w:tc>
        <w:tc>
          <w:tcPr>
            <w:tcW w:w="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24AAC0"/>
              </w:rPr>
              <w:t>401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38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12213B"/>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80" w:type="dxa"/>
            <w:vAlign w:val="bottom"/>
            <w:gridSpan w:val="3"/>
          </w:tcPr>
          <w:p>
            <w:pPr>
              <w:spacing w:after="0"/>
              <w:rPr>
                <w:sz w:val="20"/>
                <w:szCs w:val="20"/>
                <w:color w:val="auto"/>
              </w:rPr>
            </w:pPr>
            <w:r>
              <w:rPr>
                <w:rFonts w:ascii="Arial" w:cs="Arial" w:eastAsia="Arial" w:hAnsi="Arial"/>
                <w:sz w:val="18"/>
                <w:szCs w:val="18"/>
                <w:color w:val="12213B"/>
                <w:w w:val="93"/>
              </w:rPr>
              <w:t>President,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6,000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0C5F9C"/>
              </w:rPr>
              <w:t>2,033</w:t>
            </w:r>
          </w:p>
        </w:tc>
        <w:tc>
          <w:tcPr>
            <w:tcW w:w="0" w:type="dxa"/>
            <w:vAlign w:val="bottom"/>
          </w:tcPr>
          <w:p>
            <w:pPr>
              <w:spacing w:after="0"/>
              <w:rPr>
                <w:sz w:val="1"/>
                <w:szCs w:val="1"/>
                <w:color w:val="auto"/>
              </w:rPr>
            </w:pPr>
          </w:p>
        </w:tc>
      </w:tr>
      <w:tr>
        <w:trPr>
          <w:trHeight w:val="20"/>
        </w:trPr>
        <w:tc>
          <w:tcPr>
            <w:tcW w:w="1380" w:type="dxa"/>
            <w:vAlign w:val="bottom"/>
            <w:gridSpan w:val="6"/>
            <w:vMerge w:val="restart"/>
          </w:tcPr>
          <w:p>
            <w:pPr>
              <w:spacing w:after="0"/>
              <w:rPr>
                <w:sz w:val="20"/>
                <w:szCs w:val="20"/>
                <w:color w:val="auto"/>
              </w:rPr>
            </w:pPr>
            <w:r>
              <w:rPr>
                <w:rFonts w:ascii="Arial" w:cs="Arial" w:eastAsia="Arial" w:hAnsi="Arial"/>
                <w:sz w:val="18"/>
                <w:szCs w:val="18"/>
                <w:color w:val="12213B"/>
                <w:w w:val="91"/>
              </w:rPr>
              <w:t>Tradeweb Markets</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12213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38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 w:type="dxa"/>
            <w:vAlign w:val="bottom"/>
            <w:tcBorders>
              <w:bottom w:val="single" w:sz="8" w:color="12213B"/>
            </w:tcBorders>
          </w:tcPr>
          <w:p>
            <w:pPr>
              <w:spacing w:after="0"/>
              <w:rPr>
                <w:sz w:val="5"/>
                <w:szCs w:val="5"/>
                <w:color w:val="auto"/>
              </w:rPr>
            </w:pPr>
          </w:p>
        </w:tc>
        <w:tc>
          <w:tcPr>
            <w:tcW w:w="80" w:type="dxa"/>
            <w:vAlign w:val="bottom"/>
            <w:tcBorders>
              <w:bottom w:val="single" w:sz="8" w:color="12213B"/>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4"/>
            <w:vMerge w:val="restart"/>
          </w:tcPr>
          <w:p>
            <w:pPr>
              <w:jc w:val="center"/>
              <w:ind w:left="130"/>
              <w:spacing w:after="0"/>
              <w:rPr>
                <w:sz w:val="20"/>
                <w:szCs w:val="20"/>
                <w:color w:val="auto"/>
              </w:rPr>
            </w:pPr>
            <w:r>
              <w:rPr>
                <w:rFonts w:ascii="Arial" w:cs="Arial" w:eastAsia="Arial" w:hAnsi="Arial"/>
                <w:sz w:val="14"/>
                <w:szCs w:val="14"/>
                <w:b w:val="1"/>
                <w:bCs w:val="1"/>
                <w:color w:val="24AAC0"/>
              </w:rPr>
              <w:t>231</w:t>
            </w:r>
          </w:p>
        </w:tc>
        <w:tc>
          <w:tcPr>
            <w:tcW w:w="160" w:type="dxa"/>
            <w:vAlign w:val="bottom"/>
          </w:tcPr>
          <w:p>
            <w:pPr>
              <w:spacing w:after="0"/>
              <w:rPr>
                <w:sz w:val="5"/>
                <w:szCs w:val="5"/>
                <w:color w:val="auto"/>
              </w:rPr>
            </w:pPr>
          </w:p>
        </w:tc>
        <w:tc>
          <w:tcPr>
            <w:tcW w:w="11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12213B"/>
              </w:rPr>
              <w:t>2,885</w:t>
            </w:r>
          </w:p>
        </w:tc>
        <w:tc>
          <w:tcPr>
            <w:tcW w:w="0" w:type="dxa"/>
            <w:vAlign w:val="bottom"/>
          </w:tcPr>
          <w:p>
            <w:pPr>
              <w:spacing w:after="0"/>
              <w:rPr>
                <w:sz w:val="1"/>
                <w:szCs w:val="1"/>
                <w:color w:val="auto"/>
              </w:rPr>
            </w:pPr>
          </w:p>
        </w:tc>
      </w:tr>
      <w:tr>
        <w:trPr>
          <w:trHeight w:val="101"/>
        </w:trPr>
        <w:tc>
          <w:tcPr>
            <w:tcW w:w="13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5,000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12213B"/>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24AAC0"/>
            </w:tcBorders>
          </w:tcPr>
          <w:p>
            <w:pPr>
              <w:spacing w:after="0"/>
              <w:rPr>
                <w:sz w:val="5"/>
                <w:szCs w:val="5"/>
                <w:color w:val="auto"/>
              </w:rPr>
            </w:pPr>
          </w:p>
        </w:tc>
        <w:tc>
          <w:tcPr>
            <w:tcW w:w="160" w:type="dxa"/>
            <w:vAlign w:val="bottom"/>
            <w:tcBorders>
              <w:bottom w:val="single" w:sz="8" w:color="24AAC0"/>
            </w:tcBorders>
          </w:tcPr>
          <w:p>
            <w:pPr>
              <w:spacing w:after="0"/>
              <w:rPr>
                <w:sz w:val="5"/>
                <w:szCs w:val="5"/>
                <w:color w:val="auto"/>
              </w:rPr>
            </w:pPr>
          </w:p>
        </w:tc>
        <w:tc>
          <w:tcPr>
            <w:tcW w:w="80" w:type="dxa"/>
            <w:vAlign w:val="bottom"/>
            <w:tcBorders>
              <w:bottom w:val="single" w:sz="8" w:color="24AAC0"/>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Borders>
              <w:bottom w:val="single" w:sz="8" w:color="12213B"/>
            </w:tcBorders>
          </w:tcPr>
          <w:p>
            <w:pPr>
              <w:spacing w:after="0"/>
              <w:rPr>
                <w:sz w:val="10"/>
                <w:szCs w:val="10"/>
                <w:color w:val="auto"/>
              </w:rPr>
            </w:pPr>
          </w:p>
        </w:tc>
        <w:tc>
          <w:tcPr>
            <w:tcW w:w="80" w:type="dxa"/>
            <w:vAlign w:val="bottom"/>
            <w:tcBorders>
              <w:bottom w:val="single" w:sz="8" w:color="12213B"/>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24AAC0"/>
              </w:rPr>
              <w:t>194</w:t>
            </w:r>
          </w:p>
        </w:tc>
        <w:tc>
          <w:tcPr>
            <w:tcW w:w="7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0C5F9C"/>
              </w:rPr>
              <w:t>1,170</w:t>
            </w:r>
          </w:p>
        </w:tc>
        <w:tc>
          <w:tcPr>
            <w:tcW w:w="40" w:type="dxa"/>
            <w:vAlign w:val="bottom"/>
          </w:tcPr>
          <w:p>
            <w:pPr>
              <w:spacing w:after="0"/>
              <w:rPr>
                <w:sz w:val="10"/>
                <w:szCs w:val="10"/>
                <w:color w:val="auto"/>
              </w:rPr>
            </w:pPr>
          </w:p>
        </w:tc>
        <w:tc>
          <w:tcPr>
            <w:tcW w:w="100" w:type="dxa"/>
            <w:vAlign w:val="bottom"/>
            <w:tcBorders>
              <w:bottom w:val="single" w:sz="8" w:color="24AAC0"/>
            </w:tcBorders>
            <w:shd w:val="clear" w:color="auto" w:fill="24AAC0"/>
          </w:tcPr>
          <w:p>
            <w:pPr>
              <w:spacing w:after="0"/>
              <w:rPr>
                <w:sz w:val="10"/>
                <w:szCs w:val="10"/>
                <w:color w:val="auto"/>
              </w:rPr>
            </w:pPr>
          </w:p>
        </w:tc>
        <w:tc>
          <w:tcPr>
            <w:tcW w:w="160" w:type="dxa"/>
            <w:vAlign w:val="bottom"/>
            <w:tcBorders>
              <w:bottom w:val="single" w:sz="8" w:color="24AAC0"/>
            </w:tcBorders>
            <w:shd w:val="clear" w:color="auto" w:fill="24AAC0"/>
          </w:tcPr>
          <w:p>
            <w:pPr>
              <w:spacing w:after="0"/>
              <w:rPr>
                <w:sz w:val="10"/>
                <w:szCs w:val="10"/>
                <w:color w:val="auto"/>
              </w:rPr>
            </w:pPr>
          </w:p>
        </w:tc>
        <w:tc>
          <w:tcPr>
            <w:tcW w:w="80" w:type="dxa"/>
            <w:vAlign w:val="bottom"/>
            <w:tcBorders>
              <w:bottom w:val="single" w:sz="8" w:color="24AAC0"/>
            </w:tcBorders>
            <w:shd w:val="clear" w:color="auto" w:fill="24AAC0"/>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72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C5F9C"/>
            </w:tcBorders>
            <w:shd w:val="clear" w:color="auto" w:fill="0C5F9C"/>
          </w:tcPr>
          <w:p>
            <w:pPr>
              <w:spacing w:after="0"/>
              <w:rPr>
                <w:sz w:val="6"/>
                <w:szCs w:val="6"/>
                <w:color w:val="auto"/>
              </w:rPr>
            </w:pPr>
          </w:p>
        </w:tc>
        <w:tc>
          <w:tcPr>
            <w:tcW w:w="160" w:type="dxa"/>
            <w:vAlign w:val="bottom"/>
            <w:tcBorders>
              <w:top w:val="single" w:sz="8" w:color="0C5F9C"/>
            </w:tcBorders>
            <w:shd w:val="clear" w:color="auto" w:fill="0C5F9C"/>
          </w:tcPr>
          <w:p>
            <w:pPr>
              <w:spacing w:after="0"/>
              <w:rPr>
                <w:sz w:val="6"/>
                <w:szCs w:val="6"/>
                <w:color w:val="auto"/>
              </w:rPr>
            </w:pPr>
          </w:p>
        </w:tc>
        <w:tc>
          <w:tcPr>
            <w:tcW w:w="80" w:type="dxa"/>
            <w:vAlign w:val="bottom"/>
            <w:tcBorders>
              <w:top w:val="single" w:sz="8" w:color="0C5F9C"/>
            </w:tcBorders>
            <w:shd w:val="clear" w:color="auto" w:fill="0C5F9C"/>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2213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C5F9C"/>
            </w:tcBorders>
            <w:shd w:val="clear" w:color="auto" w:fill="0C5F9C"/>
          </w:tcPr>
          <w:p>
            <w:pPr>
              <w:spacing w:after="0" w:line="20" w:lineRule="exact"/>
              <w:rPr>
                <w:sz w:val="1"/>
                <w:szCs w:val="1"/>
                <w:color w:val="auto"/>
              </w:rPr>
            </w:pPr>
          </w:p>
        </w:tc>
        <w:tc>
          <w:tcPr>
            <w:tcW w:w="160" w:type="dxa"/>
            <w:vAlign w:val="bottom"/>
            <w:tcBorders>
              <w:bottom w:val="single" w:sz="8" w:color="0C5F9C"/>
            </w:tcBorders>
            <w:shd w:val="clear" w:color="auto" w:fill="0C5F9C"/>
          </w:tcPr>
          <w:p>
            <w:pPr>
              <w:spacing w:after="0" w:line="20" w:lineRule="exact"/>
              <w:rPr>
                <w:sz w:val="1"/>
                <w:szCs w:val="1"/>
                <w:color w:val="auto"/>
              </w:rPr>
            </w:pPr>
          </w:p>
        </w:tc>
        <w:tc>
          <w:tcPr>
            <w:tcW w:w="80" w:type="dxa"/>
            <w:vAlign w:val="bottom"/>
            <w:tcBorders>
              <w:bottom w:val="single" w:sz="8" w:color="0C5F9C"/>
            </w:tcBorders>
            <w:shd w:val="clear" w:color="auto" w:fill="0C5F9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4,000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24AAC0"/>
              </w:rPr>
              <w:t>112</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12213B"/>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2,273</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C5F9C"/>
            </w:tcBorders>
            <w:shd w:val="clear" w:color="auto" w:fill="0C5F9C"/>
          </w:tcPr>
          <w:p>
            <w:pPr>
              <w:spacing w:after="0" w:line="20" w:lineRule="exact"/>
              <w:rPr>
                <w:sz w:val="1"/>
                <w:szCs w:val="1"/>
                <w:color w:val="auto"/>
              </w:rPr>
            </w:pPr>
          </w:p>
        </w:tc>
        <w:tc>
          <w:tcPr>
            <w:tcW w:w="160" w:type="dxa"/>
            <w:vAlign w:val="bottom"/>
            <w:tcBorders>
              <w:bottom w:val="single" w:sz="8" w:color="0C5F9C"/>
            </w:tcBorders>
            <w:shd w:val="clear" w:color="auto" w:fill="0C5F9C"/>
          </w:tcPr>
          <w:p>
            <w:pPr>
              <w:spacing w:after="0" w:line="20" w:lineRule="exact"/>
              <w:rPr>
                <w:sz w:val="1"/>
                <w:szCs w:val="1"/>
                <w:color w:val="auto"/>
              </w:rPr>
            </w:pPr>
          </w:p>
        </w:tc>
        <w:tc>
          <w:tcPr>
            <w:tcW w:w="80" w:type="dxa"/>
            <w:vAlign w:val="bottom"/>
            <w:tcBorders>
              <w:bottom w:val="single" w:sz="8" w:color="0C5F9C"/>
            </w:tcBorders>
            <w:shd w:val="clear" w:color="auto" w:fill="0C5F9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 w:type="dxa"/>
            <w:vAlign w:val="bottom"/>
            <w:tcBorders>
              <w:bottom w:val="single" w:sz="8" w:color="12213B"/>
            </w:tcBorders>
          </w:tcPr>
          <w:p>
            <w:pPr>
              <w:spacing w:after="0"/>
              <w:rPr>
                <w:sz w:val="9"/>
                <w:szCs w:val="9"/>
                <w:color w:val="auto"/>
              </w:rPr>
            </w:pPr>
          </w:p>
        </w:tc>
        <w:tc>
          <w:tcPr>
            <w:tcW w:w="80" w:type="dxa"/>
            <w:vAlign w:val="bottom"/>
            <w:tcBorders>
              <w:bottom w:val="single" w:sz="8" w:color="12213B"/>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24AAC0"/>
              </w:rPr>
              <w:t>106</w:t>
            </w:r>
          </w:p>
        </w:tc>
        <w:tc>
          <w:tcPr>
            <w:tcW w:w="100" w:type="dxa"/>
            <w:vAlign w:val="bottom"/>
          </w:tcPr>
          <w:p>
            <w:pPr>
              <w:spacing w:after="0"/>
              <w:rPr>
                <w:sz w:val="9"/>
                <w:szCs w:val="9"/>
                <w:color w:val="auto"/>
              </w:rPr>
            </w:pPr>
          </w:p>
        </w:tc>
        <w:tc>
          <w:tcPr>
            <w:tcW w:w="4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C5F9C"/>
              </w:rPr>
              <w:t>1,039</w:t>
            </w:r>
          </w:p>
        </w:tc>
        <w:tc>
          <w:tcPr>
            <w:tcW w:w="5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0C5F9C"/>
            </w:tcBorders>
            <w:shd w:val="clear" w:color="auto" w:fill="0C5F9C"/>
          </w:tcPr>
          <w:p>
            <w:pPr>
              <w:spacing w:after="0"/>
              <w:rPr>
                <w:sz w:val="9"/>
                <w:szCs w:val="9"/>
                <w:color w:val="auto"/>
              </w:rPr>
            </w:pPr>
          </w:p>
        </w:tc>
        <w:tc>
          <w:tcPr>
            <w:tcW w:w="160" w:type="dxa"/>
            <w:vAlign w:val="bottom"/>
            <w:tcBorders>
              <w:bottom w:val="single" w:sz="8" w:color="0C5F9C"/>
            </w:tcBorders>
            <w:shd w:val="clear" w:color="auto" w:fill="0C5F9C"/>
          </w:tcPr>
          <w:p>
            <w:pPr>
              <w:spacing w:after="0"/>
              <w:rPr>
                <w:sz w:val="9"/>
                <w:szCs w:val="9"/>
                <w:color w:val="auto"/>
              </w:rPr>
            </w:pPr>
          </w:p>
        </w:tc>
        <w:tc>
          <w:tcPr>
            <w:tcW w:w="80" w:type="dxa"/>
            <w:vAlign w:val="bottom"/>
            <w:tcBorders>
              <w:bottom w:val="single" w:sz="8" w:color="0C5F9C"/>
            </w:tcBorders>
            <w:shd w:val="clear" w:color="auto" w:fill="0C5F9C"/>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0C5F9C"/>
          </w:tcPr>
          <w:p>
            <w:pPr>
              <w:spacing w:after="0"/>
              <w:rPr>
                <w:sz w:val="4"/>
                <w:szCs w:val="4"/>
                <w:color w:val="auto"/>
              </w:rPr>
            </w:pPr>
          </w:p>
        </w:tc>
        <w:tc>
          <w:tcPr>
            <w:tcW w:w="160" w:type="dxa"/>
            <w:vAlign w:val="bottom"/>
            <w:shd w:val="clear" w:color="auto" w:fill="0C5F9C"/>
          </w:tcPr>
          <w:p>
            <w:pPr>
              <w:spacing w:after="0"/>
              <w:rPr>
                <w:sz w:val="4"/>
                <w:szCs w:val="4"/>
                <w:color w:val="auto"/>
              </w:rPr>
            </w:pPr>
          </w:p>
        </w:tc>
        <w:tc>
          <w:tcPr>
            <w:tcW w:w="80" w:type="dxa"/>
            <w:vAlign w:val="bottom"/>
            <w:shd w:val="clear" w:color="auto" w:fill="0C5F9C"/>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12213B"/>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12213B"/>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24AAC0"/>
            </w:tcBorders>
          </w:tcPr>
          <w:p>
            <w:pPr>
              <w:spacing w:after="0"/>
              <w:rPr>
                <w:sz w:val="8"/>
                <w:szCs w:val="8"/>
                <w:color w:val="auto"/>
              </w:rPr>
            </w:pPr>
          </w:p>
        </w:tc>
        <w:tc>
          <w:tcPr>
            <w:tcW w:w="160" w:type="dxa"/>
            <w:vAlign w:val="bottom"/>
            <w:tcBorders>
              <w:bottom w:val="single" w:sz="8" w:color="24AAC0"/>
            </w:tcBorders>
          </w:tcPr>
          <w:p>
            <w:pPr>
              <w:spacing w:after="0"/>
              <w:rPr>
                <w:sz w:val="8"/>
                <w:szCs w:val="8"/>
                <w:color w:val="auto"/>
              </w:rPr>
            </w:pPr>
          </w:p>
        </w:tc>
        <w:tc>
          <w:tcPr>
            <w:tcW w:w="100" w:type="dxa"/>
            <w:vAlign w:val="bottom"/>
            <w:tcBorders>
              <w:bottom w:val="single" w:sz="8" w:color="24AAC0"/>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0C5F9C"/>
            </w:tcBorders>
            <w:shd w:val="clear" w:color="auto" w:fill="0C5F9C"/>
          </w:tcPr>
          <w:p>
            <w:pPr>
              <w:spacing w:after="0"/>
              <w:rPr>
                <w:sz w:val="8"/>
                <w:szCs w:val="8"/>
                <w:color w:val="auto"/>
              </w:rPr>
            </w:pPr>
          </w:p>
        </w:tc>
        <w:tc>
          <w:tcPr>
            <w:tcW w:w="160" w:type="dxa"/>
            <w:vAlign w:val="bottom"/>
            <w:tcBorders>
              <w:bottom w:val="single" w:sz="8" w:color="0C5F9C"/>
            </w:tcBorders>
            <w:shd w:val="clear" w:color="auto" w:fill="0C5F9C"/>
          </w:tcPr>
          <w:p>
            <w:pPr>
              <w:spacing w:after="0"/>
              <w:rPr>
                <w:sz w:val="8"/>
                <w:szCs w:val="8"/>
                <w:color w:val="auto"/>
              </w:rPr>
            </w:pPr>
          </w:p>
        </w:tc>
        <w:tc>
          <w:tcPr>
            <w:tcW w:w="80" w:type="dxa"/>
            <w:vAlign w:val="bottom"/>
            <w:tcBorders>
              <w:bottom w:val="single" w:sz="8" w:color="0C5F9C"/>
            </w:tcBorders>
            <w:shd w:val="clear" w:color="auto" w:fill="0C5F9C"/>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12213B"/>
              </w:rPr>
              <w:t>3,000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5"/>
            <w:vMerge w:val="restart"/>
          </w:tcPr>
          <w:p>
            <w:pPr>
              <w:jc w:val="center"/>
              <w:ind w:left="115"/>
              <w:spacing w:after="0"/>
              <w:rPr>
                <w:sz w:val="20"/>
                <w:szCs w:val="20"/>
                <w:color w:val="auto"/>
              </w:rPr>
            </w:pPr>
            <w:r>
              <w:rPr>
                <w:rFonts w:ascii="Arial" w:cs="Arial" w:eastAsia="Arial" w:hAnsi="Arial"/>
                <w:sz w:val="14"/>
                <w:szCs w:val="14"/>
                <w:b w:val="1"/>
                <w:bCs w:val="1"/>
                <w:color w:val="24AAC0"/>
              </w:rPr>
              <w:t>56</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12213B"/>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gridSpan w:val="4"/>
            <w:vMerge w:val="restart"/>
          </w:tcPr>
          <w:p>
            <w:pPr>
              <w:ind w:left="160"/>
              <w:spacing w:after="0" w:line="123" w:lineRule="exact"/>
              <w:rPr>
                <w:sz w:val="20"/>
                <w:szCs w:val="20"/>
                <w:color w:val="auto"/>
              </w:rPr>
            </w:pPr>
            <w:r>
              <w:rPr>
                <w:rFonts w:ascii="Arial" w:cs="Arial" w:eastAsia="Arial" w:hAnsi="Arial"/>
                <w:sz w:val="14"/>
                <w:szCs w:val="14"/>
                <w:b w:val="1"/>
                <w:bCs w:val="1"/>
                <w:color w:val="0C5F9C"/>
              </w:rPr>
              <w:t>771</w:t>
            </w:r>
          </w:p>
        </w:tc>
        <w:tc>
          <w:tcPr>
            <w:tcW w:w="140" w:type="dxa"/>
            <w:vAlign w:val="bottom"/>
          </w:tcPr>
          <w:p>
            <w:pPr>
              <w:spacing w:after="0"/>
              <w:rPr>
                <w:sz w:val="5"/>
                <w:szCs w:val="5"/>
                <w:color w:val="auto"/>
              </w:rPr>
            </w:pPr>
          </w:p>
        </w:tc>
        <w:tc>
          <w:tcPr>
            <w:tcW w:w="420" w:type="dxa"/>
            <w:vAlign w:val="bottom"/>
            <w:gridSpan w:val="3"/>
            <w:vMerge w:val="restart"/>
          </w:tcPr>
          <w:p>
            <w:pPr>
              <w:jc w:val="center"/>
              <w:spacing w:after="0" w:line="140" w:lineRule="exact"/>
              <w:rPr>
                <w:sz w:val="20"/>
                <w:szCs w:val="20"/>
                <w:color w:val="auto"/>
              </w:rPr>
            </w:pPr>
            <w:r>
              <w:rPr>
                <w:rFonts w:ascii="Arial" w:cs="Arial" w:eastAsia="Arial" w:hAnsi="Arial"/>
                <w:sz w:val="14"/>
                <w:szCs w:val="14"/>
                <w:b w:val="1"/>
                <w:bCs w:val="1"/>
                <w:color w:val="12213B"/>
              </w:rPr>
              <w:t>1,586</w:t>
            </w:r>
          </w:p>
        </w:tc>
        <w:tc>
          <w:tcPr>
            <w:tcW w:w="220" w:type="dxa"/>
            <w:vAlign w:val="bottom"/>
          </w:tcPr>
          <w:p>
            <w:pPr>
              <w:spacing w:after="0"/>
              <w:rPr>
                <w:sz w:val="5"/>
                <w:szCs w:val="5"/>
                <w:color w:val="auto"/>
              </w:rPr>
            </w:pPr>
          </w:p>
        </w:tc>
        <w:tc>
          <w:tcPr>
            <w:tcW w:w="80" w:type="dxa"/>
            <w:vAlign w:val="bottom"/>
            <w:tcBorders>
              <w:bottom w:val="single" w:sz="8" w:color="0C5F9C"/>
            </w:tcBorders>
            <w:shd w:val="clear" w:color="auto" w:fill="0C5F9C"/>
          </w:tcPr>
          <w:p>
            <w:pPr>
              <w:spacing w:after="0"/>
              <w:rPr>
                <w:sz w:val="5"/>
                <w:szCs w:val="5"/>
                <w:color w:val="auto"/>
              </w:rPr>
            </w:pPr>
          </w:p>
        </w:tc>
        <w:tc>
          <w:tcPr>
            <w:tcW w:w="160" w:type="dxa"/>
            <w:vAlign w:val="bottom"/>
            <w:tcBorders>
              <w:bottom w:val="single" w:sz="8" w:color="0C5F9C"/>
            </w:tcBorders>
            <w:shd w:val="clear" w:color="auto" w:fill="0C5F9C"/>
          </w:tcPr>
          <w:p>
            <w:pPr>
              <w:spacing w:after="0"/>
              <w:rPr>
                <w:sz w:val="5"/>
                <w:szCs w:val="5"/>
                <w:color w:val="auto"/>
              </w:rPr>
            </w:pPr>
          </w:p>
        </w:tc>
        <w:tc>
          <w:tcPr>
            <w:tcW w:w="100" w:type="dxa"/>
            <w:vAlign w:val="bottom"/>
            <w:tcBorders>
              <w:bottom w:val="single" w:sz="8" w:color="0C5F9C"/>
            </w:tcBorders>
            <w:shd w:val="clear" w:color="auto" w:fill="0C5F9C"/>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0C5F9C"/>
            </w:tcBorders>
            <w:shd w:val="clear" w:color="auto" w:fill="0C5F9C"/>
          </w:tcPr>
          <w:p>
            <w:pPr>
              <w:spacing w:after="0"/>
              <w:rPr>
                <w:sz w:val="5"/>
                <w:szCs w:val="5"/>
                <w:color w:val="auto"/>
              </w:rPr>
            </w:pPr>
          </w:p>
        </w:tc>
        <w:tc>
          <w:tcPr>
            <w:tcW w:w="160" w:type="dxa"/>
            <w:vAlign w:val="bottom"/>
            <w:tcBorders>
              <w:bottom w:val="single" w:sz="8" w:color="0C5F9C"/>
            </w:tcBorders>
            <w:shd w:val="clear" w:color="auto" w:fill="0C5F9C"/>
          </w:tcPr>
          <w:p>
            <w:pPr>
              <w:spacing w:after="0"/>
              <w:rPr>
                <w:sz w:val="5"/>
                <w:szCs w:val="5"/>
                <w:color w:val="auto"/>
              </w:rPr>
            </w:pPr>
          </w:p>
        </w:tc>
        <w:tc>
          <w:tcPr>
            <w:tcW w:w="80" w:type="dxa"/>
            <w:vAlign w:val="bottom"/>
            <w:tcBorders>
              <w:bottom w:val="single" w:sz="8" w:color="0C5F9C"/>
            </w:tcBorders>
            <w:shd w:val="clear" w:color="auto" w:fill="0C5F9C"/>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Borders>
              <w:bottom w:val="single" w:sz="8" w:color="12213B"/>
            </w:tcBorders>
          </w:tcPr>
          <w:p>
            <w:pPr>
              <w:spacing w:after="0"/>
              <w:rPr>
                <w:sz w:val="4"/>
                <w:szCs w:val="4"/>
                <w:color w:val="auto"/>
              </w:rPr>
            </w:pPr>
          </w:p>
        </w:tc>
        <w:tc>
          <w:tcPr>
            <w:tcW w:w="80" w:type="dxa"/>
            <w:vAlign w:val="bottom"/>
            <w:tcBorders>
              <w:bottom w:val="single" w:sz="8" w:color="12213B"/>
            </w:tcBorders>
          </w:tcPr>
          <w:p>
            <w:pPr>
              <w:spacing w:after="0"/>
              <w:rPr>
                <w:sz w:val="4"/>
                <w:szCs w:val="4"/>
                <w:color w:val="auto"/>
              </w:rPr>
            </w:pPr>
          </w:p>
        </w:tc>
        <w:tc>
          <w:tcPr>
            <w:tcW w:w="540" w:type="dxa"/>
            <w:vAlign w:val="bottom"/>
            <w:gridSpan w:val="5"/>
            <w:vMerge w:val="continue"/>
          </w:tcPr>
          <w:p>
            <w:pPr>
              <w:spacing w:after="0"/>
              <w:rPr>
                <w:sz w:val="4"/>
                <w:szCs w:val="4"/>
                <w:color w:val="auto"/>
              </w:rPr>
            </w:pPr>
          </w:p>
        </w:tc>
        <w:tc>
          <w:tcPr>
            <w:tcW w:w="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0C5F9C"/>
              </w:rPr>
              <w:t>520</w:t>
            </w:r>
          </w:p>
        </w:tc>
        <w:tc>
          <w:tcPr>
            <w:tcW w:w="10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0C5F9C"/>
            </w:tcBorders>
            <w:shd w:val="clear" w:color="auto" w:fill="0C5F9C"/>
          </w:tcPr>
          <w:p>
            <w:pPr>
              <w:spacing w:after="0"/>
              <w:rPr>
                <w:sz w:val="4"/>
                <w:szCs w:val="4"/>
                <w:color w:val="auto"/>
              </w:rPr>
            </w:pPr>
          </w:p>
        </w:tc>
        <w:tc>
          <w:tcPr>
            <w:tcW w:w="160" w:type="dxa"/>
            <w:vAlign w:val="bottom"/>
            <w:tcBorders>
              <w:bottom w:val="single" w:sz="8" w:color="0C5F9C"/>
            </w:tcBorders>
            <w:shd w:val="clear" w:color="auto" w:fill="0C5F9C"/>
          </w:tcPr>
          <w:p>
            <w:pPr>
              <w:spacing w:after="0"/>
              <w:rPr>
                <w:sz w:val="4"/>
                <w:szCs w:val="4"/>
                <w:color w:val="auto"/>
              </w:rPr>
            </w:pPr>
          </w:p>
        </w:tc>
        <w:tc>
          <w:tcPr>
            <w:tcW w:w="100" w:type="dxa"/>
            <w:vAlign w:val="bottom"/>
            <w:tcBorders>
              <w:bottom w:val="single" w:sz="8" w:color="0C5F9C"/>
            </w:tcBorders>
            <w:shd w:val="clear" w:color="auto" w:fill="0C5F9C"/>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0C5F9C"/>
            </w:tcBorders>
            <w:shd w:val="clear" w:color="auto" w:fill="0C5F9C"/>
          </w:tcPr>
          <w:p>
            <w:pPr>
              <w:spacing w:after="0"/>
              <w:rPr>
                <w:sz w:val="4"/>
                <w:szCs w:val="4"/>
                <w:color w:val="auto"/>
              </w:rPr>
            </w:pPr>
          </w:p>
        </w:tc>
        <w:tc>
          <w:tcPr>
            <w:tcW w:w="160" w:type="dxa"/>
            <w:vAlign w:val="bottom"/>
            <w:tcBorders>
              <w:bottom w:val="single" w:sz="8" w:color="0C5F9C"/>
            </w:tcBorders>
            <w:shd w:val="clear" w:color="auto" w:fill="0C5F9C"/>
          </w:tcPr>
          <w:p>
            <w:pPr>
              <w:spacing w:after="0"/>
              <w:rPr>
                <w:sz w:val="4"/>
                <w:szCs w:val="4"/>
                <w:color w:val="auto"/>
              </w:rPr>
            </w:pPr>
          </w:p>
        </w:tc>
        <w:tc>
          <w:tcPr>
            <w:tcW w:w="80" w:type="dxa"/>
            <w:vAlign w:val="bottom"/>
            <w:tcBorders>
              <w:bottom w:val="single" w:sz="8" w:color="0C5F9C"/>
            </w:tcBorders>
            <w:shd w:val="clear" w:color="auto" w:fill="0C5F9C"/>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5"/>
            <w:vMerge w:val="continue"/>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2213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C5F9C"/>
            </w:tcBorders>
            <w:shd w:val="clear" w:color="auto" w:fill="0C5F9C"/>
          </w:tcPr>
          <w:p>
            <w:pPr>
              <w:spacing w:after="0" w:line="20" w:lineRule="exact"/>
              <w:rPr>
                <w:sz w:val="1"/>
                <w:szCs w:val="1"/>
                <w:color w:val="auto"/>
              </w:rPr>
            </w:pPr>
          </w:p>
        </w:tc>
        <w:tc>
          <w:tcPr>
            <w:tcW w:w="160" w:type="dxa"/>
            <w:vAlign w:val="bottom"/>
            <w:tcBorders>
              <w:bottom w:val="single" w:sz="8" w:color="0C5F9C"/>
            </w:tcBorders>
            <w:shd w:val="clear" w:color="auto" w:fill="0C5F9C"/>
          </w:tcPr>
          <w:p>
            <w:pPr>
              <w:spacing w:after="0" w:line="20" w:lineRule="exact"/>
              <w:rPr>
                <w:sz w:val="1"/>
                <w:szCs w:val="1"/>
                <w:color w:val="auto"/>
              </w:rPr>
            </w:pPr>
          </w:p>
        </w:tc>
        <w:tc>
          <w:tcPr>
            <w:tcW w:w="100" w:type="dxa"/>
            <w:vAlign w:val="bottom"/>
            <w:tcBorders>
              <w:bottom w:val="single" w:sz="8" w:color="0C5F9C"/>
            </w:tcBorders>
            <w:shd w:val="clear" w:color="auto" w:fill="0C5F9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C5F9C"/>
            </w:tcBorders>
            <w:shd w:val="clear" w:color="auto" w:fill="0C5F9C"/>
          </w:tcPr>
          <w:p>
            <w:pPr>
              <w:spacing w:after="0" w:line="20" w:lineRule="exact"/>
              <w:rPr>
                <w:sz w:val="1"/>
                <w:szCs w:val="1"/>
                <w:color w:val="auto"/>
              </w:rPr>
            </w:pPr>
          </w:p>
        </w:tc>
        <w:tc>
          <w:tcPr>
            <w:tcW w:w="160" w:type="dxa"/>
            <w:vAlign w:val="bottom"/>
            <w:tcBorders>
              <w:bottom w:val="single" w:sz="8" w:color="0C5F9C"/>
            </w:tcBorders>
            <w:shd w:val="clear" w:color="auto" w:fill="0C5F9C"/>
          </w:tcPr>
          <w:p>
            <w:pPr>
              <w:spacing w:after="0" w:line="20" w:lineRule="exact"/>
              <w:rPr>
                <w:sz w:val="1"/>
                <w:szCs w:val="1"/>
                <w:color w:val="auto"/>
              </w:rPr>
            </w:pPr>
          </w:p>
        </w:tc>
        <w:tc>
          <w:tcPr>
            <w:tcW w:w="80" w:type="dxa"/>
            <w:vAlign w:val="bottom"/>
            <w:tcBorders>
              <w:bottom w:val="single" w:sz="8" w:color="0C5F9C"/>
            </w:tcBorders>
            <w:shd w:val="clear" w:color="auto" w:fill="0C5F9C"/>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12213B"/>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1,202</w:t>
            </w:r>
          </w:p>
        </w:tc>
        <w:tc>
          <w:tcPr>
            <w:tcW w:w="140" w:type="dxa"/>
            <w:vAlign w:val="bottom"/>
          </w:tcPr>
          <w:p>
            <w:pPr>
              <w:spacing w:after="0"/>
              <w:rPr>
                <w:sz w:val="10"/>
                <w:szCs w:val="10"/>
                <w:color w:val="auto"/>
              </w:rPr>
            </w:pPr>
          </w:p>
        </w:tc>
        <w:tc>
          <w:tcPr>
            <w:tcW w:w="140" w:type="dxa"/>
            <w:vAlign w:val="bottom"/>
            <w:tcBorders>
              <w:right w:val="single" w:sz="8" w:color="24AAC0"/>
            </w:tcBorders>
          </w:tcPr>
          <w:p>
            <w:pPr>
              <w:spacing w:after="0"/>
              <w:rPr>
                <w:sz w:val="10"/>
                <w:szCs w:val="10"/>
                <w:color w:val="auto"/>
              </w:rPr>
            </w:pPr>
          </w:p>
        </w:tc>
        <w:tc>
          <w:tcPr>
            <w:tcW w:w="160" w:type="dxa"/>
            <w:vAlign w:val="bottom"/>
            <w:tcBorders>
              <w:bottom w:val="single" w:sz="8" w:color="24AAC0"/>
            </w:tcBorders>
            <w:shd w:val="clear" w:color="auto" w:fill="24AAC0"/>
          </w:tcPr>
          <w:p>
            <w:pPr>
              <w:spacing w:after="0"/>
              <w:rPr>
                <w:sz w:val="10"/>
                <w:szCs w:val="10"/>
                <w:color w:val="auto"/>
              </w:rPr>
            </w:pPr>
          </w:p>
        </w:tc>
        <w:tc>
          <w:tcPr>
            <w:tcW w:w="120" w:type="dxa"/>
            <w:vAlign w:val="bottom"/>
            <w:tcBorders>
              <w:bottom w:val="single" w:sz="8" w:color="24AAC0"/>
            </w:tcBorders>
            <w:shd w:val="clear" w:color="auto" w:fill="24AAC0"/>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0C5F9C"/>
            </w:tcBorders>
            <w:shd w:val="clear" w:color="auto" w:fill="0C5F9C"/>
          </w:tcPr>
          <w:p>
            <w:pPr>
              <w:spacing w:after="0"/>
              <w:rPr>
                <w:sz w:val="10"/>
                <w:szCs w:val="10"/>
                <w:color w:val="auto"/>
              </w:rPr>
            </w:pPr>
          </w:p>
        </w:tc>
        <w:tc>
          <w:tcPr>
            <w:tcW w:w="160" w:type="dxa"/>
            <w:vAlign w:val="bottom"/>
            <w:tcBorders>
              <w:bottom w:val="single" w:sz="8" w:color="0C5F9C"/>
            </w:tcBorders>
            <w:shd w:val="clear" w:color="auto" w:fill="0C5F9C"/>
          </w:tcPr>
          <w:p>
            <w:pPr>
              <w:spacing w:after="0"/>
              <w:rPr>
                <w:sz w:val="10"/>
                <w:szCs w:val="10"/>
                <w:color w:val="auto"/>
              </w:rPr>
            </w:pPr>
          </w:p>
        </w:tc>
        <w:tc>
          <w:tcPr>
            <w:tcW w:w="100" w:type="dxa"/>
            <w:vAlign w:val="bottom"/>
            <w:tcBorders>
              <w:bottom w:val="single" w:sz="8" w:color="0C5F9C"/>
            </w:tcBorders>
            <w:shd w:val="clear" w:color="auto" w:fill="0C5F9C"/>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12213B"/>
            </w:tcBorders>
            <w:shd w:val="clear" w:color="auto" w:fill="12213B"/>
          </w:tcPr>
          <w:p>
            <w:pPr>
              <w:spacing w:after="0"/>
              <w:rPr>
                <w:sz w:val="10"/>
                <w:szCs w:val="10"/>
                <w:color w:val="auto"/>
              </w:rPr>
            </w:pPr>
          </w:p>
        </w:tc>
        <w:tc>
          <w:tcPr>
            <w:tcW w:w="160" w:type="dxa"/>
            <w:vAlign w:val="bottom"/>
            <w:tcBorders>
              <w:bottom w:val="single" w:sz="8" w:color="12213B"/>
            </w:tcBorders>
            <w:shd w:val="clear" w:color="auto" w:fill="12213B"/>
          </w:tcPr>
          <w:p>
            <w:pPr>
              <w:spacing w:after="0"/>
              <w:rPr>
                <w:sz w:val="10"/>
                <w:szCs w:val="10"/>
                <w:color w:val="auto"/>
              </w:rPr>
            </w:pPr>
          </w:p>
        </w:tc>
        <w:tc>
          <w:tcPr>
            <w:tcW w:w="80" w:type="dxa"/>
            <w:vAlign w:val="bottom"/>
            <w:tcBorders>
              <w:bottom w:val="single" w:sz="8" w:color="12213B"/>
            </w:tcBorders>
            <w:shd w:val="clear" w:color="auto" w:fill="12213B"/>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gridSpan w:val="5"/>
            <w:vMerge w:val="restart"/>
          </w:tcPr>
          <w:p>
            <w:pPr>
              <w:jc w:val="center"/>
              <w:ind w:left="115"/>
              <w:spacing w:after="0" w:line="143" w:lineRule="exact"/>
              <w:rPr>
                <w:sz w:val="20"/>
                <w:szCs w:val="20"/>
                <w:color w:val="auto"/>
              </w:rPr>
            </w:pPr>
            <w:r>
              <w:rPr>
                <w:rFonts w:ascii="Arial" w:cs="Arial" w:eastAsia="Arial" w:hAnsi="Arial"/>
                <w:sz w:val="14"/>
                <w:szCs w:val="14"/>
                <w:b w:val="1"/>
                <w:bCs w:val="1"/>
                <w:color w:val="0C5F9C"/>
              </w:rPr>
              <w:t>319</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12213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C5F9C"/>
            </w:tcBorders>
          </w:tcPr>
          <w:p>
            <w:pPr>
              <w:spacing w:after="0" w:line="20" w:lineRule="exact"/>
              <w:rPr>
                <w:sz w:val="1"/>
                <w:szCs w:val="1"/>
                <w:color w:val="auto"/>
              </w:rPr>
            </w:pPr>
          </w:p>
        </w:tc>
        <w:tc>
          <w:tcPr>
            <w:tcW w:w="160" w:type="dxa"/>
            <w:vAlign w:val="bottom"/>
            <w:tcBorders>
              <w:top w:val="single" w:sz="8" w:color="0C5F9C"/>
              <w:bottom w:val="single" w:sz="8" w:color="0C5F9C"/>
            </w:tcBorders>
            <w:shd w:val="clear" w:color="auto" w:fill="0C5F9C"/>
          </w:tcPr>
          <w:p>
            <w:pPr>
              <w:spacing w:after="0" w:line="20" w:lineRule="exact"/>
              <w:rPr>
                <w:sz w:val="1"/>
                <w:szCs w:val="1"/>
                <w:color w:val="auto"/>
              </w:rPr>
            </w:pPr>
          </w:p>
        </w:tc>
        <w:tc>
          <w:tcPr>
            <w:tcW w:w="120" w:type="dxa"/>
            <w:vAlign w:val="bottom"/>
            <w:tcBorders>
              <w:top w:val="single" w:sz="8" w:color="0C5F9C"/>
              <w:bottom w:val="single" w:sz="8" w:color="0C5F9C"/>
            </w:tcBorders>
            <w:shd w:val="clear" w:color="auto" w:fill="0C5F9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C5F9C"/>
              <w:bottom w:val="single" w:sz="8" w:color="0C5F9C"/>
            </w:tcBorders>
            <w:shd w:val="clear" w:color="auto" w:fill="0C5F9C"/>
          </w:tcPr>
          <w:p>
            <w:pPr>
              <w:spacing w:after="0" w:line="20" w:lineRule="exact"/>
              <w:rPr>
                <w:sz w:val="1"/>
                <w:szCs w:val="1"/>
                <w:color w:val="auto"/>
              </w:rPr>
            </w:pPr>
          </w:p>
        </w:tc>
        <w:tc>
          <w:tcPr>
            <w:tcW w:w="160" w:type="dxa"/>
            <w:vAlign w:val="bottom"/>
            <w:tcBorders>
              <w:top w:val="single" w:sz="8" w:color="0C5F9C"/>
              <w:bottom w:val="single" w:sz="8" w:color="0C5F9C"/>
            </w:tcBorders>
            <w:shd w:val="clear" w:color="auto" w:fill="0C5F9C"/>
          </w:tcPr>
          <w:p>
            <w:pPr>
              <w:spacing w:after="0" w:line="20" w:lineRule="exact"/>
              <w:rPr>
                <w:sz w:val="1"/>
                <w:szCs w:val="1"/>
                <w:color w:val="auto"/>
              </w:rPr>
            </w:pPr>
          </w:p>
        </w:tc>
        <w:tc>
          <w:tcPr>
            <w:tcW w:w="100" w:type="dxa"/>
            <w:vAlign w:val="bottom"/>
            <w:tcBorders>
              <w:top w:val="single" w:sz="8" w:color="0C5F9C"/>
              <w:bottom w:val="single" w:sz="8" w:color="0C5F9C"/>
            </w:tcBorders>
            <w:shd w:val="clear" w:color="auto" w:fill="0C5F9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12213B"/>
              <w:bottom w:val="single" w:sz="8" w:color="12213B"/>
            </w:tcBorders>
            <w:shd w:val="clear" w:color="auto" w:fill="12213B"/>
          </w:tcPr>
          <w:p>
            <w:pPr>
              <w:spacing w:after="0" w:line="20" w:lineRule="exact"/>
              <w:rPr>
                <w:sz w:val="1"/>
                <w:szCs w:val="1"/>
                <w:color w:val="auto"/>
              </w:rPr>
            </w:pPr>
          </w:p>
        </w:tc>
        <w:tc>
          <w:tcPr>
            <w:tcW w:w="160" w:type="dxa"/>
            <w:vAlign w:val="bottom"/>
            <w:tcBorders>
              <w:top w:val="single" w:sz="8" w:color="12213B"/>
              <w:bottom w:val="single" w:sz="8" w:color="12213B"/>
            </w:tcBorders>
            <w:shd w:val="clear" w:color="auto" w:fill="12213B"/>
          </w:tcPr>
          <w:p>
            <w:pPr>
              <w:spacing w:after="0" w:line="20" w:lineRule="exact"/>
              <w:rPr>
                <w:sz w:val="1"/>
                <w:szCs w:val="1"/>
                <w:color w:val="auto"/>
              </w:rPr>
            </w:pPr>
          </w:p>
        </w:tc>
        <w:tc>
          <w:tcPr>
            <w:tcW w:w="80" w:type="dxa"/>
            <w:vAlign w:val="bottom"/>
            <w:tcBorders>
              <w:top w:val="single" w:sz="8" w:color="12213B"/>
              <w:bottom w:val="single" w:sz="8" w:color="12213B"/>
            </w:tcBorders>
            <w:shd w:val="clear" w:color="auto" w:fill="12213B"/>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right"/>
              <w:ind w:right="10"/>
              <w:spacing w:after="0" w:line="155" w:lineRule="exact"/>
              <w:rPr>
                <w:sz w:val="20"/>
                <w:szCs w:val="20"/>
                <w:color w:val="auto"/>
              </w:rPr>
            </w:pPr>
            <w:r>
              <w:rPr>
                <w:rFonts w:ascii="Arial" w:cs="Arial" w:eastAsia="Arial" w:hAnsi="Arial"/>
                <w:sz w:val="14"/>
                <w:szCs w:val="14"/>
                <w:color w:val="12213B"/>
              </w:rPr>
              <w:t>2,000</w:t>
            </w:r>
          </w:p>
        </w:tc>
        <w:tc>
          <w:tcPr>
            <w:tcW w:w="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gridSpan w:val="5"/>
            <w:vMerge w:val="continue"/>
          </w:tcPr>
          <w:p>
            <w:pPr>
              <w:spacing w:after="0"/>
              <w:rPr>
                <w:sz w:val="13"/>
                <w:szCs w:val="13"/>
                <w:color w:val="auto"/>
              </w:rPr>
            </w:pPr>
          </w:p>
        </w:tc>
        <w:tc>
          <w:tcPr>
            <w:tcW w:w="560" w:type="dxa"/>
            <w:vAlign w:val="bottom"/>
            <w:gridSpan w:val="4"/>
          </w:tcPr>
          <w:p>
            <w:pPr>
              <w:ind w:left="260"/>
              <w:spacing w:after="0" w:line="155" w:lineRule="exact"/>
              <w:rPr>
                <w:sz w:val="20"/>
                <w:szCs w:val="20"/>
                <w:color w:val="auto"/>
              </w:rPr>
            </w:pPr>
            <w:r>
              <w:rPr>
                <w:rFonts w:ascii="Arial" w:cs="Arial" w:eastAsia="Arial" w:hAnsi="Arial"/>
                <w:sz w:val="14"/>
                <w:szCs w:val="14"/>
                <w:b w:val="1"/>
                <w:bCs w:val="1"/>
                <w:color w:val="12213B"/>
              </w:rPr>
              <w:t>993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24AAC0"/>
            </w:tcBorders>
          </w:tcPr>
          <w:p>
            <w:pPr>
              <w:spacing w:after="0"/>
              <w:rPr>
                <w:sz w:val="13"/>
                <w:szCs w:val="13"/>
                <w:color w:val="auto"/>
              </w:rPr>
            </w:pPr>
          </w:p>
        </w:tc>
        <w:tc>
          <w:tcPr>
            <w:tcW w:w="160" w:type="dxa"/>
            <w:vAlign w:val="bottom"/>
            <w:tcBorders>
              <w:bottom w:val="single" w:sz="8" w:color="24AAC0"/>
            </w:tcBorders>
          </w:tcPr>
          <w:p>
            <w:pPr>
              <w:spacing w:after="0"/>
              <w:rPr>
                <w:sz w:val="13"/>
                <w:szCs w:val="13"/>
                <w:color w:val="auto"/>
              </w:rPr>
            </w:pPr>
          </w:p>
        </w:tc>
        <w:tc>
          <w:tcPr>
            <w:tcW w:w="100" w:type="dxa"/>
            <w:vAlign w:val="bottom"/>
            <w:tcBorders>
              <w:bottom w:val="single" w:sz="8" w:color="24AAC0"/>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right w:val="single" w:sz="8" w:color="0C5F9C"/>
            </w:tcBorders>
          </w:tcPr>
          <w:p>
            <w:pPr>
              <w:spacing w:after="0"/>
              <w:rPr>
                <w:sz w:val="13"/>
                <w:szCs w:val="13"/>
                <w:color w:val="auto"/>
              </w:rPr>
            </w:pPr>
          </w:p>
        </w:tc>
        <w:tc>
          <w:tcPr>
            <w:tcW w:w="160" w:type="dxa"/>
            <w:vAlign w:val="bottom"/>
            <w:tcBorders>
              <w:bottom w:val="single" w:sz="8" w:color="0C5F9C"/>
            </w:tcBorders>
            <w:shd w:val="clear" w:color="auto" w:fill="0C5F9C"/>
          </w:tcPr>
          <w:p>
            <w:pPr>
              <w:spacing w:after="0"/>
              <w:rPr>
                <w:sz w:val="13"/>
                <w:szCs w:val="13"/>
                <w:color w:val="auto"/>
              </w:rPr>
            </w:pPr>
          </w:p>
        </w:tc>
        <w:tc>
          <w:tcPr>
            <w:tcW w:w="120" w:type="dxa"/>
            <w:vAlign w:val="bottom"/>
            <w:tcBorders>
              <w:bottom w:val="single" w:sz="8" w:color="0C5F9C"/>
            </w:tcBorders>
            <w:shd w:val="clear" w:color="auto" w:fill="0C5F9C"/>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12213B"/>
            </w:tcBorders>
            <w:shd w:val="clear" w:color="auto" w:fill="12213B"/>
          </w:tcPr>
          <w:p>
            <w:pPr>
              <w:spacing w:after="0"/>
              <w:rPr>
                <w:sz w:val="13"/>
                <w:szCs w:val="13"/>
                <w:color w:val="auto"/>
              </w:rPr>
            </w:pPr>
          </w:p>
        </w:tc>
        <w:tc>
          <w:tcPr>
            <w:tcW w:w="160" w:type="dxa"/>
            <w:vAlign w:val="bottom"/>
            <w:tcBorders>
              <w:bottom w:val="single" w:sz="8" w:color="12213B"/>
            </w:tcBorders>
            <w:shd w:val="clear" w:color="auto" w:fill="12213B"/>
          </w:tcPr>
          <w:p>
            <w:pPr>
              <w:spacing w:after="0"/>
              <w:rPr>
                <w:sz w:val="13"/>
                <w:szCs w:val="13"/>
                <w:color w:val="auto"/>
              </w:rPr>
            </w:pPr>
          </w:p>
        </w:tc>
        <w:tc>
          <w:tcPr>
            <w:tcW w:w="100" w:type="dxa"/>
            <w:vAlign w:val="bottom"/>
            <w:tcBorders>
              <w:bottom w:val="single" w:sz="8" w:color="12213B"/>
            </w:tcBorders>
            <w:shd w:val="clear" w:color="auto" w:fill="12213B"/>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12213B"/>
            </w:tcBorders>
            <w:shd w:val="clear" w:color="auto" w:fill="12213B"/>
          </w:tcPr>
          <w:p>
            <w:pPr>
              <w:spacing w:after="0"/>
              <w:rPr>
                <w:sz w:val="13"/>
                <w:szCs w:val="13"/>
                <w:color w:val="auto"/>
              </w:rPr>
            </w:pPr>
          </w:p>
        </w:tc>
        <w:tc>
          <w:tcPr>
            <w:tcW w:w="160" w:type="dxa"/>
            <w:vAlign w:val="bottom"/>
            <w:tcBorders>
              <w:bottom w:val="single" w:sz="8" w:color="12213B"/>
            </w:tcBorders>
            <w:shd w:val="clear" w:color="auto" w:fill="12213B"/>
          </w:tcPr>
          <w:p>
            <w:pPr>
              <w:spacing w:after="0"/>
              <w:rPr>
                <w:sz w:val="13"/>
                <w:szCs w:val="13"/>
                <w:color w:val="auto"/>
              </w:rPr>
            </w:pPr>
          </w:p>
        </w:tc>
        <w:tc>
          <w:tcPr>
            <w:tcW w:w="80" w:type="dxa"/>
            <w:vAlign w:val="bottom"/>
            <w:tcBorders>
              <w:bottom w:val="single" w:sz="8" w:color="12213B"/>
            </w:tcBorders>
            <w:shd w:val="clear" w:color="auto" w:fill="12213B"/>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Borders>
              <w:top w:val="single" w:sz="8" w:color="12213B"/>
            </w:tcBorders>
          </w:tcPr>
          <w:p>
            <w:pPr>
              <w:spacing w:after="0"/>
              <w:rPr>
                <w:sz w:val="8"/>
                <w:szCs w:val="8"/>
                <w:color w:val="auto"/>
              </w:rPr>
            </w:pPr>
          </w:p>
        </w:tc>
        <w:tc>
          <w:tcPr>
            <w:tcW w:w="80" w:type="dxa"/>
            <w:vAlign w:val="bottom"/>
            <w:tcBorders>
              <w:top w:val="single" w:sz="8" w:color="12213B"/>
            </w:tcBorders>
          </w:tcPr>
          <w:p>
            <w:pPr>
              <w:spacing w:after="0"/>
              <w:rPr>
                <w:sz w:val="8"/>
                <w:szCs w:val="8"/>
                <w:color w:val="auto"/>
              </w:rPr>
            </w:pPr>
          </w:p>
        </w:tc>
        <w:tc>
          <w:tcPr>
            <w:tcW w:w="2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shd w:val="clear" w:color="auto" w:fill="12213B"/>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0C5F9C"/>
              <w:bottom w:val="single" w:sz="8" w:color="0C5F9C"/>
            </w:tcBorders>
            <w:shd w:val="clear" w:color="auto" w:fill="0C5F9C"/>
          </w:tcPr>
          <w:p>
            <w:pPr>
              <w:spacing w:after="0"/>
              <w:rPr>
                <w:sz w:val="8"/>
                <w:szCs w:val="8"/>
                <w:color w:val="auto"/>
              </w:rPr>
            </w:pPr>
          </w:p>
        </w:tc>
        <w:tc>
          <w:tcPr>
            <w:tcW w:w="160" w:type="dxa"/>
            <w:vAlign w:val="bottom"/>
            <w:tcBorders>
              <w:top w:val="single" w:sz="8" w:color="0C5F9C"/>
              <w:bottom w:val="single" w:sz="8" w:color="0C5F9C"/>
            </w:tcBorders>
            <w:shd w:val="clear" w:color="auto" w:fill="0C5F9C"/>
          </w:tcPr>
          <w:p>
            <w:pPr>
              <w:spacing w:after="0"/>
              <w:rPr>
                <w:sz w:val="8"/>
                <w:szCs w:val="8"/>
                <w:color w:val="auto"/>
              </w:rPr>
            </w:pPr>
          </w:p>
        </w:tc>
        <w:tc>
          <w:tcPr>
            <w:tcW w:w="100" w:type="dxa"/>
            <w:vAlign w:val="bottom"/>
            <w:tcBorders>
              <w:top w:val="single" w:sz="8" w:color="0C5F9C"/>
              <w:bottom w:val="single" w:sz="8" w:color="0C5F9C"/>
            </w:tcBorders>
            <w:shd w:val="clear" w:color="auto" w:fill="0C5F9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right w:val="single" w:sz="8" w:color="0C5F9C"/>
            </w:tcBorders>
          </w:tcPr>
          <w:p>
            <w:pPr>
              <w:spacing w:after="0"/>
              <w:rPr>
                <w:sz w:val="8"/>
                <w:szCs w:val="8"/>
                <w:color w:val="auto"/>
              </w:rPr>
            </w:pPr>
          </w:p>
        </w:tc>
        <w:tc>
          <w:tcPr>
            <w:tcW w:w="160" w:type="dxa"/>
            <w:vAlign w:val="bottom"/>
            <w:tcBorders>
              <w:top w:val="single" w:sz="8" w:color="0C5F9C"/>
              <w:bottom w:val="single" w:sz="8" w:color="0C5F9C"/>
            </w:tcBorders>
            <w:shd w:val="clear" w:color="auto" w:fill="0C5F9C"/>
          </w:tcPr>
          <w:p>
            <w:pPr>
              <w:spacing w:after="0"/>
              <w:rPr>
                <w:sz w:val="8"/>
                <w:szCs w:val="8"/>
                <w:color w:val="auto"/>
              </w:rPr>
            </w:pPr>
          </w:p>
        </w:tc>
        <w:tc>
          <w:tcPr>
            <w:tcW w:w="120" w:type="dxa"/>
            <w:vAlign w:val="bottom"/>
            <w:tcBorders>
              <w:top w:val="single" w:sz="8" w:color="0C5F9C"/>
              <w:bottom w:val="single" w:sz="8" w:color="0C5F9C"/>
            </w:tcBorders>
            <w:shd w:val="clear" w:color="auto" w:fill="0C5F9C"/>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12213B"/>
              <w:bottom w:val="single" w:sz="8" w:color="12213B"/>
            </w:tcBorders>
            <w:shd w:val="clear" w:color="auto" w:fill="12213B"/>
          </w:tcPr>
          <w:p>
            <w:pPr>
              <w:spacing w:after="0"/>
              <w:rPr>
                <w:sz w:val="8"/>
                <w:szCs w:val="8"/>
                <w:color w:val="auto"/>
              </w:rPr>
            </w:pPr>
          </w:p>
        </w:tc>
        <w:tc>
          <w:tcPr>
            <w:tcW w:w="160" w:type="dxa"/>
            <w:vAlign w:val="bottom"/>
            <w:tcBorders>
              <w:top w:val="single" w:sz="8" w:color="12213B"/>
              <w:bottom w:val="single" w:sz="8" w:color="12213B"/>
            </w:tcBorders>
            <w:shd w:val="clear" w:color="auto" w:fill="12213B"/>
          </w:tcPr>
          <w:p>
            <w:pPr>
              <w:spacing w:after="0"/>
              <w:rPr>
                <w:sz w:val="8"/>
                <w:szCs w:val="8"/>
                <w:color w:val="auto"/>
              </w:rPr>
            </w:pPr>
          </w:p>
        </w:tc>
        <w:tc>
          <w:tcPr>
            <w:tcW w:w="100" w:type="dxa"/>
            <w:vAlign w:val="bottom"/>
            <w:tcBorders>
              <w:top w:val="single" w:sz="8" w:color="12213B"/>
              <w:bottom w:val="single" w:sz="8" w:color="12213B"/>
            </w:tcBorders>
            <w:shd w:val="clear" w:color="auto" w:fill="12213B"/>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12213B"/>
              <w:bottom w:val="single" w:sz="8" w:color="12213B"/>
            </w:tcBorders>
            <w:shd w:val="clear" w:color="auto" w:fill="12213B"/>
          </w:tcPr>
          <w:p>
            <w:pPr>
              <w:spacing w:after="0"/>
              <w:rPr>
                <w:sz w:val="8"/>
                <w:szCs w:val="8"/>
                <w:color w:val="auto"/>
              </w:rPr>
            </w:pPr>
          </w:p>
        </w:tc>
        <w:tc>
          <w:tcPr>
            <w:tcW w:w="160" w:type="dxa"/>
            <w:vAlign w:val="bottom"/>
            <w:tcBorders>
              <w:top w:val="single" w:sz="8" w:color="12213B"/>
              <w:bottom w:val="single" w:sz="8" w:color="12213B"/>
            </w:tcBorders>
            <w:shd w:val="clear" w:color="auto" w:fill="12213B"/>
          </w:tcPr>
          <w:p>
            <w:pPr>
              <w:spacing w:after="0"/>
              <w:rPr>
                <w:sz w:val="8"/>
                <w:szCs w:val="8"/>
                <w:color w:val="auto"/>
              </w:rPr>
            </w:pPr>
          </w:p>
        </w:tc>
        <w:tc>
          <w:tcPr>
            <w:tcW w:w="80" w:type="dxa"/>
            <w:vAlign w:val="bottom"/>
            <w:tcBorders>
              <w:top w:val="single" w:sz="8" w:color="12213B"/>
              <w:bottom w:val="single" w:sz="8" w:color="12213B"/>
            </w:tcBorders>
            <w:shd w:val="clear" w:color="auto" w:fill="12213B"/>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12213B"/>
              </w:rPr>
              <w:t>1,000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5"/>
          </w:tcPr>
          <w:p>
            <w:pPr>
              <w:jc w:val="center"/>
              <w:ind w:left="115"/>
              <w:spacing w:after="0" w:line="95" w:lineRule="exact"/>
              <w:rPr>
                <w:sz w:val="20"/>
                <w:szCs w:val="20"/>
                <w:color w:val="auto"/>
              </w:rPr>
            </w:pPr>
            <w:r>
              <w:rPr>
                <w:rFonts w:ascii="Arial" w:cs="Arial" w:eastAsia="Arial" w:hAnsi="Arial"/>
                <w:sz w:val="11"/>
                <w:szCs w:val="11"/>
                <w:b w:val="1"/>
                <w:bCs w:val="1"/>
                <w:color w:val="12213B"/>
              </w:rPr>
              <w:t>577</w:t>
            </w:r>
          </w:p>
        </w:tc>
        <w:tc>
          <w:tcPr>
            <w:tcW w:w="220" w:type="dxa"/>
            <w:vAlign w:val="bottom"/>
            <w:tcBorders>
              <w:right w:val="single" w:sz="8" w:color="0C5F9C"/>
            </w:tcBorders>
          </w:tcPr>
          <w:p>
            <w:pPr>
              <w:spacing w:after="0"/>
              <w:rPr>
                <w:sz w:val="8"/>
                <w:szCs w:val="8"/>
                <w:color w:val="auto"/>
              </w:rPr>
            </w:pPr>
          </w:p>
        </w:tc>
        <w:tc>
          <w:tcPr>
            <w:tcW w:w="80" w:type="dxa"/>
            <w:vAlign w:val="bottom"/>
            <w:tcBorders>
              <w:top w:val="single" w:sz="8" w:color="24AAC0"/>
            </w:tcBorders>
            <w:shd w:val="clear" w:color="auto" w:fill="0C5F9C"/>
          </w:tcPr>
          <w:p>
            <w:pPr>
              <w:spacing w:after="0"/>
              <w:rPr>
                <w:sz w:val="8"/>
                <w:szCs w:val="8"/>
                <w:color w:val="auto"/>
              </w:rPr>
            </w:pPr>
          </w:p>
        </w:tc>
        <w:tc>
          <w:tcPr>
            <w:tcW w:w="160" w:type="dxa"/>
            <w:vAlign w:val="bottom"/>
            <w:tcBorders>
              <w:top w:val="single" w:sz="8" w:color="24AAC0"/>
            </w:tcBorders>
            <w:shd w:val="clear" w:color="auto" w:fill="0C5F9C"/>
          </w:tcPr>
          <w:p>
            <w:pPr>
              <w:spacing w:after="0"/>
              <w:rPr>
                <w:sz w:val="8"/>
                <w:szCs w:val="8"/>
                <w:color w:val="auto"/>
              </w:rPr>
            </w:pPr>
          </w:p>
        </w:tc>
        <w:tc>
          <w:tcPr>
            <w:tcW w:w="100" w:type="dxa"/>
            <w:vAlign w:val="bottom"/>
            <w:tcBorders>
              <w:top w:val="single" w:sz="8" w:color="24AAC0"/>
            </w:tcBorders>
            <w:shd w:val="clear" w:color="auto" w:fill="0C5F9C"/>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0C5F9C"/>
            </w:tcBorders>
            <w:shd w:val="clear" w:color="auto" w:fill="0C5F9C"/>
          </w:tcPr>
          <w:p>
            <w:pPr>
              <w:spacing w:after="0"/>
              <w:rPr>
                <w:sz w:val="8"/>
                <w:szCs w:val="8"/>
                <w:color w:val="auto"/>
              </w:rPr>
            </w:pPr>
          </w:p>
        </w:tc>
        <w:tc>
          <w:tcPr>
            <w:tcW w:w="160" w:type="dxa"/>
            <w:vAlign w:val="bottom"/>
            <w:tcBorders>
              <w:top w:val="single" w:sz="8" w:color="0C5F9C"/>
            </w:tcBorders>
            <w:shd w:val="clear" w:color="auto" w:fill="0C5F9C"/>
          </w:tcPr>
          <w:p>
            <w:pPr>
              <w:spacing w:after="0"/>
              <w:rPr>
                <w:sz w:val="8"/>
                <w:szCs w:val="8"/>
                <w:color w:val="auto"/>
              </w:rPr>
            </w:pPr>
          </w:p>
        </w:tc>
        <w:tc>
          <w:tcPr>
            <w:tcW w:w="100" w:type="dxa"/>
            <w:vAlign w:val="bottom"/>
            <w:tcBorders>
              <w:top w:val="single" w:sz="8" w:color="0C5F9C"/>
            </w:tcBorders>
            <w:shd w:val="clear" w:color="auto" w:fill="0C5F9C"/>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right w:val="single" w:sz="8" w:color="12213B"/>
            </w:tcBorders>
          </w:tcPr>
          <w:p>
            <w:pPr>
              <w:spacing w:after="0"/>
              <w:rPr>
                <w:sz w:val="8"/>
                <w:szCs w:val="8"/>
                <w:color w:val="auto"/>
              </w:rPr>
            </w:pPr>
          </w:p>
        </w:tc>
        <w:tc>
          <w:tcPr>
            <w:tcW w:w="160" w:type="dxa"/>
            <w:vAlign w:val="bottom"/>
            <w:tcBorders>
              <w:top w:val="single" w:sz="8" w:color="12213B"/>
            </w:tcBorders>
            <w:shd w:val="clear" w:color="auto" w:fill="12213B"/>
          </w:tcPr>
          <w:p>
            <w:pPr>
              <w:spacing w:after="0"/>
              <w:rPr>
                <w:sz w:val="8"/>
                <w:szCs w:val="8"/>
                <w:color w:val="auto"/>
              </w:rPr>
            </w:pPr>
          </w:p>
        </w:tc>
        <w:tc>
          <w:tcPr>
            <w:tcW w:w="120" w:type="dxa"/>
            <w:vAlign w:val="bottom"/>
            <w:tcBorders>
              <w:top w:val="single" w:sz="8" w:color="12213B"/>
            </w:tcBorders>
            <w:shd w:val="clear" w:color="auto" w:fill="12213B"/>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12213B"/>
            </w:tcBorders>
            <w:shd w:val="clear" w:color="auto" w:fill="12213B"/>
          </w:tcPr>
          <w:p>
            <w:pPr>
              <w:spacing w:after="0"/>
              <w:rPr>
                <w:sz w:val="8"/>
                <w:szCs w:val="8"/>
                <w:color w:val="auto"/>
              </w:rPr>
            </w:pPr>
          </w:p>
        </w:tc>
        <w:tc>
          <w:tcPr>
            <w:tcW w:w="160" w:type="dxa"/>
            <w:vAlign w:val="bottom"/>
            <w:tcBorders>
              <w:top w:val="single" w:sz="8" w:color="12213B"/>
            </w:tcBorders>
            <w:shd w:val="clear" w:color="auto" w:fill="12213B"/>
          </w:tcPr>
          <w:p>
            <w:pPr>
              <w:spacing w:after="0"/>
              <w:rPr>
                <w:sz w:val="8"/>
                <w:szCs w:val="8"/>
                <w:color w:val="auto"/>
              </w:rPr>
            </w:pPr>
          </w:p>
        </w:tc>
        <w:tc>
          <w:tcPr>
            <w:tcW w:w="100" w:type="dxa"/>
            <w:vAlign w:val="bottom"/>
            <w:tcBorders>
              <w:top w:val="single" w:sz="8" w:color="12213B"/>
            </w:tcBorders>
            <w:shd w:val="clear" w:color="auto" w:fill="12213B"/>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12213B"/>
            </w:tcBorders>
            <w:shd w:val="clear" w:color="auto" w:fill="12213B"/>
          </w:tcPr>
          <w:p>
            <w:pPr>
              <w:spacing w:after="0"/>
              <w:rPr>
                <w:sz w:val="8"/>
                <w:szCs w:val="8"/>
                <w:color w:val="auto"/>
              </w:rPr>
            </w:pPr>
          </w:p>
        </w:tc>
        <w:tc>
          <w:tcPr>
            <w:tcW w:w="160" w:type="dxa"/>
            <w:vAlign w:val="bottom"/>
            <w:tcBorders>
              <w:top w:val="single" w:sz="8" w:color="12213B"/>
            </w:tcBorders>
            <w:shd w:val="clear" w:color="auto" w:fill="12213B"/>
          </w:tcPr>
          <w:p>
            <w:pPr>
              <w:spacing w:after="0"/>
              <w:rPr>
                <w:sz w:val="8"/>
                <w:szCs w:val="8"/>
                <w:color w:val="auto"/>
              </w:rPr>
            </w:pPr>
          </w:p>
        </w:tc>
        <w:tc>
          <w:tcPr>
            <w:tcW w:w="80" w:type="dxa"/>
            <w:vAlign w:val="bottom"/>
            <w:tcBorders>
              <w:top w:val="single" w:sz="8" w:color="12213B"/>
            </w:tcBorders>
            <w:shd w:val="clear" w:color="auto" w:fill="12213B"/>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Borders>
              <w:bottom w:val="single" w:sz="8" w:color="12213B"/>
            </w:tcBorders>
          </w:tcPr>
          <w:p>
            <w:pPr>
              <w:spacing w:after="0"/>
              <w:rPr>
                <w:sz w:val="7"/>
                <w:szCs w:val="7"/>
                <w:color w:val="auto"/>
              </w:rPr>
            </w:pPr>
          </w:p>
        </w:tc>
        <w:tc>
          <w:tcPr>
            <w:tcW w:w="80" w:type="dxa"/>
            <w:vAlign w:val="bottom"/>
            <w:tcBorders>
              <w:bottom w:val="single" w:sz="8" w:color="12213B"/>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24AAC0"/>
            </w:tcBorders>
          </w:tcPr>
          <w:p>
            <w:pPr>
              <w:spacing w:after="0"/>
              <w:rPr>
                <w:sz w:val="7"/>
                <w:szCs w:val="7"/>
                <w:color w:val="auto"/>
              </w:rPr>
            </w:pPr>
          </w:p>
        </w:tc>
        <w:tc>
          <w:tcPr>
            <w:tcW w:w="160" w:type="dxa"/>
            <w:vAlign w:val="bottom"/>
            <w:tcBorders>
              <w:bottom w:val="single" w:sz="8" w:color="24AAC0"/>
            </w:tcBorders>
          </w:tcPr>
          <w:p>
            <w:pPr>
              <w:spacing w:after="0"/>
              <w:rPr>
                <w:sz w:val="7"/>
                <w:szCs w:val="7"/>
                <w:color w:val="auto"/>
              </w:rPr>
            </w:pPr>
          </w:p>
        </w:tc>
        <w:tc>
          <w:tcPr>
            <w:tcW w:w="100" w:type="dxa"/>
            <w:vAlign w:val="bottom"/>
            <w:tcBorders>
              <w:bottom w:val="single" w:sz="8" w:color="24AAC0"/>
            </w:tcBorders>
          </w:tcPr>
          <w:p>
            <w:pPr>
              <w:spacing w:after="0"/>
              <w:rPr>
                <w:sz w:val="7"/>
                <w:szCs w:val="7"/>
                <w:color w:val="auto"/>
              </w:rPr>
            </w:pPr>
          </w:p>
        </w:tc>
        <w:tc>
          <w:tcPr>
            <w:tcW w:w="220" w:type="dxa"/>
            <w:vAlign w:val="bottom"/>
            <w:tcBorders>
              <w:right w:val="single" w:sz="8" w:color="0C5F9C"/>
            </w:tcBorders>
          </w:tcPr>
          <w:p>
            <w:pPr>
              <w:spacing w:after="0"/>
              <w:rPr>
                <w:sz w:val="7"/>
                <w:szCs w:val="7"/>
                <w:color w:val="auto"/>
              </w:rPr>
            </w:pPr>
          </w:p>
        </w:tc>
        <w:tc>
          <w:tcPr>
            <w:tcW w:w="80" w:type="dxa"/>
            <w:vAlign w:val="bottom"/>
            <w:tcBorders>
              <w:bottom w:val="single" w:sz="8" w:color="0C5F9C"/>
            </w:tcBorders>
            <w:shd w:val="clear" w:color="auto" w:fill="0C5F9C"/>
          </w:tcPr>
          <w:p>
            <w:pPr>
              <w:spacing w:after="0"/>
              <w:rPr>
                <w:sz w:val="7"/>
                <w:szCs w:val="7"/>
                <w:color w:val="auto"/>
              </w:rPr>
            </w:pPr>
          </w:p>
        </w:tc>
        <w:tc>
          <w:tcPr>
            <w:tcW w:w="160" w:type="dxa"/>
            <w:vAlign w:val="bottom"/>
            <w:tcBorders>
              <w:bottom w:val="single" w:sz="8" w:color="0C5F9C"/>
            </w:tcBorders>
            <w:shd w:val="clear" w:color="auto" w:fill="0C5F9C"/>
          </w:tcPr>
          <w:p>
            <w:pPr>
              <w:spacing w:after="0"/>
              <w:rPr>
                <w:sz w:val="7"/>
                <w:szCs w:val="7"/>
                <w:color w:val="auto"/>
              </w:rPr>
            </w:pPr>
          </w:p>
        </w:tc>
        <w:tc>
          <w:tcPr>
            <w:tcW w:w="100" w:type="dxa"/>
            <w:vAlign w:val="bottom"/>
            <w:tcBorders>
              <w:bottom w:val="single" w:sz="8" w:color="0C5F9C"/>
            </w:tcBorders>
            <w:shd w:val="clear" w:color="auto" w:fill="0C5F9C"/>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12213B"/>
            </w:tcBorders>
            <w:shd w:val="clear" w:color="auto" w:fill="12213B"/>
          </w:tcPr>
          <w:p>
            <w:pPr>
              <w:spacing w:after="0"/>
              <w:rPr>
                <w:sz w:val="7"/>
                <w:szCs w:val="7"/>
                <w:color w:val="auto"/>
              </w:rPr>
            </w:pPr>
          </w:p>
        </w:tc>
        <w:tc>
          <w:tcPr>
            <w:tcW w:w="160" w:type="dxa"/>
            <w:vAlign w:val="bottom"/>
            <w:tcBorders>
              <w:bottom w:val="single" w:sz="8" w:color="12213B"/>
            </w:tcBorders>
            <w:shd w:val="clear" w:color="auto" w:fill="12213B"/>
          </w:tcPr>
          <w:p>
            <w:pPr>
              <w:spacing w:after="0"/>
              <w:rPr>
                <w:sz w:val="7"/>
                <w:szCs w:val="7"/>
                <w:color w:val="auto"/>
              </w:rPr>
            </w:pPr>
          </w:p>
        </w:tc>
        <w:tc>
          <w:tcPr>
            <w:tcW w:w="100" w:type="dxa"/>
            <w:vAlign w:val="bottom"/>
            <w:tcBorders>
              <w:bottom w:val="single" w:sz="8" w:color="12213B"/>
            </w:tcBorders>
            <w:shd w:val="clear" w:color="auto" w:fill="12213B"/>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right w:val="single" w:sz="8" w:color="12213B"/>
            </w:tcBorders>
          </w:tcPr>
          <w:p>
            <w:pPr>
              <w:spacing w:after="0"/>
              <w:rPr>
                <w:sz w:val="7"/>
                <w:szCs w:val="7"/>
                <w:color w:val="auto"/>
              </w:rPr>
            </w:pPr>
          </w:p>
        </w:tc>
        <w:tc>
          <w:tcPr>
            <w:tcW w:w="160" w:type="dxa"/>
            <w:vAlign w:val="bottom"/>
            <w:tcBorders>
              <w:bottom w:val="single" w:sz="8" w:color="12213B"/>
            </w:tcBorders>
            <w:shd w:val="clear" w:color="auto" w:fill="12213B"/>
          </w:tcPr>
          <w:p>
            <w:pPr>
              <w:spacing w:after="0"/>
              <w:rPr>
                <w:sz w:val="7"/>
                <w:szCs w:val="7"/>
                <w:color w:val="auto"/>
              </w:rPr>
            </w:pPr>
          </w:p>
        </w:tc>
        <w:tc>
          <w:tcPr>
            <w:tcW w:w="120" w:type="dxa"/>
            <w:vAlign w:val="bottom"/>
            <w:tcBorders>
              <w:bottom w:val="single" w:sz="8" w:color="12213B"/>
            </w:tcBorders>
            <w:shd w:val="clear" w:color="auto" w:fill="12213B"/>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12213B"/>
            </w:tcBorders>
            <w:shd w:val="clear" w:color="auto" w:fill="12213B"/>
          </w:tcPr>
          <w:p>
            <w:pPr>
              <w:spacing w:after="0"/>
              <w:rPr>
                <w:sz w:val="7"/>
                <w:szCs w:val="7"/>
                <w:color w:val="auto"/>
              </w:rPr>
            </w:pPr>
          </w:p>
        </w:tc>
        <w:tc>
          <w:tcPr>
            <w:tcW w:w="160" w:type="dxa"/>
            <w:vAlign w:val="bottom"/>
            <w:tcBorders>
              <w:bottom w:val="single" w:sz="8" w:color="12213B"/>
            </w:tcBorders>
            <w:shd w:val="clear" w:color="auto" w:fill="12213B"/>
          </w:tcPr>
          <w:p>
            <w:pPr>
              <w:spacing w:after="0"/>
              <w:rPr>
                <w:sz w:val="7"/>
                <w:szCs w:val="7"/>
                <w:color w:val="auto"/>
              </w:rPr>
            </w:pPr>
          </w:p>
        </w:tc>
        <w:tc>
          <w:tcPr>
            <w:tcW w:w="100" w:type="dxa"/>
            <w:vAlign w:val="bottom"/>
            <w:tcBorders>
              <w:bottom w:val="single" w:sz="8" w:color="12213B"/>
            </w:tcBorders>
            <w:shd w:val="clear" w:color="auto" w:fill="12213B"/>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12213B"/>
            </w:tcBorders>
            <w:shd w:val="clear" w:color="auto" w:fill="12213B"/>
          </w:tcPr>
          <w:p>
            <w:pPr>
              <w:spacing w:after="0"/>
              <w:rPr>
                <w:sz w:val="7"/>
                <w:szCs w:val="7"/>
                <w:color w:val="auto"/>
              </w:rPr>
            </w:pPr>
          </w:p>
        </w:tc>
        <w:tc>
          <w:tcPr>
            <w:tcW w:w="160" w:type="dxa"/>
            <w:vAlign w:val="bottom"/>
            <w:tcBorders>
              <w:bottom w:val="single" w:sz="8" w:color="12213B"/>
            </w:tcBorders>
            <w:shd w:val="clear" w:color="auto" w:fill="12213B"/>
          </w:tcPr>
          <w:p>
            <w:pPr>
              <w:spacing w:after="0"/>
              <w:rPr>
                <w:sz w:val="7"/>
                <w:szCs w:val="7"/>
                <w:color w:val="auto"/>
              </w:rPr>
            </w:pPr>
          </w:p>
        </w:tc>
        <w:tc>
          <w:tcPr>
            <w:tcW w:w="80" w:type="dxa"/>
            <w:vAlign w:val="bottom"/>
            <w:tcBorders>
              <w:bottom w:val="single" w:sz="8" w:color="12213B"/>
            </w:tcBorders>
            <w:shd w:val="clear" w:color="auto" w:fill="12213B"/>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24AAC0"/>
            </w:tcBorders>
            <w:shd w:val="clear" w:color="auto" w:fill="0C5F9C"/>
          </w:tcPr>
          <w:p>
            <w:pPr>
              <w:spacing w:after="0"/>
              <w:rPr>
                <w:sz w:val="9"/>
                <w:szCs w:val="9"/>
                <w:color w:val="auto"/>
              </w:rPr>
            </w:pPr>
          </w:p>
        </w:tc>
        <w:tc>
          <w:tcPr>
            <w:tcW w:w="160" w:type="dxa"/>
            <w:vAlign w:val="bottom"/>
            <w:tcBorders>
              <w:top w:val="single" w:sz="8" w:color="24AAC0"/>
            </w:tcBorders>
            <w:shd w:val="clear" w:color="auto" w:fill="0C5F9C"/>
          </w:tcPr>
          <w:p>
            <w:pPr>
              <w:spacing w:after="0"/>
              <w:rPr>
                <w:sz w:val="9"/>
                <w:szCs w:val="9"/>
                <w:color w:val="auto"/>
              </w:rPr>
            </w:pPr>
          </w:p>
        </w:tc>
        <w:tc>
          <w:tcPr>
            <w:tcW w:w="100" w:type="dxa"/>
            <w:vAlign w:val="bottom"/>
            <w:tcBorders>
              <w:top w:val="single" w:sz="8" w:color="24AAC0"/>
            </w:tcBorders>
            <w:shd w:val="clear" w:color="auto" w:fill="0C5F9C"/>
          </w:tcPr>
          <w:p>
            <w:pPr>
              <w:spacing w:after="0"/>
              <w:rPr>
                <w:sz w:val="9"/>
                <w:szCs w:val="9"/>
                <w:color w:val="auto"/>
              </w:rPr>
            </w:pPr>
          </w:p>
        </w:tc>
        <w:tc>
          <w:tcPr>
            <w:tcW w:w="220" w:type="dxa"/>
            <w:vAlign w:val="bottom"/>
            <w:tcBorders>
              <w:right w:val="single" w:sz="8" w:color="12213B"/>
            </w:tcBorders>
          </w:tcPr>
          <w:p>
            <w:pPr>
              <w:spacing w:after="0"/>
              <w:rPr>
                <w:sz w:val="9"/>
                <w:szCs w:val="9"/>
                <w:color w:val="auto"/>
              </w:rPr>
            </w:pPr>
          </w:p>
        </w:tc>
        <w:tc>
          <w:tcPr>
            <w:tcW w:w="80" w:type="dxa"/>
            <w:vAlign w:val="bottom"/>
            <w:tcBorders>
              <w:top w:val="single" w:sz="8" w:color="12213B"/>
            </w:tcBorders>
            <w:shd w:val="clear" w:color="auto" w:fill="12213B"/>
          </w:tcPr>
          <w:p>
            <w:pPr>
              <w:spacing w:after="0"/>
              <w:rPr>
                <w:sz w:val="9"/>
                <w:szCs w:val="9"/>
                <w:color w:val="auto"/>
              </w:rPr>
            </w:pPr>
          </w:p>
        </w:tc>
        <w:tc>
          <w:tcPr>
            <w:tcW w:w="160" w:type="dxa"/>
            <w:vAlign w:val="bottom"/>
            <w:tcBorders>
              <w:top w:val="single" w:sz="8" w:color="12213B"/>
            </w:tcBorders>
            <w:shd w:val="clear" w:color="auto" w:fill="12213B"/>
          </w:tcPr>
          <w:p>
            <w:pPr>
              <w:spacing w:after="0"/>
              <w:rPr>
                <w:sz w:val="9"/>
                <w:szCs w:val="9"/>
                <w:color w:val="auto"/>
              </w:rPr>
            </w:pPr>
          </w:p>
        </w:tc>
        <w:tc>
          <w:tcPr>
            <w:tcW w:w="100" w:type="dxa"/>
            <w:vAlign w:val="bottom"/>
            <w:tcBorders>
              <w:top w:val="single" w:sz="8" w:color="12213B"/>
            </w:tcBorders>
            <w:shd w:val="clear" w:color="auto" w:fill="12213B"/>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12213B"/>
            </w:tcBorders>
            <w:shd w:val="clear" w:color="auto" w:fill="12213B"/>
          </w:tcPr>
          <w:p>
            <w:pPr>
              <w:spacing w:after="0"/>
              <w:rPr>
                <w:sz w:val="9"/>
                <w:szCs w:val="9"/>
                <w:color w:val="auto"/>
              </w:rPr>
            </w:pPr>
          </w:p>
        </w:tc>
        <w:tc>
          <w:tcPr>
            <w:tcW w:w="160" w:type="dxa"/>
            <w:vAlign w:val="bottom"/>
            <w:tcBorders>
              <w:top w:val="single" w:sz="8" w:color="12213B"/>
            </w:tcBorders>
            <w:shd w:val="clear" w:color="auto" w:fill="12213B"/>
          </w:tcPr>
          <w:p>
            <w:pPr>
              <w:spacing w:after="0"/>
              <w:rPr>
                <w:sz w:val="9"/>
                <w:szCs w:val="9"/>
                <w:color w:val="auto"/>
              </w:rPr>
            </w:pPr>
          </w:p>
        </w:tc>
        <w:tc>
          <w:tcPr>
            <w:tcW w:w="100" w:type="dxa"/>
            <w:vAlign w:val="bottom"/>
            <w:tcBorders>
              <w:top w:val="single" w:sz="8" w:color="12213B"/>
            </w:tcBorders>
            <w:shd w:val="clear" w:color="auto" w:fill="12213B"/>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right w:val="single" w:sz="8" w:color="12213B"/>
            </w:tcBorders>
          </w:tcPr>
          <w:p>
            <w:pPr>
              <w:spacing w:after="0"/>
              <w:rPr>
                <w:sz w:val="9"/>
                <w:szCs w:val="9"/>
                <w:color w:val="auto"/>
              </w:rPr>
            </w:pPr>
          </w:p>
        </w:tc>
        <w:tc>
          <w:tcPr>
            <w:tcW w:w="160" w:type="dxa"/>
            <w:vAlign w:val="bottom"/>
            <w:tcBorders>
              <w:top w:val="single" w:sz="8" w:color="12213B"/>
            </w:tcBorders>
            <w:shd w:val="clear" w:color="auto" w:fill="12213B"/>
          </w:tcPr>
          <w:p>
            <w:pPr>
              <w:spacing w:after="0"/>
              <w:rPr>
                <w:sz w:val="9"/>
                <w:szCs w:val="9"/>
                <w:color w:val="auto"/>
              </w:rPr>
            </w:pPr>
          </w:p>
        </w:tc>
        <w:tc>
          <w:tcPr>
            <w:tcW w:w="120" w:type="dxa"/>
            <w:vAlign w:val="bottom"/>
            <w:tcBorders>
              <w:top w:val="single" w:sz="8" w:color="12213B"/>
            </w:tcBorders>
            <w:shd w:val="clear" w:color="auto" w:fill="12213B"/>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12213B"/>
            </w:tcBorders>
            <w:shd w:val="clear" w:color="auto" w:fill="12213B"/>
          </w:tcPr>
          <w:p>
            <w:pPr>
              <w:spacing w:after="0"/>
              <w:rPr>
                <w:sz w:val="9"/>
                <w:szCs w:val="9"/>
                <w:color w:val="auto"/>
              </w:rPr>
            </w:pPr>
          </w:p>
        </w:tc>
        <w:tc>
          <w:tcPr>
            <w:tcW w:w="160" w:type="dxa"/>
            <w:vAlign w:val="bottom"/>
            <w:tcBorders>
              <w:top w:val="single" w:sz="8" w:color="12213B"/>
            </w:tcBorders>
            <w:shd w:val="clear" w:color="auto" w:fill="12213B"/>
          </w:tcPr>
          <w:p>
            <w:pPr>
              <w:spacing w:after="0"/>
              <w:rPr>
                <w:sz w:val="9"/>
                <w:szCs w:val="9"/>
                <w:color w:val="auto"/>
              </w:rPr>
            </w:pPr>
          </w:p>
        </w:tc>
        <w:tc>
          <w:tcPr>
            <w:tcW w:w="100" w:type="dxa"/>
            <w:vAlign w:val="bottom"/>
            <w:tcBorders>
              <w:top w:val="single" w:sz="8" w:color="12213B"/>
            </w:tcBorders>
            <w:shd w:val="clear" w:color="auto" w:fill="12213B"/>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12213B"/>
            </w:tcBorders>
            <w:shd w:val="clear" w:color="auto" w:fill="12213B"/>
          </w:tcPr>
          <w:p>
            <w:pPr>
              <w:spacing w:after="0"/>
              <w:rPr>
                <w:sz w:val="9"/>
                <w:szCs w:val="9"/>
                <w:color w:val="auto"/>
              </w:rPr>
            </w:pPr>
          </w:p>
        </w:tc>
        <w:tc>
          <w:tcPr>
            <w:tcW w:w="160" w:type="dxa"/>
            <w:vAlign w:val="bottom"/>
            <w:tcBorders>
              <w:top w:val="single" w:sz="8" w:color="12213B"/>
            </w:tcBorders>
            <w:shd w:val="clear" w:color="auto" w:fill="12213B"/>
          </w:tcPr>
          <w:p>
            <w:pPr>
              <w:spacing w:after="0"/>
              <w:rPr>
                <w:sz w:val="9"/>
                <w:szCs w:val="9"/>
                <w:color w:val="auto"/>
              </w:rPr>
            </w:pPr>
          </w:p>
        </w:tc>
        <w:tc>
          <w:tcPr>
            <w:tcW w:w="80" w:type="dxa"/>
            <w:vAlign w:val="bottom"/>
            <w:tcBorders>
              <w:top w:val="single" w:sz="8" w:color="12213B"/>
            </w:tcBorders>
            <w:shd w:val="clear" w:color="auto" w:fill="12213B"/>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Borders>
              <w:bottom w:val="single" w:sz="8" w:color="12213B"/>
            </w:tcBorders>
          </w:tcPr>
          <w:p>
            <w:pPr>
              <w:spacing w:after="0"/>
              <w:rPr>
                <w:sz w:val="17"/>
                <w:szCs w:val="17"/>
                <w:color w:val="auto"/>
              </w:rPr>
            </w:pPr>
          </w:p>
        </w:tc>
        <w:tc>
          <w:tcPr>
            <w:tcW w:w="80" w:type="dxa"/>
            <w:vAlign w:val="bottom"/>
            <w:tcBorders>
              <w:bottom w:val="single" w:sz="8" w:color="12213B"/>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12213B"/>
            </w:tcBorders>
            <w:shd w:val="clear" w:color="auto" w:fill="12213B"/>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100" w:type="dxa"/>
            <w:vAlign w:val="bottom"/>
            <w:tcBorders>
              <w:bottom w:val="single" w:sz="8" w:color="12213B"/>
            </w:tcBorders>
            <w:shd w:val="clear" w:color="auto" w:fill="12213B"/>
          </w:tcPr>
          <w:p>
            <w:pPr>
              <w:spacing w:after="0"/>
              <w:rPr>
                <w:sz w:val="17"/>
                <w:szCs w:val="17"/>
                <w:color w:val="auto"/>
              </w:rPr>
            </w:pPr>
          </w:p>
        </w:tc>
        <w:tc>
          <w:tcPr>
            <w:tcW w:w="220" w:type="dxa"/>
            <w:vAlign w:val="bottom"/>
            <w:tcBorders>
              <w:right w:val="single" w:sz="8" w:color="12213B"/>
            </w:tcBorders>
          </w:tcPr>
          <w:p>
            <w:pPr>
              <w:spacing w:after="0"/>
              <w:rPr>
                <w:sz w:val="17"/>
                <w:szCs w:val="17"/>
                <w:color w:val="auto"/>
              </w:rPr>
            </w:pPr>
          </w:p>
        </w:tc>
        <w:tc>
          <w:tcPr>
            <w:tcW w:w="80" w:type="dxa"/>
            <w:vAlign w:val="bottom"/>
            <w:tcBorders>
              <w:bottom w:val="single" w:sz="8" w:color="12213B"/>
            </w:tcBorders>
            <w:shd w:val="clear" w:color="auto" w:fill="12213B"/>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100" w:type="dxa"/>
            <w:vAlign w:val="bottom"/>
            <w:tcBorders>
              <w:bottom w:val="single" w:sz="8" w:color="12213B"/>
            </w:tcBorders>
            <w:shd w:val="clear" w:color="auto" w:fill="12213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12213B"/>
            </w:tcBorders>
            <w:shd w:val="clear" w:color="auto" w:fill="12213B"/>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100" w:type="dxa"/>
            <w:vAlign w:val="bottom"/>
            <w:tcBorders>
              <w:bottom w:val="single" w:sz="8" w:color="12213B"/>
            </w:tcBorders>
            <w:shd w:val="clear" w:color="auto" w:fill="12213B"/>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12213B"/>
            </w:tcBorders>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120" w:type="dxa"/>
            <w:vAlign w:val="bottom"/>
            <w:tcBorders>
              <w:bottom w:val="single" w:sz="8" w:color="12213B"/>
            </w:tcBorders>
            <w:shd w:val="clear" w:color="auto" w:fill="12213B"/>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12213B"/>
            </w:tcBorders>
            <w:shd w:val="clear" w:color="auto" w:fill="12213B"/>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100" w:type="dxa"/>
            <w:vAlign w:val="bottom"/>
            <w:tcBorders>
              <w:bottom w:val="single" w:sz="8" w:color="12213B"/>
            </w:tcBorders>
            <w:shd w:val="clear" w:color="auto" w:fill="12213B"/>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12213B"/>
            </w:tcBorders>
            <w:shd w:val="clear" w:color="auto" w:fill="12213B"/>
          </w:tcPr>
          <w:p>
            <w:pPr>
              <w:spacing w:after="0"/>
              <w:rPr>
                <w:sz w:val="17"/>
                <w:szCs w:val="17"/>
                <w:color w:val="auto"/>
              </w:rPr>
            </w:pPr>
          </w:p>
        </w:tc>
        <w:tc>
          <w:tcPr>
            <w:tcW w:w="160" w:type="dxa"/>
            <w:vAlign w:val="bottom"/>
            <w:tcBorders>
              <w:bottom w:val="single" w:sz="8" w:color="12213B"/>
            </w:tcBorders>
            <w:shd w:val="clear" w:color="auto" w:fill="12213B"/>
          </w:tcPr>
          <w:p>
            <w:pPr>
              <w:spacing w:after="0"/>
              <w:rPr>
                <w:sz w:val="17"/>
                <w:szCs w:val="17"/>
                <w:color w:val="auto"/>
              </w:rPr>
            </w:pPr>
          </w:p>
        </w:tc>
        <w:tc>
          <w:tcPr>
            <w:tcW w:w="80" w:type="dxa"/>
            <w:vAlign w:val="bottom"/>
            <w:tcBorders>
              <w:bottom w:val="single" w:sz="8" w:color="12213B"/>
            </w:tcBorders>
            <w:shd w:val="clear" w:color="auto" w:fill="12213B"/>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12213B"/>
              </w:rPr>
              <w:t>2017</w:t>
            </w:r>
          </w:p>
        </w:tc>
        <w:tc>
          <w:tcPr>
            <w:tcW w:w="5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12213B"/>
              </w:rPr>
              <w:t>2018</w:t>
            </w:r>
          </w:p>
        </w:tc>
        <w:tc>
          <w:tcPr>
            <w:tcW w:w="100" w:type="dxa"/>
            <w:vAlign w:val="bottom"/>
          </w:tcPr>
          <w:p>
            <w:pPr>
              <w:spacing w:after="0"/>
              <w:rPr>
                <w:sz w:val="3"/>
                <w:szCs w:val="3"/>
                <w:color w:val="auto"/>
              </w:rPr>
            </w:pPr>
          </w:p>
        </w:tc>
        <w:tc>
          <w:tcPr>
            <w:tcW w:w="4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2019</w:t>
            </w:r>
          </w:p>
        </w:tc>
        <w:tc>
          <w:tcPr>
            <w:tcW w:w="140" w:type="dxa"/>
            <w:vAlign w:val="bottom"/>
          </w:tcPr>
          <w:p>
            <w:pPr>
              <w:spacing w:after="0"/>
              <w:rPr>
                <w:sz w:val="3"/>
                <w:szCs w:val="3"/>
                <w:color w:val="auto"/>
              </w:rPr>
            </w:pPr>
          </w:p>
        </w:tc>
        <w:tc>
          <w:tcPr>
            <w:tcW w:w="420" w:type="dxa"/>
            <w:vAlign w:val="bottom"/>
            <w:gridSpan w:val="3"/>
            <w:vMerge w:val="restart"/>
          </w:tcPr>
          <w:p>
            <w:pPr>
              <w:jc w:val="center"/>
              <w:ind w:left="10"/>
              <w:spacing w:after="0"/>
              <w:rPr>
                <w:sz w:val="20"/>
                <w:szCs w:val="20"/>
                <w:color w:val="auto"/>
              </w:rPr>
            </w:pPr>
            <w:r>
              <w:rPr>
                <w:rFonts w:ascii="Arial" w:cs="Arial" w:eastAsia="Arial" w:hAnsi="Arial"/>
                <w:sz w:val="14"/>
                <w:szCs w:val="14"/>
                <w:b w:val="1"/>
                <w:bCs w:val="1"/>
                <w:color w:val="12213B"/>
              </w:rPr>
              <w:t>2020</w:t>
            </w:r>
          </w:p>
        </w:tc>
        <w:tc>
          <w:tcPr>
            <w:tcW w:w="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2021</w:t>
            </w:r>
          </w:p>
        </w:tc>
        <w:tc>
          <w:tcPr>
            <w:tcW w:w="160" w:type="dxa"/>
            <w:vAlign w:val="bottom"/>
          </w:tcPr>
          <w:p>
            <w:pPr>
              <w:spacing w:after="0"/>
              <w:rPr>
                <w:sz w:val="3"/>
                <w:szCs w:val="3"/>
                <w:color w:val="auto"/>
              </w:rPr>
            </w:pPr>
          </w:p>
        </w:tc>
        <w:tc>
          <w:tcPr>
            <w:tcW w:w="11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12213B"/>
              </w:rPr>
              <w:t>2022</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6"/>
            <w:vMerge w:val="continue"/>
          </w:tcPr>
          <w:p>
            <w:pPr>
              <w:spacing w:after="0"/>
              <w:rPr>
                <w:sz w:val="22"/>
                <w:szCs w:val="22"/>
                <w:color w:val="auto"/>
              </w:rPr>
            </w:pPr>
          </w:p>
        </w:tc>
        <w:tc>
          <w:tcPr>
            <w:tcW w:w="560" w:type="dxa"/>
            <w:vAlign w:val="bottom"/>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560" w:type="dxa"/>
            <w:vAlign w:val="bottom"/>
            <w:gridSpan w:val="4"/>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7"/>
          </w:tcPr>
          <w:p>
            <w:pPr>
              <w:ind w:left="60"/>
              <w:spacing w:after="0"/>
              <w:rPr>
                <w:sz w:val="20"/>
                <w:szCs w:val="20"/>
                <w:color w:val="auto"/>
              </w:rPr>
            </w:pPr>
            <w:r>
              <w:rPr>
                <w:rFonts w:ascii="Arial" w:cs="Arial" w:eastAsia="Arial" w:hAnsi="Arial"/>
                <w:sz w:val="14"/>
                <w:szCs w:val="14"/>
                <w:color w:val="12213B"/>
              </w:rPr>
              <w:t>Equities</w:t>
            </w:r>
          </w:p>
        </w:tc>
        <w:tc>
          <w:tcPr>
            <w:tcW w:w="120" w:type="dxa"/>
            <w:vAlign w:val="bottom"/>
          </w:tcPr>
          <w:p>
            <w:pPr>
              <w:spacing w:after="0"/>
              <w:rPr>
                <w:sz w:val="21"/>
                <w:szCs w:val="21"/>
                <w:color w:val="auto"/>
              </w:rPr>
            </w:pPr>
          </w:p>
        </w:tc>
        <w:tc>
          <w:tcPr>
            <w:tcW w:w="900" w:type="dxa"/>
            <w:vAlign w:val="bottom"/>
            <w:gridSpan w:val="7"/>
          </w:tcPr>
          <w:p>
            <w:pPr>
              <w:spacing w:after="0"/>
              <w:rPr>
                <w:sz w:val="20"/>
                <w:szCs w:val="20"/>
                <w:color w:val="auto"/>
              </w:rPr>
            </w:pPr>
            <w:r>
              <w:rPr>
                <w:rFonts w:ascii="Arial" w:cs="Arial" w:eastAsia="Arial" w:hAnsi="Arial"/>
                <w:sz w:val="14"/>
                <w:szCs w:val="14"/>
                <w:color w:val="12213B"/>
              </w:rPr>
              <w:t>Fixed Income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color w:val="12213B"/>
              </w:rPr>
              <w:t>Other</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52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240" w:type="dxa"/>
            <w:vAlign w:val="bottom"/>
            <w:tcBorders>
              <w:bottom w:val="single" w:sz="8" w:color="12213B"/>
            </w:tcBorders>
            <w:gridSpan w:val="2"/>
          </w:tcPr>
          <w:p>
            <w:pPr>
              <w:spacing w:after="0"/>
              <w:rPr>
                <w:sz w:val="24"/>
                <w:szCs w:val="24"/>
                <w:color w:val="auto"/>
              </w:rPr>
            </w:pPr>
          </w:p>
        </w:tc>
        <w:tc>
          <w:tcPr>
            <w:tcW w:w="360" w:type="dxa"/>
            <w:vAlign w:val="bottom"/>
            <w:tcBorders>
              <w:bottom w:val="single" w:sz="8" w:color="12213B"/>
            </w:tcBorders>
          </w:tcPr>
          <w:p>
            <w:pPr>
              <w:spacing w:after="0"/>
              <w:rPr>
                <w:sz w:val="24"/>
                <w:szCs w:val="24"/>
                <w:color w:val="auto"/>
              </w:rPr>
            </w:pPr>
          </w:p>
        </w:tc>
        <w:tc>
          <w:tcPr>
            <w:tcW w:w="200" w:type="dxa"/>
            <w:vAlign w:val="bottom"/>
            <w:tcBorders>
              <w:bottom w:val="single" w:sz="8" w:color="12213B"/>
            </w:tcBorders>
            <w:gridSpan w:val="2"/>
          </w:tcPr>
          <w:p>
            <w:pPr>
              <w:spacing w:after="0"/>
              <w:rPr>
                <w:sz w:val="24"/>
                <w:szCs w:val="24"/>
                <w:color w:val="auto"/>
              </w:rPr>
            </w:pPr>
          </w:p>
        </w:tc>
        <w:tc>
          <w:tcPr>
            <w:tcW w:w="360" w:type="dxa"/>
            <w:vAlign w:val="bottom"/>
            <w:tcBorders>
              <w:bottom w:val="single" w:sz="8" w:color="12213B"/>
            </w:tcBorders>
          </w:tcPr>
          <w:p>
            <w:pPr>
              <w:spacing w:after="0"/>
              <w:rPr>
                <w:sz w:val="24"/>
                <w:szCs w:val="24"/>
                <w:color w:val="auto"/>
              </w:rPr>
            </w:pPr>
          </w:p>
        </w:tc>
        <w:tc>
          <w:tcPr>
            <w:tcW w:w="12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360" w:type="dxa"/>
            <w:vAlign w:val="bottom"/>
            <w:tcBorders>
              <w:bottom w:val="single" w:sz="8" w:color="12213B"/>
            </w:tcBorders>
          </w:tcPr>
          <w:p>
            <w:pPr>
              <w:spacing w:after="0"/>
              <w:rPr>
                <w:sz w:val="24"/>
                <w:szCs w:val="24"/>
                <w:color w:val="auto"/>
              </w:rPr>
            </w:pPr>
          </w:p>
        </w:tc>
        <w:tc>
          <w:tcPr>
            <w:tcW w:w="12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36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36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140" w:type="dxa"/>
            <w:vAlign w:val="bottom"/>
            <w:tcBorders>
              <w:bottom w:val="single" w:sz="8" w:color="12213B"/>
            </w:tcBorders>
          </w:tcPr>
          <w:p>
            <w:pPr>
              <w:spacing w:after="0"/>
              <w:rPr>
                <w:sz w:val="24"/>
                <w:szCs w:val="24"/>
                <w:color w:val="auto"/>
              </w:rPr>
            </w:pPr>
          </w:p>
        </w:tc>
        <w:tc>
          <w:tcPr>
            <w:tcW w:w="340" w:type="dxa"/>
            <w:vAlign w:val="bottom"/>
            <w:tcBorders>
              <w:bottom w:val="single" w:sz="8" w:color="12213B"/>
            </w:tcBorders>
          </w:tcPr>
          <w:p>
            <w:pPr>
              <w:spacing w:after="0"/>
              <w:rPr>
                <w:sz w:val="24"/>
                <w:szCs w:val="24"/>
                <w:color w:val="auto"/>
              </w:rPr>
            </w:pPr>
          </w:p>
        </w:tc>
        <w:tc>
          <w:tcPr>
            <w:tcW w:w="20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880" w:type="dxa"/>
            <w:vAlign w:val="bottom"/>
            <w:tcBorders>
              <w:bottom w:val="single" w:sz="8" w:color="12213B"/>
            </w:tcBorders>
          </w:tcPr>
          <w:p>
            <w:pPr>
              <w:spacing w:after="0"/>
              <w:rPr>
                <w:sz w:val="24"/>
                <w:szCs w:val="24"/>
                <w:color w:val="auto"/>
              </w:rPr>
            </w:pPr>
          </w:p>
        </w:tc>
        <w:tc>
          <w:tcPr>
            <w:tcW w:w="840" w:type="dxa"/>
            <w:vAlign w:val="bottom"/>
            <w:tcBorders>
              <w:bottom w:val="single" w:sz="8" w:color="12213B"/>
            </w:tcBorders>
          </w:tcPr>
          <w:p>
            <w:pPr>
              <w:spacing w:after="0"/>
              <w:rPr>
                <w:sz w:val="24"/>
                <w:szCs w:val="24"/>
                <w:color w:val="auto"/>
              </w:rPr>
            </w:pPr>
          </w:p>
        </w:tc>
        <w:tc>
          <w:tcPr>
            <w:tcW w:w="2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20" w:type="dxa"/>
            <w:vAlign w:val="bottom"/>
            <w:tcBorders>
              <w:bottom w:val="single" w:sz="8" w:color="12213B"/>
            </w:tcBorders>
          </w:tcPr>
          <w:p>
            <w:pPr>
              <w:spacing w:after="0"/>
              <w:rPr>
                <w:sz w:val="24"/>
                <w:szCs w:val="24"/>
                <w:color w:val="auto"/>
              </w:rPr>
            </w:pPr>
          </w:p>
        </w:tc>
        <w:tc>
          <w:tcPr>
            <w:tcW w:w="18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22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220" w:type="dxa"/>
            <w:vAlign w:val="bottom"/>
            <w:tcBorders>
              <w:bottom w:val="single" w:sz="8" w:color="12213B"/>
            </w:tcBorders>
            <w:gridSpan w:val="2"/>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140" w:type="dxa"/>
            <w:vAlign w:val="bottom"/>
            <w:tcBorders>
              <w:bottom w:val="single" w:sz="8" w:color="12213B"/>
            </w:tcBorders>
          </w:tcPr>
          <w:p>
            <w:pPr>
              <w:spacing w:after="0"/>
              <w:rPr>
                <w:sz w:val="24"/>
                <w:szCs w:val="24"/>
                <w:color w:val="auto"/>
              </w:rPr>
            </w:pPr>
          </w:p>
        </w:tc>
        <w:tc>
          <w:tcPr>
            <w:tcW w:w="14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120" w:type="dxa"/>
            <w:vAlign w:val="bottom"/>
            <w:tcBorders>
              <w:bottom w:val="single" w:sz="8" w:color="12213B"/>
            </w:tcBorders>
          </w:tcPr>
          <w:p>
            <w:pPr>
              <w:spacing w:after="0"/>
              <w:rPr>
                <w:sz w:val="24"/>
                <w:szCs w:val="24"/>
                <w:color w:val="auto"/>
              </w:rPr>
            </w:pPr>
          </w:p>
        </w:tc>
        <w:tc>
          <w:tcPr>
            <w:tcW w:w="22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40" w:type="dxa"/>
            <w:vAlign w:val="bottom"/>
            <w:tcBorders>
              <w:bottom w:val="single" w:sz="8" w:color="12213B"/>
            </w:tcBorders>
          </w:tcPr>
          <w:p>
            <w:pPr>
              <w:spacing w:after="0"/>
              <w:rPr>
                <w:sz w:val="24"/>
                <w:szCs w:val="24"/>
                <w:color w:val="auto"/>
              </w:rPr>
            </w:pPr>
          </w:p>
        </w:tc>
        <w:tc>
          <w:tcPr>
            <w:tcW w:w="100" w:type="dxa"/>
            <w:vAlign w:val="bottom"/>
            <w:tcBorders>
              <w:bottom w:val="single" w:sz="8" w:color="12213B"/>
            </w:tcBorders>
          </w:tcPr>
          <w:p>
            <w:pPr>
              <w:spacing w:after="0"/>
              <w:rPr>
                <w:sz w:val="24"/>
                <w:szCs w:val="24"/>
                <w:color w:val="auto"/>
              </w:rPr>
            </w:pPr>
          </w:p>
        </w:tc>
        <w:tc>
          <w:tcPr>
            <w:tcW w:w="160" w:type="dxa"/>
            <w:vAlign w:val="bottom"/>
            <w:tcBorders>
              <w:bottom w:val="single" w:sz="8" w:color="12213B"/>
            </w:tcBorders>
          </w:tcPr>
          <w:p>
            <w:pPr>
              <w:spacing w:after="0"/>
              <w:rPr>
                <w:sz w:val="24"/>
                <w:szCs w:val="24"/>
                <w:color w:val="auto"/>
              </w:rPr>
            </w:pPr>
          </w:p>
        </w:tc>
        <w:tc>
          <w:tcPr>
            <w:tcW w:w="80" w:type="dxa"/>
            <w:vAlign w:val="bottom"/>
            <w:tcBorders>
              <w:bottom w:val="single" w:sz="8" w:color="12213B"/>
            </w:tcBorders>
          </w:tcPr>
          <w:p>
            <w:pPr>
              <w:spacing w:after="0"/>
              <w:rPr>
                <w:sz w:val="24"/>
                <w:szCs w:val="24"/>
                <w:color w:val="auto"/>
              </w:rPr>
            </w:pPr>
          </w:p>
        </w:tc>
        <w:tc>
          <w:tcPr>
            <w:tcW w:w="800" w:type="dxa"/>
            <w:vAlign w:val="bottom"/>
            <w:tcBorders>
              <w:bottom w:val="single" w:sz="8" w:color="12213B"/>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900" w:type="dxa"/>
            <w:vAlign w:val="bottom"/>
            <w:gridSpan w:val="9"/>
          </w:tcPr>
          <w:p>
            <w:pPr>
              <w:spacing w:after="0"/>
              <w:rPr>
                <w:sz w:val="20"/>
                <w:szCs w:val="20"/>
                <w:color w:val="auto"/>
              </w:rPr>
            </w:pPr>
            <w:r>
              <w:rPr>
                <w:rFonts w:ascii="Arial" w:cs="Arial" w:eastAsia="Arial" w:hAnsi="Arial"/>
                <w:sz w:val="20"/>
                <w:szCs w:val="20"/>
                <w:color w:val="12213B"/>
              </w:rPr>
              <w:t>AiEX TRADE STATS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12213B"/>
              </w:rPr>
              <w:t>12,663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14"/>
          </w:tcPr>
          <w:p>
            <w:pPr>
              <w:jc w:val="center"/>
              <w:spacing w:after="0"/>
              <w:rPr>
                <w:sz w:val="20"/>
                <w:szCs w:val="20"/>
                <w:color w:val="auto"/>
              </w:rPr>
            </w:pPr>
            <w:r>
              <w:rPr>
                <w:rFonts w:ascii="Arial" w:cs="Arial" w:eastAsia="Arial" w:hAnsi="Arial"/>
                <w:sz w:val="20"/>
                <w:szCs w:val="20"/>
                <w:color w:val="12213B"/>
                <w:w w:val="85"/>
              </w:rPr>
              <w:t>AiEX CLIENT STATS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w w:val="93"/>
              </w:rPr>
              <w:t>12,000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12213B"/>
              </w:rPr>
              <w:t>9,063</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12213B"/>
              </w:rPr>
              <w:t>35%</w:t>
            </w: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140" w:type="dxa"/>
            <w:vAlign w:val="bottom"/>
            <w:vMerge w:val="restart"/>
          </w:tcPr>
          <w:p>
            <w:pPr>
              <w:spacing w:after="0"/>
              <w:rPr>
                <w:sz w:val="11"/>
                <w:szCs w:val="11"/>
                <w:color w:val="auto"/>
              </w:rPr>
            </w:pPr>
          </w:p>
        </w:tc>
        <w:tc>
          <w:tcPr>
            <w:tcW w:w="340" w:type="dxa"/>
            <w:vAlign w:val="bottom"/>
            <w:tcBorders>
              <w:bottom w:val="single" w:sz="8" w:color="12213B"/>
            </w:tcBorders>
            <w:vMerge w:val="restart"/>
            <w:shd w:val="clear" w:color="auto" w:fill="12213B"/>
          </w:tcPr>
          <w:p>
            <w:pPr>
              <w:spacing w:after="0"/>
              <w:rPr>
                <w:sz w:val="11"/>
                <w:szCs w:val="11"/>
                <w:color w:val="auto"/>
              </w:rPr>
            </w:pPr>
          </w:p>
        </w:tc>
        <w:tc>
          <w:tcPr>
            <w:tcW w:w="200" w:type="dxa"/>
            <w:vAlign w:val="bottom"/>
            <w:vMerge w:val="restart"/>
          </w:tcPr>
          <w:p>
            <w:pPr>
              <w:spacing w:after="0"/>
              <w:rPr>
                <w:sz w:val="11"/>
                <w:szCs w:val="11"/>
                <w:color w:val="auto"/>
              </w:rPr>
            </w:pPr>
          </w:p>
        </w:tc>
        <w:tc>
          <w:tcPr>
            <w:tcW w:w="100" w:type="dxa"/>
            <w:vAlign w:val="bottom"/>
            <w:tcBorders>
              <w:bottom w:val="single" w:sz="8" w:color="12213B"/>
            </w:tcBorders>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100" w:type="dxa"/>
            <w:vAlign w:val="bottom"/>
            <w:tcBorders>
              <w:bottom w:val="single" w:sz="8" w:color="12213B"/>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40" w:type="dxa"/>
            <w:vAlign w:val="bottom"/>
            <w:tcBorders>
              <w:bottom w:val="single" w:sz="8" w:color="12213B"/>
            </w:tcBorders>
            <w:vMerge w:val="continue"/>
            <w:shd w:val="clear" w:color="auto" w:fill="12213B"/>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shd w:val="clear" w:color="auto" w:fill="12213B"/>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shd w:val="clear" w:color="auto" w:fill="12213B"/>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w w:val="93"/>
              </w:rPr>
              <w:t>10,000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340" w:type="dxa"/>
            <w:vAlign w:val="bottom"/>
            <w:tcBorders>
              <w:bottom w:val="single" w:sz="8" w:color="12213B"/>
            </w:tcBorders>
            <w:vMerge w:val="restart"/>
            <w:shd w:val="clear" w:color="auto" w:fill="12213B"/>
          </w:tcPr>
          <w:p>
            <w:pPr>
              <w:spacing w:after="0"/>
              <w:rPr>
                <w:sz w:val="8"/>
                <w:szCs w:val="8"/>
                <w:color w:val="auto"/>
              </w:rPr>
            </w:pPr>
          </w:p>
        </w:tc>
        <w:tc>
          <w:tcPr>
            <w:tcW w:w="200" w:type="dxa"/>
            <w:vAlign w:val="bottom"/>
            <w:vMerge w:val="restart"/>
          </w:tcPr>
          <w:p>
            <w:pPr>
              <w:spacing w:after="0"/>
              <w:rPr>
                <w:sz w:val="8"/>
                <w:szCs w:val="8"/>
                <w:color w:val="auto"/>
              </w:rPr>
            </w:pPr>
          </w:p>
        </w:tc>
        <w:tc>
          <w:tcPr>
            <w:tcW w:w="100" w:type="dxa"/>
            <w:vAlign w:val="bottom"/>
            <w:tcBorders>
              <w:bottom w:val="single" w:sz="8" w:color="12213B"/>
            </w:tcBorders>
          </w:tcPr>
          <w:p>
            <w:pPr>
              <w:spacing w:after="0"/>
              <w:rPr>
                <w:sz w:val="8"/>
                <w:szCs w:val="8"/>
                <w:color w:val="auto"/>
              </w:rPr>
            </w:pPr>
          </w:p>
        </w:tc>
        <w:tc>
          <w:tcPr>
            <w:tcW w:w="880" w:type="dxa"/>
            <w:vAlign w:val="bottom"/>
            <w:vMerge w:val="restart"/>
          </w:tcPr>
          <w:p>
            <w:pPr>
              <w:ind w:left="140"/>
              <w:spacing w:after="0" w:line="157" w:lineRule="exact"/>
              <w:rPr>
                <w:sz w:val="20"/>
                <w:szCs w:val="20"/>
                <w:color w:val="auto"/>
              </w:rPr>
            </w:pPr>
            <w:r>
              <w:rPr>
                <w:rFonts w:ascii="Arial" w:cs="Arial" w:eastAsia="Arial" w:hAnsi="Arial"/>
                <w:sz w:val="14"/>
                <w:szCs w:val="14"/>
                <w:color w:val="12213B"/>
              </w:rPr>
              <w:t>30%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300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12213B"/>
              </w:rPr>
              <w:t>268</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520" w:type="dxa"/>
            <w:vAlign w:val="bottom"/>
            <w:vMerge w:val="continue"/>
          </w:tcPr>
          <w:p>
            <w:pPr>
              <w:spacing w:after="0"/>
              <w:rPr>
                <w:sz w:val="3"/>
                <w:szCs w:val="3"/>
                <w:color w:val="auto"/>
              </w:rPr>
            </w:pPr>
          </w:p>
        </w:tc>
        <w:tc>
          <w:tcPr>
            <w:tcW w:w="100" w:type="dxa"/>
            <w:vAlign w:val="bottom"/>
            <w:tcBorders>
              <w:bottom w:val="single" w:sz="8" w:color="12213B"/>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40" w:type="dxa"/>
            <w:vAlign w:val="bottom"/>
            <w:tcBorders>
              <w:bottom w:val="single" w:sz="8" w:color="12213B"/>
            </w:tcBorders>
            <w:vMerge w:val="continue"/>
            <w:shd w:val="clear" w:color="auto" w:fill="12213B"/>
          </w:tcPr>
          <w:p>
            <w:pPr>
              <w:spacing w:after="0"/>
              <w:rPr>
                <w:sz w:val="3"/>
                <w:szCs w:val="3"/>
                <w:color w:val="auto"/>
              </w:rPr>
            </w:pPr>
          </w:p>
        </w:tc>
        <w:tc>
          <w:tcPr>
            <w:tcW w:w="2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gridSpan w:val="4"/>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12213B"/>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12213B"/>
              </w:rPr>
              <w:t>25%</w:t>
            </w:r>
          </w:p>
        </w:tc>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rPr>
              <w:t>8,000</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12213B"/>
              </w:rPr>
              <w:t>6,234</w:t>
            </w:r>
          </w:p>
        </w:tc>
        <w:tc>
          <w:tcPr>
            <w:tcW w:w="100" w:type="dxa"/>
            <w:vAlign w:val="bottom"/>
          </w:tcPr>
          <w:p>
            <w:pPr>
              <w:spacing w:after="0"/>
              <w:rPr>
                <w:sz w:val="7"/>
                <w:szCs w:val="7"/>
                <w:color w:val="auto"/>
              </w:rPr>
            </w:pPr>
          </w:p>
        </w:tc>
        <w:tc>
          <w:tcPr>
            <w:tcW w:w="360" w:type="dxa"/>
            <w:vAlign w:val="bottom"/>
            <w:tcBorders>
              <w:bottom w:val="single" w:sz="8" w:color="12213B"/>
            </w:tcBorders>
            <w:shd w:val="clear" w:color="auto" w:fill="12213B"/>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bottom w:val="single" w:sz="8" w:color="12213B"/>
            </w:tcBorders>
            <w:shd w:val="clear" w:color="auto" w:fill="12213B"/>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12213B"/>
            </w:tcBorders>
          </w:tcPr>
          <w:p>
            <w:pPr>
              <w:spacing w:after="0"/>
              <w:rPr>
                <w:sz w:val="7"/>
                <w:szCs w:val="7"/>
                <w:color w:val="auto"/>
              </w:rPr>
            </w:pPr>
          </w:p>
        </w:tc>
        <w:tc>
          <w:tcPr>
            <w:tcW w:w="20" w:type="dxa"/>
            <w:vAlign w:val="bottom"/>
            <w:tcBorders>
              <w:bottom w:val="single" w:sz="8" w:color="12213B"/>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4"/>
            <w:vMerge w:val="restart"/>
          </w:tcPr>
          <w:p>
            <w:pPr>
              <w:jc w:val="center"/>
              <w:ind w:left="170"/>
              <w:spacing w:after="0"/>
              <w:rPr>
                <w:sz w:val="20"/>
                <w:szCs w:val="20"/>
                <w:color w:val="auto"/>
              </w:rPr>
            </w:pPr>
            <w:r>
              <w:rPr>
                <w:rFonts w:ascii="Arial" w:cs="Arial" w:eastAsia="Arial" w:hAnsi="Arial"/>
                <w:sz w:val="14"/>
                <w:szCs w:val="14"/>
                <w:b w:val="1"/>
                <w:bCs w:val="1"/>
                <w:color w:val="12213B"/>
              </w:rPr>
              <w:t>236</w:t>
            </w:r>
          </w:p>
        </w:tc>
        <w:tc>
          <w:tcPr>
            <w:tcW w:w="160" w:type="dxa"/>
            <w:vAlign w:val="bottom"/>
          </w:tcPr>
          <w:p>
            <w:pPr>
              <w:spacing w:after="0"/>
              <w:rPr>
                <w:sz w:val="7"/>
                <w:szCs w:val="7"/>
                <w:color w:val="auto"/>
              </w:rPr>
            </w:pPr>
          </w:p>
        </w:tc>
        <w:tc>
          <w:tcPr>
            <w:tcW w:w="380" w:type="dxa"/>
            <w:vAlign w:val="bottom"/>
            <w:gridSpan w:val="4"/>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12213B"/>
            </w:tcBorders>
            <w:shd w:val="clear" w:color="auto" w:fill="12213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tcBorders>
              <w:bottom w:val="single" w:sz="8" w:color="12213B"/>
            </w:tcBorders>
            <w:vMerge w:val="restart"/>
            <w:shd w:val="clear" w:color="auto" w:fill="12213B"/>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12213B"/>
            </w:tcBorders>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
        </w:trPr>
        <w:tc>
          <w:tcPr>
            <w:tcW w:w="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12213B"/>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340" w:type="dxa"/>
            <w:vAlign w:val="bottom"/>
            <w:vMerge w:val="continue"/>
            <w:shd w:val="clear" w:color="auto" w:fill="12213B"/>
          </w:tcPr>
          <w:p>
            <w:pPr>
              <w:spacing w:after="0"/>
              <w:rPr>
                <w:sz w:val="2"/>
                <w:szCs w:val="2"/>
                <w:color w:val="auto"/>
              </w:rPr>
            </w:pPr>
          </w:p>
        </w:tc>
        <w:tc>
          <w:tcPr>
            <w:tcW w:w="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520" w:type="dxa"/>
            <w:vAlign w:val="bottom"/>
            <w:vMerge w:val="continue"/>
          </w:tcPr>
          <w:p>
            <w:pPr>
              <w:spacing w:after="0"/>
              <w:rPr>
                <w:sz w:val="6"/>
                <w:szCs w:val="6"/>
                <w:color w:val="auto"/>
              </w:rPr>
            </w:pPr>
          </w:p>
        </w:tc>
        <w:tc>
          <w:tcPr>
            <w:tcW w:w="100" w:type="dxa"/>
            <w:vAlign w:val="bottom"/>
            <w:tcBorders>
              <w:bottom w:val="single" w:sz="8" w:color="12213B"/>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12213B"/>
              </w:rPr>
              <w:t>4,795</w:t>
            </w:r>
          </w:p>
        </w:tc>
        <w:tc>
          <w:tcPr>
            <w:tcW w:w="5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12213B"/>
            </w:tcBorders>
            <w:shd w:val="clear" w:color="auto" w:fill="12213B"/>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12213B"/>
            </w:tcBorders>
            <w:shd w:val="clear" w:color="auto" w:fill="12213B"/>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12213B"/>
              </w:rPr>
              <w:t>20%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250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gridSpan w:val="3"/>
            <w:vMerge w:val="restart"/>
          </w:tcPr>
          <w:p>
            <w:pPr>
              <w:jc w:val="center"/>
              <w:ind w:left="10"/>
              <w:spacing w:after="0"/>
              <w:rPr>
                <w:sz w:val="20"/>
                <w:szCs w:val="20"/>
                <w:color w:val="auto"/>
              </w:rPr>
            </w:pPr>
            <w:r>
              <w:rPr>
                <w:rFonts w:ascii="Arial" w:cs="Arial" w:eastAsia="Arial" w:hAnsi="Arial"/>
                <w:sz w:val="14"/>
                <w:szCs w:val="14"/>
                <w:b w:val="1"/>
                <w:bCs w:val="1"/>
                <w:color w:val="12213B"/>
              </w:rPr>
              <w:t>192</w:t>
            </w:r>
          </w:p>
        </w:tc>
        <w:tc>
          <w:tcPr>
            <w:tcW w:w="560" w:type="dxa"/>
            <w:vAlign w:val="bottom"/>
            <w:gridSpan w:val="4"/>
            <w:vMerge w:val="continue"/>
          </w:tcPr>
          <w:p>
            <w:pPr>
              <w:spacing w:after="0"/>
              <w:rPr>
                <w:sz w:val="6"/>
                <w:szCs w:val="6"/>
                <w:color w:val="auto"/>
              </w:rPr>
            </w:pPr>
          </w:p>
        </w:tc>
        <w:tc>
          <w:tcPr>
            <w:tcW w:w="1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12213B"/>
            </w:tcBorders>
            <w:shd w:val="clear" w:color="auto" w:fill="12213B"/>
          </w:tcPr>
          <w:p>
            <w:pPr>
              <w:spacing w:after="0"/>
              <w:rPr>
                <w:sz w:val="6"/>
                <w:szCs w:val="6"/>
                <w:color w:val="auto"/>
              </w:rPr>
            </w:pPr>
          </w:p>
        </w:tc>
        <w:tc>
          <w:tcPr>
            <w:tcW w:w="160" w:type="dxa"/>
            <w:vAlign w:val="bottom"/>
            <w:tcBorders>
              <w:bottom w:val="single" w:sz="8" w:color="12213B"/>
            </w:tcBorders>
            <w:shd w:val="clear" w:color="auto" w:fill="12213B"/>
          </w:tcPr>
          <w:p>
            <w:pPr>
              <w:spacing w:after="0"/>
              <w:rPr>
                <w:sz w:val="6"/>
                <w:szCs w:val="6"/>
                <w:color w:val="auto"/>
              </w:rPr>
            </w:pPr>
          </w:p>
        </w:tc>
        <w:tc>
          <w:tcPr>
            <w:tcW w:w="80" w:type="dxa"/>
            <w:vAlign w:val="bottom"/>
            <w:tcBorders>
              <w:bottom w:val="single" w:sz="8" w:color="12213B"/>
            </w:tcBorders>
            <w:shd w:val="clear" w:color="auto" w:fill="12213B"/>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12213B"/>
            </w:tcBorders>
            <w:shd w:val="clear" w:color="auto" w:fill="12213B"/>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12213B"/>
            </w:tcBorders>
            <w:shd w:val="clear" w:color="auto" w:fill="12213B"/>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12213B"/>
            </w:tcBorders>
          </w:tcPr>
          <w:p>
            <w:pPr>
              <w:spacing w:after="0"/>
              <w:rPr>
                <w:sz w:val="3"/>
                <w:szCs w:val="3"/>
                <w:color w:val="auto"/>
              </w:rPr>
            </w:pPr>
          </w:p>
        </w:tc>
        <w:tc>
          <w:tcPr>
            <w:tcW w:w="20" w:type="dxa"/>
            <w:vAlign w:val="bottom"/>
            <w:tcBorders>
              <w:bottom w:val="single" w:sz="8" w:color="12213B"/>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12213B"/>
            </w:tcBorders>
            <w:shd w:val="clear" w:color="auto" w:fill="12213B"/>
          </w:tcPr>
          <w:p>
            <w:pPr>
              <w:spacing w:after="0"/>
              <w:rPr>
                <w:sz w:val="3"/>
                <w:szCs w:val="3"/>
                <w:color w:val="auto"/>
              </w:rPr>
            </w:pPr>
          </w:p>
        </w:tc>
        <w:tc>
          <w:tcPr>
            <w:tcW w:w="160" w:type="dxa"/>
            <w:vAlign w:val="bottom"/>
            <w:tcBorders>
              <w:bottom w:val="single" w:sz="8" w:color="12213B"/>
            </w:tcBorders>
            <w:shd w:val="clear" w:color="auto" w:fill="12213B"/>
          </w:tcPr>
          <w:p>
            <w:pPr>
              <w:spacing w:after="0"/>
              <w:rPr>
                <w:sz w:val="3"/>
                <w:szCs w:val="3"/>
                <w:color w:val="auto"/>
              </w:rPr>
            </w:pPr>
          </w:p>
        </w:tc>
        <w:tc>
          <w:tcPr>
            <w:tcW w:w="80" w:type="dxa"/>
            <w:vAlign w:val="bottom"/>
            <w:tcBorders>
              <w:bottom w:val="single" w:sz="8" w:color="12213B"/>
            </w:tcBorders>
            <w:shd w:val="clear" w:color="auto" w:fill="12213B"/>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rPr>
              <w:t>6,000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12213B"/>
            </w:tcBorders>
            <w:shd w:val="clear" w:color="auto" w:fill="12213B"/>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12213B"/>
            </w:tcBorders>
            <w:shd w:val="clear" w:color="auto" w:fill="12213B"/>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12213B"/>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12213B"/>
            </w:tcBorders>
          </w:tcPr>
          <w:p>
            <w:pPr>
              <w:spacing w:after="0"/>
              <w:rPr>
                <w:sz w:val="8"/>
                <w:szCs w:val="8"/>
                <w:color w:val="auto"/>
              </w:rPr>
            </w:pPr>
          </w:p>
        </w:tc>
        <w:tc>
          <w:tcPr>
            <w:tcW w:w="160" w:type="dxa"/>
            <w:vAlign w:val="bottom"/>
            <w:tcBorders>
              <w:bottom w:val="single" w:sz="8" w:color="12213B"/>
            </w:tcBorders>
          </w:tcPr>
          <w:p>
            <w:pPr>
              <w:spacing w:after="0"/>
              <w:rPr>
                <w:sz w:val="8"/>
                <w:szCs w:val="8"/>
                <w:color w:val="auto"/>
              </w:rPr>
            </w:pPr>
          </w:p>
        </w:tc>
        <w:tc>
          <w:tcPr>
            <w:tcW w:w="100" w:type="dxa"/>
            <w:vAlign w:val="bottom"/>
            <w:tcBorders>
              <w:bottom w:val="single" w:sz="8" w:color="12213B"/>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12213B"/>
            </w:tcBorders>
            <w:shd w:val="clear" w:color="auto" w:fill="12213B"/>
          </w:tcPr>
          <w:p>
            <w:pPr>
              <w:spacing w:after="0"/>
              <w:rPr>
                <w:sz w:val="8"/>
                <w:szCs w:val="8"/>
                <w:color w:val="auto"/>
              </w:rPr>
            </w:pPr>
          </w:p>
        </w:tc>
        <w:tc>
          <w:tcPr>
            <w:tcW w:w="160" w:type="dxa"/>
            <w:vAlign w:val="bottom"/>
            <w:tcBorders>
              <w:bottom w:val="single" w:sz="8" w:color="12213B"/>
            </w:tcBorders>
            <w:shd w:val="clear" w:color="auto" w:fill="12213B"/>
          </w:tcPr>
          <w:p>
            <w:pPr>
              <w:spacing w:after="0"/>
              <w:rPr>
                <w:sz w:val="8"/>
                <w:szCs w:val="8"/>
                <w:color w:val="auto"/>
              </w:rPr>
            </w:pPr>
          </w:p>
        </w:tc>
        <w:tc>
          <w:tcPr>
            <w:tcW w:w="80" w:type="dxa"/>
            <w:vAlign w:val="bottom"/>
            <w:tcBorders>
              <w:bottom w:val="single" w:sz="8" w:color="12213B"/>
            </w:tcBorders>
            <w:shd w:val="clear" w:color="auto" w:fill="12213B"/>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shd w:val="clear" w:color="auto" w:fill="12213B"/>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shd w:val="clear" w:color="auto" w:fill="12213B"/>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shd w:val="clear" w:color="auto" w:fill="12213B"/>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200</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shd w:val="clear" w:color="auto" w:fill="12213B"/>
          </w:tcPr>
          <w:p>
            <w:pPr>
              <w:spacing w:after="0"/>
              <w:rPr>
                <w:sz w:val="7"/>
                <w:szCs w:val="7"/>
                <w:color w:val="auto"/>
              </w:rPr>
            </w:pPr>
          </w:p>
        </w:tc>
        <w:tc>
          <w:tcPr>
            <w:tcW w:w="160" w:type="dxa"/>
            <w:vAlign w:val="bottom"/>
            <w:shd w:val="clear" w:color="auto" w:fill="12213B"/>
          </w:tcPr>
          <w:p>
            <w:pPr>
              <w:spacing w:after="0"/>
              <w:rPr>
                <w:sz w:val="7"/>
                <w:szCs w:val="7"/>
                <w:color w:val="auto"/>
              </w:rPr>
            </w:pPr>
          </w:p>
        </w:tc>
        <w:tc>
          <w:tcPr>
            <w:tcW w:w="100" w:type="dxa"/>
            <w:vAlign w:val="bottom"/>
            <w:shd w:val="clear" w:color="auto" w:fill="12213B"/>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shd w:val="clear" w:color="auto" w:fill="12213B"/>
          </w:tcPr>
          <w:p>
            <w:pPr>
              <w:spacing w:after="0"/>
              <w:rPr>
                <w:sz w:val="7"/>
                <w:szCs w:val="7"/>
                <w:color w:val="auto"/>
              </w:rPr>
            </w:pPr>
          </w:p>
        </w:tc>
        <w:tc>
          <w:tcPr>
            <w:tcW w:w="160" w:type="dxa"/>
            <w:vAlign w:val="bottom"/>
            <w:shd w:val="clear" w:color="auto" w:fill="12213B"/>
          </w:tcPr>
          <w:p>
            <w:pPr>
              <w:spacing w:after="0"/>
              <w:rPr>
                <w:sz w:val="7"/>
                <w:szCs w:val="7"/>
                <w:color w:val="auto"/>
              </w:rPr>
            </w:pPr>
          </w:p>
        </w:tc>
        <w:tc>
          <w:tcPr>
            <w:tcW w:w="80" w:type="dxa"/>
            <w:vAlign w:val="bottom"/>
            <w:shd w:val="clear" w:color="auto" w:fill="12213B"/>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520" w:type="dxa"/>
            <w:vAlign w:val="bottom"/>
            <w:vMerge w:val="continue"/>
          </w:tcPr>
          <w:p>
            <w:pPr>
              <w:spacing w:after="0"/>
              <w:rPr>
                <w:sz w:val="2"/>
                <w:szCs w:val="2"/>
                <w:color w:val="auto"/>
              </w:rPr>
            </w:pPr>
          </w:p>
        </w:tc>
        <w:tc>
          <w:tcPr>
            <w:tcW w:w="100" w:type="dxa"/>
            <w:vAlign w:val="bottom"/>
            <w:tcBorders>
              <w:bottom w:val="single" w:sz="8" w:color="12213B"/>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12213B"/>
            </w:tcBorders>
            <w:shd w:val="clear" w:color="auto" w:fill="12213B"/>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12213B"/>
            </w:tcBorders>
            <w:shd w:val="clear" w:color="auto" w:fill="12213B"/>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12213B"/>
            </w:tcBorders>
            <w:shd w:val="clear" w:color="auto" w:fill="12213B"/>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12213B"/>
            </w:tcBorders>
          </w:tcPr>
          <w:p>
            <w:pPr>
              <w:spacing w:after="0"/>
              <w:rPr>
                <w:sz w:val="2"/>
                <w:szCs w:val="2"/>
                <w:color w:val="auto"/>
              </w:rPr>
            </w:pPr>
          </w:p>
        </w:tc>
        <w:tc>
          <w:tcPr>
            <w:tcW w:w="20" w:type="dxa"/>
            <w:vAlign w:val="bottom"/>
            <w:tcBorders>
              <w:bottom w:val="single" w:sz="8" w:color="12213B"/>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12213B"/>
            </w:tcBorders>
            <w:shd w:val="clear" w:color="auto" w:fill="12213B"/>
          </w:tcPr>
          <w:p>
            <w:pPr>
              <w:spacing w:after="0"/>
              <w:rPr>
                <w:sz w:val="2"/>
                <w:szCs w:val="2"/>
                <w:color w:val="auto"/>
              </w:rPr>
            </w:pPr>
          </w:p>
        </w:tc>
        <w:tc>
          <w:tcPr>
            <w:tcW w:w="160" w:type="dxa"/>
            <w:vAlign w:val="bottom"/>
            <w:tcBorders>
              <w:bottom w:val="single" w:sz="8" w:color="12213B"/>
            </w:tcBorders>
            <w:shd w:val="clear" w:color="auto" w:fill="12213B"/>
          </w:tcPr>
          <w:p>
            <w:pPr>
              <w:spacing w:after="0"/>
              <w:rPr>
                <w:sz w:val="2"/>
                <w:szCs w:val="2"/>
                <w:color w:val="auto"/>
              </w:rPr>
            </w:pPr>
          </w:p>
        </w:tc>
        <w:tc>
          <w:tcPr>
            <w:tcW w:w="100" w:type="dxa"/>
            <w:vAlign w:val="bottom"/>
            <w:tcBorders>
              <w:bottom w:val="single" w:sz="8" w:color="12213B"/>
            </w:tcBorders>
            <w:shd w:val="clear" w:color="auto" w:fill="12213B"/>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12213B"/>
            </w:tcBorders>
            <w:shd w:val="clear" w:color="auto" w:fill="12213B"/>
          </w:tcPr>
          <w:p>
            <w:pPr>
              <w:spacing w:after="0"/>
              <w:rPr>
                <w:sz w:val="2"/>
                <w:szCs w:val="2"/>
                <w:color w:val="auto"/>
              </w:rPr>
            </w:pPr>
          </w:p>
        </w:tc>
        <w:tc>
          <w:tcPr>
            <w:tcW w:w="160" w:type="dxa"/>
            <w:vAlign w:val="bottom"/>
            <w:tcBorders>
              <w:bottom w:val="single" w:sz="8" w:color="12213B"/>
            </w:tcBorders>
            <w:shd w:val="clear" w:color="auto" w:fill="12213B"/>
          </w:tcPr>
          <w:p>
            <w:pPr>
              <w:spacing w:after="0"/>
              <w:rPr>
                <w:sz w:val="2"/>
                <w:szCs w:val="2"/>
                <w:color w:val="auto"/>
              </w:rPr>
            </w:pPr>
          </w:p>
        </w:tc>
        <w:tc>
          <w:tcPr>
            <w:tcW w:w="80" w:type="dxa"/>
            <w:vAlign w:val="bottom"/>
            <w:tcBorders>
              <w:bottom w:val="single" w:sz="8" w:color="12213B"/>
            </w:tcBorders>
            <w:shd w:val="clear" w:color="auto" w:fill="12213B"/>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12213B"/>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12213B"/>
            </w:tcBorders>
            <w:shd w:val="clear" w:color="auto" w:fill="12213B"/>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12213B"/>
            </w:tcBorders>
            <w:shd w:val="clear" w:color="auto" w:fill="12213B"/>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12213B"/>
            </w:tcBorders>
            <w:shd w:val="clear" w:color="auto" w:fill="12213B"/>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12213B"/>
            </w:tcBorders>
          </w:tcPr>
          <w:p>
            <w:pPr>
              <w:spacing w:after="0"/>
              <w:rPr>
                <w:sz w:val="11"/>
                <w:szCs w:val="11"/>
                <w:color w:val="auto"/>
              </w:rPr>
            </w:pPr>
          </w:p>
        </w:tc>
        <w:tc>
          <w:tcPr>
            <w:tcW w:w="880" w:type="dxa"/>
            <w:vAlign w:val="bottom"/>
          </w:tcPr>
          <w:p>
            <w:pPr>
              <w:ind w:left="140"/>
              <w:spacing w:after="0" w:line="132" w:lineRule="exact"/>
              <w:rPr>
                <w:sz w:val="20"/>
                <w:szCs w:val="20"/>
                <w:color w:val="auto"/>
              </w:rPr>
            </w:pPr>
            <w:r>
              <w:rPr>
                <w:rFonts w:ascii="Arial" w:cs="Arial" w:eastAsia="Arial" w:hAnsi="Arial"/>
                <w:sz w:val="14"/>
                <w:szCs w:val="14"/>
                <w:color w:val="12213B"/>
              </w:rPr>
              <w:t>15%</w:t>
            </w: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12213B"/>
            </w:tcBorders>
          </w:tcPr>
          <w:p>
            <w:pPr>
              <w:spacing w:after="0"/>
              <w:rPr>
                <w:sz w:val="11"/>
                <w:szCs w:val="11"/>
                <w:color w:val="auto"/>
              </w:rPr>
            </w:pPr>
          </w:p>
        </w:tc>
        <w:tc>
          <w:tcPr>
            <w:tcW w:w="120" w:type="dxa"/>
            <w:vAlign w:val="bottom"/>
            <w:tcBorders>
              <w:bottom w:val="single" w:sz="8" w:color="12213B"/>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12213B"/>
            </w:tcBorders>
            <w:shd w:val="clear" w:color="auto" w:fill="12213B"/>
          </w:tcPr>
          <w:p>
            <w:pPr>
              <w:spacing w:after="0"/>
              <w:rPr>
                <w:sz w:val="11"/>
                <w:szCs w:val="11"/>
                <w:color w:val="auto"/>
              </w:rPr>
            </w:pPr>
          </w:p>
        </w:tc>
        <w:tc>
          <w:tcPr>
            <w:tcW w:w="160" w:type="dxa"/>
            <w:vAlign w:val="bottom"/>
            <w:tcBorders>
              <w:bottom w:val="single" w:sz="8" w:color="12213B"/>
            </w:tcBorders>
            <w:shd w:val="clear" w:color="auto" w:fill="12213B"/>
          </w:tcPr>
          <w:p>
            <w:pPr>
              <w:spacing w:after="0"/>
              <w:rPr>
                <w:sz w:val="11"/>
                <w:szCs w:val="11"/>
                <w:color w:val="auto"/>
              </w:rPr>
            </w:pPr>
          </w:p>
        </w:tc>
        <w:tc>
          <w:tcPr>
            <w:tcW w:w="100" w:type="dxa"/>
            <w:vAlign w:val="bottom"/>
            <w:tcBorders>
              <w:bottom w:val="single" w:sz="8" w:color="12213B"/>
            </w:tcBorders>
            <w:shd w:val="clear" w:color="auto" w:fill="12213B"/>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12213B"/>
            </w:tcBorders>
            <w:shd w:val="clear" w:color="auto" w:fill="12213B"/>
          </w:tcPr>
          <w:p>
            <w:pPr>
              <w:spacing w:after="0"/>
              <w:rPr>
                <w:sz w:val="11"/>
                <w:szCs w:val="11"/>
                <w:color w:val="auto"/>
              </w:rPr>
            </w:pPr>
          </w:p>
        </w:tc>
        <w:tc>
          <w:tcPr>
            <w:tcW w:w="160" w:type="dxa"/>
            <w:vAlign w:val="bottom"/>
            <w:tcBorders>
              <w:bottom w:val="single" w:sz="8" w:color="12213B"/>
            </w:tcBorders>
            <w:shd w:val="clear" w:color="auto" w:fill="12213B"/>
          </w:tcPr>
          <w:p>
            <w:pPr>
              <w:spacing w:after="0"/>
              <w:rPr>
                <w:sz w:val="11"/>
                <w:szCs w:val="11"/>
                <w:color w:val="auto"/>
              </w:rPr>
            </w:pPr>
          </w:p>
        </w:tc>
        <w:tc>
          <w:tcPr>
            <w:tcW w:w="80" w:type="dxa"/>
            <w:vAlign w:val="bottom"/>
            <w:tcBorders>
              <w:bottom w:val="single" w:sz="8" w:color="12213B"/>
            </w:tcBorders>
            <w:shd w:val="clear" w:color="auto" w:fill="12213B"/>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rPr>
              <w:t>4,000</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12213B"/>
              </w:rPr>
              <w:t>2,201</w:t>
            </w:r>
          </w:p>
        </w:tc>
        <w:tc>
          <w:tcPr>
            <w:tcW w:w="80" w:type="dxa"/>
            <w:vAlign w:val="bottom"/>
          </w:tcPr>
          <w:p>
            <w:pPr>
              <w:spacing w:after="0"/>
              <w:rPr>
                <w:sz w:val="6"/>
                <w:szCs w:val="6"/>
                <w:color w:val="auto"/>
              </w:rPr>
            </w:pPr>
          </w:p>
        </w:tc>
        <w:tc>
          <w:tcPr>
            <w:tcW w:w="360" w:type="dxa"/>
            <w:vAlign w:val="bottom"/>
            <w:tcBorders>
              <w:bottom w:val="single" w:sz="8" w:color="12213B"/>
            </w:tcBorders>
            <w:shd w:val="clear" w:color="auto" w:fill="12213B"/>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12213B"/>
            </w:tcBorders>
            <w:shd w:val="clear" w:color="auto" w:fill="12213B"/>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12213B"/>
            </w:tcBorders>
            <w:shd w:val="clear" w:color="auto" w:fill="12213B"/>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12213B"/>
            </w:tcBorders>
            <w:shd w:val="clear" w:color="auto" w:fill="12213B"/>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12213B"/>
              </w:rPr>
              <w:t>10%</w:t>
            </w:r>
          </w:p>
        </w:tc>
        <w:tc>
          <w:tcPr>
            <w:tcW w:w="840" w:type="dxa"/>
            <w:vAlign w:val="bottom"/>
            <w:vMerge w:val="restart"/>
          </w:tcPr>
          <w:p>
            <w:pPr>
              <w:jc w:val="right"/>
              <w:ind w:right="10"/>
              <w:spacing w:after="0" w:line="133" w:lineRule="exact"/>
              <w:rPr>
                <w:sz w:val="20"/>
                <w:szCs w:val="20"/>
                <w:color w:val="auto"/>
              </w:rPr>
            </w:pPr>
            <w:r>
              <w:rPr>
                <w:rFonts w:ascii="Arial" w:cs="Arial" w:eastAsia="Arial" w:hAnsi="Arial"/>
                <w:sz w:val="14"/>
                <w:szCs w:val="14"/>
                <w:color w:val="12213B"/>
              </w:rPr>
              <w:t>150</w:t>
            </w:r>
          </w:p>
        </w:tc>
        <w:tc>
          <w:tcPr>
            <w:tcW w:w="20" w:type="dxa"/>
            <w:vAlign w:val="bottom"/>
            <w:vMerge w:val="restart"/>
          </w:tcPr>
          <w:p>
            <w:pPr>
              <w:spacing w:after="0"/>
              <w:rPr>
                <w:sz w:val="6"/>
                <w:szCs w:val="6"/>
                <w:color w:val="auto"/>
              </w:rPr>
            </w:pPr>
          </w:p>
        </w:tc>
        <w:tc>
          <w:tcPr>
            <w:tcW w:w="80" w:type="dxa"/>
            <w:vAlign w:val="bottom"/>
            <w:tcBorders>
              <w:bottom w:val="single" w:sz="8" w:color="12213B"/>
            </w:tcBorders>
          </w:tcPr>
          <w:p>
            <w:pPr>
              <w:spacing w:after="0"/>
              <w:rPr>
                <w:sz w:val="6"/>
                <w:szCs w:val="6"/>
                <w:color w:val="auto"/>
              </w:rPr>
            </w:pPr>
          </w:p>
        </w:tc>
        <w:tc>
          <w:tcPr>
            <w:tcW w:w="20" w:type="dxa"/>
            <w:vAlign w:val="bottom"/>
            <w:tcBorders>
              <w:bottom w:val="single" w:sz="8" w:color="12213B"/>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4"/>
            <w:vMerge w:val="restart"/>
          </w:tcPr>
          <w:p>
            <w:pPr>
              <w:jc w:val="center"/>
              <w:ind w:left="150"/>
              <w:spacing w:after="0"/>
              <w:rPr>
                <w:sz w:val="20"/>
                <w:szCs w:val="20"/>
                <w:color w:val="auto"/>
              </w:rPr>
            </w:pPr>
            <w:r>
              <w:rPr>
                <w:rFonts w:ascii="Arial" w:cs="Arial" w:eastAsia="Arial" w:hAnsi="Arial"/>
                <w:sz w:val="14"/>
                <w:szCs w:val="14"/>
                <w:b w:val="1"/>
                <w:bCs w:val="1"/>
                <w:color w:val="12213B"/>
              </w:rPr>
              <w:t>68</w:t>
            </w:r>
          </w:p>
        </w:tc>
        <w:tc>
          <w:tcPr>
            <w:tcW w:w="100" w:type="dxa"/>
            <w:vAlign w:val="bottom"/>
          </w:tcPr>
          <w:p>
            <w:pPr>
              <w:spacing w:after="0"/>
              <w:rPr>
                <w:sz w:val="6"/>
                <w:szCs w:val="6"/>
                <w:color w:val="auto"/>
              </w:rPr>
            </w:pPr>
          </w:p>
        </w:tc>
        <w:tc>
          <w:tcPr>
            <w:tcW w:w="4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12213B"/>
              </w:rPr>
              <w:t>101</w:t>
            </w:r>
          </w:p>
        </w:tc>
        <w:tc>
          <w:tcPr>
            <w:tcW w:w="140" w:type="dxa"/>
            <w:vAlign w:val="bottom"/>
          </w:tcPr>
          <w:p>
            <w:pPr>
              <w:spacing w:after="0"/>
              <w:rPr>
                <w:sz w:val="6"/>
                <w:szCs w:val="6"/>
                <w:color w:val="auto"/>
              </w:rPr>
            </w:pPr>
          </w:p>
        </w:tc>
        <w:tc>
          <w:tcPr>
            <w:tcW w:w="140" w:type="dxa"/>
            <w:vAlign w:val="bottom"/>
            <w:tcBorders>
              <w:right w:val="single" w:sz="8" w:color="12213B"/>
            </w:tcBorders>
          </w:tcPr>
          <w:p>
            <w:pPr>
              <w:spacing w:after="0"/>
              <w:rPr>
                <w:sz w:val="6"/>
                <w:szCs w:val="6"/>
                <w:color w:val="auto"/>
              </w:rPr>
            </w:pPr>
          </w:p>
        </w:tc>
        <w:tc>
          <w:tcPr>
            <w:tcW w:w="160" w:type="dxa"/>
            <w:vAlign w:val="bottom"/>
            <w:tcBorders>
              <w:bottom w:val="single" w:sz="8" w:color="12213B"/>
            </w:tcBorders>
            <w:shd w:val="clear" w:color="auto" w:fill="12213B"/>
          </w:tcPr>
          <w:p>
            <w:pPr>
              <w:spacing w:after="0"/>
              <w:rPr>
                <w:sz w:val="6"/>
                <w:szCs w:val="6"/>
                <w:color w:val="auto"/>
              </w:rPr>
            </w:pPr>
          </w:p>
        </w:tc>
        <w:tc>
          <w:tcPr>
            <w:tcW w:w="120" w:type="dxa"/>
            <w:vAlign w:val="bottom"/>
            <w:tcBorders>
              <w:bottom w:val="single" w:sz="8" w:color="12213B"/>
            </w:tcBorders>
            <w:shd w:val="clear" w:color="auto" w:fill="12213B"/>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12213B"/>
            </w:tcBorders>
            <w:shd w:val="clear" w:color="auto" w:fill="12213B"/>
          </w:tcPr>
          <w:p>
            <w:pPr>
              <w:spacing w:after="0"/>
              <w:rPr>
                <w:sz w:val="6"/>
                <w:szCs w:val="6"/>
                <w:color w:val="auto"/>
              </w:rPr>
            </w:pPr>
          </w:p>
        </w:tc>
        <w:tc>
          <w:tcPr>
            <w:tcW w:w="160" w:type="dxa"/>
            <w:vAlign w:val="bottom"/>
            <w:tcBorders>
              <w:bottom w:val="single" w:sz="8" w:color="12213B"/>
            </w:tcBorders>
            <w:shd w:val="clear" w:color="auto" w:fill="12213B"/>
          </w:tcPr>
          <w:p>
            <w:pPr>
              <w:spacing w:after="0"/>
              <w:rPr>
                <w:sz w:val="6"/>
                <w:szCs w:val="6"/>
                <w:color w:val="auto"/>
              </w:rPr>
            </w:pPr>
          </w:p>
        </w:tc>
        <w:tc>
          <w:tcPr>
            <w:tcW w:w="100" w:type="dxa"/>
            <w:vAlign w:val="bottom"/>
            <w:tcBorders>
              <w:bottom w:val="single" w:sz="8" w:color="12213B"/>
            </w:tcBorders>
            <w:shd w:val="clear" w:color="auto" w:fill="12213B"/>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12213B"/>
            </w:tcBorders>
            <w:shd w:val="clear" w:color="auto" w:fill="12213B"/>
          </w:tcPr>
          <w:p>
            <w:pPr>
              <w:spacing w:after="0"/>
              <w:rPr>
                <w:sz w:val="6"/>
                <w:szCs w:val="6"/>
                <w:color w:val="auto"/>
              </w:rPr>
            </w:pPr>
          </w:p>
        </w:tc>
        <w:tc>
          <w:tcPr>
            <w:tcW w:w="160" w:type="dxa"/>
            <w:vAlign w:val="bottom"/>
            <w:tcBorders>
              <w:bottom w:val="single" w:sz="8" w:color="12213B"/>
            </w:tcBorders>
            <w:shd w:val="clear" w:color="auto" w:fill="12213B"/>
          </w:tcPr>
          <w:p>
            <w:pPr>
              <w:spacing w:after="0"/>
              <w:rPr>
                <w:sz w:val="6"/>
                <w:szCs w:val="6"/>
                <w:color w:val="auto"/>
              </w:rPr>
            </w:pPr>
          </w:p>
        </w:tc>
        <w:tc>
          <w:tcPr>
            <w:tcW w:w="80" w:type="dxa"/>
            <w:vAlign w:val="bottom"/>
            <w:tcBorders>
              <w:bottom w:val="single" w:sz="8" w:color="12213B"/>
            </w:tcBorders>
            <w:shd w:val="clear" w:color="auto" w:fill="12213B"/>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520" w:type="dxa"/>
            <w:vAlign w:val="bottom"/>
            <w:vMerge w:val="continue"/>
          </w:tcPr>
          <w:p>
            <w:pPr>
              <w:spacing w:after="0"/>
              <w:rPr>
                <w:sz w:val="3"/>
                <w:szCs w:val="3"/>
                <w:color w:val="auto"/>
              </w:rPr>
            </w:pPr>
          </w:p>
        </w:tc>
        <w:tc>
          <w:tcPr>
            <w:tcW w:w="100" w:type="dxa"/>
            <w:vAlign w:val="bottom"/>
            <w:tcBorders>
              <w:bottom w:val="single" w:sz="8" w:color="12213B"/>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12213B"/>
            </w:tcBorders>
            <w:shd w:val="clear" w:color="auto" w:fill="12213B"/>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12213B"/>
            </w:tcBorders>
            <w:shd w:val="clear" w:color="auto" w:fill="12213B"/>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12213B"/>
            </w:tcBorders>
            <w:shd w:val="clear" w:color="auto" w:fill="12213B"/>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12213B"/>
            </w:tcBorders>
            <w:shd w:val="clear" w:color="auto" w:fill="12213B"/>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right w:val="single" w:sz="8" w:color="12213B"/>
            </w:tcBorders>
          </w:tcPr>
          <w:p>
            <w:pPr>
              <w:spacing w:after="0"/>
              <w:rPr>
                <w:sz w:val="3"/>
                <w:szCs w:val="3"/>
                <w:color w:val="auto"/>
              </w:rPr>
            </w:pPr>
          </w:p>
        </w:tc>
        <w:tc>
          <w:tcPr>
            <w:tcW w:w="160" w:type="dxa"/>
            <w:vAlign w:val="bottom"/>
            <w:tcBorders>
              <w:bottom w:val="single" w:sz="8" w:color="12213B"/>
            </w:tcBorders>
            <w:shd w:val="clear" w:color="auto" w:fill="12213B"/>
          </w:tcPr>
          <w:p>
            <w:pPr>
              <w:spacing w:after="0"/>
              <w:rPr>
                <w:sz w:val="3"/>
                <w:szCs w:val="3"/>
                <w:color w:val="auto"/>
              </w:rPr>
            </w:pPr>
          </w:p>
        </w:tc>
        <w:tc>
          <w:tcPr>
            <w:tcW w:w="120" w:type="dxa"/>
            <w:vAlign w:val="bottom"/>
            <w:tcBorders>
              <w:bottom w:val="single" w:sz="8" w:color="12213B"/>
            </w:tcBorders>
            <w:shd w:val="clear" w:color="auto" w:fill="12213B"/>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12213B"/>
            </w:tcBorders>
            <w:shd w:val="clear" w:color="auto" w:fill="12213B"/>
          </w:tcPr>
          <w:p>
            <w:pPr>
              <w:spacing w:after="0"/>
              <w:rPr>
                <w:sz w:val="3"/>
                <w:szCs w:val="3"/>
                <w:color w:val="auto"/>
              </w:rPr>
            </w:pPr>
          </w:p>
        </w:tc>
        <w:tc>
          <w:tcPr>
            <w:tcW w:w="160" w:type="dxa"/>
            <w:vAlign w:val="bottom"/>
            <w:tcBorders>
              <w:bottom w:val="single" w:sz="8" w:color="12213B"/>
            </w:tcBorders>
            <w:shd w:val="clear" w:color="auto" w:fill="12213B"/>
          </w:tcPr>
          <w:p>
            <w:pPr>
              <w:spacing w:after="0"/>
              <w:rPr>
                <w:sz w:val="3"/>
                <w:szCs w:val="3"/>
                <w:color w:val="auto"/>
              </w:rPr>
            </w:pPr>
          </w:p>
        </w:tc>
        <w:tc>
          <w:tcPr>
            <w:tcW w:w="100" w:type="dxa"/>
            <w:vAlign w:val="bottom"/>
            <w:tcBorders>
              <w:bottom w:val="single" w:sz="8" w:color="12213B"/>
            </w:tcBorders>
            <w:shd w:val="clear" w:color="auto" w:fill="12213B"/>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12213B"/>
            </w:tcBorders>
            <w:shd w:val="clear" w:color="auto" w:fill="12213B"/>
          </w:tcPr>
          <w:p>
            <w:pPr>
              <w:spacing w:after="0"/>
              <w:rPr>
                <w:sz w:val="3"/>
                <w:szCs w:val="3"/>
                <w:color w:val="auto"/>
              </w:rPr>
            </w:pPr>
          </w:p>
        </w:tc>
        <w:tc>
          <w:tcPr>
            <w:tcW w:w="160" w:type="dxa"/>
            <w:vAlign w:val="bottom"/>
            <w:tcBorders>
              <w:bottom w:val="single" w:sz="8" w:color="12213B"/>
            </w:tcBorders>
            <w:shd w:val="clear" w:color="auto" w:fill="12213B"/>
          </w:tcPr>
          <w:p>
            <w:pPr>
              <w:spacing w:after="0"/>
              <w:rPr>
                <w:sz w:val="3"/>
                <w:szCs w:val="3"/>
                <w:color w:val="auto"/>
              </w:rPr>
            </w:pPr>
          </w:p>
        </w:tc>
        <w:tc>
          <w:tcPr>
            <w:tcW w:w="80" w:type="dxa"/>
            <w:vAlign w:val="bottom"/>
            <w:tcBorders>
              <w:bottom w:val="single" w:sz="8" w:color="12213B"/>
            </w:tcBorders>
            <w:shd w:val="clear" w:color="auto" w:fill="12213B"/>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12213B"/>
            </w:tcBorders>
            <w:shd w:val="clear" w:color="auto" w:fill="12213B"/>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12213B"/>
            </w:tcBorders>
            <w:shd w:val="clear" w:color="auto" w:fill="12213B"/>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12213B"/>
            </w:tcBorders>
            <w:shd w:val="clear" w:color="auto" w:fill="12213B"/>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12213B"/>
            </w:tcBorders>
            <w:shd w:val="clear" w:color="auto" w:fill="12213B"/>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12213B"/>
            </w:tcBorders>
          </w:tcPr>
          <w:p>
            <w:pPr>
              <w:spacing w:after="0"/>
              <w:rPr>
                <w:sz w:val="5"/>
                <w:szCs w:val="5"/>
                <w:color w:val="auto"/>
              </w:rPr>
            </w:pPr>
          </w:p>
        </w:tc>
        <w:tc>
          <w:tcPr>
            <w:tcW w:w="880" w:type="dxa"/>
            <w:vAlign w:val="bottom"/>
            <w:vMerge w:val="continue"/>
          </w:tcPr>
          <w:p>
            <w:pPr>
              <w:spacing w:after="0"/>
              <w:rPr>
                <w:sz w:val="5"/>
                <w:szCs w:val="5"/>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100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right w:val="single" w:sz="8" w:color="12213B"/>
            </w:tcBorders>
          </w:tcPr>
          <w:p>
            <w:pPr>
              <w:spacing w:after="0"/>
              <w:rPr>
                <w:sz w:val="5"/>
                <w:szCs w:val="5"/>
                <w:color w:val="auto"/>
              </w:rPr>
            </w:pPr>
          </w:p>
        </w:tc>
        <w:tc>
          <w:tcPr>
            <w:tcW w:w="160" w:type="dxa"/>
            <w:vAlign w:val="bottom"/>
            <w:tcBorders>
              <w:bottom w:val="single" w:sz="8" w:color="12213B"/>
            </w:tcBorders>
            <w:shd w:val="clear" w:color="auto" w:fill="12213B"/>
          </w:tcPr>
          <w:p>
            <w:pPr>
              <w:spacing w:after="0"/>
              <w:rPr>
                <w:sz w:val="5"/>
                <w:szCs w:val="5"/>
                <w:color w:val="auto"/>
              </w:rPr>
            </w:pPr>
          </w:p>
        </w:tc>
        <w:tc>
          <w:tcPr>
            <w:tcW w:w="120" w:type="dxa"/>
            <w:vAlign w:val="bottom"/>
            <w:tcBorders>
              <w:bottom w:val="single" w:sz="8" w:color="12213B"/>
            </w:tcBorders>
            <w:shd w:val="clear" w:color="auto" w:fill="12213B"/>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12213B"/>
            </w:tcBorders>
            <w:shd w:val="clear" w:color="auto" w:fill="12213B"/>
          </w:tcPr>
          <w:p>
            <w:pPr>
              <w:spacing w:after="0"/>
              <w:rPr>
                <w:sz w:val="5"/>
                <w:szCs w:val="5"/>
                <w:color w:val="auto"/>
              </w:rPr>
            </w:pPr>
          </w:p>
        </w:tc>
        <w:tc>
          <w:tcPr>
            <w:tcW w:w="160" w:type="dxa"/>
            <w:vAlign w:val="bottom"/>
            <w:tcBorders>
              <w:bottom w:val="single" w:sz="8" w:color="12213B"/>
            </w:tcBorders>
            <w:shd w:val="clear" w:color="auto" w:fill="12213B"/>
          </w:tcPr>
          <w:p>
            <w:pPr>
              <w:spacing w:after="0"/>
              <w:rPr>
                <w:sz w:val="5"/>
                <w:szCs w:val="5"/>
                <w:color w:val="auto"/>
              </w:rPr>
            </w:pPr>
          </w:p>
        </w:tc>
        <w:tc>
          <w:tcPr>
            <w:tcW w:w="100" w:type="dxa"/>
            <w:vAlign w:val="bottom"/>
            <w:tcBorders>
              <w:bottom w:val="single" w:sz="8" w:color="12213B"/>
            </w:tcBorders>
            <w:shd w:val="clear" w:color="auto" w:fill="12213B"/>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12213B"/>
            </w:tcBorders>
            <w:shd w:val="clear" w:color="auto" w:fill="12213B"/>
          </w:tcPr>
          <w:p>
            <w:pPr>
              <w:spacing w:after="0"/>
              <w:rPr>
                <w:sz w:val="5"/>
                <w:szCs w:val="5"/>
                <w:color w:val="auto"/>
              </w:rPr>
            </w:pPr>
          </w:p>
        </w:tc>
        <w:tc>
          <w:tcPr>
            <w:tcW w:w="160" w:type="dxa"/>
            <w:vAlign w:val="bottom"/>
            <w:tcBorders>
              <w:bottom w:val="single" w:sz="8" w:color="12213B"/>
            </w:tcBorders>
            <w:shd w:val="clear" w:color="auto" w:fill="12213B"/>
          </w:tcPr>
          <w:p>
            <w:pPr>
              <w:spacing w:after="0"/>
              <w:rPr>
                <w:sz w:val="5"/>
                <w:szCs w:val="5"/>
                <w:color w:val="auto"/>
              </w:rPr>
            </w:pPr>
          </w:p>
        </w:tc>
        <w:tc>
          <w:tcPr>
            <w:tcW w:w="80" w:type="dxa"/>
            <w:vAlign w:val="bottom"/>
            <w:tcBorders>
              <w:bottom w:val="single" w:sz="8" w:color="12213B"/>
            </w:tcBorders>
            <w:shd w:val="clear" w:color="auto" w:fill="12213B"/>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shd w:val="clear" w:color="auto" w:fill="12213B"/>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shd w:val="clear" w:color="auto" w:fill="12213B"/>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shd w:val="clear" w:color="auto" w:fill="12213B"/>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shd w:val="clear" w:color="auto" w:fill="12213B"/>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right w:val="single" w:sz="8" w:color="12213B"/>
            </w:tcBorders>
          </w:tcPr>
          <w:p>
            <w:pPr>
              <w:spacing w:after="0"/>
              <w:rPr>
                <w:sz w:val="3"/>
                <w:szCs w:val="3"/>
                <w:color w:val="auto"/>
              </w:rPr>
            </w:pPr>
          </w:p>
        </w:tc>
        <w:tc>
          <w:tcPr>
            <w:tcW w:w="160" w:type="dxa"/>
            <w:vAlign w:val="bottom"/>
            <w:shd w:val="clear" w:color="auto" w:fill="12213B"/>
          </w:tcPr>
          <w:p>
            <w:pPr>
              <w:spacing w:after="0"/>
              <w:rPr>
                <w:sz w:val="3"/>
                <w:szCs w:val="3"/>
                <w:color w:val="auto"/>
              </w:rPr>
            </w:pPr>
          </w:p>
        </w:tc>
        <w:tc>
          <w:tcPr>
            <w:tcW w:w="120" w:type="dxa"/>
            <w:vAlign w:val="bottom"/>
            <w:shd w:val="clear" w:color="auto" w:fill="12213B"/>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shd w:val="clear" w:color="auto" w:fill="12213B"/>
          </w:tcPr>
          <w:p>
            <w:pPr>
              <w:spacing w:after="0"/>
              <w:rPr>
                <w:sz w:val="3"/>
                <w:szCs w:val="3"/>
                <w:color w:val="auto"/>
              </w:rPr>
            </w:pPr>
          </w:p>
        </w:tc>
        <w:tc>
          <w:tcPr>
            <w:tcW w:w="160" w:type="dxa"/>
            <w:vAlign w:val="bottom"/>
            <w:shd w:val="clear" w:color="auto" w:fill="12213B"/>
          </w:tcPr>
          <w:p>
            <w:pPr>
              <w:spacing w:after="0"/>
              <w:rPr>
                <w:sz w:val="3"/>
                <w:szCs w:val="3"/>
                <w:color w:val="auto"/>
              </w:rPr>
            </w:pPr>
          </w:p>
        </w:tc>
        <w:tc>
          <w:tcPr>
            <w:tcW w:w="100" w:type="dxa"/>
            <w:vAlign w:val="bottom"/>
            <w:shd w:val="clear" w:color="auto" w:fill="12213B"/>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shd w:val="clear" w:color="auto" w:fill="12213B"/>
          </w:tcPr>
          <w:p>
            <w:pPr>
              <w:spacing w:after="0"/>
              <w:rPr>
                <w:sz w:val="3"/>
                <w:szCs w:val="3"/>
                <w:color w:val="auto"/>
              </w:rPr>
            </w:pPr>
          </w:p>
        </w:tc>
        <w:tc>
          <w:tcPr>
            <w:tcW w:w="160" w:type="dxa"/>
            <w:vAlign w:val="bottom"/>
            <w:shd w:val="clear" w:color="auto" w:fill="12213B"/>
          </w:tcPr>
          <w:p>
            <w:pPr>
              <w:spacing w:after="0"/>
              <w:rPr>
                <w:sz w:val="3"/>
                <w:szCs w:val="3"/>
                <w:color w:val="auto"/>
              </w:rPr>
            </w:pPr>
          </w:p>
        </w:tc>
        <w:tc>
          <w:tcPr>
            <w:tcW w:w="80" w:type="dxa"/>
            <w:vAlign w:val="bottom"/>
            <w:shd w:val="clear" w:color="auto" w:fill="12213B"/>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12213B"/>
            </w:tcBorders>
            <w:shd w:val="clear" w:color="auto" w:fill="12213B"/>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12213B"/>
            </w:tcBorders>
            <w:shd w:val="clear" w:color="auto" w:fill="12213B"/>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12213B"/>
            </w:tcBorders>
            <w:shd w:val="clear" w:color="auto" w:fill="12213B"/>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12213B"/>
            </w:tcBorders>
            <w:shd w:val="clear" w:color="auto" w:fill="12213B"/>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12213B"/>
            </w:tcBorders>
          </w:tcPr>
          <w:p>
            <w:pPr>
              <w:spacing w:after="0"/>
              <w:rPr>
                <w:sz w:val="4"/>
                <w:szCs w:val="4"/>
                <w:color w:val="auto"/>
              </w:rPr>
            </w:pPr>
          </w:p>
        </w:tc>
        <w:tc>
          <w:tcPr>
            <w:tcW w:w="20" w:type="dxa"/>
            <w:vAlign w:val="bottom"/>
            <w:tcBorders>
              <w:bottom w:val="single" w:sz="8" w:color="12213B"/>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12213B"/>
            </w:tcBorders>
          </w:tcPr>
          <w:p>
            <w:pPr>
              <w:spacing w:after="0"/>
              <w:rPr>
                <w:sz w:val="4"/>
                <w:szCs w:val="4"/>
                <w:color w:val="auto"/>
              </w:rPr>
            </w:pPr>
          </w:p>
        </w:tc>
        <w:tc>
          <w:tcPr>
            <w:tcW w:w="160" w:type="dxa"/>
            <w:vAlign w:val="bottom"/>
            <w:tcBorders>
              <w:bottom w:val="single" w:sz="8" w:color="12213B"/>
            </w:tcBorders>
          </w:tcPr>
          <w:p>
            <w:pPr>
              <w:spacing w:after="0"/>
              <w:rPr>
                <w:sz w:val="4"/>
                <w:szCs w:val="4"/>
                <w:color w:val="auto"/>
              </w:rPr>
            </w:pPr>
          </w:p>
        </w:tc>
        <w:tc>
          <w:tcPr>
            <w:tcW w:w="100" w:type="dxa"/>
            <w:vAlign w:val="bottom"/>
            <w:tcBorders>
              <w:bottom w:val="single" w:sz="8" w:color="12213B"/>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right w:val="single" w:sz="8" w:color="12213B"/>
            </w:tcBorders>
          </w:tcPr>
          <w:p>
            <w:pPr>
              <w:spacing w:after="0"/>
              <w:rPr>
                <w:sz w:val="4"/>
                <w:szCs w:val="4"/>
                <w:color w:val="auto"/>
              </w:rPr>
            </w:pPr>
          </w:p>
        </w:tc>
        <w:tc>
          <w:tcPr>
            <w:tcW w:w="160" w:type="dxa"/>
            <w:vAlign w:val="bottom"/>
            <w:tcBorders>
              <w:bottom w:val="single" w:sz="8" w:color="12213B"/>
            </w:tcBorders>
            <w:shd w:val="clear" w:color="auto" w:fill="12213B"/>
          </w:tcPr>
          <w:p>
            <w:pPr>
              <w:spacing w:after="0"/>
              <w:rPr>
                <w:sz w:val="4"/>
                <w:szCs w:val="4"/>
                <w:color w:val="auto"/>
              </w:rPr>
            </w:pPr>
          </w:p>
        </w:tc>
        <w:tc>
          <w:tcPr>
            <w:tcW w:w="120" w:type="dxa"/>
            <w:vAlign w:val="bottom"/>
            <w:tcBorders>
              <w:bottom w:val="single" w:sz="8" w:color="12213B"/>
            </w:tcBorders>
            <w:shd w:val="clear" w:color="auto" w:fill="12213B"/>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12213B"/>
            </w:tcBorders>
            <w:shd w:val="clear" w:color="auto" w:fill="12213B"/>
          </w:tcPr>
          <w:p>
            <w:pPr>
              <w:spacing w:after="0"/>
              <w:rPr>
                <w:sz w:val="4"/>
                <w:szCs w:val="4"/>
                <w:color w:val="auto"/>
              </w:rPr>
            </w:pPr>
          </w:p>
        </w:tc>
        <w:tc>
          <w:tcPr>
            <w:tcW w:w="160" w:type="dxa"/>
            <w:vAlign w:val="bottom"/>
            <w:tcBorders>
              <w:bottom w:val="single" w:sz="8" w:color="12213B"/>
            </w:tcBorders>
            <w:shd w:val="clear" w:color="auto" w:fill="12213B"/>
          </w:tcPr>
          <w:p>
            <w:pPr>
              <w:spacing w:after="0"/>
              <w:rPr>
                <w:sz w:val="4"/>
                <w:szCs w:val="4"/>
                <w:color w:val="auto"/>
              </w:rPr>
            </w:pPr>
          </w:p>
        </w:tc>
        <w:tc>
          <w:tcPr>
            <w:tcW w:w="100" w:type="dxa"/>
            <w:vAlign w:val="bottom"/>
            <w:tcBorders>
              <w:bottom w:val="single" w:sz="8" w:color="12213B"/>
            </w:tcBorders>
            <w:shd w:val="clear" w:color="auto" w:fill="12213B"/>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12213B"/>
            </w:tcBorders>
            <w:shd w:val="clear" w:color="auto" w:fill="12213B"/>
          </w:tcPr>
          <w:p>
            <w:pPr>
              <w:spacing w:after="0"/>
              <w:rPr>
                <w:sz w:val="4"/>
                <w:szCs w:val="4"/>
                <w:color w:val="auto"/>
              </w:rPr>
            </w:pPr>
          </w:p>
        </w:tc>
        <w:tc>
          <w:tcPr>
            <w:tcW w:w="160" w:type="dxa"/>
            <w:vAlign w:val="bottom"/>
            <w:tcBorders>
              <w:bottom w:val="single" w:sz="8" w:color="12213B"/>
            </w:tcBorders>
            <w:shd w:val="clear" w:color="auto" w:fill="12213B"/>
          </w:tcPr>
          <w:p>
            <w:pPr>
              <w:spacing w:after="0"/>
              <w:rPr>
                <w:sz w:val="4"/>
                <w:szCs w:val="4"/>
                <w:color w:val="auto"/>
              </w:rPr>
            </w:pPr>
          </w:p>
        </w:tc>
        <w:tc>
          <w:tcPr>
            <w:tcW w:w="80" w:type="dxa"/>
            <w:vAlign w:val="bottom"/>
            <w:tcBorders>
              <w:bottom w:val="single" w:sz="8" w:color="12213B"/>
            </w:tcBorders>
            <w:shd w:val="clear" w:color="auto" w:fill="12213B"/>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20" w:type="dxa"/>
            <w:vAlign w:val="bottom"/>
          </w:tcPr>
          <w:p>
            <w:pPr>
              <w:jc w:val="right"/>
              <w:ind w:right="22"/>
              <w:spacing w:after="0" w:line="150" w:lineRule="exact"/>
              <w:rPr>
                <w:sz w:val="20"/>
                <w:szCs w:val="20"/>
                <w:color w:val="auto"/>
              </w:rPr>
            </w:pPr>
            <w:r>
              <w:rPr>
                <w:rFonts w:ascii="Arial" w:cs="Arial" w:eastAsia="Arial" w:hAnsi="Arial"/>
                <w:sz w:val="14"/>
                <w:szCs w:val="14"/>
                <w:color w:val="12213B"/>
              </w:rPr>
              <w:t>2,000</w:t>
            </w:r>
          </w:p>
        </w:tc>
        <w:tc>
          <w:tcPr>
            <w:tcW w:w="100" w:type="dxa"/>
            <w:vAlign w:val="bottom"/>
            <w:tcBorders>
              <w:bottom w:val="single" w:sz="8" w:color="12213B"/>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3"/>
                <w:szCs w:val="13"/>
                <w:b w:val="1"/>
                <w:bCs w:val="1"/>
                <w:color w:val="12213B"/>
              </w:rPr>
              <w:t>1,520</w:t>
            </w:r>
          </w:p>
        </w:tc>
        <w:tc>
          <w:tcPr>
            <w:tcW w:w="40" w:type="dxa"/>
            <w:vAlign w:val="bottom"/>
          </w:tcPr>
          <w:p>
            <w:pPr>
              <w:spacing w:after="0"/>
              <w:rPr>
                <w:sz w:val="21"/>
                <w:szCs w:val="21"/>
                <w:color w:val="auto"/>
              </w:rPr>
            </w:pPr>
          </w:p>
        </w:tc>
        <w:tc>
          <w:tcPr>
            <w:tcW w:w="360" w:type="dxa"/>
            <w:vAlign w:val="bottom"/>
            <w:tcBorders>
              <w:bottom w:val="single" w:sz="8" w:color="12213B"/>
            </w:tcBorders>
            <w:shd w:val="clear" w:color="auto" w:fill="12213B"/>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12213B"/>
            </w:tcBorders>
            <w:shd w:val="clear" w:color="auto" w:fill="12213B"/>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12213B"/>
            </w:tcBorders>
            <w:shd w:val="clear" w:color="auto" w:fill="12213B"/>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12213B"/>
            </w:tcBorders>
            <w:shd w:val="clear" w:color="auto" w:fill="12213B"/>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12213B"/>
            </w:tcBorders>
            <w:shd w:val="clear" w:color="auto" w:fill="12213B"/>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12213B"/>
            </w:tcBorders>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12213B"/>
              </w:rPr>
              <w:t>5%</w:t>
            </w:r>
          </w:p>
        </w:tc>
        <w:tc>
          <w:tcPr>
            <w:tcW w:w="840" w:type="dxa"/>
            <w:vAlign w:val="bottom"/>
          </w:tcPr>
          <w:p>
            <w:pPr>
              <w:jc w:val="right"/>
              <w:ind w:right="10"/>
              <w:spacing w:after="0"/>
              <w:rPr>
                <w:sz w:val="20"/>
                <w:szCs w:val="20"/>
                <w:color w:val="auto"/>
              </w:rPr>
            </w:pPr>
            <w:r>
              <w:rPr>
                <w:rFonts w:ascii="Arial" w:cs="Arial" w:eastAsia="Arial" w:hAnsi="Arial"/>
                <w:sz w:val="14"/>
                <w:szCs w:val="14"/>
                <w:color w:val="12213B"/>
              </w:rPr>
              <w:t>50</w:t>
            </w:r>
          </w:p>
        </w:tc>
        <w:tc>
          <w:tcPr>
            <w:tcW w:w="20" w:type="dxa"/>
            <w:vAlign w:val="bottom"/>
          </w:tcPr>
          <w:p>
            <w:pPr>
              <w:spacing w:after="0"/>
              <w:rPr>
                <w:sz w:val="21"/>
                <w:szCs w:val="21"/>
                <w:color w:val="auto"/>
              </w:rPr>
            </w:pPr>
          </w:p>
        </w:tc>
        <w:tc>
          <w:tcPr>
            <w:tcW w:w="620" w:type="dxa"/>
            <w:vAlign w:val="bottom"/>
            <w:gridSpan w:val="6"/>
          </w:tcPr>
          <w:p>
            <w:pPr>
              <w:jc w:val="right"/>
              <w:ind w:right="80"/>
              <w:spacing w:after="0" w:line="106" w:lineRule="exact"/>
              <w:rPr>
                <w:sz w:val="20"/>
                <w:szCs w:val="20"/>
                <w:color w:val="auto"/>
              </w:rPr>
            </w:pPr>
            <w:r>
              <w:rPr>
                <w:rFonts w:ascii="Arial" w:cs="Arial" w:eastAsia="Arial" w:hAnsi="Arial"/>
                <w:sz w:val="12"/>
                <w:szCs w:val="12"/>
                <w:b w:val="1"/>
                <w:bCs w:val="1"/>
                <w:color w:val="12213B"/>
              </w:rPr>
              <w:t>55</w:t>
            </w:r>
          </w:p>
        </w:tc>
        <w:tc>
          <w:tcPr>
            <w:tcW w:w="220" w:type="dxa"/>
            <w:vAlign w:val="bottom"/>
          </w:tcPr>
          <w:p>
            <w:pPr>
              <w:spacing w:after="0"/>
              <w:rPr>
                <w:sz w:val="21"/>
                <w:szCs w:val="21"/>
                <w:color w:val="auto"/>
              </w:rPr>
            </w:pPr>
          </w:p>
        </w:tc>
        <w:tc>
          <w:tcPr>
            <w:tcW w:w="80" w:type="dxa"/>
            <w:vAlign w:val="bottom"/>
            <w:tcBorders>
              <w:bottom w:val="single" w:sz="8" w:color="12213B"/>
            </w:tcBorders>
          </w:tcPr>
          <w:p>
            <w:pPr>
              <w:spacing w:after="0"/>
              <w:rPr>
                <w:sz w:val="21"/>
                <w:szCs w:val="21"/>
                <w:color w:val="auto"/>
              </w:rPr>
            </w:pPr>
          </w:p>
        </w:tc>
        <w:tc>
          <w:tcPr>
            <w:tcW w:w="160" w:type="dxa"/>
            <w:vAlign w:val="bottom"/>
            <w:tcBorders>
              <w:bottom w:val="single" w:sz="8" w:color="12213B"/>
            </w:tcBorders>
          </w:tcPr>
          <w:p>
            <w:pPr>
              <w:spacing w:after="0"/>
              <w:rPr>
                <w:sz w:val="21"/>
                <w:szCs w:val="21"/>
                <w:color w:val="auto"/>
              </w:rPr>
            </w:pPr>
          </w:p>
        </w:tc>
        <w:tc>
          <w:tcPr>
            <w:tcW w:w="100" w:type="dxa"/>
            <w:vAlign w:val="bottom"/>
            <w:tcBorders>
              <w:bottom w:val="single" w:sz="8" w:color="12213B"/>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12213B"/>
            </w:tcBorders>
            <w:shd w:val="clear" w:color="auto" w:fill="12213B"/>
          </w:tcPr>
          <w:p>
            <w:pPr>
              <w:spacing w:after="0"/>
              <w:rPr>
                <w:sz w:val="21"/>
                <w:szCs w:val="21"/>
                <w:color w:val="auto"/>
              </w:rPr>
            </w:pPr>
          </w:p>
        </w:tc>
        <w:tc>
          <w:tcPr>
            <w:tcW w:w="160" w:type="dxa"/>
            <w:vAlign w:val="bottom"/>
            <w:tcBorders>
              <w:bottom w:val="single" w:sz="8" w:color="12213B"/>
            </w:tcBorders>
            <w:shd w:val="clear" w:color="auto" w:fill="12213B"/>
          </w:tcPr>
          <w:p>
            <w:pPr>
              <w:spacing w:after="0"/>
              <w:rPr>
                <w:sz w:val="21"/>
                <w:szCs w:val="21"/>
                <w:color w:val="auto"/>
              </w:rPr>
            </w:pPr>
          </w:p>
        </w:tc>
        <w:tc>
          <w:tcPr>
            <w:tcW w:w="100" w:type="dxa"/>
            <w:vAlign w:val="bottom"/>
            <w:tcBorders>
              <w:bottom w:val="single" w:sz="8" w:color="12213B"/>
            </w:tcBorders>
            <w:shd w:val="clear" w:color="auto" w:fill="12213B"/>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right w:val="single" w:sz="8" w:color="12213B"/>
            </w:tcBorders>
          </w:tcPr>
          <w:p>
            <w:pPr>
              <w:spacing w:after="0"/>
              <w:rPr>
                <w:sz w:val="21"/>
                <w:szCs w:val="21"/>
                <w:color w:val="auto"/>
              </w:rPr>
            </w:pPr>
          </w:p>
        </w:tc>
        <w:tc>
          <w:tcPr>
            <w:tcW w:w="160" w:type="dxa"/>
            <w:vAlign w:val="bottom"/>
            <w:tcBorders>
              <w:bottom w:val="single" w:sz="8" w:color="12213B"/>
            </w:tcBorders>
            <w:shd w:val="clear" w:color="auto" w:fill="12213B"/>
          </w:tcPr>
          <w:p>
            <w:pPr>
              <w:spacing w:after="0"/>
              <w:rPr>
                <w:sz w:val="21"/>
                <w:szCs w:val="21"/>
                <w:color w:val="auto"/>
              </w:rPr>
            </w:pPr>
          </w:p>
        </w:tc>
        <w:tc>
          <w:tcPr>
            <w:tcW w:w="120" w:type="dxa"/>
            <w:vAlign w:val="bottom"/>
            <w:tcBorders>
              <w:bottom w:val="single" w:sz="8" w:color="12213B"/>
            </w:tcBorders>
            <w:shd w:val="clear" w:color="auto" w:fill="12213B"/>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12213B"/>
            </w:tcBorders>
            <w:shd w:val="clear" w:color="auto" w:fill="12213B"/>
          </w:tcPr>
          <w:p>
            <w:pPr>
              <w:spacing w:after="0"/>
              <w:rPr>
                <w:sz w:val="21"/>
                <w:szCs w:val="21"/>
                <w:color w:val="auto"/>
              </w:rPr>
            </w:pPr>
          </w:p>
        </w:tc>
        <w:tc>
          <w:tcPr>
            <w:tcW w:w="160" w:type="dxa"/>
            <w:vAlign w:val="bottom"/>
            <w:tcBorders>
              <w:bottom w:val="single" w:sz="8" w:color="12213B"/>
            </w:tcBorders>
            <w:shd w:val="clear" w:color="auto" w:fill="12213B"/>
          </w:tcPr>
          <w:p>
            <w:pPr>
              <w:spacing w:after="0"/>
              <w:rPr>
                <w:sz w:val="21"/>
                <w:szCs w:val="21"/>
                <w:color w:val="auto"/>
              </w:rPr>
            </w:pPr>
          </w:p>
        </w:tc>
        <w:tc>
          <w:tcPr>
            <w:tcW w:w="100" w:type="dxa"/>
            <w:vAlign w:val="bottom"/>
            <w:tcBorders>
              <w:bottom w:val="single" w:sz="8" w:color="12213B"/>
            </w:tcBorders>
            <w:shd w:val="clear" w:color="auto" w:fill="12213B"/>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12213B"/>
            </w:tcBorders>
            <w:shd w:val="clear" w:color="auto" w:fill="12213B"/>
          </w:tcPr>
          <w:p>
            <w:pPr>
              <w:spacing w:after="0"/>
              <w:rPr>
                <w:sz w:val="21"/>
                <w:szCs w:val="21"/>
                <w:color w:val="auto"/>
              </w:rPr>
            </w:pPr>
          </w:p>
        </w:tc>
        <w:tc>
          <w:tcPr>
            <w:tcW w:w="160" w:type="dxa"/>
            <w:vAlign w:val="bottom"/>
            <w:tcBorders>
              <w:bottom w:val="single" w:sz="8" w:color="12213B"/>
            </w:tcBorders>
            <w:shd w:val="clear" w:color="auto" w:fill="12213B"/>
          </w:tcPr>
          <w:p>
            <w:pPr>
              <w:spacing w:after="0"/>
              <w:rPr>
                <w:sz w:val="21"/>
                <w:szCs w:val="21"/>
                <w:color w:val="auto"/>
              </w:rPr>
            </w:pPr>
          </w:p>
        </w:tc>
        <w:tc>
          <w:tcPr>
            <w:tcW w:w="80" w:type="dxa"/>
            <w:vAlign w:val="bottom"/>
            <w:tcBorders>
              <w:bottom w:val="single" w:sz="8" w:color="12213B"/>
            </w:tcBorders>
            <w:shd w:val="clear" w:color="auto" w:fill="12213B"/>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520" w:type="dxa"/>
            <w:vAlign w:val="bottom"/>
            <w:vMerge w:val="restart"/>
          </w:tcPr>
          <w:p>
            <w:pPr>
              <w:jc w:val="right"/>
              <w:ind w:right="22"/>
              <w:spacing w:after="0"/>
              <w:rPr>
                <w:sz w:val="20"/>
                <w:szCs w:val="20"/>
                <w:color w:val="auto"/>
              </w:rPr>
            </w:pPr>
            <w:r>
              <w:rPr>
                <w:rFonts w:ascii="Arial" w:cs="Arial" w:eastAsia="Arial" w:hAnsi="Arial"/>
                <w:sz w:val="14"/>
                <w:szCs w:val="14"/>
                <w:color w:val="12213B"/>
              </w:rPr>
              <w:t>0</w:t>
            </w:r>
          </w:p>
        </w:tc>
        <w:tc>
          <w:tcPr>
            <w:tcW w:w="100" w:type="dxa"/>
            <w:vAlign w:val="bottom"/>
            <w:tcBorders>
              <w:bottom w:val="single" w:sz="8" w:color="12213B"/>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12213B"/>
            </w:tcBorders>
            <w:shd w:val="clear" w:color="auto" w:fill="12213B"/>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12213B"/>
            </w:tcBorders>
            <w:shd w:val="clear" w:color="auto" w:fill="12213B"/>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12213B"/>
              <w:bottom w:val="single" w:sz="8" w:color="12213B"/>
            </w:tcBorders>
            <w:shd w:val="clear" w:color="auto" w:fill="12213B"/>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12213B"/>
            </w:tcBorders>
            <w:shd w:val="clear" w:color="auto" w:fill="12213B"/>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12213B"/>
            </w:tcBorders>
            <w:shd w:val="clear" w:color="auto" w:fill="12213B"/>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12213B"/>
              <w:bottom w:val="single" w:sz="8" w:color="12213B"/>
            </w:tcBorders>
            <w:shd w:val="clear" w:color="auto" w:fill="12213B"/>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12213B"/>
            </w:tcBorders>
          </w:tcPr>
          <w:p>
            <w:pPr>
              <w:spacing w:after="0"/>
              <w:rPr>
                <w:sz w:val="15"/>
                <w:szCs w:val="15"/>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12213B"/>
              </w:rPr>
              <w:t>0%</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12213B"/>
              </w:rPr>
              <w:t>0</w:t>
            </w:r>
          </w:p>
        </w:tc>
        <w:tc>
          <w:tcPr>
            <w:tcW w:w="20" w:type="dxa"/>
            <w:vAlign w:val="bottom"/>
            <w:vMerge w:val="restart"/>
          </w:tcPr>
          <w:p>
            <w:pPr>
              <w:spacing w:after="0"/>
              <w:rPr>
                <w:sz w:val="15"/>
                <w:szCs w:val="15"/>
                <w:color w:val="auto"/>
              </w:rPr>
            </w:pPr>
          </w:p>
        </w:tc>
        <w:tc>
          <w:tcPr>
            <w:tcW w:w="80" w:type="dxa"/>
            <w:vAlign w:val="bottom"/>
            <w:tcBorders>
              <w:top w:val="single" w:sz="8" w:color="12213B"/>
              <w:bottom w:val="single" w:sz="8" w:color="12213B"/>
            </w:tcBorders>
          </w:tcPr>
          <w:p>
            <w:pPr>
              <w:spacing w:after="0"/>
              <w:rPr>
                <w:sz w:val="15"/>
                <w:szCs w:val="15"/>
                <w:color w:val="auto"/>
              </w:rPr>
            </w:pPr>
          </w:p>
        </w:tc>
        <w:tc>
          <w:tcPr>
            <w:tcW w:w="20" w:type="dxa"/>
            <w:vAlign w:val="bottom"/>
            <w:tcBorders>
              <w:top w:val="single" w:sz="8" w:color="12213B"/>
              <w:bottom w:val="single" w:sz="8" w:color="12213B"/>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100" w:type="dxa"/>
            <w:vAlign w:val="bottom"/>
            <w:tcBorders>
              <w:top w:val="single" w:sz="8" w:color="12213B"/>
              <w:bottom w:val="single" w:sz="8" w:color="12213B"/>
            </w:tcBorders>
            <w:shd w:val="clear" w:color="auto" w:fill="12213B"/>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100" w:type="dxa"/>
            <w:vAlign w:val="bottom"/>
            <w:tcBorders>
              <w:top w:val="single" w:sz="8" w:color="12213B"/>
              <w:bottom w:val="single" w:sz="8" w:color="12213B"/>
            </w:tcBorders>
            <w:shd w:val="clear" w:color="auto" w:fill="12213B"/>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100" w:type="dxa"/>
            <w:vAlign w:val="bottom"/>
            <w:tcBorders>
              <w:top w:val="single" w:sz="8" w:color="12213B"/>
              <w:bottom w:val="single" w:sz="8" w:color="12213B"/>
            </w:tcBorders>
            <w:shd w:val="clear" w:color="auto" w:fill="12213B"/>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right w:val="single" w:sz="8" w:color="12213B"/>
            </w:tcBorders>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120" w:type="dxa"/>
            <w:vAlign w:val="bottom"/>
            <w:tcBorders>
              <w:top w:val="single" w:sz="8" w:color="12213B"/>
              <w:bottom w:val="single" w:sz="8" w:color="12213B"/>
            </w:tcBorders>
            <w:shd w:val="clear" w:color="auto" w:fill="12213B"/>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10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12213B"/>
              <w:bottom w:val="single" w:sz="8" w:color="12213B"/>
            </w:tcBorders>
            <w:shd w:val="clear" w:color="auto" w:fill="12213B"/>
          </w:tcPr>
          <w:p>
            <w:pPr>
              <w:spacing w:after="0"/>
              <w:rPr>
                <w:sz w:val="15"/>
                <w:szCs w:val="15"/>
                <w:color w:val="auto"/>
              </w:rPr>
            </w:pPr>
          </w:p>
        </w:tc>
        <w:tc>
          <w:tcPr>
            <w:tcW w:w="160" w:type="dxa"/>
            <w:vAlign w:val="bottom"/>
            <w:tcBorders>
              <w:top w:val="single" w:sz="8" w:color="12213B"/>
              <w:bottom w:val="single" w:sz="8" w:color="12213B"/>
            </w:tcBorders>
            <w:shd w:val="clear" w:color="auto" w:fill="12213B"/>
          </w:tcPr>
          <w:p>
            <w:pPr>
              <w:spacing w:after="0"/>
              <w:rPr>
                <w:sz w:val="15"/>
                <w:szCs w:val="15"/>
                <w:color w:val="auto"/>
              </w:rPr>
            </w:pPr>
          </w:p>
        </w:tc>
        <w:tc>
          <w:tcPr>
            <w:tcW w:w="80" w:type="dxa"/>
            <w:vAlign w:val="bottom"/>
            <w:tcBorders>
              <w:top w:val="single" w:sz="8" w:color="12213B"/>
              <w:bottom w:val="single" w:sz="8" w:color="12213B"/>
            </w:tcBorders>
            <w:shd w:val="clear" w:color="auto" w:fill="12213B"/>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12213B"/>
              </w:rPr>
              <w:t>2017</w:t>
            </w:r>
          </w:p>
        </w:tc>
        <w:tc>
          <w:tcPr>
            <w:tcW w:w="160" w:type="dxa"/>
            <w:vAlign w:val="bottom"/>
          </w:tcPr>
          <w:p>
            <w:pPr>
              <w:spacing w:after="0"/>
              <w:rPr>
                <w:sz w:val="3"/>
                <w:szCs w:val="3"/>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12213B"/>
              </w:rPr>
              <w:t>2018</w:t>
            </w:r>
          </w:p>
        </w:tc>
        <w:tc>
          <w:tcPr>
            <w:tcW w:w="120" w:type="dxa"/>
            <w:vAlign w:val="bottom"/>
          </w:tcPr>
          <w:p>
            <w:pPr>
              <w:spacing w:after="0"/>
              <w:rPr>
                <w:sz w:val="3"/>
                <w:szCs w:val="3"/>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2213B"/>
              </w:rPr>
              <w:t>2019</w:t>
            </w:r>
          </w:p>
        </w:tc>
        <w:tc>
          <w:tcPr>
            <w:tcW w:w="120" w:type="dxa"/>
            <w:vAlign w:val="bottom"/>
          </w:tcPr>
          <w:p>
            <w:pPr>
              <w:spacing w:after="0"/>
              <w:rPr>
                <w:sz w:val="3"/>
                <w:szCs w:val="3"/>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2213B"/>
              </w:rPr>
              <w:t>2020</w:t>
            </w:r>
          </w:p>
        </w:tc>
        <w:tc>
          <w:tcPr>
            <w:tcW w:w="100" w:type="dxa"/>
            <w:vAlign w:val="bottom"/>
          </w:tcPr>
          <w:p>
            <w:pPr>
              <w:spacing w:after="0"/>
              <w:rPr>
                <w:sz w:val="3"/>
                <w:szCs w:val="3"/>
                <w:color w:val="auto"/>
              </w:rPr>
            </w:pPr>
          </w:p>
        </w:tc>
        <w:tc>
          <w:tcPr>
            <w:tcW w:w="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12213B"/>
              </w:rPr>
              <w:t>2021</w:t>
            </w:r>
          </w:p>
        </w:tc>
        <w:tc>
          <w:tcPr>
            <w:tcW w:w="80" w:type="dxa"/>
            <w:vAlign w:val="bottom"/>
          </w:tcPr>
          <w:p>
            <w:pPr>
              <w:spacing w:after="0"/>
              <w:rPr>
                <w:sz w:val="3"/>
                <w:szCs w:val="3"/>
                <w:color w:val="auto"/>
              </w:rPr>
            </w:pP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12213B"/>
              </w:rPr>
              <w:t>2022</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12213B"/>
              </w:rPr>
              <w:t>2017</w:t>
            </w:r>
          </w:p>
        </w:tc>
        <w:tc>
          <w:tcPr>
            <w:tcW w:w="560" w:type="dxa"/>
            <w:vAlign w:val="bottom"/>
            <w:gridSpan w:val="4"/>
            <w:vMerge w:val="restart"/>
          </w:tcPr>
          <w:p>
            <w:pPr>
              <w:jc w:val="center"/>
              <w:ind w:left="110"/>
              <w:spacing w:after="0"/>
              <w:rPr>
                <w:sz w:val="20"/>
                <w:szCs w:val="20"/>
                <w:color w:val="auto"/>
              </w:rPr>
            </w:pPr>
            <w:r>
              <w:rPr>
                <w:rFonts w:ascii="Arial" w:cs="Arial" w:eastAsia="Arial" w:hAnsi="Arial"/>
                <w:sz w:val="14"/>
                <w:szCs w:val="14"/>
                <w:b w:val="1"/>
                <w:bCs w:val="1"/>
                <w:color w:val="12213B"/>
              </w:rPr>
              <w:t>2018</w:t>
            </w:r>
          </w:p>
        </w:tc>
        <w:tc>
          <w:tcPr>
            <w:tcW w:w="100" w:type="dxa"/>
            <w:vAlign w:val="bottom"/>
          </w:tcPr>
          <w:p>
            <w:pPr>
              <w:spacing w:after="0"/>
              <w:rPr>
                <w:sz w:val="3"/>
                <w:szCs w:val="3"/>
                <w:color w:val="auto"/>
              </w:rPr>
            </w:pPr>
          </w:p>
        </w:tc>
        <w:tc>
          <w:tcPr>
            <w:tcW w:w="4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2019</w:t>
            </w:r>
          </w:p>
        </w:tc>
        <w:tc>
          <w:tcPr>
            <w:tcW w:w="140" w:type="dxa"/>
            <w:vAlign w:val="bottom"/>
          </w:tcPr>
          <w:p>
            <w:pPr>
              <w:spacing w:after="0"/>
              <w:rPr>
                <w:sz w:val="3"/>
                <w:szCs w:val="3"/>
                <w:color w:val="auto"/>
              </w:rPr>
            </w:pPr>
          </w:p>
        </w:tc>
        <w:tc>
          <w:tcPr>
            <w:tcW w:w="420" w:type="dxa"/>
            <w:vAlign w:val="bottom"/>
            <w:gridSpan w:val="3"/>
            <w:vMerge w:val="restart"/>
          </w:tcPr>
          <w:p>
            <w:pPr>
              <w:jc w:val="center"/>
              <w:ind w:left="10"/>
              <w:spacing w:after="0"/>
              <w:rPr>
                <w:sz w:val="20"/>
                <w:szCs w:val="20"/>
                <w:color w:val="auto"/>
              </w:rPr>
            </w:pPr>
            <w:r>
              <w:rPr>
                <w:rFonts w:ascii="Arial" w:cs="Arial" w:eastAsia="Arial" w:hAnsi="Arial"/>
                <w:sz w:val="14"/>
                <w:szCs w:val="14"/>
                <w:b w:val="1"/>
                <w:bCs w:val="1"/>
                <w:color w:val="12213B"/>
              </w:rPr>
              <w:t>2020</w:t>
            </w:r>
          </w:p>
        </w:tc>
        <w:tc>
          <w:tcPr>
            <w:tcW w:w="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12213B"/>
              </w:rPr>
              <w:t>2021</w:t>
            </w:r>
          </w:p>
        </w:tc>
        <w:tc>
          <w:tcPr>
            <w:tcW w:w="160" w:type="dxa"/>
            <w:vAlign w:val="bottom"/>
          </w:tcPr>
          <w:p>
            <w:pPr>
              <w:spacing w:after="0"/>
              <w:rPr>
                <w:sz w:val="3"/>
                <w:szCs w:val="3"/>
                <w:color w:val="auto"/>
              </w:rPr>
            </w:pPr>
          </w:p>
        </w:tc>
        <w:tc>
          <w:tcPr>
            <w:tcW w:w="11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12213B"/>
              </w:rPr>
              <w:t>2022</w:t>
            </w:r>
          </w:p>
        </w:tc>
        <w:tc>
          <w:tcPr>
            <w:tcW w:w="0" w:type="dxa"/>
            <w:vAlign w:val="bottom"/>
          </w:tcPr>
          <w:p>
            <w:pPr>
              <w:spacing w:after="0" w:line="20" w:lineRule="exact"/>
              <w:rPr>
                <w:sz w:val="1"/>
                <w:szCs w:val="1"/>
                <w:color w:val="auto"/>
              </w:rPr>
            </w:pPr>
          </w:p>
        </w:tc>
      </w:tr>
      <w:tr>
        <w:trPr>
          <w:trHeight w:val="244"/>
        </w:trPr>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6"/>
            <w:vMerge w:val="continue"/>
          </w:tcPr>
          <w:p>
            <w:pPr>
              <w:spacing w:after="0"/>
              <w:rPr>
                <w:sz w:val="21"/>
                <w:szCs w:val="21"/>
                <w:color w:val="auto"/>
              </w:rPr>
            </w:pPr>
          </w:p>
        </w:tc>
        <w:tc>
          <w:tcPr>
            <w:tcW w:w="5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gridSpan w:val="3"/>
            <w:vMerge w:val="continue"/>
          </w:tcPr>
          <w:p>
            <w:pPr>
              <w:spacing w:after="0"/>
              <w:rPr>
                <w:sz w:val="21"/>
                <w:szCs w:val="21"/>
                <w:color w:val="auto"/>
              </w:rPr>
            </w:pPr>
          </w:p>
        </w:tc>
        <w:tc>
          <w:tcPr>
            <w:tcW w:w="56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11"/>
          </w:tcPr>
          <w:p>
            <w:pPr>
              <w:ind w:left="180"/>
              <w:spacing w:after="0"/>
              <w:rPr>
                <w:sz w:val="20"/>
                <w:szCs w:val="20"/>
                <w:color w:val="auto"/>
              </w:rPr>
            </w:pPr>
            <w:r>
              <w:rPr>
                <w:rFonts w:ascii="Arial" w:cs="Arial" w:eastAsia="Arial" w:hAnsi="Arial"/>
                <w:sz w:val="14"/>
                <w:szCs w:val="14"/>
                <w:color w:val="12213B"/>
              </w:rPr>
              <w:t>Average Daily AiEX Trades</w:t>
            </w:r>
          </w:p>
        </w:tc>
        <w:tc>
          <w:tcPr>
            <w:tcW w:w="100" w:type="dxa"/>
            <w:vAlign w:val="bottom"/>
          </w:tcPr>
          <w:p>
            <w:pPr>
              <w:spacing w:after="0"/>
              <w:rPr>
                <w:sz w:val="24"/>
                <w:szCs w:val="24"/>
                <w:color w:val="auto"/>
              </w:rPr>
            </w:pPr>
          </w:p>
        </w:tc>
        <w:tc>
          <w:tcPr>
            <w:tcW w:w="2100" w:type="dxa"/>
            <w:vAlign w:val="bottom"/>
            <w:gridSpan w:val="7"/>
          </w:tcPr>
          <w:p>
            <w:pPr>
              <w:ind w:left="200"/>
              <w:spacing w:after="0"/>
              <w:rPr>
                <w:sz w:val="20"/>
                <w:szCs w:val="20"/>
                <w:color w:val="auto"/>
              </w:rPr>
            </w:pPr>
            <w:r>
              <w:rPr>
                <w:rFonts w:ascii="Arial" w:cs="Arial" w:eastAsia="Arial" w:hAnsi="Arial"/>
                <w:sz w:val="14"/>
                <w:szCs w:val="14"/>
                <w:color w:val="12213B"/>
              </w:rPr>
              <w:t>% of Institutional Trades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7"/>
          </w:tcPr>
          <w:p>
            <w:pPr>
              <w:ind w:left="80"/>
              <w:spacing w:after="0"/>
              <w:rPr>
                <w:sz w:val="20"/>
                <w:szCs w:val="20"/>
                <w:color w:val="auto"/>
              </w:rPr>
            </w:pPr>
            <w:r>
              <w:rPr>
                <w:rFonts w:ascii="Arial" w:cs="Arial" w:eastAsia="Arial" w:hAnsi="Arial"/>
                <w:sz w:val="14"/>
                <w:szCs w:val="14"/>
                <w:color w:val="12213B"/>
              </w:rPr>
              <w:t>Total Clients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5B5C61"/>
        </w:rPr>
        <w:t>Source: Tradeweb internal data.</w:t>
      </w:r>
    </w:p>
    <w:p>
      <w:pPr>
        <w:sectPr>
          <w:pgSz w:w="12060" w:h="15660" w:orient="portrait"/>
          <w:cols w:equalWidth="0" w:num="1">
            <w:col w:w="10260"/>
          </w:cols>
          <w:pgMar w:left="72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49" w:val="left"/>
        </w:tabs>
        <w:rPr>
          <w:sz w:val="20"/>
          <w:szCs w:val="20"/>
          <w:color w:val="auto"/>
        </w:rPr>
      </w:pPr>
      <w:r>
        <w:rPr>
          <w:rFonts w:ascii="Arial" w:cs="Arial" w:eastAsia="Arial" w:hAnsi="Arial"/>
          <w:sz w:val="18"/>
          <w:szCs w:val="18"/>
          <w:color w:val="12213B"/>
        </w:rPr>
        <w:t>4</w:t>
      </w:r>
      <w:r>
        <w:rPr>
          <w:sz w:val="20"/>
          <w:szCs w:val="20"/>
          <w:color w:val="auto"/>
        </w:rPr>
        <w:tab/>
      </w:r>
      <w:r>
        <w:rPr>
          <w:sz w:val="1"/>
          <w:szCs w:val="1"/>
          <w:color w:val="auto"/>
        </w:rPr>
        <w:drawing>
          <wp:inline distT="0" distB="0" distL="0" distR="0">
            <wp:extent cx="89535" cy="895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12213B"/>
        </w:rPr>
        <w:t xml:space="preserve">                                                                                           TRADEWEB</w:t>
      </w:r>
    </w:p>
    <w:p>
      <w:pPr>
        <w:sectPr>
          <w:pgSz w:w="12060" w:h="15660" w:orient="portrait"/>
          <w:cols w:equalWidth="0" w:num="1">
            <w:col w:w="10260"/>
          </w:cols>
          <w:pgMar w:left="720" w:top="1440" w:right="1080" w:bottom="0" w:gutter="0" w:footer="0" w:header="0"/>
          <w:type w:val="continuous"/>
        </w:sectPr>
      </w:pPr>
    </w:p>
    <w:bookmarkStart w:id="6" w:name="page7"/>
    <w:bookmarkEnd w:id="6"/>
    <w:p>
      <w:pPr>
        <w:ind w:right="2840"/>
        <w:spacing w:after="0" w:line="279" w:lineRule="auto"/>
        <w:rPr>
          <w:sz w:val="20"/>
          <w:szCs w:val="20"/>
          <w:color w:val="auto"/>
        </w:rPr>
      </w:pPr>
      <w:r>
        <w:rPr>
          <w:rFonts w:ascii="Times New Roman" w:cs="Times New Roman" w:eastAsia="Times New Roman" w:hAnsi="Times New Roman"/>
          <w:sz w:val="18"/>
          <w:szCs w:val="18"/>
          <w:color w:val="4C4E52"/>
        </w:rPr>
        <w:drawing>
          <wp:anchor simplePos="0" relativeHeight="251657728" behindDoc="1" locked="0" layoutInCell="0" allowOverlap="1">
            <wp:simplePos x="0" y="0"/>
            <wp:positionH relativeFrom="page">
              <wp:posOffset>0</wp:posOffset>
            </wp:positionH>
            <wp:positionV relativeFrom="page">
              <wp:posOffset>0</wp:posOffset>
            </wp:positionV>
            <wp:extent cx="4763" cy="3633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763" cy="3633470"/>
                    </a:xfrm>
                    <a:prstGeom prst="rect">
                      <a:avLst/>
                    </a:prstGeom>
                    <a:noFill/>
                  </pic:spPr>
                </pic:pic>
              </a:graphicData>
            </a:graphic>
          </wp:anchor>
        </w:drawing>
        <w:t>As you may recall, in 2021, we closed our first acquisition as a public company with the purchase of the Nasdaq Fixed Income (NFI) electronic trading platform, formerly known as eSpeed. With the completion of the integration scheduled for the first half of 2023, we are excited about the potential to accelerate revenue growth. We believe our U.S. Treasury business is in a unique position with deep retail, wholesale and institutional liquidity pools, giving us the ability to continue to grow and capitalize on any potential market structure change.</w:t>
      </w:r>
    </w:p>
    <w:p>
      <w:pPr>
        <w:spacing w:after="0" w:line="128" w:lineRule="exact"/>
        <w:rPr>
          <w:sz w:val="20"/>
          <w:szCs w:val="20"/>
          <w:color w:val="auto"/>
        </w:rPr>
      </w:pPr>
    </w:p>
    <w:p>
      <w:pPr>
        <w:ind w:right="2860"/>
        <w:spacing w:after="0" w:line="279" w:lineRule="auto"/>
        <w:rPr>
          <w:sz w:val="20"/>
          <w:szCs w:val="20"/>
          <w:color w:val="auto"/>
        </w:rPr>
      </w:pPr>
      <w:r>
        <w:rPr>
          <w:rFonts w:ascii="Times New Roman" w:cs="Times New Roman" w:eastAsia="Times New Roman" w:hAnsi="Times New Roman"/>
          <w:sz w:val="18"/>
          <w:szCs w:val="18"/>
          <w:color w:val="4C4E52"/>
        </w:rPr>
        <w:t>In December, we announced our partnership with BlackRock to integrate the Tradeweb credit trading solutions and data into their Aladdin order execution management system. This is yet another example of how we collaborate with our clients to drive time and cost efficiencies. The new offering will include corporate, municipal and emerging market bonds, and will provide users with powerful synergies across trade execution, price discovery and analytics along with liquidity providers spanning institutional, wholesale, retail and all-to-all markets. The partnership also demonstrates the strides our credit platform has made in just a few years. We’ll share our progress as we proceed with the integration, and we’re excited about the potential to further scale our global credit business.</w:t>
      </w:r>
    </w:p>
    <w:p>
      <w:pPr>
        <w:spacing w:after="0" w:line="367" w:lineRule="exact"/>
        <w:rPr>
          <w:sz w:val="20"/>
          <w:szCs w:val="20"/>
          <w:color w:val="auto"/>
        </w:rPr>
      </w:pPr>
    </w:p>
    <w:p>
      <w:pPr>
        <w:ind w:right="2880"/>
        <w:spacing w:after="0" w:line="279" w:lineRule="auto"/>
        <w:rPr>
          <w:sz w:val="20"/>
          <w:szCs w:val="20"/>
          <w:color w:val="auto"/>
        </w:rPr>
      </w:pPr>
      <w:r>
        <w:rPr>
          <w:rFonts w:ascii="Times New Roman" w:cs="Times New Roman" w:eastAsia="Times New Roman" w:hAnsi="Times New Roman"/>
          <w:sz w:val="18"/>
          <w:szCs w:val="18"/>
          <w:color w:val="4C4E52"/>
        </w:rPr>
        <w:t>Beyond global credit, our international business will continue to be a key growth engine. Our international business saw revenues grow 6.2%, and 15.4% on a constant currency basis, over the prior year. The Asia Pacific region and emerging markets remain key areas of strategic focus, as we have bolstered our senior leadership in the region and continued to expand our emerging markets footprint. Our advance into emerging markets will allow us to build on existing strengths in rates and credit, and we’ll continue to work with our clients to provide workflow solutions that create efficiencies, reduce friction and help lower costs of trading. In 2022, we announced our upcoming collaboration with FXall to develop hedging workflow solutions to allow emerging market products to be traded more efficiently—stay tuned for more updates on that front.</w:t>
      </w:r>
    </w:p>
    <w:p>
      <w:pPr>
        <w:spacing w:after="0" w:line="366" w:lineRule="exact"/>
        <w:rPr>
          <w:sz w:val="20"/>
          <w:szCs w:val="20"/>
          <w:color w:val="auto"/>
        </w:rPr>
      </w:pPr>
    </w:p>
    <w:p>
      <w:pPr>
        <w:ind w:right="2920"/>
        <w:spacing w:after="0" w:line="280" w:lineRule="auto"/>
        <w:rPr>
          <w:sz w:val="20"/>
          <w:szCs w:val="20"/>
          <w:color w:val="auto"/>
        </w:rPr>
      </w:pPr>
      <w:r>
        <w:rPr>
          <w:rFonts w:ascii="Times New Roman" w:cs="Times New Roman" w:eastAsia="Times New Roman" w:hAnsi="Times New Roman"/>
          <w:sz w:val="18"/>
          <w:szCs w:val="18"/>
          <w:color w:val="4C4E52"/>
        </w:rPr>
        <w:t>From a people perspective, we are truly excited about the team that we have assembled and the breadth of experience and viewpoints they bring across markets. We’re thrilled to have Tom Pluta, who officially transitioned to President at the beginning of the year, in addition to the superb set of senior leaders we have across our global business. We have an incredible team in place that I’m confident will bring Tradeweb to the next level.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6"/>
          <w:szCs w:val="26"/>
          <w:color w:val="0C5F9C"/>
        </w:rPr>
        <w:t>MARKET STRUCTURE AND REGULATORY TRANSITION</w:t>
      </w:r>
    </w:p>
    <w:p>
      <w:pPr>
        <w:spacing w:after="0" w:line="150" w:lineRule="exact"/>
        <w:rPr>
          <w:sz w:val="20"/>
          <w:szCs w:val="20"/>
          <w:color w:val="auto"/>
        </w:rPr>
      </w:pPr>
    </w:p>
    <w:p>
      <w:pPr>
        <w:ind w:right="2840"/>
        <w:spacing w:after="0" w:line="279" w:lineRule="auto"/>
        <w:rPr>
          <w:sz w:val="20"/>
          <w:szCs w:val="20"/>
          <w:color w:val="auto"/>
        </w:rPr>
      </w:pPr>
      <w:r>
        <w:rPr>
          <w:rFonts w:ascii="Times New Roman" w:cs="Times New Roman" w:eastAsia="Times New Roman" w:hAnsi="Times New Roman"/>
          <w:sz w:val="18"/>
          <w:szCs w:val="18"/>
          <w:color w:val="4C4E52"/>
        </w:rPr>
        <w:t>We believe change is constant, and we’ve strived to build a business model that is long on innovation and never short on change. We have consistently delivered leading-edge solutions with a view to offering our participants a greater degree of flexibility and optionality to meet their evolving trading and liquidity needs. From Dodd-Frank to MiFID II to the recent transition from the London Interbank Offered Rate (LIBOR) and similar benchmarks to new risk-free rates (RFR), we’ve worked hand-in-hand with clients and have been there for every step of the journey.</w:t>
      </w:r>
    </w:p>
    <w:p>
      <w:pPr>
        <w:spacing w:after="0" w:line="128" w:lineRule="exact"/>
        <w:rPr>
          <w:sz w:val="20"/>
          <w:szCs w:val="20"/>
          <w:color w:val="auto"/>
        </w:rPr>
      </w:pPr>
    </w:p>
    <w:p>
      <w:pPr>
        <w:ind w:right="2880"/>
        <w:spacing w:after="0" w:line="279" w:lineRule="auto"/>
        <w:rPr>
          <w:sz w:val="20"/>
          <w:szCs w:val="20"/>
          <w:color w:val="auto"/>
        </w:rPr>
      </w:pPr>
      <w:r>
        <w:rPr>
          <w:rFonts w:ascii="Times New Roman" w:cs="Times New Roman" w:eastAsia="Times New Roman" w:hAnsi="Times New Roman"/>
          <w:sz w:val="18"/>
          <w:szCs w:val="18"/>
          <w:color w:val="4C4E52"/>
        </w:rPr>
        <w:t>The fixed income market structure is still early in its maturation. Right now, there is significant dialogue among industry stakeholders related to enhanced TRACE reporting, ATS registration, central clearing in U.S. Treasuries, introduction of all-to-all in U.S. Treasuries and additional regulation related to single-name CDS. While there will be healthy debate in the industry on market structure change, we are all proponents of regulation that promotes greater efficiency and transparency.</w:t>
      </w:r>
    </w:p>
    <w:p>
      <w:pPr>
        <w:spacing w:after="0" w:line="128" w:lineRule="exact"/>
        <w:rPr>
          <w:sz w:val="20"/>
          <w:szCs w:val="20"/>
          <w:color w:val="auto"/>
        </w:rPr>
      </w:pPr>
    </w:p>
    <w:p>
      <w:pPr>
        <w:ind w:right="2820"/>
        <w:spacing w:after="0" w:line="281" w:lineRule="auto"/>
        <w:rPr>
          <w:sz w:val="20"/>
          <w:szCs w:val="20"/>
          <w:color w:val="auto"/>
        </w:rPr>
      </w:pPr>
      <w:r>
        <w:rPr>
          <w:rFonts w:ascii="Times New Roman" w:cs="Times New Roman" w:eastAsia="Times New Roman" w:hAnsi="Times New Roman"/>
          <w:sz w:val="18"/>
          <w:szCs w:val="18"/>
          <w:color w:val="4C4E52"/>
        </w:rPr>
        <w:t>From our perspective, we have a proven track record of successfully navigating and helping our clients with these types of changes. Our unique vantage point in the market where we cater to all client channels, deliver a full suite of protocols and offer a dynamic technology stack puts us in a leadership position to respond to and drive healthy market structure change.</w:t>
      </w:r>
    </w:p>
    <w:p>
      <w:pPr>
        <w:sectPr>
          <w:pgSz w:w="12060" w:h="15660" w:orient="portrait"/>
          <w:cols w:equalWidth="0" w:num="1">
            <w:col w:w="10260"/>
          </w:cols>
          <w:pgMar w:left="1080" w:top="12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4C4E52"/>
        </w:rPr>
        <w:t xml:space="preserve">2022 ANNUAL REPORT                                                                                   </w:t>
      </w:r>
      <w:r>
        <w:rPr>
          <w:sz w:val="1"/>
          <w:szCs w:val="1"/>
          <w:color w:val="auto"/>
        </w:rPr>
        <w:drawing>
          <wp:inline distT="0" distB="0" distL="0" distR="0">
            <wp:extent cx="89535" cy="895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12213B"/>
        </w:rPr>
        <w:t xml:space="preserve">     5</w:t>
      </w:r>
    </w:p>
    <w:p>
      <w:pPr>
        <w:sectPr>
          <w:pgSz w:w="12060" w:h="15660" w:orient="portrait"/>
          <w:cols w:equalWidth="0" w:num="1">
            <w:col w:w="10260"/>
          </w:cols>
          <w:pgMar w:left="1080" w:top="1257" w:right="720" w:bottom="0" w:gutter="0" w:footer="0" w:header="0"/>
          <w:type w:val="continuous"/>
        </w:sectPr>
      </w:pPr>
    </w:p>
    <w:bookmarkStart w:id="7" w:name="page8"/>
    <w:bookmarkEnd w:id="7"/>
    <w:p>
      <w:pPr>
        <w:ind w:left="52"/>
        <w:spacing w:after="0"/>
        <w:rPr>
          <w:sz w:val="20"/>
          <w:szCs w:val="20"/>
          <w:color w:val="auto"/>
        </w:rPr>
      </w:pPr>
      <w:r>
        <w:rPr>
          <w:rFonts w:ascii="Arial" w:cs="Arial" w:eastAsia="Arial" w:hAnsi="Arial"/>
          <w:sz w:val="26"/>
          <w:szCs w:val="26"/>
          <w:color w:val="0C5F9C"/>
        </w:rPr>
        <w:t>ORGANICALLY PROGRESSING ESG STRATEGY</w:t>
      </w:r>
    </w:p>
    <w:p>
      <w:pPr>
        <w:spacing w:after="0" w:line="150" w:lineRule="exact"/>
        <w:rPr>
          <w:sz w:val="20"/>
          <w:szCs w:val="20"/>
          <w:color w:val="auto"/>
        </w:rPr>
      </w:pPr>
    </w:p>
    <w:p>
      <w:pPr>
        <w:jc w:val="both"/>
        <w:ind w:left="52" w:right="3260"/>
        <w:spacing w:after="0" w:line="282" w:lineRule="auto"/>
        <w:rPr>
          <w:sz w:val="20"/>
          <w:szCs w:val="20"/>
          <w:color w:val="auto"/>
        </w:rPr>
      </w:pPr>
      <w:r>
        <w:rPr>
          <w:rFonts w:ascii="Times New Roman" w:cs="Times New Roman" w:eastAsia="Times New Roman" w:hAnsi="Times New Roman"/>
          <w:sz w:val="18"/>
          <w:szCs w:val="18"/>
          <w:color w:val="4C4E52"/>
        </w:rPr>
        <w:t>That same focus on collaboration, innovation and staying true to our core values has paved the way for our Environmental, Social, and Governance (ESG) progress at Tradeweb. Our sustainability ethos comes down to the dual pillars of transparency and authenticity.</w:t>
      </w:r>
    </w:p>
    <w:p>
      <w:pPr>
        <w:spacing w:after="0" w:line="122" w:lineRule="exact"/>
        <w:rPr>
          <w:sz w:val="20"/>
          <w:szCs w:val="20"/>
          <w:color w:val="auto"/>
        </w:rPr>
      </w:pPr>
    </w:p>
    <w:p>
      <w:pPr>
        <w:ind w:left="52" w:right="2880"/>
        <w:spacing w:after="0" w:line="280" w:lineRule="auto"/>
        <w:rPr>
          <w:sz w:val="20"/>
          <w:szCs w:val="20"/>
          <w:color w:val="auto"/>
        </w:rPr>
      </w:pPr>
      <w:r>
        <w:rPr>
          <w:rFonts w:ascii="Times New Roman" w:cs="Times New Roman" w:eastAsia="Times New Roman" w:hAnsi="Times New Roman"/>
          <w:sz w:val="18"/>
          <w:szCs w:val="18"/>
          <w:color w:val="4C4E52"/>
        </w:rPr>
        <w:t>On the first theme, in 2022, we published our second annual Corporate Sustainability Report, providing transparency and accountability through increased granularity in reported ESG data and disclosures. The work we’ve accomplished across the company and within our markets on ESG has been evidenced by improved ESG evaluation scores and ratings from major providers in the space, as well as our recognition in the top 10 of the JUST Capital 2023 list for Capital Markets companies.</w:t>
      </w:r>
    </w:p>
    <w:p>
      <w:pPr>
        <w:spacing w:after="0" w:line="125" w:lineRule="exact"/>
        <w:rPr>
          <w:sz w:val="20"/>
          <w:szCs w:val="20"/>
          <w:color w:val="auto"/>
        </w:rPr>
      </w:pPr>
    </w:p>
    <w:p>
      <w:pPr>
        <w:jc w:val="both"/>
        <w:ind w:left="52" w:right="3220"/>
        <w:spacing w:after="0" w:line="278" w:lineRule="auto"/>
        <w:rPr>
          <w:sz w:val="20"/>
          <w:szCs w:val="20"/>
          <w:color w:val="auto"/>
        </w:rPr>
      </w:pPr>
      <w:r>
        <w:rPr>
          <w:rFonts w:ascii="Times New Roman" w:cs="Times New Roman" w:eastAsia="Times New Roman" w:hAnsi="Times New Roman"/>
          <w:sz w:val="18"/>
          <w:szCs w:val="18"/>
          <w:color w:val="4C4E52"/>
        </w:rPr>
        <w:t>On authenticity—we strive to be thoughtful and intentional in our strategy, as principles of ESG are genuinely engrained in our corporate DNA. To that end, we launched the Spotlight Dealer Diversity Program designed to promote diverse dealers on the Tradeweb platform.</w:t>
      </w:r>
    </w:p>
    <w:p>
      <w:pPr>
        <w:spacing w:after="0" w:line="1" w:lineRule="exact"/>
        <w:rPr>
          <w:sz w:val="20"/>
          <w:szCs w:val="20"/>
          <w:color w:val="auto"/>
        </w:rPr>
      </w:pPr>
    </w:p>
    <w:p>
      <w:pPr>
        <w:ind w:left="52" w:right="2920"/>
        <w:spacing w:after="0" w:line="280" w:lineRule="auto"/>
        <w:rPr>
          <w:sz w:val="20"/>
          <w:szCs w:val="20"/>
          <w:color w:val="auto"/>
        </w:rPr>
      </w:pPr>
      <w:r>
        <w:rPr>
          <w:rFonts w:ascii="Times New Roman" w:cs="Times New Roman" w:eastAsia="Times New Roman" w:hAnsi="Times New Roman"/>
          <w:sz w:val="18"/>
          <w:szCs w:val="18"/>
          <w:color w:val="4C4E52"/>
        </w:rPr>
        <w:t>Since its start, the program has grown from 14 diverse dealers to 20. Our U.S. Credit Spotlight enhancement has seen healthy participation from our buy-side and Spotlight dealer communities with nearly $2B in volume traded through the protocol since launch. We have also had another year of growth in Green Bond trading across global products, with full year 2022 CBI-screened volumes hitting a record $198.4B, up 39% year over year.</w:t>
      </w:r>
    </w:p>
    <w:p>
      <w:pPr>
        <w:spacing w:after="0" w:line="125" w:lineRule="exact"/>
        <w:rPr>
          <w:sz w:val="20"/>
          <w:szCs w:val="20"/>
          <w:color w:val="auto"/>
        </w:rPr>
      </w:pPr>
    </w:p>
    <w:p>
      <w:pPr>
        <w:ind w:left="52" w:right="3180"/>
        <w:spacing w:after="0" w:line="282" w:lineRule="auto"/>
        <w:rPr>
          <w:sz w:val="20"/>
          <w:szCs w:val="20"/>
          <w:color w:val="auto"/>
        </w:rPr>
      </w:pPr>
      <w:r>
        <w:rPr>
          <w:rFonts w:ascii="Times New Roman" w:cs="Times New Roman" w:eastAsia="Times New Roman" w:hAnsi="Times New Roman"/>
          <w:sz w:val="18"/>
          <w:szCs w:val="18"/>
          <w:color w:val="4C4E52"/>
        </w:rPr>
        <w:t>Internally, we foster an inclusive culture as we progress toward a more diverse workforce and strengthen employee engagement through our employee networks, career development trainings and philanthropy initiatives, among others.</w:t>
      </w:r>
    </w:p>
    <w:p>
      <w:pPr>
        <w:spacing w:after="0" w:line="122" w:lineRule="exact"/>
        <w:rPr>
          <w:sz w:val="20"/>
          <w:szCs w:val="20"/>
          <w:color w:val="auto"/>
        </w:rPr>
      </w:pPr>
    </w:p>
    <w:p>
      <w:pPr>
        <w:ind w:left="52" w:right="3640"/>
        <w:spacing w:after="0" w:line="286" w:lineRule="auto"/>
        <w:rPr>
          <w:sz w:val="20"/>
          <w:szCs w:val="20"/>
          <w:color w:val="auto"/>
        </w:rPr>
      </w:pPr>
      <w:r>
        <w:rPr>
          <w:rFonts w:ascii="Times New Roman" w:cs="Times New Roman" w:eastAsia="Times New Roman" w:hAnsi="Times New Roman"/>
          <w:sz w:val="18"/>
          <w:szCs w:val="18"/>
          <w:color w:val="4C4E52"/>
        </w:rPr>
        <w:t>Our outlook for the future is positive as we venture to be best in class in all that we do, maintaining transparency and authenticity in how we get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168275</wp:posOffset>
            </wp:positionV>
            <wp:extent cx="7658100" cy="5181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7658100" cy="5181600"/>
                    </a:xfrm>
                    <a:prstGeom prst="rect">
                      <a:avLst/>
                    </a:prstGeom>
                    <a:noFill/>
                  </pic:spPr>
                </pic:pic>
              </a:graphicData>
            </a:graphic>
          </wp:anchor>
        </w:drawing>
      </w:r>
    </w:p>
    <w:p>
      <w:pPr>
        <w:sectPr>
          <w:pgSz w:w="12060" w:h="15660" w:orient="portrait"/>
          <w:cols w:equalWidth="0" w:num="1">
            <w:col w:w="10292"/>
          </w:cols>
          <w:pgMar w:left="688" w:top="120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
        <w:spacing w:after="0"/>
        <w:rPr>
          <w:sz w:val="20"/>
          <w:szCs w:val="20"/>
          <w:color w:val="auto"/>
        </w:rPr>
      </w:pPr>
      <w:r>
        <w:rPr>
          <w:rFonts w:ascii="Arial" w:cs="Arial" w:eastAsia="Arial" w:hAnsi="Arial"/>
          <w:sz w:val="19"/>
          <w:szCs w:val="19"/>
          <w:color w:val="FFFFFF"/>
        </w:rPr>
        <w:t>REVENUES BY ASSET CLASS</w:t>
      </w:r>
    </w:p>
    <w:p>
      <w:pPr>
        <w:spacing w:after="0" w:line="2" w:lineRule="exact"/>
        <w:rPr>
          <w:sz w:val="20"/>
          <w:szCs w:val="20"/>
          <w:color w:val="auto"/>
        </w:rPr>
      </w:pPr>
    </w:p>
    <w:p>
      <w:pPr>
        <w:ind w:left="32"/>
        <w:spacing w:after="0"/>
        <w:rPr>
          <w:sz w:val="20"/>
          <w:szCs w:val="20"/>
          <w:color w:val="auto"/>
        </w:rPr>
      </w:pPr>
      <w:r>
        <w:rPr>
          <w:rFonts w:ascii="Arial" w:cs="Arial" w:eastAsia="Arial" w:hAnsi="Arial"/>
          <w:sz w:val="19"/>
          <w:szCs w:val="19"/>
          <w:color w:val="FFFFFF"/>
        </w:rPr>
        <w:t>$ IN MILLIONS</w:t>
      </w:r>
    </w:p>
    <w:p>
      <w:pPr>
        <w:spacing w:after="0" w:line="125" w:lineRule="exact"/>
        <w:rPr>
          <w:sz w:val="20"/>
          <w:szCs w:val="20"/>
          <w:color w:val="auto"/>
        </w:rPr>
      </w:pPr>
    </w:p>
    <w:p>
      <w:pPr>
        <w:ind w:left="1512"/>
        <w:spacing w:after="0"/>
        <w:tabs>
          <w:tab w:leader="none" w:pos="3312" w:val="left"/>
        </w:tabs>
        <w:rPr>
          <w:sz w:val="20"/>
          <w:szCs w:val="20"/>
          <w:color w:val="auto"/>
        </w:rPr>
      </w:pPr>
      <w:r>
        <w:rPr>
          <w:rFonts w:ascii="Arial" w:cs="Arial" w:eastAsia="Arial" w:hAnsi="Arial"/>
          <w:sz w:val="13"/>
          <w:szCs w:val="13"/>
          <w:b w:val="1"/>
          <w:bCs w:val="1"/>
          <w:color w:val="FFFFFF"/>
        </w:rPr>
        <w:t>16.1%</w:t>
      </w:r>
      <w:r>
        <w:rPr>
          <w:sz w:val="20"/>
          <w:szCs w:val="20"/>
          <w:color w:val="auto"/>
        </w:rPr>
        <w:tab/>
      </w:r>
      <w:r>
        <w:rPr>
          <w:rFonts w:ascii="Arial" w:cs="Arial" w:eastAsia="Arial" w:hAnsi="Arial"/>
          <w:sz w:val="13"/>
          <w:szCs w:val="13"/>
          <w:b w:val="1"/>
          <w:bCs w:val="1"/>
          <w:color w:val="FFFFFF"/>
        </w:rPr>
        <w:t>$1,189</w:t>
      </w:r>
    </w:p>
    <w:tbl>
      <w:tblPr>
        <w:tblLayout w:type="fixed"/>
        <w:tblInd w:w="32" w:type="dxa"/>
        <w:tblCellMar>
          <w:top w:w="0" w:type="dxa"/>
          <w:left w:w="0" w:type="dxa"/>
          <w:bottom w:w="0" w:type="dxa"/>
          <w:right w:w="0" w:type="dxa"/>
        </w:tblCellMar>
      </w:tblPr>
      <w:tr>
        <w:trPr>
          <w:trHeight w:val="178"/>
        </w:trPr>
        <w:tc>
          <w:tcPr>
            <w:tcW w:w="640" w:type="dxa"/>
            <w:vAlign w:val="bottom"/>
          </w:tcPr>
          <w:p>
            <w:pPr>
              <w:jc w:val="right"/>
              <w:ind w:right="175"/>
              <w:spacing w:after="0"/>
              <w:rPr>
                <w:sz w:val="20"/>
                <w:szCs w:val="20"/>
                <w:color w:val="auto"/>
              </w:rPr>
            </w:pPr>
            <w:r>
              <w:rPr>
                <w:rFonts w:ascii="Arial" w:cs="Arial" w:eastAsia="Arial" w:hAnsi="Arial"/>
                <w:sz w:val="13"/>
                <w:szCs w:val="13"/>
                <w:color w:val="FFFFFF"/>
                <w:w w:val="95"/>
              </w:rPr>
              <w:t>$1,200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320"/>
              <w:spacing w:after="0" w:line="137" w:lineRule="exact"/>
              <w:rPr>
                <w:sz w:val="20"/>
                <w:szCs w:val="20"/>
                <w:color w:val="auto"/>
              </w:rPr>
            </w:pPr>
            <w:r>
              <w:rPr>
                <w:rFonts w:ascii="Arial" w:cs="Arial" w:eastAsia="Arial" w:hAnsi="Arial"/>
                <w:sz w:val="13"/>
                <w:szCs w:val="13"/>
                <w:color w:val="FFFFFF"/>
              </w:rPr>
              <w:t>CAGR</w:t>
            </w: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FFFFFF"/>
              </w:rPr>
              <w:t>$1,076</w:t>
            </w:r>
          </w:p>
        </w:tc>
        <w:tc>
          <w:tcPr>
            <w:tcW w:w="200" w:type="dxa"/>
            <w:vAlign w:val="bottom"/>
          </w:tcPr>
          <w:p>
            <w:pPr>
              <w:spacing w:after="0"/>
              <w:rPr>
                <w:sz w:val="15"/>
                <w:szCs w:val="15"/>
                <w:color w:val="auto"/>
              </w:rPr>
            </w:pPr>
          </w:p>
        </w:tc>
        <w:tc>
          <w:tcPr>
            <w:tcW w:w="320" w:type="dxa"/>
            <w:vAlign w:val="bottom"/>
            <w:tcBorders>
              <w:bottom w:val="single" w:sz="8" w:color="FD660A"/>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 w:type="dxa"/>
            <w:vAlign w:val="bottom"/>
            <w:vMerge w:val="restart"/>
          </w:tcPr>
          <w:p>
            <w:pPr>
              <w:jc w:val="right"/>
              <w:ind w:right="175"/>
              <w:spacing w:after="0"/>
              <w:rPr>
                <w:sz w:val="20"/>
                <w:szCs w:val="20"/>
                <w:color w:val="auto"/>
              </w:rPr>
            </w:pPr>
            <w:r>
              <w:rPr>
                <w:rFonts w:ascii="Arial" w:cs="Arial" w:eastAsia="Arial" w:hAnsi="Arial"/>
                <w:sz w:val="13"/>
                <w:szCs w:val="13"/>
                <w:color w:val="FFFFFF"/>
              </w:rPr>
              <w:t>$960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FFFFFF"/>
              </w:rPr>
              <w:t>$776</w:t>
            </w:r>
          </w:p>
        </w:tc>
        <w:tc>
          <w:tcPr>
            <w:tcW w:w="5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FFFFFF"/>
              </w:rPr>
              <w:t>$893</w:t>
            </w:r>
          </w:p>
        </w:tc>
        <w:tc>
          <w:tcPr>
            <w:tcW w:w="200" w:type="dxa"/>
            <w:vAlign w:val="bottom"/>
          </w:tcPr>
          <w:p>
            <w:pPr>
              <w:spacing w:after="0"/>
              <w:rPr>
                <w:sz w:val="14"/>
                <w:szCs w:val="14"/>
                <w:color w:val="auto"/>
              </w:rPr>
            </w:pPr>
          </w:p>
        </w:tc>
        <w:tc>
          <w:tcPr>
            <w:tcW w:w="320" w:type="dxa"/>
            <w:vAlign w:val="bottom"/>
            <w:tcBorders>
              <w:bottom w:val="single" w:sz="8" w:color="FD660A"/>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FD660A"/>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FFFFFF"/>
              </w:rPr>
              <w:t>$684</w:t>
            </w:r>
          </w:p>
        </w:tc>
        <w:tc>
          <w:tcPr>
            <w:tcW w:w="5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FD660A"/>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40" w:type="dxa"/>
            <w:vAlign w:val="bottom"/>
          </w:tcPr>
          <w:p>
            <w:pPr>
              <w:jc w:val="right"/>
              <w:ind w:right="175"/>
              <w:spacing w:after="0" w:line="133" w:lineRule="exact"/>
              <w:rPr>
                <w:sz w:val="20"/>
                <w:szCs w:val="20"/>
                <w:color w:val="auto"/>
              </w:rPr>
            </w:pPr>
            <w:r>
              <w:rPr>
                <w:rFonts w:ascii="Arial" w:cs="Arial" w:eastAsia="Arial" w:hAnsi="Arial"/>
                <w:sz w:val="13"/>
                <w:szCs w:val="13"/>
                <w:color w:val="FFFFFF"/>
              </w:rPr>
              <w:t>$720</w:t>
            </w:r>
          </w:p>
        </w:tc>
        <w:tc>
          <w:tcPr>
            <w:tcW w:w="48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FFFFFF"/>
              </w:rPr>
              <w:t>$563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FD660A"/>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40" w:type="dxa"/>
            <w:vAlign w:val="bottom"/>
            <w:vMerge w:val="restart"/>
          </w:tcPr>
          <w:p>
            <w:pPr>
              <w:jc w:val="right"/>
              <w:ind w:right="175"/>
              <w:spacing w:after="0"/>
              <w:rPr>
                <w:sz w:val="20"/>
                <w:szCs w:val="20"/>
                <w:color w:val="auto"/>
              </w:rPr>
            </w:pPr>
            <w:r>
              <w:rPr>
                <w:rFonts w:ascii="Arial" w:cs="Arial" w:eastAsia="Arial" w:hAnsi="Arial"/>
                <w:sz w:val="13"/>
                <w:szCs w:val="13"/>
                <w:color w:val="FFFFFF"/>
              </w:rPr>
              <w:t>$480</w:t>
            </w:r>
          </w:p>
        </w:tc>
        <w:tc>
          <w:tcPr>
            <w:tcW w:w="160" w:type="dxa"/>
            <w:vAlign w:val="bottom"/>
          </w:tcPr>
          <w:p>
            <w:pPr>
              <w:spacing w:after="0"/>
              <w:rPr>
                <w:sz w:val="16"/>
                <w:szCs w:val="16"/>
                <w:color w:val="auto"/>
              </w:rPr>
            </w:pPr>
          </w:p>
        </w:tc>
        <w:tc>
          <w:tcPr>
            <w:tcW w:w="320" w:type="dxa"/>
            <w:vAlign w:val="bottom"/>
            <w:tcBorders>
              <w:bottom w:val="single" w:sz="8" w:color="FD660A"/>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59B883"/>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59B883"/>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640" w:type="dxa"/>
            <w:vAlign w:val="bottom"/>
          </w:tcPr>
          <w:p>
            <w:pPr>
              <w:jc w:val="right"/>
              <w:ind w:right="175"/>
              <w:spacing w:after="0"/>
              <w:rPr>
                <w:sz w:val="20"/>
                <w:szCs w:val="20"/>
                <w:color w:val="auto"/>
              </w:rPr>
            </w:pPr>
            <w:r>
              <w:rPr>
                <w:rFonts w:ascii="Arial" w:cs="Arial" w:eastAsia="Arial" w:hAnsi="Arial"/>
                <w:sz w:val="13"/>
                <w:szCs w:val="13"/>
                <w:color w:val="FFFFFF"/>
              </w:rPr>
              <w:t>$240</w:t>
            </w:r>
          </w:p>
        </w:tc>
        <w:tc>
          <w:tcPr>
            <w:tcW w:w="160" w:type="dxa"/>
            <w:vAlign w:val="bottom"/>
          </w:tcPr>
          <w:p>
            <w:pPr>
              <w:spacing w:after="0"/>
              <w:rPr>
                <w:sz w:val="24"/>
                <w:szCs w:val="24"/>
                <w:color w:val="auto"/>
              </w:rPr>
            </w:pPr>
          </w:p>
        </w:tc>
        <w:tc>
          <w:tcPr>
            <w:tcW w:w="320" w:type="dxa"/>
            <w:vAlign w:val="bottom"/>
            <w:tcBorders>
              <w:top w:val="single" w:sz="8" w:color="1F7E66"/>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40" w:type="dxa"/>
            <w:vAlign w:val="bottom"/>
          </w:tcPr>
          <w:p>
            <w:pPr>
              <w:jc w:val="right"/>
              <w:ind w:right="175"/>
              <w:spacing w:after="0"/>
              <w:rPr>
                <w:sz w:val="20"/>
                <w:szCs w:val="20"/>
                <w:color w:val="auto"/>
              </w:rPr>
            </w:pPr>
            <w:r>
              <w:rPr>
                <w:rFonts w:ascii="Arial" w:cs="Arial" w:eastAsia="Arial" w:hAnsi="Arial"/>
                <w:sz w:val="13"/>
                <w:szCs w:val="13"/>
                <w:color w:val="FFFFFF"/>
              </w:rPr>
              <w:t>$0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FFFFFF"/>
              </w:rPr>
              <w:t>2017</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FFFFFF"/>
              </w:rPr>
              <w:t>2018</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FFFFFF"/>
              </w:rPr>
              <w:t>2019</w:t>
            </w:r>
          </w:p>
        </w:tc>
        <w:tc>
          <w:tcPr>
            <w:tcW w:w="520" w:type="dxa"/>
            <w:vAlign w:val="bottom"/>
            <w:gridSpan w:val="2"/>
          </w:tcPr>
          <w:p>
            <w:pPr>
              <w:ind w:left="200"/>
              <w:spacing w:after="0"/>
              <w:rPr>
                <w:sz w:val="20"/>
                <w:szCs w:val="20"/>
                <w:color w:val="auto"/>
              </w:rPr>
            </w:pPr>
            <w:r>
              <w:rPr>
                <w:rFonts w:ascii="Arial" w:cs="Arial" w:eastAsia="Arial" w:hAnsi="Arial"/>
                <w:sz w:val="13"/>
                <w:szCs w:val="13"/>
                <w:b w:val="1"/>
                <w:bCs w:val="1"/>
                <w:color w:val="FFFFFF"/>
              </w:rPr>
              <w:t>2020</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FFFFFF"/>
                <w:w w:val="96"/>
              </w:rPr>
              <w:t>2021</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FFFFFF"/>
              </w:rPr>
              <w:t>2022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40" w:type="dxa"/>
            <w:vAlign w:val="bottom"/>
          </w:tcPr>
          <w:p>
            <w:pPr>
              <w:jc w:val="right"/>
              <w:ind w:right="95"/>
              <w:spacing w:after="0"/>
              <w:rPr>
                <w:sz w:val="20"/>
                <w:szCs w:val="20"/>
                <w:color w:val="auto"/>
              </w:rPr>
            </w:pPr>
            <w:r>
              <w:rPr>
                <w:rFonts w:ascii="Arial" w:cs="Arial" w:eastAsia="Arial" w:hAnsi="Arial"/>
                <w:sz w:val="13"/>
                <w:szCs w:val="13"/>
                <w:color w:val="FFFFFF"/>
              </w:rPr>
              <w:t>Rates</w:t>
            </w:r>
          </w:p>
        </w:tc>
        <w:tc>
          <w:tcPr>
            <w:tcW w:w="16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Arial" w:cs="Arial" w:eastAsia="Arial" w:hAnsi="Arial"/>
                <w:sz w:val="13"/>
                <w:szCs w:val="13"/>
                <w:color w:val="FFFFFF"/>
              </w:rPr>
              <w:t>Credit</w:t>
            </w:r>
          </w:p>
        </w:tc>
        <w:tc>
          <w:tcPr>
            <w:tcW w:w="8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FFFFFF"/>
              </w:rPr>
              <w:t>Equities</w:t>
            </w:r>
          </w:p>
        </w:tc>
        <w:tc>
          <w:tcPr>
            <w:tcW w:w="720" w:type="dxa"/>
            <w:vAlign w:val="bottom"/>
            <w:gridSpan w:val="3"/>
          </w:tcPr>
          <w:p>
            <w:pPr>
              <w:ind w:left="200"/>
              <w:spacing w:after="0"/>
              <w:rPr>
                <w:sz w:val="20"/>
                <w:szCs w:val="20"/>
                <w:color w:val="auto"/>
              </w:rPr>
            </w:pPr>
            <w:r>
              <w:rPr>
                <w:rFonts w:ascii="Arial" w:cs="Arial" w:eastAsia="Arial" w:hAnsi="Arial"/>
                <w:sz w:val="13"/>
                <w:szCs w:val="13"/>
                <w:color w:val="FFFFFF"/>
              </w:rPr>
              <w:t>Money</w:t>
            </w:r>
          </w:p>
        </w:tc>
        <w:tc>
          <w:tcPr>
            <w:tcW w:w="840" w:type="dxa"/>
            <w:vAlign w:val="bottom"/>
            <w:gridSpan w:val="3"/>
          </w:tcPr>
          <w:p>
            <w:pPr>
              <w:ind w:left="280"/>
              <w:spacing w:after="0"/>
              <w:rPr>
                <w:sz w:val="20"/>
                <w:szCs w:val="20"/>
                <w:color w:val="auto"/>
              </w:rPr>
            </w:pPr>
            <w:r>
              <w:rPr>
                <w:rFonts w:ascii="Arial" w:cs="Arial" w:eastAsia="Arial" w:hAnsi="Arial"/>
                <w:sz w:val="13"/>
                <w:szCs w:val="13"/>
                <w:color w:val="FFFFFF"/>
              </w:rPr>
              <w:t>Market</w:t>
            </w:r>
          </w:p>
        </w:tc>
        <w:tc>
          <w:tcPr>
            <w:tcW w:w="540" w:type="dxa"/>
            <w:vAlign w:val="bottom"/>
          </w:tcPr>
          <w:p>
            <w:pPr>
              <w:ind w:left="220"/>
              <w:spacing w:after="0"/>
              <w:rPr>
                <w:sz w:val="20"/>
                <w:szCs w:val="20"/>
                <w:color w:val="auto"/>
              </w:rPr>
            </w:pPr>
            <w:r>
              <w:rPr>
                <w:rFonts w:ascii="Arial" w:cs="Arial" w:eastAsia="Arial" w:hAnsi="Arial"/>
                <w:sz w:val="13"/>
                <w:szCs w:val="13"/>
                <w:color w:val="FFFFFF"/>
                <w:w w:val="92"/>
              </w:rPr>
              <w:t>Other</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200"/>
              <w:spacing w:after="0"/>
              <w:rPr>
                <w:sz w:val="20"/>
                <w:szCs w:val="20"/>
                <w:color w:val="auto"/>
              </w:rPr>
            </w:pPr>
            <w:r>
              <w:rPr>
                <w:rFonts w:ascii="Arial" w:cs="Arial" w:eastAsia="Arial" w:hAnsi="Arial"/>
                <w:sz w:val="13"/>
                <w:szCs w:val="13"/>
                <w:color w:val="FFFFFF"/>
              </w:rPr>
              <w:t>Markets</w:t>
            </w:r>
          </w:p>
        </w:tc>
        <w:tc>
          <w:tcPr>
            <w:tcW w:w="840" w:type="dxa"/>
            <w:vAlign w:val="bottom"/>
            <w:gridSpan w:val="3"/>
          </w:tcPr>
          <w:p>
            <w:pPr>
              <w:ind w:left="280"/>
              <w:spacing w:after="0"/>
              <w:rPr>
                <w:sz w:val="20"/>
                <w:szCs w:val="20"/>
                <w:color w:val="auto"/>
              </w:rPr>
            </w:pPr>
            <w:r>
              <w:rPr>
                <w:rFonts w:ascii="Arial" w:cs="Arial" w:eastAsia="Arial" w:hAnsi="Arial"/>
                <w:sz w:val="13"/>
                <w:szCs w:val="13"/>
                <w:color w:val="FFFFFF"/>
              </w:rPr>
              <w:t>Data</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560" w:hanging="58"/>
        <w:spacing w:after="0" w:line="228" w:lineRule="auto"/>
        <w:rPr>
          <w:sz w:val="20"/>
          <w:szCs w:val="20"/>
          <w:color w:val="auto"/>
        </w:rPr>
      </w:pPr>
      <w:r>
        <w:rPr>
          <w:rFonts w:ascii="Arial" w:cs="Arial" w:eastAsia="Arial" w:hAnsi="Arial"/>
          <w:sz w:val="19"/>
          <w:szCs w:val="19"/>
          <w:color w:val="FFFFFF"/>
        </w:rPr>
        <w:t>BALANCING INVESTMENT &amp; ADJ. EBITDA MARGINS $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15"/>
              <w:spacing w:after="0"/>
              <w:rPr>
                <w:sz w:val="20"/>
                <w:szCs w:val="20"/>
                <w:color w:val="auto"/>
              </w:rPr>
            </w:pPr>
            <w:r>
              <w:rPr>
                <w:rFonts w:ascii="Arial" w:cs="Arial" w:eastAsia="Arial" w:hAnsi="Arial"/>
                <w:sz w:val="13"/>
                <w:szCs w:val="13"/>
                <w:b w:val="1"/>
                <w:bCs w:val="1"/>
                <w:color w:val="FFFFFF"/>
                <w:w w:val="89"/>
              </w:rPr>
              <w:t>+1,300 bps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jc w:val="center"/>
              <w:ind w:right="415"/>
              <w:spacing w:after="0" w:line="121" w:lineRule="exact"/>
              <w:rPr>
                <w:sz w:val="20"/>
                <w:szCs w:val="20"/>
                <w:color w:val="auto"/>
              </w:rPr>
            </w:pPr>
            <w:r>
              <w:rPr>
                <w:rFonts w:ascii="Arial" w:cs="Arial" w:eastAsia="Arial" w:hAnsi="Arial"/>
                <w:sz w:val="13"/>
                <w:szCs w:val="13"/>
                <w:color w:val="FFFFFF"/>
                <w:w w:val="85"/>
              </w:rPr>
              <w:t>Adj. Margin</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jc w:val="center"/>
              <w:ind w:right="415"/>
              <w:spacing w:after="0" w:line="133" w:lineRule="exact"/>
              <w:rPr>
                <w:sz w:val="20"/>
                <w:szCs w:val="20"/>
                <w:color w:val="auto"/>
              </w:rPr>
            </w:pPr>
            <w:r>
              <w:rPr>
                <w:rFonts w:ascii="Arial" w:cs="Arial" w:eastAsia="Arial" w:hAnsi="Arial"/>
                <w:sz w:val="13"/>
                <w:szCs w:val="13"/>
                <w:color w:val="FFFFFF"/>
                <w:w w:val="85"/>
              </w:rPr>
              <w:t>Expansion</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w w:val="89"/>
              </w:rPr>
              <w:t>$100</w:t>
            </w:r>
          </w:p>
        </w:tc>
        <w:tc>
          <w:tcPr>
            <w:tcW w:w="80" w:type="dxa"/>
            <w:vAlign w:val="bottom"/>
            <w:tcBorders>
              <w:bottom w:val="single" w:sz="8" w:color="A7DDE3"/>
            </w:tcBorders>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w w:val="84"/>
              </w:rPr>
              <w:t>60%</w:t>
            </w:r>
          </w:p>
        </w:tc>
        <w:tc>
          <w:tcPr>
            <w:tcW w:w="0" w:type="dxa"/>
            <w:vAlign w:val="bottom"/>
          </w:tcPr>
          <w:p>
            <w:pPr>
              <w:spacing w:after="0"/>
              <w:rPr>
                <w:sz w:val="1"/>
                <w:szCs w:val="1"/>
                <w:color w:val="auto"/>
              </w:rPr>
            </w:pPr>
          </w:p>
        </w:tc>
      </w:tr>
      <w:tr>
        <w:trPr>
          <w:trHeight w:val="76"/>
        </w:trPr>
        <w:tc>
          <w:tcPr>
            <w:tcW w:w="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rPr>
              <w:t>$80</w:t>
            </w:r>
          </w:p>
        </w:tc>
        <w:tc>
          <w:tcPr>
            <w:tcW w:w="80" w:type="dxa"/>
            <w:vAlign w:val="bottom"/>
            <w:tcBorders>
              <w:bottom w:val="single" w:sz="8" w:color="A7DDE3"/>
            </w:tcBorders>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w w:val="84"/>
              </w:rPr>
              <w:t>50%</w:t>
            </w:r>
          </w:p>
        </w:tc>
        <w:tc>
          <w:tcPr>
            <w:tcW w:w="0" w:type="dxa"/>
            <w:vAlign w:val="bottom"/>
          </w:tcPr>
          <w:p>
            <w:pPr>
              <w:spacing w:after="0"/>
              <w:rPr>
                <w:sz w:val="1"/>
                <w:szCs w:val="1"/>
                <w:color w:val="auto"/>
              </w:rPr>
            </w:pPr>
          </w:p>
        </w:tc>
      </w:tr>
      <w:tr>
        <w:trPr>
          <w:trHeight w:val="42"/>
        </w:trPr>
        <w:tc>
          <w:tcPr>
            <w:tcW w:w="3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rPr>
              <w:t>$60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3"/>
                <w:szCs w:val="13"/>
                <w:color w:val="FFFFFF"/>
                <w:w w:val="84"/>
              </w:rPr>
              <w:t>40%</w:t>
            </w:r>
          </w:p>
        </w:tc>
        <w:tc>
          <w:tcPr>
            <w:tcW w:w="0" w:type="dxa"/>
            <w:vAlign w:val="bottom"/>
          </w:tcPr>
          <w:p>
            <w:pPr>
              <w:spacing w:after="0"/>
              <w:rPr>
                <w:sz w:val="1"/>
                <w:szCs w:val="1"/>
                <w:color w:val="auto"/>
              </w:rPr>
            </w:pPr>
          </w:p>
        </w:tc>
      </w:tr>
      <w:tr>
        <w:trPr>
          <w:trHeight w:val="22"/>
        </w:trPr>
        <w:tc>
          <w:tcPr>
            <w:tcW w:w="340" w:type="dxa"/>
            <w:vAlign w:val="bottom"/>
            <w:vMerge w:val="continue"/>
          </w:tcPr>
          <w:p>
            <w:pPr>
              <w:spacing w:after="0" w:line="20" w:lineRule="exact"/>
              <w:rPr>
                <w:sz w:val="1"/>
                <w:szCs w:val="1"/>
                <w:color w:val="auto"/>
              </w:rPr>
            </w:pPr>
          </w:p>
        </w:tc>
        <w:tc>
          <w:tcPr>
            <w:tcW w:w="80" w:type="dxa"/>
            <w:vAlign w:val="bottom"/>
            <w:tcBorders>
              <w:bottom w:val="single" w:sz="8" w:color="A7DDE3"/>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w w:val="84"/>
              </w:rPr>
              <w:t>30%</w:t>
            </w:r>
          </w:p>
        </w:tc>
        <w:tc>
          <w:tcPr>
            <w:tcW w:w="0" w:type="dxa"/>
            <w:vAlign w:val="bottom"/>
          </w:tcPr>
          <w:p>
            <w:pPr>
              <w:spacing w:after="0"/>
              <w:rPr>
                <w:sz w:val="1"/>
                <w:szCs w:val="1"/>
                <w:color w:val="auto"/>
              </w:rPr>
            </w:pPr>
          </w:p>
        </w:tc>
      </w:tr>
      <w:tr>
        <w:trPr>
          <w:trHeight w:val="53"/>
        </w:trPr>
        <w:tc>
          <w:tcPr>
            <w:tcW w:w="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rPr>
              <w:t>$40</w:t>
            </w:r>
          </w:p>
        </w:tc>
        <w:tc>
          <w:tcPr>
            <w:tcW w:w="80" w:type="dxa"/>
            <w:vAlign w:val="bottom"/>
            <w:tcBorders>
              <w:bottom w:val="single" w:sz="8" w:color="A7DDE3"/>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w w:val="84"/>
              </w:rPr>
              <w:t>20%</w:t>
            </w:r>
          </w:p>
        </w:tc>
        <w:tc>
          <w:tcPr>
            <w:tcW w:w="0" w:type="dxa"/>
            <w:vAlign w:val="bottom"/>
          </w:tcPr>
          <w:p>
            <w:pPr>
              <w:spacing w:after="0"/>
              <w:rPr>
                <w:sz w:val="1"/>
                <w:szCs w:val="1"/>
                <w:color w:val="auto"/>
              </w:rPr>
            </w:pPr>
          </w:p>
        </w:tc>
      </w:tr>
      <w:tr>
        <w:trPr>
          <w:trHeight w:val="52"/>
        </w:trPr>
        <w:tc>
          <w:tcPr>
            <w:tcW w:w="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rPr>
              <w:t>$20</w:t>
            </w:r>
          </w:p>
        </w:tc>
        <w:tc>
          <w:tcPr>
            <w:tcW w:w="80" w:type="dxa"/>
            <w:vAlign w:val="bottom"/>
            <w:tcBorders>
              <w:bottom w:val="single" w:sz="8" w:color="A7DDE3"/>
            </w:tcBorders>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w w:val="84"/>
              </w:rPr>
              <w:t>10%</w:t>
            </w:r>
          </w:p>
        </w:tc>
        <w:tc>
          <w:tcPr>
            <w:tcW w:w="0" w:type="dxa"/>
            <w:vAlign w:val="bottom"/>
          </w:tcPr>
          <w:p>
            <w:pPr>
              <w:spacing w:after="0"/>
              <w:rPr>
                <w:sz w:val="1"/>
                <w:szCs w:val="1"/>
                <w:color w:val="auto"/>
              </w:rPr>
            </w:pPr>
          </w:p>
        </w:tc>
      </w:tr>
      <w:tr>
        <w:trPr>
          <w:trHeight w:val="44"/>
        </w:trPr>
        <w:tc>
          <w:tcPr>
            <w:tcW w:w="3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40" w:type="dxa"/>
            <w:vAlign w:val="bottom"/>
            <w:vMerge w:val="restart"/>
          </w:tcPr>
          <w:p>
            <w:pPr>
              <w:jc w:val="right"/>
              <w:spacing w:after="0"/>
              <w:rPr>
                <w:sz w:val="20"/>
                <w:szCs w:val="20"/>
                <w:color w:val="auto"/>
              </w:rPr>
            </w:pPr>
            <w:r>
              <w:rPr>
                <w:rFonts w:ascii="Arial" w:cs="Arial" w:eastAsia="Arial" w:hAnsi="Arial"/>
                <w:sz w:val="13"/>
                <w:szCs w:val="13"/>
                <w:color w:val="A7DDE3"/>
              </w:rPr>
              <w:t>$0</w:t>
            </w:r>
          </w:p>
        </w:tc>
        <w:tc>
          <w:tcPr>
            <w:tcW w:w="80" w:type="dxa"/>
            <w:vAlign w:val="bottom"/>
            <w:tcBorders>
              <w:bottom w:val="single" w:sz="8" w:color="A7DDE3"/>
            </w:tcBorders>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FFFFFF"/>
              </w:rPr>
              <w:t>2018</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vMerge w:val="restart"/>
          </w:tcPr>
          <w:p>
            <w:pPr>
              <w:ind w:left="700"/>
              <w:spacing w:after="0"/>
              <w:rPr>
                <w:sz w:val="20"/>
                <w:szCs w:val="20"/>
                <w:color w:val="auto"/>
              </w:rPr>
            </w:pPr>
            <w:r>
              <w:rPr>
                <w:rFonts w:ascii="Arial" w:cs="Arial" w:eastAsia="Arial" w:hAnsi="Arial"/>
                <w:sz w:val="13"/>
                <w:szCs w:val="13"/>
                <w:color w:val="FFFFFF"/>
              </w:rPr>
              <w:t>0%</w:t>
            </w:r>
          </w:p>
        </w:tc>
        <w:tc>
          <w:tcPr>
            <w:tcW w:w="0" w:type="dxa"/>
            <w:vAlign w:val="bottom"/>
          </w:tcPr>
          <w:p>
            <w:pPr>
              <w:spacing w:after="0"/>
              <w:rPr>
                <w:sz w:val="1"/>
                <w:szCs w:val="1"/>
                <w:color w:val="auto"/>
              </w:rPr>
            </w:pPr>
          </w:p>
        </w:tc>
      </w:tr>
      <w:tr>
        <w:trPr>
          <w:trHeight w:val="37"/>
        </w:trPr>
        <w:tc>
          <w:tcPr>
            <w:tcW w:w="3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0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FFFFFF"/>
              </w:rPr>
              <w:t>2017</w:t>
            </w:r>
          </w:p>
        </w:tc>
        <w:tc>
          <w:tcPr>
            <w:tcW w:w="4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FFFFF"/>
              </w:rPr>
              <w:t>2019</w:t>
            </w:r>
          </w:p>
        </w:tc>
        <w:tc>
          <w:tcPr>
            <w:tcW w:w="580" w:type="dxa"/>
            <w:vAlign w:val="bottom"/>
          </w:tcPr>
          <w:p>
            <w:pPr>
              <w:jc w:val="right"/>
              <w:ind w:right="35"/>
              <w:spacing w:after="0"/>
              <w:rPr>
                <w:sz w:val="20"/>
                <w:szCs w:val="20"/>
                <w:color w:val="auto"/>
              </w:rPr>
            </w:pPr>
            <w:r>
              <w:rPr>
                <w:rFonts w:ascii="Arial" w:cs="Arial" w:eastAsia="Arial" w:hAnsi="Arial"/>
                <w:sz w:val="13"/>
                <w:szCs w:val="13"/>
                <w:b w:val="1"/>
                <w:bCs w:val="1"/>
                <w:color w:val="FFFFFF"/>
              </w:rPr>
              <w:t>2020</w:t>
            </w:r>
          </w:p>
        </w:tc>
        <w:tc>
          <w:tcPr>
            <w:tcW w:w="580" w:type="dxa"/>
            <w:vAlign w:val="bottom"/>
          </w:tcPr>
          <w:p>
            <w:pPr>
              <w:jc w:val="right"/>
              <w:ind w:right="95"/>
              <w:spacing w:after="0"/>
              <w:rPr>
                <w:sz w:val="20"/>
                <w:szCs w:val="20"/>
                <w:color w:val="auto"/>
              </w:rPr>
            </w:pPr>
            <w:r>
              <w:rPr>
                <w:rFonts w:ascii="Arial" w:cs="Arial" w:eastAsia="Arial" w:hAnsi="Arial"/>
                <w:sz w:val="13"/>
                <w:szCs w:val="13"/>
                <w:b w:val="1"/>
                <w:bCs w:val="1"/>
                <w:color w:val="FFFFFF"/>
              </w:rPr>
              <w:t>2021</w:t>
            </w:r>
          </w:p>
        </w:tc>
        <w:tc>
          <w:tcPr>
            <w:tcW w:w="940" w:type="dxa"/>
            <w:vAlign w:val="bottom"/>
          </w:tcPr>
          <w:p>
            <w:pPr>
              <w:ind w:left="60"/>
              <w:spacing w:after="0"/>
              <w:rPr>
                <w:sz w:val="20"/>
                <w:szCs w:val="20"/>
                <w:color w:val="auto"/>
              </w:rPr>
            </w:pPr>
            <w:r>
              <w:rPr>
                <w:rFonts w:ascii="Arial" w:cs="Arial" w:eastAsia="Arial" w:hAnsi="Arial"/>
                <w:sz w:val="13"/>
                <w:szCs w:val="13"/>
                <w:b w:val="1"/>
                <w:bCs w:val="1"/>
                <w:color w:val="FFFFFF"/>
              </w:rPr>
              <w:t>2022</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680" w:type="dxa"/>
            <w:vAlign w:val="bottom"/>
            <w:gridSpan w:val="4"/>
          </w:tcPr>
          <w:p>
            <w:pPr>
              <w:jc w:val="right"/>
              <w:ind w:right="275"/>
              <w:spacing w:after="0"/>
              <w:rPr>
                <w:sz w:val="20"/>
                <w:szCs w:val="20"/>
                <w:color w:val="auto"/>
              </w:rPr>
            </w:pPr>
            <w:r>
              <w:rPr>
                <w:rFonts w:ascii="Arial" w:cs="Arial" w:eastAsia="Arial" w:hAnsi="Arial"/>
                <w:sz w:val="13"/>
                <w:szCs w:val="13"/>
                <w:color w:val="FFFFFF"/>
                <w:w w:val="97"/>
              </w:rPr>
              <w:t>Total Tech Investments</w:t>
            </w:r>
          </w:p>
        </w:tc>
        <w:tc>
          <w:tcPr>
            <w:tcW w:w="1160" w:type="dxa"/>
            <w:vAlign w:val="bottom"/>
            <w:gridSpan w:val="2"/>
          </w:tcPr>
          <w:p>
            <w:pPr>
              <w:jc w:val="right"/>
              <w:spacing w:after="0"/>
              <w:rPr>
                <w:sz w:val="20"/>
                <w:szCs w:val="20"/>
                <w:color w:val="auto"/>
              </w:rPr>
            </w:pPr>
            <w:r>
              <w:rPr>
                <w:rFonts w:ascii="Arial" w:cs="Arial" w:eastAsia="Arial" w:hAnsi="Arial"/>
                <w:sz w:val="13"/>
                <w:szCs w:val="13"/>
                <w:color w:val="FFFFFF"/>
                <w:w w:val="94"/>
              </w:rPr>
              <w:t>Adj. EBITDA Margin</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sectPr>
          <w:pgSz w:w="12060" w:h="15660" w:orient="portrait"/>
          <w:cols w:equalWidth="0" w:num="2">
            <w:col w:w="4852" w:space="720"/>
            <w:col w:w="4720"/>
          </w:cols>
          <w:pgMar w:left="688" w:top="1204" w:right="1080" w:bottom="0" w:gutter="0" w:footer="0" w:header="0"/>
          <w:type w:val="continuous"/>
        </w:sectPr>
      </w:pPr>
    </w:p>
    <w:p>
      <w:pPr>
        <w:spacing w:after="0" w:line="220" w:lineRule="exact"/>
        <w:rPr>
          <w:sz w:val="20"/>
          <w:szCs w:val="20"/>
          <w:color w:val="auto"/>
        </w:rPr>
      </w:pPr>
    </w:p>
    <w:p>
      <w:pPr>
        <w:ind w:left="52" w:hanging="52"/>
        <w:spacing w:after="0"/>
        <w:tabs>
          <w:tab w:leader="none" w:pos="52" w:val="left"/>
        </w:tabs>
        <w:numPr>
          <w:ilvl w:val="0"/>
          <w:numId w:val="3"/>
        </w:numPr>
        <w:rPr>
          <w:rFonts w:ascii="Arial" w:cs="Arial" w:eastAsia="Arial" w:hAnsi="Arial"/>
          <w:sz w:val="14"/>
          <w:szCs w:val="14"/>
          <w:color w:val="FFFFFF"/>
          <w:vertAlign w:val="superscript"/>
        </w:rPr>
      </w:pPr>
      <w:r>
        <w:rPr>
          <w:rFonts w:ascii="Arial" w:cs="Arial" w:eastAsia="Arial" w:hAnsi="Arial"/>
          <w:sz w:val="12"/>
          <w:szCs w:val="12"/>
          <w:color w:val="FFFFFF"/>
        </w:rPr>
        <w:t>Based on Tradeweb gross revenues.</w:t>
      </w:r>
    </w:p>
    <w:p>
      <w:pPr>
        <w:spacing w:after="0" w:line="107" w:lineRule="exact"/>
        <w:rPr>
          <w:sz w:val="20"/>
          <w:szCs w:val="20"/>
          <w:color w:val="auto"/>
        </w:rPr>
      </w:pPr>
    </w:p>
    <w:p>
      <w:pPr>
        <w:ind w:left="52" w:right="740" w:hanging="59"/>
        <w:spacing w:after="0" w:line="231" w:lineRule="auto"/>
        <w:rPr>
          <w:sz w:val="20"/>
          <w:szCs w:val="20"/>
          <w:color w:val="auto"/>
        </w:rPr>
      </w:pPr>
      <w:r>
        <w:rPr>
          <w:rFonts w:ascii="Arial" w:cs="Arial" w:eastAsia="Arial" w:hAnsi="Arial"/>
          <w:sz w:val="16"/>
          <w:szCs w:val="16"/>
          <w:color w:val="FFFFFF"/>
          <w:vertAlign w:val="superscript"/>
        </w:rPr>
        <w:t>4</w:t>
      </w:r>
      <w:r>
        <w:rPr>
          <w:rFonts w:ascii="Arial" w:cs="Arial" w:eastAsia="Arial" w:hAnsi="Arial"/>
          <w:sz w:val="14"/>
          <w:szCs w:val="14"/>
          <w:color w:val="FFFFFF"/>
        </w:rPr>
        <w:t>Adjusted EBITDA margin is a non-GAAP measure and a reconciliation to a GAAP measure is provided on page 86 of the Tradeweb Markets Inc. Annual Report on Form 10-K for the year ended December 31, 2022.</w:t>
      </w:r>
    </w:p>
    <w:p>
      <w:pPr>
        <w:spacing w:after="0" w:line="108" w:lineRule="exact"/>
        <w:rPr>
          <w:sz w:val="20"/>
          <w:szCs w:val="20"/>
          <w:color w:val="auto"/>
        </w:rPr>
      </w:pPr>
    </w:p>
    <w:p>
      <w:pPr>
        <w:ind w:left="52" w:right="840" w:hanging="59"/>
        <w:spacing w:after="0" w:line="231" w:lineRule="auto"/>
        <w:rPr>
          <w:sz w:val="20"/>
          <w:szCs w:val="20"/>
          <w:color w:val="auto"/>
        </w:rPr>
      </w:pPr>
      <w:r>
        <w:rPr>
          <w:rFonts w:ascii="Arial" w:cs="Arial" w:eastAsia="Arial" w:hAnsi="Arial"/>
          <w:sz w:val="16"/>
          <w:szCs w:val="16"/>
          <w:color w:val="FFFFFF"/>
          <w:vertAlign w:val="superscript"/>
        </w:rPr>
        <w:t>5</w:t>
      </w:r>
      <w:r>
        <w:rPr>
          <w:rFonts w:ascii="Arial" w:cs="Arial" w:eastAsia="Arial" w:hAnsi="Arial"/>
          <w:sz w:val="14"/>
          <w:szCs w:val="14"/>
          <w:color w:val="FFFFFF"/>
        </w:rPr>
        <w:t>Tech investments include technology compensation related to development­ and other investment areas, technology-related non-compensation costs in investment areas, and capital expenditures and excludes tech infrastructure operating expenses and maintenance spend.</w:t>
      </w:r>
    </w:p>
    <w:p>
      <w:pPr>
        <w:sectPr>
          <w:pgSz w:w="12060" w:h="15660" w:orient="portrait"/>
          <w:cols w:equalWidth="0" w:num="1">
            <w:col w:w="10292"/>
          </w:cols>
          <w:pgMar w:left="688" w:top="1204"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
        <w:spacing w:after="0"/>
        <w:tabs>
          <w:tab w:leader="none" w:pos="482" w:val="left"/>
        </w:tabs>
        <w:rPr>
          <w:sz w:val="20"/>
          <w:szCs w:val="20"/>
          <w:color w:val="auto"/>
        </w:rPr>
      </w:pPr>
      <w:r>
        <w:rPr>
          <w:rFonts w:ascii="Arial" w:cs="Arial" w:eastAsia="Arial" w:hAnsi="Arial"/>
          <w:sz w:val="18"/>
          <w:szCs w:val="18"/>
          <w:color w:val="FFFFFF"/>
        </w:rPr>
        <w:t>6</w:t>
      </w:r>
      <w:r>
        <w:rPr>
          <w:sz w:val="20"/>
          <w:szCs w:val="20"/>
          <w:color w:val="auto"/>
        </w:rPr>
        <w:tab/>
      </w:r>
      <w:r>
        <w:rPr>
          <w:sz w:val="1"/>
          <w:szCs w:val="1"/>
          <w:color w:val="auto"/>
        </w:rPr>
        <w:drawing>
          <wp:inline distT="0" distB="0" distL="0" distR="0">
            <wp:extent cx="89535" cy="895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FFFFFF"/>
        </w:rPr>
        <w:t xml:space="preserve">                                                                                           TRADEWEB</w:t>
      </w:r>
    </w:p>
    <w:p>
      <w:pPr>
        <w:sectPr>
          <w:pgSz w:w="12060" w:h="15660" w:orient="portrait"/>
          <w:cols w:equalWidth="0" w:num="1">
            <w:col w:w="10292"/>
          </w:cols>
          <w:pgMar w:left="688" w:top="1204" w:right="1080" w:bottom="0" w:gutter="0" w:footer="0" w:header="0"/>
          <w:type w:val="continuous"/>
        </w:sectPr>
      </w:pPr>
    </w:p>
    <w:bookmarkStart w:id="8" w:name="page9"/>
    <w:bookmarkEnd w:id="8"/>
    <w:p>
      <w:pPr>
        <w:spacing w:after="0"/>
        <w:rPr>
          <w:sz w:val="20"/>
          <w:szCs w:val="20"/>
          <w:color w:val="auto"/>
        </w:rPr>
      </w:pPr>
      <w:r>
        <w:rPr>
          <w:rFonts w:ascii="Arial" w:cs="Arial" w:eastAsia="Arial" w:hAnsi="Arial"/>
          <w:sz w:val="26"/>
          <w:szCs w:val="26"/>
          <w:color w:val="0C5F9C"/>
        </w:rPr>
        <w:t>THE FUTURE</w:t>
      </w:r>
    </w:p>
    <w:p>
      <w:pPr>
        <w:spacing w:after="0" w:line="150" w:lineRule="exact"/>
        <w:rPr>
          <w:sz w:val="20"/>
          <w:szCs w:val="20"/>
          <w:color w:val="auto"/>
        </w:rPr>
      </w:pPr>
    </w:p>
    <w:p>
      <w:pPr>
        <w:ind w:right="3360"/>
        <w:spacing w:after="0" w:line="282" w:lineRule="auto"/>
        <w:rPr>
          <w:sz w:val="20"/>
          <w:szCs w:val="20"/>
          <w:color w:val="auto"/>
        </w:rPr>
      </w:pPr>
      <w:r>
        <w:rPr>
          <w:rFonts w:ascii="Times New Roman" w:cs="Times New Roman" w:eastAsia="Times New Roman" w:hAnsi="Times New Roman"/>
          <w:sz w:val="18"/>
          <w:szCs w:val="18"/>
          <w:color w:val="4C4E52"/>
        </w:rPr>
        <w:t>We are excited about the long-term durability of our revenue growth as we look to further electronify and gain share in our current markets, and expand our product offering and geographic presence in the years to come.</w:t>
      </w:r>
    </w:p>
    <w:p>
      <w:pPr>
        <w:spacing w:after="0" w:line="122" w:lineRule="exact"/>
        <w:rPr>
          <w:sz w:val="20"/>
          <w:szCs w:val="20"/>
          <w:color w:val="auto"/>
        </w:rPr>
      </w:pPr>
    </w:p>
    <w:p>
      <w:pPr>
        <w:ind w:right="2960"/>
        <w:spacing w:after="0" w:line="279" w:lineRule="auto"/>
        <w:rPr>
          <w:sz w:val="20"/>
          <w:szCs w:val="20"/>
          <w:color w:val="auto"/>
        </w:rPr>
      </w:pPr>
      <w:r>
        <w:rPr>
          <w:rFonts w:ascii="Times New Roman" w:cs="Times New Roman" w:eastAsia="Times New Roman" w:hAnsi="Times New Roman"/>
          <w:sz w:val="18"/>
          <w:szCs w:val="18"/>
          <w:color w:val="4C4E52"/>
        </w:rPr>
        <w:t>As we exited 2022, we were in the midst of a resurgence of our retail channel as fixed income asset yields repriced higher. According to Greenwich, only 4%, or $4 trillion, of U.S. retail investable assets were held in individual bonds as of September 2022, down from 9% in 2012. Our 2022 retail revenues grew 57% with revenue growth accelerating as we closed out the year, led by munis, U.S. Credit, U.S. Treasuries and retail CDs. We believe our retail channel is well positioned for continued strong revenue growth in 2023.</w:t>
      </w:r>
    </w:p>
    <w:p>
      <w:pPr>
        <w:spacing w:after="0" w:line="128" w:lineRule="exact"/>
        <w:rPr>
          <w:sz w:val="20"/>
          <w:szCs w:val="20"/>
          <w:color w:val="auto"/>
        </w:rPr>
      </w:pPr>
    </w:p>
    <w:p>
      <w:pPr>
        <w:jc w:val="both"/>
        <w:ind w:right="2920"/>
        <w:spacing w:after="0" w:line="281" w:lineRule="auto"/>
        <w:rPr>
          <w:sz w:val="20"/>
          <w:szCs w:val="20"/>
          <w:color w:val="auto"/>
        </w:rPr>
      </w:pPr>
      <w:r>
        <w:rPr>
          <w:rFonts w:ascii="Times New Roman" w:cs="Times New Roman" w:eastAsia="Times New Roman" w:hAnsi="Times New Roman"/>
          <w:sz w:val="18"/>
          <w:szCs w:val="18"/>
          <w:color w:val="4C4E52"/>
        </w:rPr>
        <w:t>Beyond retail, our institutional investors continue to embrace ETFs as a low cost, highly liquid and flexible option to navigate a wide range of market environments. Our leading ETF business is expected to cross $100 million in annual revenues in the coming quarters, and we continue to enhance our clients’ user experience across the trade lifecycle.</w:t>
      </w:r>
    </w:p>
    <w:p>
      <w:pPr>
        <w:spacing w:after="0" w:line="123" w:lineRule="exact"/>
        <w:rPr>
          <w:sz w:val="20"/>
          <w:szCs w:val="20"/>
          <w:color w:val="auto"/>
        </w:rPr>
      </w:pPr>
    </w:p>
    <w:p>
      <w:pPr>
        <w:ind w:right="2880"/>
        <w:spacing w:after="0" w:line="279" w:lineRule="auto"/>
        <w:rPr>
          <w:sz w:val="20"/>
          <w:szCs w:val="20"/>
          <w:color w:val="auto"/>
        </w:rPr>
      </w:pPr>
      <w:r>
        <w:rPr>
          <w:rFonts w:ascii="Times New Roman" w:cs="Times New Roman" w:eastAsia="Times New Roman" w:hAnsi="Times New Roman"/>
          <w:sz w:val="18"/>
          <w:szCs w:val="18"/>
          <w:color w:val="4C4E52"/>
        </w:rPr>
        <w:t>We are excited to grow our presence in emerging markets, and in the U.S. we plan to expand our municipals trading to include taxable muni bonds. Building on our data offering, we have expanded AiPrice for munis and we recently announced the launch of our calculation service providing real-time Indicative Net Asset Values (iNAVs) for ETFs. Data and ETFs are both great examples of newer products that also help serve as connective tissue with existing products, inspiring tremendous innovation with our clients and offering strong growth potential for Tradeweb. We truly believe it’s a great time to be in our industry, and we look forward to capitalizing on the substantial opportunities we see for Tradeweb and our clients in the years to 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6"/>
          <w:szCs w:val="26"/>
          <w:color w:val="0C5F9C"/>
        </w:rPr>
        <w:t>CONCLUSION</w:t>
      </w:r>
    </w:p>
    <w:p>
      <w:pPr>
        <w:spacing w:after="0" w:line="150" w:lineRule="exact"/>
        <w:rPr>
          <w:sz w:val="20"/>
          <w:szCs w:val="20"/>
          <w:color w:val="auto"/>
        </w:rPr>
      </w:pPr>
    </w:p>
    <w:p>
      <w:pPr>
        <w:ind w:right="2840"/>
        <w:spacing w:after="0" w:line="279" w:lineRule="auto"/>
        <w:rPr>
          <w:sz w:val="20"/>
          <w:szCs w:val="20"/>
          <w:color w:val="auto"/>
        </w:rPr>
      </w:pPr>
      <w:r>
        <w:rPr>
          <w:rFonts w:ascii="Times New Roman" w:cs="Times New Roman" w:eastAsia="Times New Roman" w:hAnsi="Times New Roman"/>
          <w:sz w:val="18"/>
          <w:szCs w:val="18"/>
          <w:color w:val="4C4E52"/>
        </w:rPr>
        <w:t>As I write this letter in late March 2023, geopolitical tensions continue to remain elevated while global recession fears persist. With that backdrop, our largest clients are now making tough personnel and cost decisions as they look to weather the next storm. In times like these, it’s never been more important to be in front of our clients to help them navigate markets in a more time and cost–efficient manner. I am extremely optimistic about the future as innovation and collaboration continue to be the driving forces for our company. We believe our unique position as a global multi-asset, multi-protocol and multi-client-channel firm provides us with a tremendous opportunity to solve the future challenges for our clients with a commitment to making financial markets operate more efficiently. We’re already off to a strong start to 2023 and we are encouraged by the long-term trends we continue to see in the adoption of electronic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1410335" cy="427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1410335"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12213B"/>
        </w:rPr>
        <w:t>BILLY HULT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E52"/>
        </w:rPr>
        <w:t>Chief Executive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C4E52"/>
        </w:rPr>
        <w:t>Tradeweb Markets</w:t>
      </w:r>
    </w:p>
    <w:p>
      <w:pPr>
        <w:sectPr>
          <w:pgSz w:w="12060" w:h="15660" w:orient="portrait"/>
          <w:cols w:equalWidth="0" w:num="1">
            <w:col w:w="10260"/>
          </w:cols>
          <w:pgMar w:left="1080" w:top="120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4C4E52"/>
        </w:rPr>
        <w:t xml:space="preserve">2022 ANNUAL REPORT                                                                                           </w:t>
      </w:r>
      <w:r>
        <w:rPr>
          <w:sz w:val="1"/>
          <w:szCs w:val="1"/>
          <w:color w:val="auto"/>
        </w:rPr>
        <w:drawing>
          <wp:inline distT="0" distB="0" distL="0" distR="0">
            <wp:extent cx="89535" cy="895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drawing>
          <wp:inline distT="0" distB="0" distL="0" distR="0">
            <wp:extent cx="89535" cy="895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89535" cy="89535"/>
                    </a:xfrm>
                    <a:prstGeom prst="rect">
                      <a:avLst/>
                    </a:prstGeom>
                    <a:noFill/>
                    <a:ln>
                      <a:noFill/>
                    </a:ln>
                  </pic:spPr>
                </pic:pic>
              </a:graphicData>
            </a:graphic>
          </wp:inline>
        </w:drawing>
      </w:r>
      <w:r>
        <w:rPr>
          <w:rFonts w:ascii="Arial" w:cs="Arial" w:eastAsia="Arial" w:hAnsi="Arial"/>
          <w:sz w:val="18"/>
          <w:szCs w:val="18"/>
          <w:color w:val="4C4E52"/>
        </w:rPr>
        <w:t xml:space="preserve">     7</w:t>
      </w:r>
    </w:p>
    <w:p>
      <w:pPr>
        <w:sectPr>
          <w:pgSz w:w="12060" w:h="15660" w:orient="portrait"/>
          <w:cols w:equalWidth="0" w:num="1">
            <w:col w:w="10260"/>
          </w:cols>
          <w:pgMar w:left="1080" w:top="1204" w:right="720" w:bottom="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4"/>
          <w:szCs w:val="24"/>
          <w:color w:val="12213B"/>
        </w:rPr>
        <w:t>L E A D E R S H I P</w:t>
      </w:r>
    </w:p>
    <w:p>
      <w:pPr>
        <w:spacing w:after="0" w:line="391" w:lineRule="exact"/>
        <w:rPr>
          <w:sz w:val="20"/>
          <w:szCs w:val="20"/>
          <w:color w:val="auto"/>
        </w:rPr>
      </w:pPr>
    </w:p>
    <w:tbl>
      <w:tblPr>
        <w:tblLayout w:type="fixed"/>
        <w:tblInd w:w="1500" w:type="dxa"/>
        <w:tblCellMar>
          <w:top w:w="0" w:type="dxa"/>
          <w:left w:w="0" w:type="dxa"/>
          <w:bottom w:w="0" w:type="dxa"/>
          <w:right w:w="0" w:type="dxa"/>
        </w:tblCellMar>
      </w:tblPr>
      <w:tr>
        <w:trPr>
          <w:trHeight w:val="57"/>
        </w:trPr>
        <w:tc>
          <w:tcPr>
            <w:tcW w:w="1900" w:type="dxa"/>
            <w:vAlign w:val="bottom"/>
            <w:vMerge w:val="restart"/>
          </w:tcPr>
          <w:p>
            <w:pPr>
              <w:spacing w:after="0"/>
              <w:rPr>
                <w:sz w:val="20"/>
                <w:szCs w:val="20"/>
                <w:color w:val="auto"/>
              </w:rPr>
            </w:pPr>
            <w:r>
              <w:rPr>
                <w:rFonts w:ascii="Arial" w:cs="Arial" w:eastAsia="Arial" w:hAnsi="Arial"/>
                <w:sz w:val="18"/>
                <w:szCs w:val="18"/>
                <w:color w:val="0C5F9C"/>
              </w:rPr>
              <w:t>BILLY HULT</w:t>
            </w:r>
          </w:p>
        </w:tc>
        <w:tc>
          <w:tcPr>
            <w:tcW w:w="1000" w:type="dxa"/>
            <w:vAlign w:val="bottom"/>
          </w:tcPr>
          <w:p>
            <w:pPr>
              <w:spacing w:after="0"/>
              <w:rPr>
                <w:sz w:val="4"/>
                <w:szCs w:val="4"/>
                <w:color w:val="auto"/>
              </w:rPr>
            </w:pPr>
          </w:p>
        </w:tc>
        <w:tc>
          <w:tcPr>
            <w:tcW w:w="2420" w:type="dxa"/>
            <w:vAlign w:val="bottom"/>
            <w:vMerge w:val="restart"/>
          </w:tcPr>
          <w:p>
            <w:pPr>
              <w:ind w:left="180"/>
              <w:spacing w:after="0"/>
              <w:rPr>
                <w:sz w:val="20"/>
                <w:szCs w:val="20"/>
                <w:color w:val="auto"/>
              </w:rPr>
            </w:pPr>
            <w:r>
              <w:rPr>
                <w:rFonts w:ascii="Arial" w:cs="Arial" w:eastAsia="Arial" w:hAnsi="Arial"/>
                <w:sz w:val="18"/>
                <w:szCs w:val="18"/>
                <w:color w:val="0C5F9C"/>
              </w:rPr>
              <w:t>THOMAS PLUTA</w:t>
            </w:r>
          </w:p>
        </w:tc>
        <w:tc>
          <w:tcPr>
            <w:tcW w:w="1000" w:type="dxa"/>
            <w:vAlign w:val="bottom"/>
          </w:tcPr>
          <w:p>
            <w:pPr>
              <w:spacing w:after="0"/>
              <w:rPr>
                <w:sz w:val="4"/>
                <w:szCs w:val="4"/>
                <w:color w:val="auto"/>
              </w:rPr>
            </w:pPr>
          </w:p>
        </w:tc>
        <w:tc>
          <w:tcPr>
            <w:tcW w:w="1580" w:type="dxa"/>
            <w:vAlign w:val="bottom"/>
            <w:vMerge w:val="restart"/>
          </w:tcPr>
          <w:p>
            <w:pPr>
              <w:ind w:left="180"/>
              <w:spacing w:after="0"/>
              <w:rPr>
                <w:sz w:val="20"/>
                <w:szCs w:val="20"/>
                <w:color w:val="auto"/>
              </w:rPr>
            </w:pPr>
            <w:r>
              <w:rPr>
                <w:rFonts w:ascii="Arial" w:cs="Arial" w:eastAsia="Arial" w:hAnsi="Arial"/>
                <w:sz w:val="18"/>
                <w:szCs w:val="18"/>
                <w:color w:val="0C5F9C"/>
              </w:rPr>
              <w:t>SARA FURBER</w:t>
            </w:r>
          </w:p>
        </w:tc>
        <w:tc>
          <w:tcPr>
            <w:tcW w:w="0" w:type="dxa"/>
            <w:vAlign w:val="bottom"/>
          </w:tcPr>
          <w:p>
            <w:pPr>
              <w:spacing w:after="0"/>
              <w:rPr>
                <w:sz w:val="1"/>
                <w:szCs w:val="1"/>
                <w:color w:val="auto"/>
              </w:rPr>
            </w:pPr>
          </w:p>
        </w:tc>
      </w:tr>
      <w:tr>
        <w:trPr>
          <w:trHeight w:val="163"/>
        </w:trPr>
        <w:tc>
          <w:tcPr>
            <w:tcW w:w="1900" w:type="dxa"/>
            <w:vAlign w:val="bottom"/>
            <w:vMerge w:val="continue"/>
          </w:tcPr>
          <w:p>
            <w:pPr>
              <w:spacing w:after="0"/>
              <w:rPr>
                <w:sz w:val="14"/>
                <w:szCs w:val="14"/>
                <w:color w:val="auto"/>
              </w:rPr>
            </w:pPr>
          </w:p>
        </w:tc>
        <w:tc>
          <w:tcPr>
            <w:tcW w:w="1000" w:type="dxa"/>
            <w:vAlign w:val="bottom"/>
            <w:shd w:val="clear" w:color="auto" w:fill="EAEAEB"/>
          </w:tcPr>
          <w:p>
            <w:pPr>
              <w:spacing w:after="0"/>
              <w:rPr>
                <w:sz w:val="14"/>
                <w:szCs w:val="14"/>
                <w:color w:val="auto"/>
              </w:rPr>
            </w:pPr>
          </w:p>
        </w:tc>
        <w:tc>
          <w:tcPr>
            <w:tcW w:w="2420" w:type="dxa"/>
            <w:vAlign w:val="bottom"/>
            <w:vMerge w:val="continue"/>
          </w:tcPr>
          <w:p>
            <w:pPr>
              <w:spacing w:after="0"/>
              <w:rPr>
                <w:sz w:val="14"/>
                <w:szCs w:val="14"/>
                <w:color w:val="auto"/>
              </w:rPr>
            </w:pPr>
          </w:p>
        </w:tc>
        <w:tc>
          <w:tcPr>
            <w:tcW w:w="1000" w:type="dxa"/>
            <w:vAlign w:val="bottom"/>
            <w:shd w:val="clear" w:color="auto" w:fill="EAEAEB"/>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line="174" w:lineRule="exact"/>
              <w:rPr>
                <w:sz w:val="20"/>
                <w:szCs w:val="20"/>
                <w:color w:val="auto"/>
              </w:rPr>
            </w:pPr>
            <w:r>
              <w:rPr>
                <w:rFonts w:ascii="Arial" w:cs="Arial" w:eastAsia="Arial" w:hAnsi="Arial"/>
                <w:sz w:val="16"/>
                <w:szCs w:val="16"/>
                <w:color w:val="4C4E52"/>
              </w:rPr>
              <w:t>Chief Executive Officer</w:t>
            </w:r>
          </w:p>
        </w:tc>
        <w:tc>
          <w:tcPr>
            <w:tcW w:w="1000" w:type="dxa"/>
            <w:vAlign w:val="bottom"/>
            <w:shd w:val="clear" w:color="auto" w:fill="EAEAEB"/>
          </w:tcPr>
          <w:p>
            <w:pPr>
              <w:spacing w:after="0"/>
              <w:rPr>
                <w:sz w:val="16"/>
                <w:szCs w:val="16"/>
                <w:color w:val="auto"/>
              </w:rPr>
            </w:pPr>
          </w:p>
        </w:tc>
        <w:tc>
          <w:tcPr>
            <w:tcW w:w="2420" w:type="dxa"/>
            <w:vAlign w:val="bottom"/>
          </w:tcPr>
          <w:p>
            <w:pPr>
              <w:ind w:left="180"/>
              <w:spacing w:after="0" w:line="174" w:lineRule="exact"/>
              <w:rPr>
                <w:sz w:val="20"/>
                <w:szCs w:val="20"/>
                <w:color w:val="auto"/>
              </w:rPr>
            </w:pPr>
            <w:r>
              <w:rPr>
                <w:rFonts w:ascii="Arial" w:cs="Arial" w:eastAsia="Arial" w:hAnsi="Arial"/>
                <w:sz w:val="16"/>
                <w:szCs w:val="16"/>
                <w:color w:val="4C4E52"/>
              </w:rPr>
              <w:t>President</w:t>
            </w:r>
          </w:p>
        </w:tc>
        <w:tc>
          <w:tcPr>
            <w:tcW w:w="1000" w:type="dxa"/>
            <w:vAlign w:val="bottom"/>
            <w:shd w:val="clear" w:color="auto" w:fill="EAEAEB"/>
          </w:tcPr>
          <w:p>
            <w:pPr>
              <w:spacing w:after="0"/>
              <w:rPr>
                <w:sz w:val="16"/>
                <w:szCs w:val="16"/>
                <w:color w:val="auto"/>
              </w:rPr>
            </w:pPr>
          </w:p>
        </w:tc>
        <w:tc>
          <w:tcPr>
            <w:tcW w:w="1580" w:type="dxa"/>
            <w:vAlign w:val="bottom"/>
          </w:tcPr>
          <w:p>
            <w:pPr>
              <w:ind w:left="180"/>
              <w:spacing w:after="0"/>
              <w:rPr>
                <w:sz w:val="20"/>
                <w:szCs w:val="20"/>
                <w:color w:val="auto"/>
              </w:rPr>
            </w:pPr>
            <w:r>
              <w:rPr>
                <w:rFonts w:ascii="Arial" w:cs="Arial" w:eastAsia="Arial" w:hAnsi="Arial"/>
                <w:sz w:val="16"/>
                <w:szCs w:val="16"/>
                <w:color w:val="4C4E52"/>
                <w:w w:val="87"/>
              </w:rPr>
              <w:t>Chief Financial Officer</w:t>
            </w:r>
          </w:p>
        </w:tc>
        <w:tc>
          <w:tcPr>
            <w:tcW w:w="0" w:type="dxa"/>
            <w:vAlign w:val="bottom"/>
          </w:tcPr>
          <w:p>
            <w:pPr>
              <w:spacing w:after="0"/>
              <w:rPr>
                <w:sz w:val="1"/>
                <w:szCs w:val="1"/>
                <w:color w:val="auto"/>
              </w:rPr>
            </w:pPr>
          </w:p>
        </w:tc>
      </w:tr>
      <w:tr>
        <w:trPr>
          <w:trHeight w:val="531"/>
        </w:trPr>
        <w:tc>
          <w:tcPr>
            <w:tcW w:w="1900" w:type="dxa"/>
            <w:vAlign w:val="bottom"/>
          </w:tcPr>
          <w:p>
            <w:pPr>
              <w:spacing w:after="0"/>
              <w:rPr>
                <w:sz w:val="24"/>
                <w:szCs w:val="24"/>
                <w:color w:val="auto"/>
              </w:rPr>
            </w:pPr>
          </w:p>
        </w:tc>
        <w:tc>
          <w:tcPr>
            <w:tcW w:w="1000" w:type="dxa"/>
            <w:vAlign w:val="bottom"/>
            <w:shd w:val="clear" w:color="auto" w:fill="EAEAEB"/>
          </w:tcPr>
          <w:p>
            <w:pPr>
              <w:spacing w:after="0"/>
              <w:rPr>
                <w:sz w:val="24"/>
                <w:szCs w:val="24"/>
                <w:color w:val="auto"/>
              </w:rPr>
            </w:pPr>
          </w:p>
        </w:tc>
        <w:tc>
          <w:tcPr>
            <w:tcW w:w="2420" w:type="dxa"/>
            <w:vAlign w:val="bottom"/>
          </w:tcPr>
          <w:p>
            <w:pPr>
              <w:spacing w:after="0"/>
              <w:rPr>
                <w:sz w:val="24"/>
                <w:szCs w:val="24"/>
                <w:color w:val="auto"/>
              </w:rPr>
            </w:pPr>
          </w:p>
        </w:tc>
        <w:tc>
          <w:tcPr>
            <w:tcW w:w="1000" w:type="dxa"/>
            <w:vAlign w:val="bottom"/>
            <w:shd w:val="clear" w:color="auto" w:fill="EAEAEB"/>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-558165</wp:posOffset>
            </wp:positionV>
            <wp:extent cx="635000" cy="558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35000" cy="5588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-558165</wp:posOffset>
            </wp:positionV>
            <wp:extent cx="838200" cy="737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838200" cy="73787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-558165</wp:posOffset>
            </wp:positionV>
            <wp:extent cx="598805" cy="558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598805" cy="558800"/>
                    </a:xfrm>
                    <a:prstGeom prst="rect">
                      <a:avLst/>
                    </a:prstGeom>
                    <a:noFill/>
                  </pic:spPr>
                </pic:pic>
              </a:graphicData>
            </a:graphic>
          </wp:anchor>
        </w:drawing>
      </w:r>
    </w:p>
    <w:p>
      <w:pPr>
        <w:spacing w:after="0" w:line="374" w:lineRule="exact"/>
        <w:rPr>
          <w:sz w:val="20"/>
          <w:szCs w:val="20"/>
          <w:color w:val="auto"/>
        </w:rPr>
      </w:pPr>
    </w:p>
    <w:tbl>
      <w:tblPr>
        <w:tblLayout w:type="fixed"/>
        <w:tblInd w:w="4580" w:type="dxa"/>
        <w:tblCellMar>
          <w:top w:w="0" w:type="dxa"/>
          <w:left w:w="0" w:type="dxa"/>
          <w:bottom w:w="0" w:type="dxa"/>
          <w:right w:w="0" w:type="dxa"/>
        </w:tblCellMar>
      </w:tblPr>
      <w:tr>
        <w:trPr>
          <w:trHeight w:val="57"/>
        </w:trPr>
        <w:tc>
          <w:tcPr>
            <w:tcW w:w="2240" w:type="dxa"/>
            <w:vAlign w:val="bottom"/>
            <w:vMerge w:val="restart"/>
          </w:tcPr>
          <w:p>
            <w:pPr>
              <w:spacing w:after="0"/>
              <w:rPr>
                <w:sz w:val="20"/>
                <w:szCs w:val="20"/>
                <w:color w:val="auto"/>
              </w:rPr>
            </w:pPr>
            <w:r>
              <w:rPr>
                <w:rFonts w:ascii="Arial" w:cs="Arial" w:eastAsia="Arial" w:hAnsi="Arial"/>
                <w:sz w:val="18"/>
                <w:szCs w:val="18"/>
                <w:color w:val="0C5F9C"/>
              </w:rPr>
              <w:t>CHRIS BRUNER</w:t>
            </w:r>
          </w:p>
        </w:tc>
        <w:tc>
          <w:tcPr>
            <w:tcW w:w="1000" w:type="dxa"/>
            <w:vAlign w:val="bottom"/>
          </w:tcPr>
          <w:p>
            <w:pPr>
              <w:spacing w:after="0"/>
              <w:rPr>
                <w:sz w:val="4"/>
                <w:szCs w:val="4"/>
                <w:color w:val="auto"/>
              </w:rPr>
            </w:pPr>
          </w:p>
        </w:tc>
        <w:tc>
          <w:tcPr>
            <w:tcW w:w="1440" w:type="dxa"/>
            <w:vAlign w:val="bottom"/>
            <w:vMerge w:val="restart"/>
          </w:tcPr>
          <w:p>
            <w:pPr>
              <w:ind w:left="180"/>
              <w:spacing w:after="0"/>
              <w:rPr>
                <w:sz w:val="20"/>
                <w:szCs w:val="20"/>
                <w:color w:val="auto"/>
              </w:rPr>
            </w:pPr>
            <w:r>
              <w:rPr>
                <w:rFonts w:ascii="Arial" w:cs="Arial" w:eastAsia="Arial" w:hAnsi="Arial"/>
                <w:sz w:val="18"/>
                <w:szCs w:val="18"/>
                <w:color w:val="0C5F9C"/>
                <w:w w:val="94"/>
              </w:rPr>
              <w:t>ENRICO BRUNI</w:t>
            </w:r>
          </w:p>
        </w:tc>
        <w:tc>
          <w:tcPr>
            <w:tcW w:w="0" w:type="dxa"/>
            <w:vAlign w:val="bottom"/>
          </w:tcPr>
          <w:p>
            <w:pPr>
              <w:spacing w:after="0"/>
              <w:rPr>
                <w:sz w:val="1"/>
                <w:szCs w:val="1"/>
                <w:color w:val="auto"/>
              </w:rPr>
            </w:pPr>
          </w:p>
        </w:tc>
      </w:tr>
      <w:tr>
        <w:trPr>
          <w:trHeight w:val="150"/>
        </w:trPr>
        <w:tc>
          <w:tcPr>
            <w:tcW w:w="2240" w:type="dxa"/>
            <w:vAlign w:val="bottom"/>
            <w:vMerge w:val="continue"/>
          </w:tcPr>
          <w:p>
            <w:pPr>
              <w:spacing w:after="0"/>
              <w:rPr>
                <w:sz w:val="13"/>
                <w:szCs w:val="13"/>
                <w:color w:val="auto"/>
              </w:rPr>
            </w:pPr>
          </w:p>
        </w:tc>
        <w:tc>
          <w:tcPr>
            <w:tcW w:w="1000" w:type="dxa"/>
            <w:vAlign w:val="bottom"/>
            <w:shd w:val="clear" w:color="auto" w:fill="EAEAEB"/>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Chief Product Officer</w:t>
            </w:r>
          </w:p>
        </w:tc>
        <w:tc>
          <w:tcPr>
            <w:tcW w:w="1000" w:type="dxa"/>
            <w:vAlign w:val="bottom"/>
            <w:shd w:val="clear" w:color="auto" w:fill="EAEAEB"/>
          </w:tcPr>
          <w:p>
            <w:pPr>
              <w:spacing w:after="0"/>
              <w:rPr>
                <w:sz w:val="16"/>
                <w:szCs w:val="16"/>
                <w:color w:val="auto"/>
              </w:rPr>
            </w:pPr>
          </w:p>
        </w:tc>
        <w:tc>
          <w:tcPr>
            <w:tcW w:w="1440" w:type="dxa"/>
            <w:vAlign w:val="bottom"/>
          </w:tcPr>
          <w:p>
            <w:pPr>
              <w:ind w:left="180"/>
              <w:spacing w:after="0"/>
              <w:rPr>
                <w:sz w:val="20"/>
                <w:szCs w:val="20"/>
                <w:color w:val="auto"/>
              </w:rPr>
            </w:pPr>
            <w:r>
              <w:rPr>
                <w:rFonts w:ascii="Arial" w:cs="Arial" w:eastAsia="Arial" w:hAnsi="Arial"/>
                <w:sz w:val="16"/>
                <w:szCs w:val="16"/>
                <w:color w:val="4C4E52"/>
                <w:w w:val="91"/>
              </w:rPr>
              <w:t>Managing Director,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shd w:val="clear" w:color="auto" w:fill="EAEAEB"/>
          </w:tcPr>
          <w:p>
            <w:pPr>
              <w:spacing w:after="0"/>
              <w:rPr>
                <w:sz w:val="16"/>
                <w:szCs w:val="16"/>
                <w:color w:val="auto"/>
              </w:rPr>
            </w:pPr>
          </w:p>
        </w:tc>
        <w:tc>
          <w:tcPr>
            <w:tcW w:w="1440" w:type="dxa"/>
            <w:vAlign w:val="bottom"/>
          </w:tcPr>
          <w:p>
            <w:pPr>
              <w:ind w:left="180"/>
              <w:spacing w:after="0"/>
              <w:rPr>
                <w:sz w:val="20"/>
                <w:szCs w:val="20"/>
                <w:color w:val="auto"/>
              </w:rPr>
            </w:pPr>
            <w:r>
              <w:rPr>
                <w:rFonts w:ascii="Arial" w:cs="Arial" w:eastAsia="Arial" w:hAnsi="Arial"/>
                <w:sz w:val="16"/>
                <w:szCs w:val="16"/>
                <w:color w:val="4C4E52"/>
                <w:w w:val="86"/>
              </w:rPr>
              <w:t>Head of Europe and</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shd w:val="clear" w:color="auto" w:fill="EAEAEB"/>
          </w:tcPr>
          <w:p>
            <w:pPr>
              <w:spacing w:after="0"/>
              <w:rPr>
                <w:sz w:val="16"/>
                <w:szCs w:val="16"/>
                <w:color w:val="auto"/>
              </w:rPr>
            </w:pPr>
          </w:p>
        </w:tc>
        <w:tc>
          <w:tcPr>
            <w:tcW w:w="1440" w:type="dxa"/>
            <w:vAlign w:val="bottom"/>
          </w:tcPr>
          <w:p>
            <w:pPr>
              <w:ind w:left="180"/>
              <w:spacing w:after="0"/>
              <w:rPr>
                <w:sz w:val="20"/>
                <w:szCs w:val="20"/>
                <w:color w:val="auto"/>
              </w:rPr>
            </w:pPr>
            <w:r>
              <w:rPr>
                <w:rFonts w:ascii="Arial" w:cs="Arial" w:eastAsia="Arial" w:hAnsi="Arial"/>
                <w:sz w:val="16"/>
                <w:szCs w:val="16"/>
                <w:color w:val="4C4E52"/>
              </w:rPr>
              <w:t>Asia Business</w:t>
            </w: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000" w:type="dxa"/>
            <w:vAlign w:val="bottom"/>
            <w:shd w:val="clear" w:color="auto" w:fill="EAEAEB"/>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-558165</wp:posOffset>
            </wp:positionV>
            <wp:extent cx="635000" cy="558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35000" cy="55880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-554990</wp:posOffset>
            </wp:positionV>
            <wp:extent cx="635000" cy="558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35000" cy="558800"/>
                    </a:xfrm>
                    <a:prstGeom prst="rect">
                      <a:avLst/>
                    </a:prstGeom>
                    <a:noFill/>
                  </pic:spPr>
                </pic:pic>
              </a:graphicData>
            </a:graphic>
          </wp:anchor>
        </w:drawing>
      </w:r>
    </w:p>
    <w:p>
      <w:pPr>
        <w:spacing w:after="0" w:line="389" w:lineRule="exact"/>
        <w:rPr>
          <w:sz w:val="20"/>
          <w:szCs w:val="20"/>
          <w:color w:val="auto"/>
        </w:rPr>
      </w:pPr>
    </w:p>
    <w:tbl>
      <w:tblPr>
        <w:tblLayout w:type="fixed"/>
        <w:tblInd w:w="4580" w:type="dxa"/>
        <w:tblCellMar>
          <w:top w:w="0" w:type="dxa"/>
          <w:left w:w="0" w:type="dxa"/>
          <w:bottom w:w="0" w:type="dxa"/>
          <w:right w:w="0" w:type="dxa"/>
        </w:tblCellMar>
      </w:tblPr>
      <w:tr>
        <w:trPr>
          <w:trHeight w:val="57"/>
        </w:trPr>
        <w:tc>
          <w:tcPr>
            <w:tcW w:w="2240" w:type="dxa"/>
            <w:vAlign w:val="bottom"/>
            <w:vMerge w:val="restart"/>
          </w:tcPr>
          <w:p>
            <w:pPr>
              <w:spacing w:after="0"/>
              <w:rPr>
                <w:sz w:val="20"/>
                <w:szCs w:val="20"/>
                <w:color w:val="auto"/>
              </w:rPr>
            </w:pPr>
            <w:r>
              <w:rPr>
                <w:rFonts w:ascii="Arial" w:cs="Arial" w:eastAsia="Arial" w:hAnsi="Arial"/>
                <w:sz w:val="18"/>
                <w:szCs w:val="18"/>
                <w:color w:val="0C5F9C"/>
              </w:rPr>
              <w:t>DOUGLAS FRIEDMAN</w:t>
            </w:r>
          </w:p>
        </w:tc>
        <w:tc>
          <w:tcPr>
            <w:tcW w:w="1000" w:type="dxa"/>
            <w:vAlign w:val="bottom"/>
          </w:tcPr>
          <w:p>
            <w:pPr>
              <w:spacing w:after="0"/>
              <w:rPr>
                <w:sz w:val="4"/>
                <w:szCs w:val="4"/>
                <w:color w:val="auto"/>
              </w:rPr>
            </w:pPr>
          </w:p>
        </w:tc>
        <w:tc>
          <w:tcPr>
            <w:tcW w:w="1680" w:type="dxa"/>
            <w:vAlign w:val="bottom"/>
            <w:vMerge w:val="restart"/>
          </w:tcPr>
          <w:p>
            <w:pPr>
              <w:ind w:left="180"/>
              <w:spacing w:after="0"/>
              <w:rPr>
                <w:sz w:val="20"/>
                <w:szCs w:val="20"/>
                <w:color w:val="auto"/>
              </w:rPr>
            </w:pPr>
            <w:r>
              <w:rPr>
                <w:rFonts w:ascii="Arial" w:cs="Arial" w:eastAsia="Arial" w:hAnsi="Arial"/>
                <w:sz w:val="18"/>
                <w:szCs w:val="18"/>
                <w:color w:val="0C5F9C"/>
                <w:w w:val="88"/>
              </w:rPr>
              <w:t>JUSTIN PETERSON</w:t>
            </w:r>
          </w:p>
        </w:tc>
        <w:tc>
          <w:tcPr>
            <w:tcW w:w="0" w:type="dxa"/>
            <w:vAlign w:val="bottom"/>
          </w:tcPr>
          <w:p>
            <w:pPr>
              <w:spacing w:after="0"/>
              <w:rPr>
                <w:sz w:val="1"/>
                <w:szCs w:val="1"/>
                <w:color w:val="auto"/>
              </w:rPr>
            </w:pPr>
          </w:p>
        </w:tc>
      </w:tr>
      <w:tr>
        <w:trPr>
          <w:trHeight w:val="150"/>
        </w:trPr>
        <w:tc>
          <w:tcPr>
            <w:tcW w:w="2240" w:type="dxa"/>
            <w:vAlign w:val="bottom"/>
            <w:vMerge w:val="continue"/>
          </w:tcPr>
          <w:p>
            <w:pPr>
              <w:spacing w:after="0"/>
              <w:rPr>
                <w:sz w:val="13"/>
                <w:szCs w:val="13"/>
                <w:color w:val="auto"/>
              </w:rPr>
            </w:pPr>
          </w:p>
        </w:tc>
        <w:tc>
          <w:tcPr>
            <w:tcW w:w="1000" w:type="dxa"/>
            <w:vAlign w:val="bottom"/>
            <w:shd w:val="clear" w:color="auto" w:fill="EAEAEB"/>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General Counsel</w:t>
            </w:r>
          </w:p>
        </w:tc>
        <w:tc>
          <w:tcPr>
            <w:tcW w:w="1000" w:type="dxa"/>
            <w:vAlign w:val="bottom"/>
            <w:shd w:val="clear" w:color="auto" w:fill="EAEAEB"/>
          </w:tcPr>
          <w:p>
            <w:pPr>
              <w:spacing w:after="0"/>
              <w:rPr>
                <w:sz w:val="16"/>
                <w:szCs w:val="16"/>
                <w:color w:val="auto"/>
              </w:rPr>
            </w:pPr>
          </w:p>
        </w:tc>
        <w:tc>
          <w:tcPr>
            <w:tcW w:w="1680" w:type="dxa"/>
            <w:vAlign w:val="bottom"/>
          </w:tcPr>
          <w:p>
            <w:pPr>
              <w:ind w:left="180"/>
              <w:spacing w:after="0"/>
              <w:rPr>
                <w:sz w:val="20"/>
                <w:szCs w:val="20"/>
                <w:color w:val="auto"/>
              </w:rPr>
            </w:pPr>
            <w:r>
              <w:rPr>
                <w:rFonts w:ascii="Arial" w:cs="Arial" w:eastAsia="Arial" w:hAnsi="Arial"/>
                <w:sz w:val="16"/>
                <w:szCs w:val="16"/>
                <w:color w:val="4C4E52"/>
                <w:w w:val="84"/>
              </w:rPr>
              <w:t>Chief Technology Officer</w:t>
            </w:r>
          </w:p>
        </w:tc>
        <w:tc>
          <w:tcPr>
            <w:tcW w:w="0" w:type="dxa"/>
            <w:vAlign w:val="bottom"/>
          </w:tcPr>
          <w:p>
            <w:pPr>
              <w:spacing w:after="0"/>
              <w:rPr>
                <w:sz w:val="1"/>
                <w:szCs w:val="1"/>
                <w:color w:val="auto"/>
              </w:rPr>
            </w:pPr>
          </w:p>
        </w:tc>
      </w:tr>
      <w:tr>
        <w:trPr>
          <w:trHeight w:val="544"/>
        </w:trPr>
        <w:tc>
          <w:tcPr>
            <w:tcW w:w="2240" w:type="dxa"/>
            <w:vAlign w:val="bottom"/>
          </w:tcPr>
          <w:p>
            <w:pPr>
              <w:spacing w:after="0"/>
              <w:rPr>
                <w:sz w:val="24"/>
                <w:szCs w:val="24"/>
                <w:color w:val="auto"/>
              </w:rPr>
            </w:pPr>
          </w:p>
        </w:tc>
        <w:tc>
          <w:tcPr>
            <w:tcW w:w="1000" w:type="dxa"/>
            <w:vAlign w:val="bottom"/>
            <w:shd w:val="clear" w:color="auto" w:fill="EAEAEB"/>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-558165</wp:posOffset>
            </wp:positionV>
            <wp:extent cx="635000" cy="558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35000" cy="5588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-558165</wp:posOffset>
            </wp:positionV>
            <wp:extent cx="635000" cy="558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635000" cy="558800"/>
                    </a:xfrm>
                    <a:prstGeom prst="rect">
                      <a:avLst/>
                    </a:prstGeom>
                    <a:noFill/>
                  </pic:spPr>
                </pic:pic>
              </a:graphicData>
            </a:graphic>
          </wp:anchor>
        </w:drawing>
      </w:r>
    </w:p>
    <w:p>
      <w:pPr>
        <w:spacing w:after="0" w:line="379" w:lineRule="exact"/>
        <w:rPr>
          <w:sz w:val="20"/>
          <w:szCs w:val="20"/>
          <w:color w:val="auto"/>
        </w:rPr>
      </w:pPr>
    </w:p>
    <w:tbl>
      <w:tblPr>
        <w:tblLayout w:type="fixed"/>
        <w:tblInd w:w="4580" w:type="dxa"/>
        <w:tblCellMar>
          <w:top w:w="0" w:type="dxa"/>
          <w:left w:w="0" w:type="dxa"/>
          <w:bottom w:w="0" w:type="dxa"/>
          <w:right w:w="0" w:type="dxa"/>
        </w:tblCellMar>
      </w:tblPr>
      <w:tr>
        <w:trPr>
          <w:trHeight w:val="57"/>
        </w:trPr>
        <w:tc>
          <w:tcPr>
            <w:tcW w:w="2240" w:type="dxa"/>
            <w:vAlign w:val="bottom"/>
            <w:vMerge w:val="restart"/>
          </w:tcPr>
          <w:p>
            <w:pPr>
              <w:spacing w:after="0"/>
              <w:rPr>
                <w:sz w:val="20"/>
                <w:szCs w:val="20"/>
                <w:color w:val="auto"/>
              </w:rPr>
            </w:pPr>
            <w:r>
              <w:rPr>
                <w:rFonts w:ascii="Arial" w:cs="Arial" w:eastAsia="Arial" w:hAnsi="Arial"/>
                <w:sz w:val="18"/>
                <w:szCs w:val="18"/>
                <w:color w:val="0C5F9C"/>
              </w:rPr>
              <w:t>FRED STROBEL</w:t>
            </w:r>
          </w:p>
        </w:tc>
        <w:tc>
          <w:tcPr>
            <w:tcW w:w="1000" w:type="dxa"/>
            <w:vAlign w:val="bottom"/>
          </w:tcPr>
          <w:p>
            <w:pPr>
              <w:spacing w:after="0"/>
              <w:rPr>
                <w:sz w:val="4"/>
                <w:szCs w:val="4"/>
                <w:color w:val="auto"/>
              </w:rPr>
            </w:pPr>
          </w:p>
        </w:tc>
        <w:tc>
          <w:tcPr>
            <w:tcW w:w="1520" w:type="dxa"/>
            <w:vAlign w:val="bottom"/>
            <w:vMerge w:val="restart"/>
          </w:tcPr>
          <w:p>
            <w:pPr>
              <w:ind w:left="180"/>
              <w:spacing w:after="0"/>
              <w:rPr>
                <w:sz w:val="20"/>
                <w:szCs w:val="20"/>
                <w:color w:val="auto"/>
              </w:rPr>
            </w:pPr>
            <w:r>
              <w:rPr>
                <w:rFonts w:ascii="Arial" w:cs="Arial" w:eastAsia="Arial" w:hAnsi="Arial"/>
                <w:sz w:val="18"/>
                <w:szCs w:val="18"/>
                <w:color w:val="0C5F9C"/>
                <w:w w:val="94"/>
              </w:rPr>
              <w:t>SCOTT ZUCKER</w:t>
            </w:r>
          </w:p>
        </w:tc>
        <w:tc>
          <w:tcPr>
            <w:tcW w:w="0" w:type="dxa"/>
            <w:vAlign w:val="bottom"/>
          </w:tcPr>
          <w:p>
            <w:pPr>
              <w:spacing w:after="0"/>
              <w:rPr>
                <w:sz w:val="1"/>
                <w:szCs w:val="1"/>
                <w:color w:val="auto"/>
              </w:rPr>
            </w:pPr>
          </w:p>
        </w:tc>
      </w:tr>
      <w:tr>
        <w:trPr>
          <w:trHeight w:val="150"/>
        </w:trPr>
        <w:tc>
          <w:tcPr>
            <w:tcW w:w="2240" w:type="dxa"/>
            <w:vAlign w:val="bottom"/>
            <w:vMerge w:val="continue"/>
          </w:tcPr>
          <w:p>
            <w:pPr>
              <w:spacing w:after="0"/>
              <w:rPr>
                <w:sz w:val="13"/>
                <w:szCs w:val="13"/>
                <w:color w:val="auto"/>
              </w:rPr>
            </w:pPr>
          </w:p>
        </w:tc>
        <w:tc>
          <w:tcPr>
            <w:tcW w:w="1000" w:type="dxa"/>
            <w:vAlign w:val="bottom"/>
            <w:shd w:val="clear" w:color="auto" w:fill="EAEAEB"/>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Managing Director,</w:t>
            </w:r>
          </w:p>
        </w:tc>
        <w:tc>
          <w:tcPr>
            <w:tcW w:w="1000" w:type="dxa"/>
            <w:vAlign w:val="bottom"/>
            <w:shd w:val="clear" w:color="auto" w:fill="EAEAEB"/>
          </w:tcPr>
          <w:p>
            <w:pPr>
              <w:spacing w:after="0"/>
              <w:rPr>
                <w:sz w:val="16"/>
                <w:szCs w:val="16"/>
                <w:color w:val="auto"/>
              </w:rPr>
            </w:pPr>
          </w:p>
        </w:tc>
        <w:tc>
          <w:tcPr>
            <w:tcW w:w="1520" w:type="dxa"/>
            <w:vAlign w:val="bottom"/>
          </w:tcPr>
          <w:p>
            <w:pPr>
              <w:ind w:left="180"/>
              <w:spacing w:after="0"/>
              <w:rPr>
                <w:sz w:val="20"/>
                <w:szCs w:val="20"/>
                <w:color w:val="auto"/>
              </w:rPr>
            </w:pPr>
            <w:r>
              <w:rPr>
                <w:rFonts w:ascii="Arial" w:cs="Arial" w:eastAsia="Arial" w:hAnsi="Arial"/>
                <w:sz w:val="16"/>
                <w:szCs w:val="16"/>
                <w:color w:val="4C4E52"/>
              </w:rPr>
              <w:t>Chief Risk and</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Global Head of Human</w:t>
            </w:r>
          </w:p>
        </w:tc>
        <w:tc>
          <w:tcPr>
            <w:tcW w:w="1000" w:type="dxa"/>
            <w:vAlign w:val="bottom"/>
            <w:shd w:val="clear" w:color="auto" w:fill="EAEAEB"/>
          </w:tcPr>
          <w:p>
            <w:pPr>
              <w:spacing w:after="0"/>
              <w:rPr>
                <w:sz w:val="16"/>
                <w:szCs w:val="16"/>
                <w:color w:val="auto"/>
              </w:rPr>
            </w:pPr>
          </w:p>
        </w:tc>
        <w:tc>
          <w:tcPr>
            <w:tcW w:w="1520" w:type="dxa"/>
            <w:vAlign w:val="bottom"/>
          </w:tcPr>
          <w:p>
            <w:pPr>
              <w:ind w:left="180"/>
              <w:spacing w:after="0"/>
              <w:rPr>
                <w:sz w:val="20"/>
                <w:szCs w:val="20"/>
                <w:color w:val="auto"/>
              </w:rPr>
            </w:pPr>
            <w:r>
              <w:rPr>
                <w:rFonts w:ascii="Arial" w:cs="Arial" w:eastAsia="Arial" w:hAnsi="Arial"/>
                <w:sz w:val="16"/>
                <w:szCs w:val="16"/>
                <w:color w:val="4C4E52"/>
                <w:w w:val="86"/>
              </w:rPr>
              <w:t>Administrative Officer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Resources</w:t>
            </w:r>
          </w:p>
        </w:tc>
        <w:tc>
          <w:tcPr>
            <w:tcW w:w="1000" w:type="dxa"/>
            <w:vAlign w:val="bottom"/>
            <w:shd w:val="clear" w:color="auto" w:fill="EAEAEB"/>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000" w:type="dxa"/>
            <w:vAlign w:val="bottom"/>
            <w:shd w:val="clear" w:color="auto" w:fill="EAEAEB"/>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-558165</wp:posOffset>
            </wp:positionV>
            <wp:extent cx="7658100" cy="637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7658100" cy="637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4"/>
          <w:szCs w:val="24"/>
          <w:color w:val="12213B"/>
        </w:rPr>
        <w:t>B O A R D O F D I R E C TO R S</w:t>
      </w:r>
    </w:p>
    <w:p>
      <w:pPr>
        <w:spacing w:after="0" w:line="200" w:lineRule="exact"/>
        <w:rPr>
          <w:sz w:val="20"/>
          <w:szCs w:val="20"/>
          <w:color w:val="auto"/>
        </w:rPr>
      </w:pPr>
    </w:p>
    <w:p>
      <w:pPr>
        <w:spacing w:after="0" w:line="213" w:lineRule="exact"/>
        <w:rPr>
          <w:sz w:val="20"/>
          <w:szCs w:val="20"/>
          <w:color w:val="auto"/>
        </w:rPr>
      </w:pPr>
    </w:p>
    <w:tbl>
      <w:tblPr>
        <w:tblLayout w:type="fixed"/>
        <w:tblInd w:w="1180" w:type="dxa"/>
        <w:tblCellMar>
          <w:top w:w="0" w:type="dxa"/>
          <w:left w:w="0" w:type="dxa"/>
          <w:bottom w:w="0" w:type="dxa"/>
          <w:right w:w="0" w:type="dxa"/>
        </w:tblCellMar>
      </w:tblPr>
      <w:tr>
        <w:trPr>
          <w:trHeight w:val="57"/>
        </w:trPr>
        <w:tc>
          <w:tcPr>
            <w:tcW w:w="2240" w:type="dxa"/>
            <w:vAlign w:val="bottom"/>
            <w:vMerge w:val="restart"/>
          </w:tcPr>
          <w:p>
            <w:pPr>
              <w:spacing w:after="0"/>
              <w:rPr>
                <w:sz w:val="20"/>
                <w:szCs w:val="20"/>
                <w:color w:val="auto"/>
              </w:rPr>
            </w:pPr>
            <w:r>
              <w:rPr>
                <w:rFonts w:ascii="Arial" w:cs="Arial" w:eastAsia="Arial" w:hAnsi="Arial"/>
                <w:sz w:val="18"/>
                <w:szCs w:val="18"/>
                <w:color w:val="0C5F9C"/>
              </w:rPr>
              <w:t>JACQUES AIGRAIN</w:t>
            </w:r>
          </w:p>
        </w:tc>
        <w:tc>
          <w:tcPr>
            <w:tcW w:w="1000" w:type="dxa"/>
            <w:vAlign w:val="bottom"/>
          </w:tcPr>
          <w:p>
            <w:pPr>
              <w:spacing w:after="0"/>
              <w:rPr>
                <w:sz w:val="4"/>
                <w:szCs w:val="4"/>
                <w:color w:val="auto"/>
              </w:rPr>
            </w:pPr>
          </w:p>
        </w:tc>
        <w:tc>
          <w:tcPr>
            <w:tcW w:w="2400" w:type="dxa"/>
            <w:vAlign w:val="bottom"/>
            <w:vMerge w:val="restart"/>
          </w:tcPr>
          <w:p>
            <w:pPr>
              <w:ind w:left="180"/>
              <w:spacing w:after="0"/>
              <w:rPr>
                <w:sz w:val="20"/>
                <w:szCs w:val="20"/>
                <w:color w:val="auto"/>
              </w:rPr>
            </w:pPr>
            <w:r>
              <w:rPr>
                <w:rFonts w:ascii="Arial" w:cs="Arial" w:eastAsia="Arial" w:hAnsi="Arial"/>
                <w:sz w:val="18"/>
                <w:szCs w:val="18"/>
                <w:color w:val="0C5F9C"/>
              </w:rPr>
              <w:t>BALBIR BAKHSHI</w:t>
            </w:r>
          </w:p>
        </w:tc>
        <w:tc>
          <w:tcPr>
            <w:tcW w:w="1000" w:type="dxa"/>
            <w:vAlign w:val="bottom"/>
          </w:tcPr>
          <w:p>
            <w:pPr>
              <w:spacing w:after="0"/>
              <w:rPr>
                <w:sz w:val="4"/>
                <w:szCs w:val="4"/>
                <w:color w:val="auto"/>
              </w:rPr>
            </w:pPr>
          </w:p>
        </w:tc>
        <w:tc>
          <w:tcPr>
            <w:tcW w:w="1800" w:type="dxa"/>
            <w:vAlign w:val="bottom"/>
            <w:vMerge w:val="restart"/>
          </w:tcPr>
          <w:p>
            <w:pPr>
              <w:ind w:left="200"/>
              <w:spacing w:after="0"/>
              <w:rPr>
                <w:sz w:val="20"/>
                <w:szCs w:val="20"/>
                <w:color w:val="auto"/>
              </w:rPr>
            </w:pPr>
            <w:r>
              <w:rPr>
                <w:rFonts w:ascii="Arial" w:cs="Arial" w:eastAsia="Arial" w:hAnsi="Arial"/>
                <w:sz w:val="18"/>
                <w:szCs w:val="18"/>
                <w:color w:val="0C5F9C"/>
              </w:rPr>
              <w:t>STEVEN BERNS</w:t>
            </w: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Chairman, LyondellBasell NV;</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Chief Risk Officer</w:t>
            </w:r>
          </w:p>
        </w:tc>
        <w:tc>
          <w:tcPr>
            <w:tcW w:w="1000" w:type="dxa"/>
            <w:vAlign w:val="bottom"/>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6"/>
                <w:szCs w:val="16"/>
                <w:color w:val="4C4E52"/>
                <w:w w:val="97"/>
              </w:rPr>
              <w:t>Former Chief Financial</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Director, Clearwater Analytics</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London Stock Exchange</w:t>
            </w:r>
          </w:p>
        </w:tc>
        <w:tc>
          <w:tcPr>
            <w:tcW w:w="1000" w:type="dxa"/>
            <w:vAlign w:val="bottom"/>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6"/>
                <w:szCs w:val="16"/>
                <w:color w:val="4C4E52"/>
                <w:w w:val="88"/>
              </w:rPr>
              <w:t>Officer &amp; Chief Operating</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Group plc</w:t>
            </w:r>
          </w:p>
        </w:tc>
        <w:tc>
          <w:tcPr>
            <w:tcW w:w="1000" w:type="dxa"/>
            <w:vAlign w:val="bottom"/>
          </w:tcPr>
          <w:p>
            <w:pPr>
              <w:spacing w:after="0"/>
              <w:rPr>
                <w:sz w:val="16"/>
                <w:szCs w:val="16"/>
                <w:color w:val="auto"/>
              </w:rPr>
            </w:pPr>
          </w:p>
        </w:tc>
        <w:tc>
          <w:tcPr>
            <w:tcW w:w="1800" w:type="dxa"/>
            <w:vAlign w:val="bottom"/>
          </w:tcPr>
          <w:p>
            <w:pPr>
              <w:ind w:left="200"/>
              <w:spacing w:after="0"/>
              <w:rPr>
                <w:sz w:val="20"/>
                <w:szCs w:val="20"/>
                <w:color w:val="auto"/>
              </w:rPr>
            </w:pPr>
            <w:r>
              <w:rPr>
                <w:rFonts w:ascii="Arial" w:cs="Arial" w:eastAsia="Arial" w:hAnsi="Arial"/>
                <w:sz w:val="16"/>
                <w:szCs w:val="16"/>
                <w:color w:val="4C4E52"/>
              </w:rPr>
              <w:t>Officer</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57"/>
        </w:trPr>
        <w:tc>
          <w:tcPr>
            <w:tcW w:w="2240" w:type="dxa"/>
            <w:vAlign w:val="bottom"/>
            <w:vMerge w:val="restart"/>
          </w:tcPr>
          <w:p>
            <w:pPr>
              <w:spacing w:after="0"/>
              <w:rPr>
                <w:sz w:val="20"/>
                <w:szCs w:val="20"/>
                <w:color w:val="auto"/>
              </w:rPr>
            </w:pPr>
            <w:r>
              <w:rPr>
                <w:rFonts w:ascii="Arial" w:cs="Arial" w:eastAsia="Arial" w:hAnsi="Arial"/>
                <w:sz w:val="18"/>
                <w:szCs w:val="18"/>
                <w:color w:val="0C5F9C"/>
              </w:rPr>
              <w:t>TROY DIXON</w:t>
            </w:r>
          </w:p>
        </w:tc>
        <w:tc>
          <w:tcPr>
            <w:tcW w:w="1000" w:type="dxa"/>
            <w:vAlign w:val="bottom"/>
          </w:tcPr>
          <w:p>
            <w:pPr>
              <w:spacing w:after="0"/>
              <w:rPr>
                <w:sz w:val="4"/>
                <w:szCs w:val="4"/>
                <w:color w:val="auto"/>
              </w:rPr>
            </w:pPr>
          </w:p>
        </w:tc>
        <w:tc>
          <w:tcPr>
            <w:tcW w:w="2400" w:type="dxa"/>
            <w:vAlign w:val="bottom"/>
            <w:vMerge w:val="restart"/>
          </w:tcPr>
          <w:p>
            <w:pPr>
              <w:ind w:left="180"/>
              <w:spacing w:after="0"/>
              <w:rPr>
                <w:sz w:val="20"/>
                <w:szCs w:val="20"/>
                <w:color w:val="auto"/>
              </w:rPr>
            </w:pPr>
            <w:r>
              <w:rPr>
                <w:rFonts w:ascii="Arial" w:cs="Arial" w:eastAsia="Arial" w:hAnsi="Arial"/>
                <w:sz w:val="18"/>
                <w:szCs w:val="18"/>
                <w:color w:val="0C5F9C"/>
              </w:rPr>
              <w:t>JOHN G. FINLEY</w:t>
            </w:r>
          </w:p>
        </w:tc>
        <w:tc>
          <w:tcPr>
            <w:tcW w:w="1000" w:type="dxa"/>
            <w:vAlign w:val="bottom"/>
          </w:tcPr>
          <w:p>
            <w:pPr>
              <w:spacing w:after="0"/>
              <w:rPr>
                <w:sz w:val="4"/>
                <w:szCs w:val="4"/>
                <w:color w:val="auto"/>
              </w:rPr>
            </w:pPr>
          </w:p>
        </w:tc>
        <w:tc>
          <w:tcPr>
            <w:tcW w:w="2140" w:type="dxa"/>
            <w:vAlign w:val="bottom"/>
            <w:vMerge w:val="restart"/>
          </w:tcPr>
          <w:p>
            <w:pPr>
              <w:ind w:left="220"/>
              <w:spacing w:after="0"/>
              <w:rPr>
                <w:sz w:val="20"/>
                <w:szCs w:val="20"/>
                <w:color w:val="auto"/>
              </w:rPr>
            </w:pPr>
            <w:r>
              <w:rPr>
                <w:rFonts w:ascii="Arial" w:cs="Arial" w:eastAsia="Arial" w:hAnsi="Arial"/>
                <w:sz w:val="18"/>
                <w:szCs w:val="18"/>
                <w:color w:val="0C5F9C"/>
              </w:rPr>
              <w:t>SCOTT C. GANELES</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Founder and Chief</w:t>
            </w:r>
          </w:p>
        </w:tc>
        <w:tc>
          <w:tcPr>
            <w:tcW w:w="1000" w:type="dxa"/>
            <w:vAlign w:val="bottom"/>
          </w:tcPr>
          <w:p>
            <w:pPr>
              <w:spacing w:after="0"/>
              <w:rPr>
                <w:sz w:val="16"/>
                <w:szCs w:val="16"/>
                <w:color w:val="auto"/>
              </w:rPr>
            </w:pPr>
          </w:p>
        </w:tc>
        <w:tc>
          <w:tcPr>
            <w:tcW w:w="2400" w:type="dxa"/>
            <w:vAlign w:val="bottom"/>
          </w:tcPr>
          <w:p>
            <w:pPr>
              <w:ind w:left="180"/>
              <w:spacing w:after="0" w:line="175" w:lineRule="exact"/>
              <w:rPr>
                <w:sz w:val="20"/>
                <w:szCs w:val="20"/>
                <w:color w:val="auto"/>
              </w:rPr>
            </w:pPr>
            <w:r>
              <w:rPr>
                <w:rFonts w:ascii="Arial" w:cs="Arial" w:eastAsia="Arial" w:hAnsi="Arial"/>
                <w:sz w:val="16"/>
                <w:szCs w:val="16"/>
                <w:color w:val="4C4E52"/>
              </w:rPr>
              <w:t>Chief Legal Officer</w:t>
            </w:r>
          </w:p>
        </w:tc>
        <w:tc>
          <w:tcPr>
            <w:tcW w:w="1000" w:type="dxa"/>
            <w:vAlign w:val="bottom"/>
          </w:tcPr>
          <w:p>
            <w:pPr>
              <w:spacing w:after="0"/>
              <w:rPr>
                <w:sz w:val="16"/>
                <w:szCs w:val="16"/>
                <w:color w:val="auto"/>
              </w:rPr>
            </w:pPr>
          </w:p>
        </w:tc>
        <w:tc>
          <w:tcPr>
            <w:tcW w:w="2140" w:type="dxa"/>
            <w:vAlign w:val="bottom"/>
          </w:tcPr>
          <w:p>
            <w:pPr>
              <w:ind w:left="220"/>
              <w:spacing w:after="0" w:line="168" w:lineRule="exact"/>
              <w:rPr>
                <w:sz w:val="20"/>
                <w:szCs w:val="20"/>
                <w:color w:val="auto"/>
              </w:rPr>
            </w:pPr>
            <w:r>
              <w:rPr>
                <w:rFonts w:ascii="Arial" w:cs="Arial" w:eastAsia="Arial" w:hAnsi="Arial"/>
                <w:sz w:val="16"/>
                <w:szCs w:val="16"/>
                <w:color w:val="4C4E52"/>
              </w:rPr>
              <w:t>Senior Partner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Investment Officer,</w:t>
            </w:r>
          </w:p>
        </w:tc>
        <w:tc>
          <w:tcPr>
            <w:tcW w:w="1000" w:type="dxa"/>
            <w:vAlign w:val="bottom"/>
          </w:tcPr>
          <w:p>
            <w:pPr>
              <w:spacing w:after="0"/>
              <w:rPr>
                <w:sz w:val="16"/>
                <w:szCs w:val="16"/>
                <w:color w:val="auto"/>
              </w:rPr>
            </w:pPr>
          </w:p>
        </w:tc>
        <w:tc>
          <w:tcPr>
            <w:tcW w:w="2400" w:type="dxa"/>
            <w:vAlign w:val="bottom"/>
          </w:tcPr>
          <w:p>
            <w:pPr>
              <w:ind w:left="180"/>
              <w:spacing w:after="0" w:line="181" w:lineRule="exact"/>
              <w:rPr>
                <w:sz w:val="20"/>
                <w:szCs w:val="20"/>
                <w:color w:val="auto"/>
              </w:rPr>
            </w:pPr>
            <w:r>
              <w:rPr>
                <w:rFonts w:ascii="Arial" w:cs="Arial" w:eastAsia="Arial" w:hAnsi="Arial"/>
                <w:sz w:val="16"/>
                <w:szCs w:val="16"/>
                <w:color w:val="4C4E52"/>
              </w:rPr>
              <w:t>Blackstone</w:t>
            </w:r>
          </w:p>
        </w:tc>
        <w:tc>
          <w:tcPr>
            <w:tcW w:w="1000" w:type="dxa"/>
            <w:vAlign w:val="bottom"/>
          </w:tcPr>
          <w:p>
            <w:pPr>
              <w:spacing w:after="0"/>
              <w:rPr>
                <w:sz w:val="16"/>
                <w:szCs w:val="16"/>
                <w:color w:val="auto"/>
              </w:rPr>
            </w:pPr>
          </w:p>
        </w:tc>
        <w:tc>
          <w:tcPr>
            <w:tcW w:w="2140" w:type="dxa"/>
            <w:vAlign w:val="bottom"/>
          </w:tcPr>
          <w:p>
            <w:pPr>
              <w:ind w:left="220"/>
              <w:spacing w:after="0" w:line="174" w:lineRule="exact"/>
              <w:rPr>
                <w:sz w:val="20"/>
                <w:szCs w:val="20"/>
                <w:color w:val="auto"/>
              </w:rPr>
            </w:pPr>
            <w:r>
              <w:rPr>
                <w:rFonts w:ascii="Arial" w:cs="Arial" w:eastAsia="Arial" w:hAnsi="Arial"/>
                <w:sz w:val="16"/>
                <w:szCs w:val="16"/>
                <w:color w:val="4C4E52"/>
              </w:rPr>
              <w:t>WestCap Group, LLC.</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Hollis Park Partners LP</w:t>
            </w: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vMerge w:val="restart"/>
          </w:tcPr>
          <w:p>
            <w:pPr>
              <w:spacing w:after="0"/>
              <w:rPr>
                <w:sz w:val="20"/>
                <w:szCs w:val="20"/>
                <w:color w:val="auto"/>
              </w:rPr>
            </w:pPr>
            <w:r>
              <w:rPr>
                <w:rFonts w:ascii="Arial" w:cs="Arial" w:eastAsia="Arial" w:hAnsi="Arial"/>
                <w:sz w:val="18"/>
                <w:szCs w:val="18"/>
                <w:color w:val="0C5F9C"/>
              </w:rPr>
              <w:t>BILLY HULT</w:t>
            </w:r>
          </w:p>
        </w:tc>
        <w:tc>
          <w:tcPr>
            <w:tcW w:w="1000" w:type="dxa"/>
            <w:vAlign w:val="bottom"/>
          </w:tcPr>
          <w:p>
            <w:pPr>
              <w:spacing w:after="0"/>
              <w:rPr>
                <w:sz w:val="12"/>
                <w:szCs w:val="12"/>
                <w:color w:val="auto"/>
              </w:rPr>
            </w:pPr>
          </w:p>
        </w:tc>
        <w:tc>
          <w:tcPr>
            <w:tcW w:w="2400" w:type="dxa"/>
            <w:vAlign w:val="bottom"/>
            <w:vMerge w:val="restart"/>
          </w:tcPr>
          <w:p>
            <w:pPr>
              <w:ind w:left="180"/>
              <w:spacing w:after="0"/>
              <w:rPr>
                <w:sz w:val="20"/>
                <w:szCs w:val="20"/>
                <w:color w:val="auto"/>
              </w:rPr>
            </w:pPr>
            <w:r>
              <w:rPr>
                <w:rFonts w:ascii="Arial" w:cs="Arial" w:eastAsia="Arial" w:hAnsi="Arial"/>
                <w:sz w:val="18"/>
                <w:szCs w:val="18"/>
                <w:color w:val="0C5F9C"/>
              </w:rPr>
              <w:t>PAULA B. MADOFF</w:t>
            </w:r>
          </w:p>
        </w:tc>
        <w:tc>
          <w:tcPr>
            <w:tcW w:w="1000" w:type="dxa"/>
            <w:vAlign w:val="bottom"/>
          </w:tcPr>
          <w:p>
            <w:pPr>
              <w:spacing w:after="0"/>
              <w:rPr>
                <w:sz w:val="12"/>
                <w:szCs w:val="12"/>
                <w:color w:val="auto"/>
              </w:rPr>
            </w:pPr>
          </w:p>
        </w:tc>
        <w:tc>
          <w:tcPr>
            <w:tcW w:w="2140" w:type="dxa"/>
            <w:vAlign w:val="bottom"/>
            <w:vMerge w:val="restart"/>
          </w:tcPr>
          <w:p>
            <w:pPr>
              <w:ind w:left="180"/>
              <w:spacing w:after="0"/>
              <w:rPr>
                <w:sz w:val="20"/>
                <w:szCs w:val="20"/>
                <w:color w:val="auto"/>
              </w:rPr>
            </w:pPr>
            <w:r>
              <w:rPr>
                <w:rFonts w:ascii="Arial" w:cs="Arial" w:eastAsia="Arial" w:hAnsi="Arial"/>
                <w:sz w:val="18"/>
                <w:szCs w:val="18"/>
                <w:color w:val="0C5F9C"/>
              </w:rPr>
              <w:t>LEE OLESKY</w:t>
            </w:r>
          </w:p>
        </w:tc>
        <w:tc>
          <w:tcPr>
            <w:tcW w:w="0" w:type="dxa"/>
            <w:vAlign w:val="bottom"/>
          </w:tcPr>
          <w:p>
            <w:pPr>
              <w:spacing w:after="0"/>
              <w:rPr>
                <w:sz w:val="1"/>
                <w:szCs w:val="1"/>
                <w:color w:val="auto"/>
              </w:rPr>
            </w:pPr>
          </w:p>
        </w:tc>
      </w:tr>
      <w:tr>
        <w:trPr>
          <w:trHeight w:val="590"/>
        </w:trPr>
        <w:tc>
          <w:tcPr>
            <w:tcW w:w="2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2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Chief Executive Officer</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Advisor</w:t>
            </w:r>
          </w:p>
        </w:tc>
        <w:tc>
          <w:tcPr>
            <w:tcW w:w="100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4C4E52"/>
              </w:rPr>
              <w:t>Chairman of the Board and</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Tradeweb Markets</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w w:val="95"/>
              </w:rPr>
              <w:t>The Goldman Sachs Group, Inc.</w:t>
            </w:r>
          </w:p>
        </w:tc>
        <w:tc>
          <w:tcPr>
            <w:tcW w:w="100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4C4E52"/>
                <w:w w:val="88"/>
              </w:rPr>
              <w:t>Former Chief Executive Officer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4C4E52"/>
              </w:rPr>
              <w:t>Tradeweb Markets</w:t>
            </w:r>
          </w:p>
        </w:tc>
        <w:tc>
          <w:tcPr>
            <w:tcW w:w="0" w:type="dxa"/>
            <w:vAlign w:val="bottom"/>
          </w:tcPr>
          <w:p>
            <w:pPr>
              <w:spacing w:after="0"/>
              <w:rPr>
                <w:sz w:val="1"/>
                <w:szCs w:val="1"/>
                <w:color w:val="auto"/>
              </w:rPr>
            </w:pPr>
          </w:p>
        </w:tc>
      </w:tr>
      <w:tr>
        <w:trPr>
          <w:trHeight w:val="160"/>
        </w:trPr>
        <w:tc>
          <w:tcPr>
            <w:tcW w:w="2240" w:type="dxa"/>
            <w:vAlign w:val="bottom"/>
            <w:vMerge w:val="restart"/>
          </w:tcPr>
          <w:p>
            <w:pPr>
              <w:spacing w:after="0"/>
              <w:rPr>
                <w:sz w:val="20"/>
                <w:szCs w:val="20"/>
                <w:color w:val="auto"/>
              </w:rPr>
            </w:pPr>
            <w:r>
              <w:rPr>
                <w:rFonts w:ascii="Arial" w:cs="Arial" w:eastAsia="Arial" w:hAnsi="Arial"/>
                <w:sz w:val="18"/>
                <w:szCs w:val="18"/>
                <w:color w:val="0C5F9C"/>
              </w:rPr>
              <w:t>THOMAS PLUTA</w:t>
            </w:r>
          </w:p>
        </w:tc>
        <w:tc>
          <w:tcPr>
            <w:tcW w:w="1000" w:type="dxa"/>
            <w:vAlign w:val="bottom"/>
          </w:tcPr>
          <w:p>
            <w:pPr>
              <w:spacing w:after="0"/>
              <w:rPr>
                <w:sz w:val="13"/>
                <w:szCs w:val="13"/>
                <w:color w:val="auto"/>
              </w:rPr>
            </w:pPr>
          </w:p>
        </w:tc>
        <w:tc>
          <w:tcPr>
            <w:tcW w:w="2400" w:type="dxa"/>
            <w:vAlign w:val="bottom"/>
            <w:vMerge w:val="restart"/>
          </w:tcPr>
          <w:p>
            <w:pPr>
              <w:ind w:left="180"/>
              <w:spacing w:after="0"/>
              <w:rPr>
                <w:sz w:val="20"/>
                <w:szCs w:val="20"/>
                <w:color w:val="auto"/>
              </w:rPr>
            </w:pPr>
            <w:r>
              <w:rPr>
                <w:rFonts w:ascii="Arial" w:cs="Arial" w:eastAsia="Arial" w:hAnsi="Arial"/>
                <w:sz w:val="18"/>
                <w:szCs w:val="18"/>
                <w:color w:val="0C5F9C"/>
              </w:rPr>
              <w:t>MURRAY ROOS</w:t>
            </w:r>
          </w:p>
        </w:tc>
        <w:tc>
          <w:tcPr>
            <w:tcW w:w="1000" w:type="dxa"/>
            <w:vAlign w:val="bottom"/>
          </w:tcPr>
          <w:p>
            <w:pPr>
              <w:spacing w:after="0"/>
              <w:rPr>
                <w:sz w:val="13"/>
                <w:szCs w:val="13"/>
                <w:color w:val="auto"/>
              </w:rPr>
            </w:pPr>
          </w:p>
        </w:tc>
        <w:tc>
          <w:tcPr>
            <w:tcW w:w="2140" w:type="dxa"/>
            <w:vAlign w:val="bottom"/>
            <w:vMerge w:val="restart"/>
          </w:tcPr>
          <w:p>
            <w:pPr>
              <w:ind w:left="180"/>
              <w:spacing w:after="0"/>
              <w:rPr>
                <w:sz w:val="20"/>
                <w:szCs w:val="20"/>
                <w:color w:val="auto"/>
              </w:rPr>
            </w:pPr>
            <w:r>
              <w:rPr>
                <w:rFonts w:ascii="Arial" w:cs="Arial" w:eastAsia="Arial" w:hAnsi="Arial"/>
                <w:sz w:val="18"/>
                <w:szCs w:val="18"/>
                <w:color w:val="0C5F9C"/>
              </w:rPr>
              <w:t>RANA YARED</w:t>
            </w:r>
          </w:p>
        </w:tc>
        <w:tc>
          <w:tcPr>
            <w:tcW w:w="0" w:type="dxa"/>
            <w:vAlign w:val="bottom"/>
          </w:tcPr>
          <w:p>
            <w:pPr>
              <w:spacing w:after="0"/>
              <w:rPr>
                <w:sz w:val="1"/>
                <w:szCs w:val="1"/>
                <w:color w:val="auto"/>
              </w:rPr>
            </w:pPr>
          </w:p>
        </w:tc>
      </w:tr>
      <w:tr>
        <w:trPr>
          <w:trHeight w:val="463"/>
        </w:trPr>
        <w:tc>
          <w:tcPr>
            <w:tcW w:w="2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2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20"/>
                <w:szCs w:val="20"/>
                <w:color w:val="auto"/>
              </w:rPr>
            </w:pPr>
            <w:r>
              <w:rPr>
                <w:rFonts w:ascii="Arial" w:cs="Arial" w:eastAsia="Arial" w:hAnsi="Arial"/>
                <w:sz w:val="16"/>
                <w:szCs w:val="16"/>
                <w:color w:val="4C4E52"/>
              </w:rPr>
              <w:t>President</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Group Head, Capital Markets</w:t>
            </w:r>
          </w:p>
        </w:tc>
        <w:tc>
          <w:tcPr>
            <w:tcW w:w="100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4C4E52"/>
              </w:rPr>
              <w:t>General Partner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6"/>
                <w:szCs w:val="16"/>
                <w:color w:val="4C4E52"/>
              </w:rPr>
              <w:t>Tradeweb Markets</w:t>
            </w: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London Stock Exchange</w:t>
            </w:r>
          </w:p>
        </w:tc>
        <w:tc>
          <w:tcPr>
            <w:tcW w:w="1000" w:type="dxa"/>
            <w:vAlign w:val="bottom"/>
          </w:tcPr>
          <w:p>
            <w:pPr>
              <w:spacing w:after="0"/>
              <w:rPr>
                <w:sz w:val="16"/>
                <w:szCs w:val="16"/>
                <w:color w:val="auto"/>
              </w:rPr>
            </w:pPr>
          </w:p>
        </w:tc>
        <w:tc>
          <w:tcPr>
            <w:tcW w:w="2140" w:type="dxa"/>
            <w:vAlign w:val="bottom"/>
          </w:tcPr>
          <w:p>
            <w:pPr>
              <w:ind w:left="180"/>
              <w:spacing w:after="0"/>
              <w:rPr>
                <w:sz w:val="20"/>
                <w:szCs w:val="20"/>
                <w:color w:val="auto"/>
              </w:rPr>
            </w:pPr>
            <w:r>
              <w:rPr>
                <w:rFonts w:ascii="Arial" w:cs="Arial" w:eastAsia="Arial" w:hAnsi="Arial"/>
                <w:sz w:val="16"/>
                <w:szCs w:val="16"/>
                <w:color w:val="4C4E52"/>
              </w:rPr>
              <w:t>Balderton Capital</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4C4E52"/>
              </w:rPr>
              <w:t>Group plc</w:t>
            </w:r>
          </w:p>
        </w:tc>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0" w:orient="portrait"/>
          <w:cols w:equalWidth="0" w:num="1">
            <w:col w:w="10180"/>
          </w:cols>
          <w:pgMar w:left="720" w:top="884" w:right="1160" w:bottom="889"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5B5C61"/>
        </w:rPr>
        <w:t>Note: Troy Dixon joined Tradeweb’s Board of Directors (the “Board”) effective as of March 1, 2023. Each of Jacques Aigrain and Rana Yared joined the Board effective as of August 1, 2022.</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5B5C61"/>
        </w:rPr>
        <w:t>Martin Brand resigned from the Board effective as of February 11, 2022. Von Hughes resigned from the Board effective as of September 30, 2022.</w:t>
      </w:r>
    </w:p>
    <w:p>
      <w:pPr>
        <w:sectPr>
          <w:pgSz w:w="12060" w:h="15660" w:orient="portrait"/>
          <w:cols w:equalWidth="0" w:num="1">
            <w:col w:w="10180"/>
          </w:cols>
          <w:pgMar w:left="720" w:top="884" w:right="1160" w:bottom="889" w:gutter="0" w:footer="0" w:header="0"/>
          <w:type w:val="continuous"/>
        </w:sectPr>
      </w:pPr>
    </w:p>
    <w:bookmarkStart w:id="10" w:name="page11"/>
    <w:bookmarkEnd w:id="10"/>
    <w:p>
      <w:pPr>
        <w:ind w:left="46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501650</wp:posOffset>
            </wp:positionH>
            <wp:positionV relativeFrom="page">
              <wp:posOffset>422275</wp:posOffset>
            </wp:positionV>
            <wp:extent cx="66548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6654800" cy="50800"/>
                    </a:xfrm>
                    <a:prstGeom prst="rect">
                      <a:avLst/>
                    </a:prstGeom>
                    <a:noFill/>
                  </pic:spPr>
                </pic:pic>
              </a:graphicData>
            </a:graphic>
          </wp:anchor>
        </w:drawing>
        <w:t>UNITED STATES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89" w:lineRule="exact"/>
        <w:rPr>
          <w:sz w:val="20"/>
          <w:szCs w:val="20"/>
          <w:color w:val="auto"/>
        </w:rPr>
      </w:pPr>
    </w:p>
    <w:p>
      <w:pPr>
        <w:ind w:left="340" w:hanging="297"/>
        <w:spacing w:after="0"/>
        <w:tabs>
          <w:tab w:leader="none" w:pos="340" w:val="left"/>
        </w:tabs>
        <w:numPr>
          <w:ilvl w:val="0"/>
          <w:numId w:val="4"/>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45" w:lineRule="exact"/>
        <w:rPr>
          <w:sz w:val="20"/>
          <w:szCs w:val="20"/>
          <w:color w:val="auto"/>
        </w:rPr>
      </w:pPr>
    </w:p>
    <w:p>
      <w:pPr>
        <w:ind w:left="340" w:hanging="297"/>
        <w:spacing w:after="0"/>
        <w:tabs>
          <w:tab w:leader="none" w:pos="340" w:val="left"/>
        </w:tabs>
        <w:numPr>
          <w:ilvl w:val="0"/>
          <w:numId w:val="5"/>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001-38860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99"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300"/>
        </w:trPr>
        <w:tc>
          <w:tcPr>
            <w:tcW w:w="52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3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7"/>
        </w:trPr>
        <w:tc>
          <w:tcPr>
            <w:tcW w:w="52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3600" w:type="dxa"/>
            <w:vAlign w:val="bottom"/>
          </w:tcPr>
          <w:p>
            <w:pPr>
              <w:spacing w:after="0"/>
              <w:rPr>
                <w:sz w:val="24"/>
                <w:szCs w:val="24"/>
                <w:color w:val="auto"/>
              </w:rPr>
            </w:pPr>
          </w:p>
        </w:tc>
      </w:tr>
      <w:tr>
        <w:trPr>
          <w:trHeight w:val="238"/>
        </w:trPr>
        <w:tc>
          <w:tcPr>
            <w:tcW w:w="52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85"/>
        </w:trPr>
        <w:tc>
          <w:tcPr>
            <w:tcW w:w="52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430-6000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 w:type="dxa"/>
            <w:vAlign w:val="bottom"/>
          </w:tcPr>
          <w:p>
            <w:pPr>
              <w:spacing w:after="0"/>
              <w:rPr>
                <w:sz w:val="18"/>
                <w:szCs w:val="18"/>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40" w:type="dxa"/>
            <w:vAlign w:val="bottom"/>
          </w:tcPr>
          <w:p>
            <w:pPr>
              <w:spacing w:after="0"/>
              <w:rPr>
                <w:sz w:val="18"/>
                <w:szCs w:val="18"/>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9"/>
        </w:trPr>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 par value $0.00001</w:t>
            </w:r>
          </w:p>
        </w:tc>
        <w:tc>
          <w:tcPr>
            <w:tcW w:w="24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TW</w:t>
            </w:r>
          </w:p>
        </w:tc>
        <w:tc>
          <w:tcPr>
            <w:tcW w:w="24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Securities registered pursuant to Section 12(g) of the Act: </w:t>
      </w:r>
      <w:r>
        <w:rPr>
          <w:rFonts w:ascii="Times New Roman" w:cs="Times New Roman" w:eastAsia="Times New Roman" w:hAnsi="Times New Roman"/>
          <w:sz w:val="15"/>
          <w:szCs w:val="15"/>
          <w:color w:val="auto"/>
        </w:rPr>
        <w:t>None</w:t>
      </w:r>
    </w:p>
    <w:p>
      <w:pPr>
        <w:spacing w:after="0" w:line="32" w:lineRule="exact"/>
        <w:rPr>
          <w:sz w:val="20"/>
          <w:szCs w:val="20"/>
          <w:color w:val="auto"/>
        </w:rPr>
      </w:pPr>
    </w:p>
    <w:p>
      <w:pPr>
        <w:ind w:right="284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ind w:right="140"/>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0"/>
          <w:szCs w:val="20"/>
          <w:color w:val="auto"/>
        </w:rPr>
      </w:pPr>
    </w:p>
    <w:p>
      <w:pPr>
        <w:ind w:left="40"/>
        <w:spacing w:after="0" w:line="173" w:lineRule="exact"/>
        <w:tabs>
          <w:tab w:leader="none" w:pos="2860" w:val="left"/>
          <w:tab w:leader="none" w:pos="3620" w:val="left"/>
          <w:tab w:leader="none" w:pos="6460" w:val="left"/>
          <w:tab w:leader="none" w:pos="7200" w:val="left"/>
          <w:tab w:leader="none" w:pos="1004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2"/>
          <w:szCs w:val="12"/>
          <w:b w:val="1"/>
          <w:bCs w:val="1"/>
          <w:color w:val="auto"/>
        </w:rPr>
        <w:t>☐</w:t>
      </w:r>
    </w:p>
    <w:p>
      <w:pPr>
        <w:spacing w:after="0" w:line="68" w:lineRule="exact"/>
        <w:rPr>
          <w:sz w:val="20"/>
          <w:szCs w:val="20"/>
          <w:color w:val="auto"/>
        </w:rPr>
      </w:pPr>
    </w:p>
    <w:p>
      <w:pPr>
        <w:ind w:left="40"/>
        <w:spacing w:after="0" w:line="173" w:lineRule="exact"/>
        <w:tabs>
          <w:tab w:leader="none" w:pos="2860" w:val="left"/>
          <w:tab w:leader="none" w:pos="3620" w:val="left"/>
          <w:tab w:leader="none" w:pos="6460" w:val="left"/>
        </w:tabs>
        <w:rPr>
          <w:sz w:val="20"/>
          <w:szCs w:val="20"/>
          <w:color w:val="auto"/>
        </w:rPr>
      </w:pPr>
      <w:r>
        <w:rPr>
          <w:rFonts w:ascii="Times New Roman" w:cs="Times New Roman" w:eastAsia="Times New Roman" w:hAnsi="Times New Roman"/>
          <w:sz w:val="15"/>
          <w:szCs w:val="15"/>
          <w:color w:val="auto"/>
        </w:rPr>
        <w:t>Smaller reporting company</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0"/>
          <w:szCs w:val="10"/>
          <w:b w:val="1"/>
          <w:bCs w:val="1"/>
          <w:color w:val="auto"/>
        </w:rPr>
        <w:t>☐</w:t>
      </w:r>
    </w:p>
    <w:p>
      <w:pPr>
        <w:spacing w:after="0" w:line="135" w:lineRule="exact"/>
        <w:rPr>
          <w:sz w:val="20"/>
          <w:szCs w:val="20"/>
          <w:color w:val="auto"/>
        </w:rPr>
      </w:pPr>
    </w:p>
    <w:p>
      <w:pPr>
        <w:ind w:right="380"/>
        <w:spacing w:after="0" w:line="194"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ind w:right="50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5"/>
          <w:szCs w:val="15"/>
          <w:b w:val="1"/>
          <w:bCs w:val="1"/>
          <w:color w:val="auto"/>
        </w:rPr>
        <w:t>☒</w:t>
      </w:r>
    </w:p>
    <w:p>
      <w:pPr>
        <w:ind w:right="60"/>
        <w:spacing w:after="0" w:line="186"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5"/>
          <w:szCs w:val="15"/>
          <w:b w:val="1"/>
          <w:bCs w:val="1"/>
          <w:color w:val="auto"/>
        </w:rPr>
        <w:t>☐</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3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Class A common stock on the NASDAQ Global Select Market on June 30, 2022, was approximately $16.0 billion.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5"/>
                <w:szCs w:val="15"/>
                <w:color w:val="auto"/>
              </w:rPr>
              <w:t>Class of Stock</w:t>
            </w:r>
          </w:p>
        </w:tc>
        <w:tc>
          <w:tcPr>
            <w:tcW w:w="240" w:type="dxa"/>
            <w:vAlign w:val="bottom"/>
          </w:tcPr>
          <w:p>
            <w:pPr>
              <w:spacing w:after="0"/>
              <w:rPr>
                <w:sz w:val="17"/>
                <w:szCs w:val="17"/>
                <w:color w:val="auto"/>
              </w:rPr>
            </w:pPr>
          </w:p>
        </w:tc>
        <w:tc>
          <w:tcPr>
            <w:tcW w:w="5100" w:type="dxa"/>
            <w:vAlign w:val="bottom"/>
            <w:tcBorders>
              <w:bottom w:val="single" w:sz="8" w:color="auto"/>
            </w:tcBorders>
          </w:tcPr>
          <w:p>
            <w:pPr>
              <w:jc w:val="right"/>
              <w:ind w:right="1165"/>
              <w:spacing w:after="0"/>
              <w:rPr>
                <w:sz w:val="20"/>
                <w:szCs w:val="20"/>
                <w:color w:val="auto"/>
              </w:rPr>
            </w:pPr>
            <w:r>
              <w:rPr>
                <w:rFonts w:ascii="Times New Roman" w:cs="Times New Roman" w:eastAsia="Times New Roman" w:hAnsi="Times New Roman"/>
                <w:sz w:val="15"/>
                <w:szCs w:val="15"/>
                <w:color w:val="auto"/>
              </w:rPr>
              <w:t>Shares Outstanding as of February 17, 2023</w:t>
            </w:r>
          </w:p>
        </w:tc>
      </w:tr>
      <w:tr>
        <w:trPr>
          <w:trHeight w:val="194"/>
        </w:trPr>
        <w:tc>
          <w:tcPr>
            <w:tcW w:w="5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A Common Stock, par value $0.00001 per share</w:t>
            </w:r>
          </w:p>
        </w:tc>
        <w:tc>
          <w:tcPr>
            <w:tcW w:w="240" w:type="dxa"/>
            <w:vAlign w:val="bottom"/>
          </w:tcPr>
          <w:p>
            <w:pPr>
              <w:spacing w:after="0"/>
              <w:rPr>
                <w:sz w:val="16"/>
                <w:szCs w:val="16"/>
                <w:color w:val="auto"/>
              </w:rPr>
            </w:pPr>
          </w:p>
        </w:tc>
        <w:tc>
          <w:tcPr>
            <w:tcW w:w="5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111,225,889</w:t>
            </w:r>
          </w:p>
        </w:tc>
      </w:tr>
      <w:tr>
        <w:trPr>
          <w:trHeight w:val="237"/>
        </w:trPr>
        <w:tc>
          <w:tcPr>
            <w:tcW w:w="5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B Common Stock, par value $0.00001 per share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96,933,192</w:t>
            </w:r>
          </w:p>
        </w:tc>
      </w:tr>
      <w:tr>
        <w:trPr>
          <w:trHeight w:val="240"/>
        </w:trPr>
        <w:tc>
          <w:tcPr>
            <w:tcW w:w="5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C Common Stock, par value $0.00001 per share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3,251,177</w:t>
            </w:r>
          </w:p>
        </w:tc>
      </w:tr>
      <w:tr>
        <w:trPr>
          <w:trHeight w:val="240"/>
        </w:trPr>
        <w:tc>
          <w:tcPr>
            <w:tcW w:w="5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Class D Common Stock, par value $0.00001 per share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23,090,904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123190</wp:posOffset>
            </wp:positionV>
            <wp:extent cx="66548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6654800" cy="50800"/>
                    </a:xfrm>
                    <a:prstGeom prst="rect">
                      <a:avLst/>
                    </a:prstGeom>
                    <a:noFill/>
                  </pic:spPr>
                </pic:pic>
              </a:graphicData>
            </a:graphic>
          </wp:anchor>
        </w:drawing>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29845</wp:posOffset>
                </wp:positionV>
                <wp:extent cx="66198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5pt,2.35pt" to="530.1pt,2.35pt" o:allowincell="f" strokecolor="#000000" strokeweight="2pt"/>
            </w:pict>
          </mc:Fallback>
        </mc:AlternateContent>
      </w:r>
    </w:p>
    <w:p>
      <w:pPr>
        <w:sectPr>
          <w:pgSz w:w="12060" w:h="15660" w:orient="portrait"/>
          <w:cols w:equalWidth="0" w:num="1">
            <w:col w:w="10800"/>
          </w:cols>
          <w:pgMar w:left="640" w:top="762" w:right="620" w:bottom="1440" w:gutter="0" w:footer="0" w:header="0"/>
        </w:sectPr>
      </w:pP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Part III of this Annual Report on Form 10-K incorporates by reference portions of the Registrant’s Proxy Statement for its 2023 Annual Meeting of Stockholders.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107950</wp:posOffset>
                </wp:positionH>
                <wp:positionV relativeFrom="paragraph">
                  <wp:posOffset>81280</wp:posOffset>
                </wp:positionV>
                <wp:extent cx="66294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pt,6.4pt" to="530.5pt,6.4pt" o:allowincell="f" strokecolor="#000000" strokeweight="2pt"/>
            </w:pict>
          </mc:Fallback>
        </mc:AlternateContent>
      </w:r>
    </w:p>
    <w:p>
      <w:pPr>
        <w:sectPr>
          <w:pgSz w:w="12060" w:h="15660" w:orient="portrait"/>
          <w:cols w:equalWidth="0" w:num="1">
            <w:col w:w="10800"/>
          </w:cols>
          <w:pgMar w:left="640" w:top="762" w:right="620"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060" w:h="15660" w:orient="portrait"/>
          <w:cols w:equalWidth="0" w:num="1">
            <w:col w:w="9180"/>
          </w:cols>
          <w:pgMar w:left="1440" w:top="144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340" w:type="dxa"/>
            <w:vAlign w:val="bottom"/>
            <w:gridSpan w:val="19"/>
          </w:tcPr>
          <w:p>
            <w:pPr>
              <w:jc w:val="center"/>
              <w:ind w:right="1480"/>
              <w:spacing w:after="0"/>
              <w:rPr>
                <w:sz w:val="20"/>
                <w:szCs w:val="20"/>
                <w:color w:val="auto"/>
              </w:rPr>
            </w:pPr>
            <w:r>
              <w:rPr>
                <w:rFonts w:ascii="Times New Roman" w:cs="Times New Roman" w:eastAsia="Times New Roman" w:hAnsi="Times New Roman"/>
                <w:sz w:val="20"/>
                <w:szCs w:val="20"/>
                <w:b w:val="1"/>
                <w:bCs w:val="1"/>
                <w:color w:val="auto"/>
              </w:rPr>
              <w:t>TRADEWEB MARKETS INC.</w:t>
            </w: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gridSpan w:val="19"/>
          </w:tcPr>
          <w:p>
            <w:pPr>
              <w:jc w:val="center"/>
              <w:ind w:right="1480"/>
              <w:spacing w:after="0"/>
              <w:rPr>
                <w:sz w:val="20"/>
                <w:szCs w:val="20"/>
                <w:color w:val="auto"/>
              </w:rPr>
            </w:pPr>
            <w:r>
              <w:rPr>
                <w:rFonts w:ascii="Times New Roman" w:cs="Times New Roman" w:eastAsia="Times New Roman" w:hAnsi="Times New Roman"/>
                <w:sz w:val="20"/>
                <w:szCs w:val="20"/>
                <w:b w:val="1"/>
                <w:bCs w:val="1"/>
                <w:color w:val="auto"/>
                <w:w w:val="99"/>
              </w:rPr>
              <w:t>FORM 10-K ANNUAL REPORT</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gridSpan w:val="18"/>
          </w:tcPr>
          <w:p>
            <w:pPr>
              <w:jc w:val="center"/>
              <w:ind w:right="2260"/>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98"/>
        </w:trPr>
        <w:tc>
          <w:tcPr>
            <w:tcW w:w="8580" w:type="dxa"/>
            <w:vAlign w:val="bottom"/>
            <w:gridSpan w:val="32"/>
          </w:tcPr>
          <w:p>
            <w:pPr>
              <w:spacing w:after="0" w:line="198" w:lineRule="exact"/>
              <w:rPr>
                <w:sz w:val="20"/>
                <w:szCs w:val="20"/>
                <w:color w:val="auto"/>
              </w:rPr>
            </w:pPr>
            <w:r>
              <w:rPr>
                <w:rFonts w:ascii="Times New Roman" w:cs="Times New Roman" w:eastAsia="Times New Roman" w:hAnsi="Times New Roman"/>
                <w:sz w:val="20"/>
                <w:szCs w:val="20"/>
                <w:color w:val="auto"/>
              </w:rPr>
              <w:t>INTRODUCTORY NOTE</w:t>
            </w:r>
          </w:p>
        </w:tc>
        <w:tc>
          <w:tcPr>
            <w:tcW w:w="5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line="20" w:lineRule="exact"/>
              <w:rPr>
                <w:sz w:val="1"/>
                <w:szCs w:val="1"/>
                <w:color w:val="auto"/>
              </w:rPr>
            </w:pPr>
          </w:p>
        </w:tc>
      </w:tr>
      <w:tr>
        <w:trPr>
          <w:trHeight w:val="235"/>
        </w:trPr>
        <w:tc>
          <w:tcPr>
            <w:tcW w:w="8580" w:type="dxa"/>
            <w:vAlign w:val="bottom"/>
            <w:gridSpan w:val="32"/>
          </w:tcPr>
          <w:p>
            <w:pPr>
              <w:spacing w:after="0"/>
              <w:rPr>
                <w:sz w:val="20"/>
                <w:szCs w:val="20"/>
                <w:color w:val="auto"/>
              </w:rPr>
            </w:pPr>
            <w:r>
              <w:rPr>
                <w:rFonts w:ascii="Times New Roman" w:cs="Times New Roman" w:eastAsia="Times New Roman" w:hAnsi="Times New Roman"/>
                <w:sz w:val="20"/>
                <w:szCs w:val="20"/>
                <w:color w:val="auto"/>
              </w:rPr>
              <w:t>USE OF NON-GAAP FINANCIAL MEASURES</w:t>
            </w: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line="20" w:lineRule="exact"/>
              <w:rPr>
                <w:sz w:val="1"/>
                <w:szCs w:val="1"/>
                <w:color w:val="auto"/>
              </w:rPr>
            </w:pPr>
          </w:p>
        </w:tc>
      </w:tr>
      <w:tr>
        <w:trPr>
          <w:trHeight w:val="235"/>
        </w:trPr>
        <w:tc>
          <w:tcPr>
            <w:tcW w:w="65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rPr>
              <w:t>CAUTIONARY NOTE REGARDING FORWARD-LOOKING STATEMENTS</w:t>
            </w:r>
          </w:p>
        </w:tc>
        <w:tc>
          <w:tcPr>
            <w:tcW w:w="2020" w:type="dxa"/>
            <w:vAlign w:val="bottom"/>
            <w:gridSpan w:val="5"/>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0"/>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PART I</w:t>
            </w:r>
          </w:p>
        </w:tc>
        <w:tc>
          <w:tcPr>
            <w:tcW w:w="370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Business</w:t>
            </w:r>
          </w:p>
        </w:tc>
        <w:tc>
          <w:tcPr>
            <w:tcW w:w="6900" w:type="dxa"/>
            <w:vAlign w:val="bottom"/>
            <w:gridSpan w:val="29"/>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1B.</w:t>
            </w:r>
          </w:p>
        </w:tc>
        <w:tc>
          <w:tcPr>
            <w:tcW w:w="6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vMerge w:val="continue"/>
          </w:tcPr>
          <w:p>
            <w:pPr>
              <w:spacing w:after="0"/>
              <w:rPr>
                <w:sz w:val="24"/>
                <w:szCs w:val="24"/>
                <w:color w:val="auto"/>
              </w:rPr>
            </w:pPr>
          </w:p>
        </w:tc>
        <w:tc>
          <w:tcPr>
            <w:tcW w:w="22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9"/>
              </w:rPr>
              <w:t>Unresolved Staff Comments</w:t>
            </w:r>
          </w:p>
        </w:tc>
        <w:tc>
          <w:tcPr>
            <w:tcW w:w="5340" w:type="dxa"/>
            <w:vAlign w:val="bottom"/>
            <w:gridSpan w:val="19"/>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8"/>
              </w:rPr>
              <w:t>Properties</w:t>
            </w:r>
          </w:p>
        </w:tc>
        <w:tc>
          <w:tcPr>
            <w:tcW w:w="6800" w:type="dxa"/>
            <w:vAlign w:val="bottom"/>
            <w:gridSpan w:val="27"/>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6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vMerge w:val="continue"/>
          </w:tcPr>
          <w:p>
            <w:pPr>
              <w:spacing w:after="0"/>
              <w:rPr>
                <w:sz w:val="24"/>
                <w:szCs w:val="24"/>
                <w:color w:val="auto"/>
              </w:rPr>
            </w:pP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544"/>
        </w:trPr>
        <w:tc>
          <w:tcPr>
            <w:tcW w:w="9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color w:val="auto"/>
              </w:rPr>
              <w:t>PART II</w:t>
            </w:r>
          </w:p>
        </w:tc>
        <w:tc>
          <w:tcPr>
            <w:tcW w:w="368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762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1380" w:type="dxa"/>
            <w:vAlign w:val="bottom"/>
            <w:tcBorders>
              <w:bottom w:val="single" w:sz="8" w:color="auto"/>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Equity Securities</w:t>
            </w:r>
          </w:p>
        </w:tc>
        <w:tc>
          <w:tcPr>
            <w:tcW w:w="6240" w:type="dxa"/>
            <w:vAlign w:val="bottom"/>
            <w:gridSpan w:val="24"/>
          </w:tcPr>
          <w:p>
            <w:pPr>
              <w:spacing w:after="0"/>
              <w:rPr>
                <w:sz w:val="19"/>
                <w:szCs w:val="19"/>
                <w:color w:val="auto"/>
              </w:rPr>
            </w:pPr>
          </w:p>
        </w:tc>
        <w:tc>
          <w:tcPr>
            <w:tcW w:w="16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Reserved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7.</w:t>
            </w:r>
          </w:p>
        </w:tc>
        <w:tc>
          <w:tcPr>
            <w:tcW w:w="6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vMerge w:val="continue"/>
          </w:tcPr>
          <w:p>
            <w:pPr>
              <w:spacing w:after="0"/>
              <w:rPr>
                <w:sz w:val="24"/>
                <w:szCs w:val="24"/>
                <w:color w:val="auto"/>
              </w:rPr>
            </w:pP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7180" w:type="dxa"/>
            <w:vAlign w:val="bottom"/>
            <w:tcBorders>
              <w:top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440" w:type="dxa"/>
            <w:vAlign w:val="bottom"/>
            <w:gridSpan w:val="3"/>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3700" w:type="dxa"/>
            <w:vAlign w:val="bottom"/>
            <w:tcBorders>
              <w:top w:val="single" w:sz="8" w:color="auto"/>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w w:val="99"/>
              </w:rPr>
              <w:t>Financial Statements and Supplementary Data</w:t>
            </w:r>
          </w:p>
        </w:tc>
        <w:tc>
          <w:tcPr>
            <w:tcW w:w="1140" w:type="dxa"/>
            <w:vAlign w:val="bottom"/>
            <w:tcBorders>
              <w:top w:val="single" w:sz="8" w:color="auto"/>
            </w:tcBorders>
            <w:gridSpan w:val="5"/>
          </w:tcPr>
          <w:p>
            <w:pPr>
              <w:spacing w:after="0"/>
              <w:rPr>
                <w:sz w:val="24"/>
                <w:szCs w:val="24"/>
                <w:color w:val="auto"/>
              </w:rPr>
            </w:pPr>
          </w:p>
        </w:tc>
        <w:tc>
          <w:tcPr>
            <w:tcW w:w="2780" w:type="dxa"/>
            <w:vAlign w:val="bottom"/>
            <w:gridSpan w:val="7"/>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720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20"/>
                <w:szCs w:val="20"/>
                <w:color w:val="auto"/>
                <w:w w:val="99"/>
              </w:rPr>
              <w:t>Changes in and Disagreements with Accountants on Accounting and Financial Disclosure</w:t>
            </w:r>
          </w:p>
        </w:tc>
        <w:tc>
          <w:tcPr>
            <w:tcW w:w="420" w:type="dxa"/>
            <w:vAlign w:val="bottom"/>
            <w:gridSpan w:val="2"/>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Controls and Procedures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19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5660" w:type="dxa"/>
            <w:vAlign w:val="bottom"/>
            <w:gridSpan w:val="21"/>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9C.</w:t>
            </w:r>
          </w:p>
        </w:tc>
        <w:tc>
          <w:tcPr>
            <w:tcW w:w="620" w:type="dxa"/>
            <w:vAlign w:val="bottom"/>
            <w:shd w:val="clear" w:color="auto" w:fill="000000"/>
          </w:tcPr>
          <w:p>
            <w:pPr>
              <w:spacing w:after="0" w:line="20" w:lineRule="exact"/>
              <w:rPr>
                <w:sz w:val="1"/>
                <w:szCs w:val="1"/>
                <w:color w:val="auto"/>
              </w:rPr>
            </w:pPr>
          </w:p>
        </w:tc>
        <w:tc>
          <w:tcPr>
            <w:tcW w:w="840" w:type="dxa"/>
            <w:vAlign w:val="bottom"/>
            <w:gridSpan w:val="7"/>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vMerge w:val="continue"/>
          </w:tcPr>
          <w:p>
            <w:pPr>
              <w:spacing w:after="0"/>
              <w:rPr>
                <w:sz w:val="24"/>
                <w:szCs w:val="24"/>
                <w:color w:val="auto"/>
              </w:rPr>
            </w:pP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544"/>
        </w:trPr>
        <w:tc>
          <w:tcPr>
            <w:tcW w:w="9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20"/>
                <w:szCs w:val="20"/>
                <w:color w:val="auto"/>
                <w:w w:val="99"/>
              </w:rPr>
              <w:t>PART III</w:t>
            </w:r>
          </w:p>
        </w:tc>
        <w:tc>
          <w:tcPr>
            <w:tcW w:w="1460" w:type="dxa"/>
            <w:vAlign w:val="bottom"/>
            <w:tcBorders>
              <w:top w:val="single" w:sz="8" w:color="auto"/>
            </w:tcBorders>
            <w:gridSpan w:val="3"/>
          </w:tcPr>
          <w:p>
            <w:pPr>
              <w:spacing w:after="0"/>
              <w:rPr>
                <w:sz w:val="24"/>
                <w:szCs w:val="24"/>
                <w:color w:val="auto"/>
              </w:rPr>
            </w:pPr>
          </w:p>
        </w:tc>
        <w:tc>
          <w:tcPr>
            <w:tcW w:w="21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456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w w:val="99"/>
              </w:rPr>
              <w:t>Directors, Executive Officers and Corporate Governance</w:t>
            </w:r>
          </w:p>
        </w:tc>
        <w:tc>
          <w:tcPr>
            <w:tcW w:w="3060" w:type="dxa"/>
            <w:vAlign w:val="bottom"/>
            <w:gridSpan w:val="8"/>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12.</w:t>
            </w:r>
          </w:p>
        </w:tc>
        <w:tc>
          <w:tcPr>
            <w:tcW w:w="620" w:type="dxa"/>
            <w:vAlign w:val="bottom"/>
            <w:shd w:val="clear" w:color="auto" w:fill="000000"/>
          </w:tcPr>
          <w:p>
            <w:pPr>
              <w:spacing w:after="0" w:line="20" w:lineRule="exact"/>
              <w:rPr>
                <w:sz w:val="1"/>
                <w:szCs w:val="1"/>
                <w:color w:val="auto"/>
              </w:rPr>
            </w:pPr>
          </w:p>
        </w:tc>
        <w:tc>
          <w:tcPr>
            <w:tcW w:w="1100" w:type="dxa"/>
            <w:vAlign w:val="bottom"/>
            <w:gridSpan w:val="8"/>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vMerge w:val="continue"/>
          </w:tcPr>
          <w:p>
            <w:pPr>
              <w:spacing w:after="0"/>
              <w:rPr>
                <w:sz w:val="24"/>
                <w:szCs w:val="24"/>
                <w:color w:val="auto"/>
              </w:rPr>
            </w:pPr>
          </w:p>
        </w:tc>
        <w:tc>
          <w:tcPr>
            <w:tcW w:w="760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20"/>
                <w:szCs w:val="20"/>
                <w:color w:val="auto"/>
              </w:rPr>
              <w:t>Securities Ownership of Certain Beneficial Owners and Management and Related Stockholder</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6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w w:val="98"/>
              </w:rPr>
              <w:t>Matters</w:t>
            </w:r>
          </w:p>
        </w:tc>
        <w:tc>
          <w:tcPr>
            <w:tcW w:w="7000" w:type="dxa"/>
            <w:vAlign w:val="bottom"/>
            <w:gridSpan w:val="30"/>
          </w:tcPr>
          <w:p>
            <w:pPr>
              <w:spacing w:after="0"/>
              <w:rPr>
                <w:sz w:val="19"/>
                <w:szCs w:val="19"/>
                <w:color w:val="auto"/>
              </w:rPr>
            </w:pPr>
          </w:p>
        </w:tc>
        <w:tc>
          <w:tcPr>
            <w:tcW w:w="16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318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9"/>
              </w:rPr>
              <w:t>Principal Accountant Fees and Services</w:t>
            </w:r>
          </w:p>
        </w:tc>
        <w:tc>
          <w:tcPr>
            <w:tcW w:w="2880" w:type="dxa"/>
            <w:vAlign w:val="bottom"/>
            <w:tcBorders>
              <w:top w:val="single" w:sz="8" w:color="auto"/>
            </w:tcBorders>
            <w:gridSpan w:val="12"/>
          </w:tcPr>
          <w:p>
            <w:pPr>
              <w:spacing w:after="0"/>
              <w:rPr>
                <w:sz w:val="24"/>
                <w:szCs w:val="24"/>
                <w:color w:val="auto"/>
              </w:rPr>
            </w:pPr>
          </w:p>
        </w:tc>
        <w:tc>
          <w:tcPr>
            <w:tcW w:w="1560" w:type="dxa"/>
            <w:vAlign w:val="bottom"/>
            <w:gridSpan w:val="4"/>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544"/>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20"/>
                <w:szCs w:val="20"/>
                <w:color w:val="auto"/>
              </w:rPr>
              <w:t>PART IV</w:t>
            </w:r>
          </w:p>
        </w:tc>
        <w:tc>
          <w:tcPr>
            <w:tcW w:w="364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762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8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350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0"/>
                <w:szCs w:val="20"/>
                <w:color w:val="auto"/>
              </w:rPr>
              <w:t>Form 10-K Summary</w:t>
            </w:r>
          </w:p>
        </w:tc>
        <w:tc>
          <w:tcPr>
            <w:tcW w:w="4120" w:type="dxa"/>
            <w:vAlign w:val="bottom"/>
            <w:gridSpan w:val="13"/>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1">
            <w:col w:w="10220"/>
          </w:cols>
          <w:pgMar w:left="860" w:top="74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2060" w:h="15660" w:orient="portrait"/>
          <w:cols w:equalWidth="0" w:num="1">
            <w:col w:w="10220"/>
          </w:cols>
          <w:pgMar w:left="860" w:top="741" w:right="980" w:bottom="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060" w:h="15660" w:orient="portrait"/>
          <w:cols w:equalWidth="0" w:num="1">
            <w:col w:w="9180"/>
          </w:cols>
          <w:pgMar w:left="1440" w:top="144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INTRODUCTORY NOTE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this Annual Report on Form 10-K, unless the context otherwise requires, references to:</w:t>
      </w:r>
    </w:p>
    <w:p>
      <w:pPr>
        <w:spacing w:after="0" w:line="210" w:lineRule="exact"/>
        <w:rPr>
          <w:sz w:val="20"/>
          <w:szCs w:val="20"/>
          <w:color w:val="auto"/>
        </w:rPr>
      </w:pPr>
    </w:p>
    <w:p>
      <w:pPr>
        <w:ind w:left="720" w:right="40" w:hanging="370"/>
        <w:spacing w:after="0" w:line="25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63"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December 31, 2022, there were no LLC Interests (as defined below) held by Bank Stockholders.</w:t>
      </w:r>
    </w:p>
    <w:p>
      <w:pPr>
        <w:spacing w:after="0" w:line="168" w:lineRule="exact"/>
        <w:rPr>
          <w:rFonts w:ascii="Times New Roman" w:cs="Times New Roman" w:eastAsia="Times New Roman" w:hAnsi="Times New Roman"/>
          <w:sz w:val="20"/>
          <w:szCs w:val="20"/>
          <w:color w:val="auto"/>
        </w:rPr>
      </w:pPr>
    </w:p>
    <w:p>
      <w:pPr>
        <w:ind w:left="720" w:right="100" w:hanging="370"/>
        <w:spacing w:after="0" w:line="269" w:lineRule="auto"/>
        <w:tabs>
          <w:tab w:leader="none" w:pos="7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6" w:lineRule="exact"/>
        <w:rPr>
          <w:rFonts w:ascii="Times New Roman" w:cs="Times New Roman" w:eastAsia="Times New Roman" w:hAnsi="Times New Roman"/>
          <w:sz w:val="19"/>
          <w:szCs w:val="19"/>
          <w:color w:val="auto"/>
        </w:rPr>
      </w:pPr>
    </w:p>
    <w:p>
      <w:pPr>
        <w:ind w:left="720" w:right="60" w:hanging="370"/>
        <w:spacing w:after="0" w:line="26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63" w:lineRule="exact"/>
        <w:rPr>
          <w:rFonts w:ascii="Times New Roman" w:cs="Times New Roman" w:eastAsia="Times New Roman" w:hAnsi="Times New Roman"/>
          <w:sz w:val="20"/>
          <w:szCs w:val="20"/>
          <w:color w:val="auto"/>
        </w:rPr>
      </w:pPr>
    </w:p>
    <w:p>
      <w:pPr>
        <w:ind w:left="720" w:right="60" w:hanging="37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55"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Transaction” refer to the acquisition of the Refinitiv business by London Stock Exchange Group plc (“LSEG”), in an all share transaction, which closed on January 29, 2021.</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LLC Owners” refer to the owners of TWM LLC prior to the Reorganization Transactions.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060" w:h="15660" w:orient="portrait"/>
          <w:cols w:equalWidth="0" w:num="1">
            <w:col w:w="10420"/>
          </w:cols>
          <w:pgMar w:left="820" w:top="741" w:right="820" w:bottom="0" w:gutter="0" w:footer="0" w:header="0"/>
          <w:type w:val="continuous"/>
        </w:sectPr>
      </w:pPr>
    </w:p>
    <w:bookmarkStart w:id="15" w:name="page16"/>
    <w:bookmarkEnd w:id="15"/>
    <w:p>
      <w:pPr>
        <w:ind w:left="720" w:hanging="370"/>
        <w:spacing w:after="0" w:line="25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68" w:lineRule="exact"/>
        <w:rPr>
          <w:rFonts w:ascii="Times New Roman" w:cs="Times New Roman" w:eastAsia="Times New Roman" w:hAnsi="Times New Roman"/>
          <w:sz w:val="20"/>
          <w:szCs w:val="20"/>
          <w:color w:val="auto"/>
        </w:rPr>
      </w:pPr>
    </w:p>
    <w:p>
      <w:pPr>
        <w:ind w:left="720" w:right="180" w:hanging="37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5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“Thomson Reuters” or “TR” refer to Thomson Reuters Corporation, which prior to the LSEG Transaction indirectly held a 45% ownership interest in Refinitiv.</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the International Swaps and Derivatives Association (“ISDA”), Clarus Financial Technology, TRAX, the Federal Reserve Bank of New York, Flow Traders,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Trademarks, Trade Names and Service Marks</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ectPr>
          <w:pgSz w:w="12060" w:h="15660" w:orient="portrait"/>
          <w:cols w:equalWidth="0" w:num="1">
            <w:col w:w="10420"/>
          </w:cols>
          <w:pgMar w:left="820" w:top="748" w:right="820" w:bottom="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060" w:h="15660" w:orient="portrait"/>
          <w:cols w:equalWidth="0" w:num="1">
            <w:col w:w="10420"/>
          </w:cols>
          <w:pgMar w:left="820" w:top="748" w:right="820" w:bottom="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2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55" w:lineRule="exact"/>
        <w:rPr>
          <w:sz w:val="20"/>
          <w:szCs w:val="20"/>
          <w:color w:val="auto"/>
        </w:rPr>
      </w:pPr>
    </w:p>
    <w:p>
      <w:pPr>
        <w:ind w:left="720" w:right="28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presentation with equal or greater prominence of the most comparable financial measure or measures calculated and presented in accordance with GAAP; and</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disclosing the purposes for which the registrant’s management uses the non-GAAP financial measure.</w:t>
      </w:r>
    </w:p>
    <w:p>
      <w:pPr>
        <w:spacing w:after="0" w:line="2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73"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20"/>
          <w:szCs w:val="20"/>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5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060" w:h="15660" w:orient="portrait"/>
          <w:cols w:equalWidth="0" w:num="1">
            <w:col w:w="10420"/>
          </w:cols>
          <w:pgMar w:left="820" w:top="741" w:right="820" w:bottom="0" w:gutter="0" w:footer="0" w:header="0"/>
          <w:type w:val="continuous"/>
        </w:sectPr>
      </w:pPr>
    </w:p>
    <w:bookmarkStart w:id="17" w:name="page18"/>
    <w:bookmarkEnd w:id="17"/>
    <w:p>
      <w:pPr>
        <w:ind w:right="80"/>
        <w:spacing w:after="0" w:line="260" w:lineRule="auto"/>
        <w:rPr>
          <w:sz w:val="20"/>
          <w:szCs w:val="20"/>
          <w:color w:val="auto"/>
        </w:rPr>
      </w:pPr>
      <w:r>
        <w:rPr>
          <w:rFonts w:ascii="Times New Roman" w:cs="Times New Roman" w:eastAsia="Times New Roman" w:hAnsi="Times New Roman"/>
          <w:sz w:val="20"/>
          <w:szCs w:val="20"/>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63" w:lineRule="exact"/>
        <w:rPr>
          <w:sz w:val="20"/>
          <w:szCs w:val="20"/>
          <w:color w:val="auto"/>
        </w:rPr>
      </w:pPr>
    </w:p>
    <w:p>
      <w:pPr>
        <w:ind w:left="720" w:right="4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Adjusted EBITDA, Adjusted EBIT, Adjusted Net Income and Adjusted Diluted EPS do not reflect every expenditure, future requirements for capital expenditures or contractual commitments;</w:t>
      </w:r>
    </w:p>
    <w:p>
      <w:pPr>
        <w:spacing w:after="0" w:line="141"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changes in our working capital needs;</w:t>
      </w:r>
    </w:p>
    <w:p>
      <w:pPr>
        <w:spacing w:after="0" w:line="14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any interest expense, or the amounts necessary to service interest or principal payments on any debt obligations;</w:t>
      </w:r>
    </w:p>
    <w:p>
      <w:pPr>
        <w:spacing w:after="0" w:line="141" w:lineRule="exact"/>
        <w:rPr>
          <w:rFonts w:ascii="Times New Roman" w:cs="Times New Roman" w:eastAsia="Times New Roman" w:hAnsi="Times New Roman"/>
          <w:sz w:val="20"/>
          <w:szCs w:val="20"/>
          <w:color w:val="auto"/>
        </w:rPr>
      </w:pPr>
    </w:p>
    <w:p>
      <w:pPr>
        <w:ind w:left="720" w:right="10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income tax expense, which is a necessary element of our costs and ability to operate;</w:t>
      </w:r>
    </w:p>
    <w:p>
      <w:pPr>
        <w:spacing w:after="0" w:line="141" w:lineRule="exact"/>
        <w:rPr>
          <w:rFonts w:ascii="Times New Roman" w:cs="Times New Roman" w:eastAsia="Times New Roman" w:hAnsi="Times New Roman"/>
          <w:sz w:val="20"/>
          <w:szCs w:val="20"/>
          <w:color w:val="auto"/>
        </w:rPr>
      </w:pPr>
    </w:p>
    <w:p>
      <w:pPr>
        <w:jc w:val="both"/>
        <w:ind w:left="720" w:right="60" w:hanging="370"/>
        <w:spacing w:after="0" w:line="26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63" w:lineRule="exact"/>
        <w:rPr>
          <w:rFonts w:ascii="Times New Roman" w:cs="Times New Roman" w:eastAsia="Times New Roman" w:hAnsi="Times New Roman"/>
          <w:sz w:val="20"/>
          <w:szCs w:val="20"/>
          <w:color w:val="auto"/>
        </w:rPr>
      </w:pPr>
    </w:p>
    <w:p>
      <w:pPr>
        <w:jc w:val="both"/>
        <w:ind w:left="720" w:right="760" w:hanging="370"/>
        <w:spacing w:after="0" w:line="309" w:lineRule="auto"/>
        <w:tabs>
          <w:tab w:leader="none" w:pos="7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Adjusted EBIT, Adjusted Net Income and Adjusted Diluted EPS do not reflect the noncash component of certain employee compensation expense or payroll taxes associated with certain option exercises;</w:t>
      </w:r>
    </w:p>
    <w:p>
      <w:pPr>
        <w:spacing w:after="0" w:line="117" w:lineRule="exact"/>
        <w:rPr>
          <w:rFonts w:ascii="Times New Roman" w:cs="Times New Roman" w:eastAsia="Times New Roman" w:hAnsi="Times New Roman"/>
          <w:sz w:val="19"/>
          <w:szCs w:val="19"/>
          <w:color w:val="auto"/>
        </w:rPr>
      </w:pPr>
    </w:p>
    <w:p>
      <w:pPr>
        <w:jc w:val="both"/>
        <w:ind w:left="720" w:right="680" w:hanging="370"/>
        <w:spacing w:after="0" w:line="26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Constant currency measures do not reflect the impact of foreign currency fluctuations; and</w:t>
      </w:r>
    </w:p>
    <w:p>
      <w:pPr>
        <w:spacing w:after="0" w:line="210" w:lineRule="exact"/>
        <w:rPr>
          <w:rFonts w:ascii="Times New Roman" w:cs="Times New Roman" w:eastAsia="Times New Roman" w:hAnsi="Times New Roman"/>
          <w:sz w:val="20"/>
          <w:szCs w:val="20"/>
          <w:color w:val="auto"/>
        </w:rPr>
      </w:pPr>
    </w:p>
    <w:p>
      <w:pPr>
        <w:ind w:left="720" w:right="140" w:hanging="370"/>
        <w:spacing w:after="0" w:line="26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55"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We compensate for these limitations by relying primarily on our GAAP results and using Free Cash Flow, Adjusted EBITDA, Adjusted EBIT, Adjusted Net Income, Adjusted Diluted EPS and constant currency measures only as supplemental information.</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060" w:h="15660" w:orient="portrait"/>
          <w:cols w:equalWidth="0" w:num="1">
            <w:col w:w="10400"/>
          </w:cols>
          <w:pgMar w:left="820" w:top="748" w:right="840" w:bottom="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under Part I, Item 1. – “Business,” Part I, Item 1A. – “Risk Factors” and Part II, Item 7. – “Management’s Discussion and Analysis of Financial Condition and Results of Operations” are forward-looking statements.</w:t>
      </w:r>
    </w:p>
    <w:p>
      <w:pPr>
        <w:spacing w:after="0" w:line="17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7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Some of the factors that could cause actual results to differ materially from those expressed or implied by the forward-looking statements include:</w:t>
      </w:r>
    </w:p>
    <w:p>
      <w:pPr>
        <w:spacing w:after="0" w:line="141"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political, social and market conditions and the impact of these changes on trading volumes;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compete successfully;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adapt our business effectively to keep pace with industry changes;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and concentration in the financial services industry;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dealer clients;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defects, errors, failures or delays with our platforms or solutions;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 for certain market data and certain key functions;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achieve our environmental, social and governance goals;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strategies profitably;</w:t>
      </w:r>
    </w:p>
    <w:p>
      <w:pPr>
        <w:spacing w:after="0" w:line="210" w:lineRule="exact"/>
        <w:rPr>
          <w:rFonts w:ascii="Times New Roman" w:cs="Times New Roman" w:eastAsia="Times New Roman" w:hAnsi="Times New Roman"/>
          <w:sz w:val="20"/>
          <w:szCs w:val="20"/>
          <w:color w:val="auto"/>
        </w:rPr>
      </w:pPr>
    </w:p>
    <w:p>
      <w:pPr>
        <w:ind w:left="720" w:right="40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any acquisition or to realize benefits from any strategic alliances, partnerships or joint ventures;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maintain and grow the capacity of our trading platforms, systems and infrastructure;</w:t>
      </w:r>
    </w:p>
    <w:p>
      <w:pPr>
        <w:spacing w:after="0" w:line="210" w:lineRule="exact"/>
        <w:rPr>
          <w:rFonts w:ascii="Times New Roman" w:cs="Times New Roman" w:eastAsia="Times New Roman" w:hAnsi="Times New Roman"/>
          <w:sz w:val="20"/>
          <w:szCs w:val="20"/>
          <w:color w:val="auto"/>
        </w:rPr>
      </w:pPr>
    </w:p>
    <w:p>
      <w:pPr>
        <w:ind w:left="720" w:right="80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systems failures, interruptions, delays in services, cybersecurity incidents, catastrophic events and any resulting interruptions;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protection of our intellectual property;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services of our senior management team;</w:t>
      </w:r>
    </w:p>
    <w:p>
      <w:pPr>
        <w:spacing w:after="0" w:line="210" w:lineRule="exact"/>
        <w:rPr>
          <w:rFonts w:ascii="Times New Roman" w:cs="Times New Roman" w:eastAsia="Times New Roman" w:hAnsi="Times New Roman"/>
          <w:sz w:val="20"/>
          <w:szCs w:val="20"/>
          <w:color w:val="auto"/>
        </w:rPr>
      </w:pPr>
    </w:p>
    <w:p>
      <w:pPr>
        <w:ind w:left="720" w:right="10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060" w:h="15660" w:orient="portrait"/>
          <w:cols w:equalWidth="0" w:num="1">
            <w:col w:w="10420"/>
          </w:cols>
          <w:pgMar w:left="820" w:top="741" w:right="820" w:bottom="0" w:gutter="0" w:footer="0" w:header="0"/>
          <w:type w:val="continuous"/>
        </w:sectPr>
      </w:pPr>
    </w:p>
    <w:bookmarkStart w:id="19" w:name="page20"/>
    <w:bookmarkEnd w:id="19"/>
    <w:p>
      <w:pPr>
        <w:jc w:val="both"/>
        <w:ind w:left="720" w:right="400" w:hanging="370"/>
        <w:spacing w:after="0" w:line="26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any benefit from our organizational structure;</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Refinitiv’s, and indirectly LSEG’s, control of us and our status as a controlled company; and</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including those listed under Part I, Item 1A. – “Risk Factors.”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Given these risks and uncertainties, you are cautioned not to place undue reliance on such forward-looking statements. The forward-looking statements contained in this Annual Report on Form 10-K are not guarantees of future performance and our actual results of operations, financial condition or liquidity, and the development of the industry and markets in which we operate, may differ materially from the forward-looking statements contained in this Annual Report on Form 10-K. In addition, even if our results of operations, financial condition or liquidity, and events in the industry and markets in which we operate, are consistent with the forward-looking statements contained in this Annual Report on Form 10-K, they may not be predictive of results or developments in future periods.</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060" w:h="15660" w:orient="portrait"/>
          <w:cols w:equalWidth="0" w:num="1">
            <w:col w:w="10400"/>
          </w:cols>
          <w:pgMar w:left="820" w:top="748" w:right="840" w:bottom="0" w:gutter="0" w:footer="0" w:header="0"/>
          <w:type w:val="continuous"/>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139700</wp:posOffset>
            </wp:positionV>
            <wp:extent cx="3429000" cy="2298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3429000" cy="229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technology supports multiple asset classes, trading protocols and geographies, and as a result, we are able to provide a broad spectrum of solutions and cost savings to our clients. 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060" w:h="15660" w:orient="portrait"/>
          <w:cols w:equalWidth="0" w:num="1">
            <w:col w:w="10420"/>
          </w:cols>
          <w:pgMar w:left="820" w:top="741" w:right="820" w:bottom="0" w:gutter="0" w:footer="0" w:header="0"/>
          <w:type w:val="continuous"/>
        </w:sectPr>
      </w:pPr>
    </w:p>
    <w:bookmarkStart w:id="21" w:name="page22"/>
    <w:bookmarkEnd w:id="21"/>
    <w:p>
      <w:pPr>
        <w:ind w:right="180"/>
        <w:spacing w:after="0" w:line="260" w:lineRule="auto"/>
        <w:rPr>
          <w:sz w:val="20"/>
          <w:szCs w:val="20"/>
          <w:color w:val="auto"/>
        </w:rPr>
      </w:pPr>
      <w:r>
        <w:rPr>
          <w:rFonts w:ascii="Times New Roman" w:cs="Times New Roman" w:eastAsia="Times New Roman" w:hAnsi="Times New Roman"/>
          <w:sz w:val="20"/>
          <w:szCs w:val="20"/>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Evolution</w:t>
      </w:r>
    </w:p>
    <w:p>
      <w:pPr>
        <w:spacing w:after="0" w:line="2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&amp; Co. in 2008 and Rafferty Capital Markets in 2011, and developed technology to facilitate the migration of inefficient wholesale voice markets to more efficient and transparent electronic markets. In June 2021, we acquired Nasdaq’s U.S. fixed income electronic trading platform. The addition of this fully-electronic CLOB (central limit order book) offers a flexible, efficient approach to trading in the wholesale U.S. Treasury market. In addition,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17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blast all-to-all (“A2A”) trading protocol across our global credit marketplaces and portfolio trading.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$7.9 trillion through December 31, 2022, according to industry sources and management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Network of Clients, Products, Geographies and Protocols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clients continue to use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continues to grow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060" w:h="15660" w:orient="portrait"/>
          <w:cols w:equalWidth="0" w:num="1">
            <w:col w:w="10380"/>
          </w:cols>
          <w:pgMar w:left="820" w:top="748" w:right="860" w:bottom="0" w:gutter="0" w:footer="0" w:header="0"/>
          <w:type w:val="continuous"/>
        </w:sectPr>
      </w:pPr>
    </w:p>
    <w:bookmarkStart w:id="22" w:name="page23"/>
    <w:bookmarkEnd w:id="22"/>
    <w:p>
      <w:pPr>
        <w:ind w:right="120"/>
        <w:spacing w:after="0" w:line="256" w:lineRule="auto"/>
        <w:rPr>
          <w:sz w:val="20"/>
          <w:szCs w:val="20"/>
          <w:color w:val="auto"/>
        </w:rPr>
      </w:pPr>
      <w:r>
        <w:rPr>
          <w:rFonts w:ascii="Times New Roman" w:cs="Times New Roman" w:eastAsia="Times New Roman" w:hAnsi="Times New Roman"/>
          <w:sz w:val="20"/>
          <w:szCs w:val="20"/>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ETP-traded Yen-denominated interest rate swaps and European ETFs. We cover all major client sectors participating in electronic trading, including the institutional, wholesale and retail client sectors. In addition, we provide a full spectrum of trading protocols including voice, sweeps (session-based trading), RFQ, CLOB, A2A and portfolio trading, among others.</w:t>
      </w:r>
    </w:p>
    <w:p>
      <w:pPr>
        <w:spacing w:after="0" w:line="1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 of Collaborative Innovation</w:t>
      </w:r>
    </w:p>
    <w:p>
      <w:pPr>
        <w:spacing w:after="0" w:line="2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More recently, we introduced Tradeweb’s Rematch, an industry-exclusive solution, offering institutional investors trading within AllTrade previously unavailable access to hundreds of millions of dollars in unmatched risk from dealers’ sessions, opening the door to a significantly larger pool of liquidity. We were also the first trading platform to offer portfolio trading for corporate bonds, creating a new and efficient way for participants to move risk.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our Round Robin functionality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Scalable and Flexible Technology</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Global Regulatory Footprint and Domain Expertise</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 and post-trade systems necessary to comply with their regulatory obligations.</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060" w:h="15660" w:orient="portrait"/>
          <w:cols w:equalWidth="0" w:num="1">
            <w:col w:w="10400"/>
          </w:cols>
          <w:pgMar w:left="820" w:top="748" w:right="84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Platforms and Solutions Empowered by Data and Analytics</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2022, the percentage of trades executed by our institutional clients using our AiEX functionality was over 30% of total institutional trades, up from 6% in 2015, and we are seeing demand for AiEX continue to grow across some of our key products, including U.S. treasuries, European government bonds, global swaps, U.S. corporate bonds and global ETFs.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Our over 25 year operating history has allowed us to build comprehensive and unique datasets across our markets and, as we add new products to our platforms, we will continue to create new datasets that may be monetized in the future. Our marketplaces generate valuable data, processing on average over 90,000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are also continuously developing new offerings and solutions to meet the changing needs of our clients. For example, in 2022 we launched Automated Intelligent Pricing (“Ai-Price”), an innovative bond pricing engine that applies data science to help make markets more efficient and delivers reliable reference pricing for U.S. corporate and municipal bonds, regardless of how frequently a bond trades. Clients now leverage the service to power their AiEX auto-trading, portfolio trading, and Transaction Cost Analysis (“TCA”).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Experienced Management Team</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Mr. Billy Hult, who has been at the Company for 20 years and took over as our Chief Executive Officer effective January 1, 2023 and new executives, including Mr. Thomas Pluta, who became our next President effective as of January 1, 2023.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Strategies</w:t>
      </w:r>
    </w:p>
    <w:p>
      <w:pPr>
        <w:spacing w:after="0" w:line="21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 to Grow Our Existing Markets</w:t>
      </w:r>
    </w:p>
    <w:p>
      <w:pPr>
        <w:spacing w:after="0" w:line="21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We believe there are significant opportunities to generate additional revenue from secular and cyclical tailwinds in our existing markets: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Underlying Asset Classes</w:t>
      </w:r>
    </w:p>
    <w:p>
      <w:pPr>
        <w:spacing w:after="0" w:line="2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interest rate derivatives, ETFs, repurchase agreements and credit cash products.</w:t>
      </w:r>
    </w:p>
    <w:p>
      <w:pPr>
        <w:sectPr>
          <w:pgSz w:w="12060" w:h="15660" w:orient="portrait"/>
          <w:cols w:equalWidth="0" w:num="1">
            <w:col w:w="10400"/>
          </w:cols>
          <w:pgMar w:left="820" w:top="739" w:right="840" w:bottom="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060" w:h="15660" w:orient="portrait"/>
          <w:cols w:equalWidth="0" w:num="1">
            <w:col w:w="10400"/>
          </w:cols>
          <w:pgMar w:left="820" w:top="739" w:right="84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Market Share</w:t>
      </w:r>
    </w:p>
    <w:p>
      <w:pPr>
        <w:spacing w:after="0" w:line="21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Electronification of Our Markets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w:t>
      </w:r>
    </w:p>
    <w:p>
      <w:pPr>
        <w:spacing w:after="0" w:line="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2013 and MiFID II in 2018 and we saw strong electronification increases in U.S. corporate bonds, repurchase agreements and swaps during the COVID-19 pandemic. We are well positioned to continue to innovate and provide better electronic markets and solutions that satisfy the needs of our clients and that meet changing market demands and evolving regulatory standards.</w:t>
      </w:r>
    </w:p>
    <w:p>
      <w:pPr>
        <w:spacing w:after="0" w:line="1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believe that U.S. treasuries, global interest rate swaps, global ETFs, in particular, institutional block ETFs, U.S. credit products, including corporate high grade and high yield bonds, emerging markets and retail products overall,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 Our Product Set and Reach</w:t>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have grown our business by prudently expanding our offerings to add new products and asset classes, and we expect to continue to invest to add new products and expand into new complementary markets as client demand and market trends evolve. In 2017, we expanded into China to offer our global clients access to the Chinese bond market through our initiative with BondConnect, where Northbound trading began in 2017, and in 2020 we launched CIBM Direct. During 2021, we completed our first Southbound BondConnect transactions for various bonds tradable in the Hong Kong bond market, offering onshore investors enhanced access to oversees liquidity, pre-trade transparency and innovative trading protocols. We continue to focus on these initiatives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ectPr>
          <w:pgSz w:w="12060" w:h="15660" w:orient="portrait"/>
          <w:cols w:equalWidth="0" w:num="1">
            <w:col w:w="10400"/>
          </w:cols>
          <w:pgMar w:left="820" w:top="7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060" w:h="15660" w:orient="portrait"/>
          <w:cols w:equalWidth="0" w:num="1">
            <w:col w:w="10400"/>
          </w:cols>
          <w:pgMar w:left="820" w:top="744" w:right="840" w:bottom="0" w:gutter="0" w:footer="0" w:header="0"/>
          <w:type w:val="continuous"/>
        </w:sectPr>
      </w:pPr>
    </w:p>
    <w:bookmarkStart w:id="25" w:name="page26"/>
    <w:bookmarkEnd w:id="25"/>
    <w:p>
      <w:pPr>
        <w:ind w:right="40"/>
        <w:spacing w:after="0" w:line="254" w:lineRule="auto"/>
        <w:rPr>
          <w:sz w:val="20"/>
          <w:szCs w:val="20"/>
          <w:color w:val="auto"/>
        </w:rPr>
      </w:pPr>
      <w:r>
        <w:rPr>
          <w:rFonts w:ascii="Times New Roman" w:cs="Times New Roman" w:eastAsia="Times New Roman" w:hAnsi="Times New Roman"/>
          <w:sz w:val="20"/>
          <w:szCs w:val="20"/>
          <w:color w:val="auto"/>
        </w:rPr>
        <w:t>In addition, we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involves offering our existing products in new geographies and then adding local products. In addition, we believe our trading models in one product or asset class are transferable to other products or asset classes, irrespective of geography. For example, we have leveraged our session-based trading technology in European corporate bonds for session-based trading in U.S. corporate bonds and Off-the-Run U.S. treasuries. We have significant scale and breadth across our platforms, which position us well to take advantage of favorable market dynamics when introducing new products or solutions or entering into new markets.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Enhance Underlying Data and Analytics Capabilities to Develop Innovative Solutions</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pacing w:after="0" w:line="15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We also have a roster of closing prices partnering with the Financial Times Stock Exchange Group (“FTSE”) for UK Gilts and Intercontinental Exchange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Pursue Strategic Acquisitions and Alliances</w:t>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As part of our culture of collaborative innovation, throughout our history we have completed various acquisitions and initiated several formal strategic alliances. These alliances have taken several forms, including distribution partnerships, technological alliances and other financial arrangements. We intend to continue to selectively consider opportunities to grow through strategic alliances and acquisitions. For example, in November 2022, we entered into a multi-year partnership with BlackRock with the goal to integrate our credit trading solutions and data into BlackRock’s Aladdin order execution management system and in June 2021, we acquired Nasdaq’s U.S. fixed income electronic trading platform. These and other opportunities should enhance our existing capabilities, allow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Client Sectors</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have a powerful network of approximately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6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We provide deep liquidity pools to the institutional, wholesale and retail client sectors through our Tradeweb Institutional, Dealerweb and Tradeweb Direct platforms. We are dependent on our dealer clients to support our marketplaces by providing liquidity on our trading platforms, and certain of our dealer clients may account for a significant portion of our trading volume. Market knowledge and feedback from these dealer clients have also been important factors in the development of many of our offerings and solutions.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060" w:h="15660" w:orient="portrait"/>
          <w:cols w:equalWidth="0" w:num="1">
            <w:col w:w="10420"/>
          </w:cols>
          <w:pgMar w:left="820" w:top="748" w:right="820" w:bottom="0" w:gutter="0" w:footer="0" w:header="0"/>
          <w:type w:val="continuous"/>
        </w:sectPr>
      </w:pPr>
    </w:p>
    <w:bookmarkStart w:id="26" w:name="page27"/>
    <w:bookmarkEnd w:id="26"/>
    <w:p>
      <w:pPr>
        <w:ind w:right="80"/>
        <w:spacing w:after="0" w:line="254" w:lineRule="auto"/>
        <w:rPr>
          <w:sz w:val="20"/>
          <w:szCs w:val="20"/>
          <w:color w:val="auto"/>
        </w:rPr>
      </w:pPr>
      <w:r>
        <w:rPr>
          <w:rFonts w:ascii="Times New Roman" w:cs="Times New Roman" w:eastAsia="Times New Roman" w:hAnsi="Times New Roman"/>
          <w:sz w:val="20"/>
          <w:szCs w:val="20"/>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Tradeweb Institutional offers dealer-to-client and all-to-all trading and related solutions to approximately 1,950 liquidity-taking clients. Our clients include leading asset managers, hedge funds, insurance companies, regional dealers and central banks/ sovereign entities. The Tradeweb Institutional platform serves 90% of the world’s largest 100 asset managers, over 80% of the top 25 insurance companies and over 55 central banks/sovereign entities with more than 150 dealers providing liquidity.</w:t>
      </w:r>
    </w:p>
    <w:p>
      <w:pPr>
        <w:spacing w:after="0" w:line="1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Tradeweb Institutional offers trading in a wide variety of products, including U.S. treasuries, European government bonds, TBA MBS, global interest rate swaps, global corporate bonds and ETFs, among others. Our trading protocols include RFQ, Request-for-Market, Request-for-Stream, list trading, compression, blast all-to-all, Click-to-Trade, portfolio trading and inventory-based.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Wholesale</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provide fully electronic, hybrid and voice trading for the wholesale community on our Dealerweb platform. Our clients include approximately 300 dealers and financial institutions with more than 100 actively trading on our electronic and hybrid markets. Nearly all of our electronic and hybrid dealer clients also trade on the Tradeweb Institutional and Tradeweb Direct platforms. Dealerweb’s leading markets include TBA MBS, global credit products, U.S. treasuries, repurchase agreements, U.S. dollar-denominated swaps and U.S. ETFs.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85% growth in the number of e-participants on our wholesale client sector markets since 2016.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Tradeweb Direct, our regulated Alternative Trading System (“ATS”), offers financial advisors and their retail clients access to micro-lot liquidity provided by our network of broker-dealers. Tradeweb Direct serves over 40,000 financial advisors at approximately 250 retail brokerage and advisory firms. In addition, certain Tradeweb Direct clients provide access to over 40,000 retail clients through white-labeled, web-based front ends. Tradeweb Direct also provides access to its ATS to large and middle-market asset managers. Tradeweb Direct offers trading in a range of products, including U.S. corporate bonds, treasuries, municipal bonds, structured products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Asset Classes and Products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offer efficient and transparent trading across a diverse range of asset classes:</w:t>
      </w:r>
    </w:p>
    <w:p>
      <w:pPr>
        <w:spacing w:after="0" w:line="206" w:lineRule="exact"/>
        <w:rPr>
          <w:sz w:val="20"/>
          <w:szCs w:val="20"/>
          <w:color w:val="auto"/>
        </w:rPr>
      </w:pPr>
    </w:p>
    <w:p>
      <w:pPr>
        <w:ind w:left="720" w:right="360" w:hanging="370"/>
        <w:spacing w:after="0" w:line="26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Rates</w:t>
      </w:r>
      <w:r>
        <w:rPr>
          <w:rFonts w:ascii="Times New Roman" w:cs="Times New Roman" w:eastAsia="Times New Roman" w:hAnsi="Times New Roman"/>
          <w:sz w:val="20"/>
          <w:szCs w:val="20"/>
          <w:color w:val="auto"/>
        </w:rPr>
        <w:t>: We facilitate trading in a broad range of cash and derivatives rates products, including major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such as U.S. treasury securities and European government bonds, mortgage-backed securities, interest rate swaps and agency/supranational securities and other rates products.</w:t>
      </w:r>
    </w:p>
    <w:p>
      <w:pPr>
        <w:spacing w:after="0" w:line="149" w:lineRule="exact"/>
        <w:rPr>
          <w:rFonts w:ascii="Times New Roman" w:cs="Times New Roman" w:eastAsia="Times New Roman" w:hAnsi="Times New Roman"/>
          <w:sz w:val="20"/>
          <w:szCs w:val="20"/>
          <w:color w:val="auto"/>
        </w:rPr>
      </w:pPr>
    </w:p>
    <w:p>
      <w:pPr>
        <w:ind w:left="720" w:right="520" w:hanging="370"/>
        <w:spacing w:after="0" w:line="26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Credit</w:t>
      </w:r>
      <w:r>
        <w:rPr>
          <w:rFonts w:ascii="Times New Roman" w:cs="Times New Roman" w:eastAsia="Times New Roman" w:hAnsi="Times New Roman"/>
          <w:sz w:val="20"/>
          <w:szCs w:val="20"/>
          <w:color w:val="auto"/>
        </w:rPr>
        <w:t>: We offer deep pools of liquidity for our clients in cash and derivatives credit products, including U.S.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European high grade and high yield bonds, China bonds, municipal bonds, index, single name and sovereign credit default swaps and other credit products.</w:t>
      </w:r>
    </w:p>
    <w:p>
      <w:pPr>
        <w:spacing w:after="0" w:line="149" w:lineRule="exact"/>
        <w:rPr>
          <w:rFonts w:ascii="Times New Roman" w:cs="Times New Roman" w:eastAsia="Times New Roman" w:hAnsi="Times New Roman"/>
          <w:sz w:val="20"/>
          <w:szCs w:val="20"/>
          <w:color w:val="auto"/>
        </w:rPr>
      </w:pPr>
    </w:p>
    <w:p>
      <w:pPr>
        <w:ind w:left="720" w:right="20" w:hanging="370"/>
        <w:spacing w:after="0" w:line="28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Equities</w:t>
      </w:r>
      <w:r>
        <w:rPr>
          <w:rFonts w:ascii="Times New Roman" w:cs="Times New Roman" w:eastAsia="Times New Roman" w:hAnsi="Times New Roman"/>
          <w:sz w:val="20"/>
          <w:szCs w:val="20"/>
          <w:color w:val="auto"/>
        </w:rPr>
        <w:t>: We offer trading in a range of cash and derivatives equities products, including global ETFs, equity derivatives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equities products.</w:t>
      </w:r>
    </w:p>
    <w:p>
      <w:pPr>
        <w:spacing w:after="0" w:line="131" w:lineRule="exact"/>
        <w:rPr>
          <w:rFonts w:ascii="Times New Roman" w:cs="Times New Roman" w:eastAsia="Times New Roman" w:hAnsi="Times New Roman"/>
          <w:sz w:val="20"/>
          <w:szCs w:val="20"/>
          <w:color w:val="auto"/>
        </w:rPr>
      </w:pPr>
    </w:p>
    <w:p>
      <w:pPr>
        <w:ind w:left="720" w:hanging="370"/>
        <w:spacing w:after="0" w:line="313" w:lineRule="auto"/>
        <w:tabs>
          <w:tab w:leader="none" w:pos="7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Money Markets</w:t>
      </w:r>
      <w:r>
        <w:rPr>
          <w:rFonts w:ascii="Times New Roman" w:cs="Times New Roman" w:eastAsia="Times New Roman" w:hAnsi="Times New Roman"/>
          <w:sz w:val="19"/>
          <w:szCs w:val="19"/>
          <w:color w:val="auto"/>
        </w:rPr>
        <w:t>: We offer trading in a broad range of cash money market products, including commercial paper, agency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discount notes, repurchase agreements, certificates of deposit and treasury bills and other money markets products.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060" w:h="15660" w:orient="portrait"/>
          <w:cols w:equalWidth="0" w:num="1">
            <w:col w:w="10420"/>
          </w:cols>
          <w:pgMar w:left="820" w:top="748" w:right="820" w:bottom="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507365</wp:posOffset>
            </wp:positionV>
            <wp:extent cx="6515100" cy="299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515100" cy="299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Geographies</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have a global footprint serving approximately 2,500 clients in over 65 countries across the Americas, EMEA (Europe, Middle East and Africa) and APAC (Asia Pacific) regions and with offices in North America, Europe and Asia. By region:</w:t>
      </w:r>
    </w:p>
    <w:p>
      <w:pPr>
        <w:spacing w:after="0" w:line="141"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serve approximately 1,500 clients in the Americas across North, Central and South America.</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serve approximately 700 clients in EMEA across Europe, the Middle East and North Africa.</w:t>
      </w:r>
    </w:p>
    <w:p>
      <w:pPr>
        <w:spacing w:after="0" w:line="210" w:lineRule="exact"/>
        <w:rPr>
          <w:rFonts w:ascii="Times New Roman" w:cs="Times New Roman" w:eastAsia="Times New Roman" w:hAnsi="Times New Roman"/>
          <w:sz w:val="20"/>
          <w:szCs w:val="20"/>
          <w:color w:val="auto"/>
        </w:rPr>
      </w:pPr>
    </w:p>
    <w:p>
      <w:pPr>
        <w:ind w:right="960" w:firstLine="350"/>
        <w:spacing w:after="0" w:line="459"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serve approximately 300 clients in APAC across Asia, the Pacific, Oceania and the Indian sub-continent. In addition, we currently support trading across over 25 currencies globally.</w:t>
      </w:r>
    </w:p>
    <w:p>
      <w:pPr>
        <w:ind w:right="140"/>
        <w:spacing w:after="0" w:line="286" w:lineRule="auto"/>
        <w:rPr>
          <w:sz w:val="20"/>
          <w:szCs w:val="20"/>
          <w:color w:val="auto"/>
        </w:rPr>
      </w:pPr>
      <w:r>
        <w:rPr>
          <w:rFonts w:ascii="Times New Roman" w:cs="Times New Roman" w:eastAsia="Times New Roman" w:hAnsi="Times New Roman"/>
          <w:sz w:val="19"/>
          <w:szCs w:val="19"/>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1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We provide clients with solutions across the trade lifecycle including pre-trade data and analytics, intelligent trade execution, straight-through processing and post-trade data, analytics and reporting.</w:t>
      </w:r>
    </w:p>
    <w:p>
      <w:pPr>
        <w:spacing w:after="0" w:line="137" w:lineRule="exact"/>
        <w:rPr>
          <w:sz w:val="20"/>
          <w:szCs w:val="20"/>
          <w:color w:val="auto"/>
        </w:rPr>
      </w:pPr>
    </w:p>
    <w:p>
      <w:pPr>
        <w:ind w:left="720" w:right="200" w:hanging="370"/>
        <w:spacing w:after="0" w:line="25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Pre-Trade Data and Analytics</w:t>
      </w:r>
      <w:r>
        <w:rPr>
          <w:rFonts w:ascii="Times New Roman" w:cs="Times New Roman" w:eastAsia="Times New Roman" w:hAnsi="Times New Roman"/>
          <w:sz w:val="20"/>
          <w:szCs w:val="20"/>
          <w:color w:val="auto"/>
        </w:rPr>
        <w:t>: We provide clients with accurate, real-time market data and streaming price updates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approximately 25,000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69" w:lineRule="exact"/>
        <w:rPr>
          <w:rFonts w:ascii="Times New Roman" w:cs="Times New Roman" w:eastAsia="Times New Roman" w:hAnsi="Times New Roman"/>
          <w:sz w:val="20"/>
          <w:szCs w:val="20"/>
          <w:color w:val="auto"/>
        </w:rPr>
      </w:pPr>
    </w:p>
    <w:p>
      <w:pPr>
        <w:ind w:left="720" w:right="36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we provide Refinitiv with certain real-time market data feeds for multiple fixed income and derivatives products under an exclusive license pursuant to which Refinitiv redistributes such market data to its customers on its Eikon platform and through direct feeds.</w:t>
      </w:r>
    </w:p>
    <w:p>
      <w:pPr>
        <w:spacing w:after="0" w:line="151" w:lineRule="exact"/>
        <w:rPr>
          <w:rFonts w:ascii="Times New Roman" w:cs="Times New Roman" w:eastAsia="Times New Roman" w:hAnsi="Times New Roman"/>
          <w:sz w:val="20"/>
          <w:szCs w:val="20"/>
          <w:color w:val="auto"/>
        </w:rPr>
      </w:pPr>
    </w:p>
    <w:p>
      <w:pPr>
        <w:ind w:left="720" w:hanging="370"/>
        <w:spacing w:after="0" w:line="262"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Execution</w:t>
      </w:r>
      <w:r>
        <w:rPr>
          <w:rFonts w:ascii="Times New Roman" w:cs="Times New Roman" w:eastAsia="Times New Roman" w:hAnsi="Times New Roman"/>
          <w:sz w:val="20"/>
          <w:szCs w:val="20"/>
          <w:color w:val="auto"/>
        </w:rPr>
        <w:t>: Trade execution is at the core of our business. We provide marketplaces and tools that facilitate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ectPr>
          <w:pgSz w:w="12060" w:h="15660" w:orient="portrait"/>
          <w:cols w:equalWidth="0" w:num="1">
            <w:col w:w="10380"/>
          </w:cols>
          <w:pgMar w:left="820" w:top="1440" w:right="860" w:bottom="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060" w:h="15660" w:orient="portrait"/>
          <w:cols w:equalWidth="0" w:num="1">
            <w:col w:w="10380"/>
          </w:cols>
          <w:pgMar w:left="820" w:top="1440" w:right="860" w:bottom="0" w:gutter="0" w:footer="0" w:header="0"/>
          <w:type w:val="continuous"/>
        </w:sectPr>
      </w:pPr>
    </w:p>
    <w:bookmarkStart w:id="28" w:name="page29"/>
    <w:bookmarkEnd w:id="28"/>
    <w:p>
      <w:pPr>
        <w:ind w:left="820" w:hanging="370"/>
        <w:spacing w:after="0" w:line="270" w:lineRule="auto"/>
        <w:tabs>
          <w:tab w:leader="none" w:pos="82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Request-for-quote.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multi-dealer request-for-quote, or RFQ, protocol provides institutional clients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w:t>
      </w:r>
    </w:p>
    <w:p>
      <w:pPr>
        <w:spacing w:after="0" w:line="1" w:lineRule="exact"/>
        <w:rPr>
          <w:rFonts w:ascii="Times New Roman" w:cs="Times New Roman" w:eastAsia="Times New Roman" w:hAnsi="Times New Roman"/>
          <w:sz w:val="19"/>
          <w:szCs w:val="19"/>
          <w:b w:val="1"/>
          <w:bCs w:val="1"/>
          <w:i w:val="1"/>
          <w:iCs w:val="1"/>
          <w:color w:val="auto"/>
        </w:rPr>
      </w:pPr>
    </w:p>
    <w:p>
      <w:pPr>
        <w:ind w:left="820" w:right="600"/>
        <w:spacing w:after="0" w:line="260" w:lineRule="auto"/>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20"/>
          <w:szCs w:val="20"/>
          <w:color w:val="auto"/>
        </w:rPr>
        <w:t>— both buy-side and sell-side names are known prior to execution. Multi-dealer RFQ assists clients with achieving best execution.</w:t>
      </w:r>
    </w:p>
    <w:p>
      <w:pPr>
        <w:spacing w:after="0" w:line="157" w:lineRule="exact"/>
        <w:rPr>
          <w:rFonts w:ascii="Times New Roman" w:cs="Times New Roman" w:eastAsia="Times New Roman" w:hAnsi="Times New Roman"/>
          <w:sz w:val="19"/>
          <w:szCs w:val="19"/>
          <w:b w:val="1"/>
          <w:bCs w:val="1"/>
          <w:i w:val="1"/>
          <w:iCs w:val="1"/>
          <w:color w:val="auto"/>
        </w:rPr>
      </w:pPr>
    </w:p>
    <w:p>
      <w:pPr>
        <w:ind w:left="820" w:right="180" w:hanging="370"/>
        <w:spacing w:after="0" w:line="259"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Request-for-market.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request-for-market, or RFM, protocol provides institutional clients with the ability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9" w:lineRule="exact"/>
        <w:rPr>
          <w:rFonts w:ascii="Times New Roman" w:cs="Times New Roman" w:eastAsia="Times New Roman" w:hAnsi="Times New Roman"/>
          <w:sz w:val="20"/>
          <w:szCs w:val="20"/>
          <w:b w:val="1"/>
          <w:bCs w:val="1"/>
          <w:i w:val="1"/>
          <w:iCs w:val="1"/>
          <w:color w:val="auto"/>
        </w:rPr>
      </w:pPr>
    </w:p>
    <w:p>
      <w:pPr>
        <w:ind w:left="820" w:right="920" w:hanging="370"/>
        <w:spacing w:after="0" w:line="313" w:lineRule="auto"/>
        <w:tabs>
          <w:tab w:leader="none" w:pos="82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Request-for-stream.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request-for-stream, or RFS, protocol allows multiple dealers to show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continuously updating rates, in line with market movements, during a client’s request window.</w:t>
      </w:r>
    </w:p>
    <w:p>
      <w:pPr>
        <w:spacing w:after="0" w:line="110" w:lineRule="exact"/>
        <w:rPr>
          <w:rFonts w:ascii="Times New Roman" w:cs="Times New Roman" w:eastAsia="Times New Roman" w:hAnsi="Times New Roman"/>
          <w:sz w:val="19"/>
          <w:szCs w:val="19"/>
          <w:b w:val="1"/>
          <w:bCs w:val="1"/>
          <w:i w:val="1"/>
          <w:iCs w:val="1"/>
          <w:color w:val="auto"/>
        </w:rPr>
      </w:pPr>
    </w:p>
    <w:p>
      <w:pPr>
        <w:ind w:left="820" w:right="20" w:hanging="370"/>
        <w:spacing w:after="0" w:line="262"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List trading.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by clients with multiple transactions to complete, our list trading protocol is a highly efficient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55" w:lineRule="exact"/>
        <w:rPr>
          <w:rFonts w:ascii="Times New Roman" w:cs="Times New Roman" w:eastAsia="Times New Roman" w:hAnsi="Times New Roman"/>
          <w:sz w:val="20"/>
          <w:szCs w:val="20"/>
          <w:b w:val="1"/>
          <w:bCs w:val="1"/>
          <w:i w:val="1"/>
          <w:iCs w:val="1"/>
          <w:color w:val="auto"/>
        </w:rPr>
      </w:pPr>
    </w:p>
    <w:p>
      <w:pPr>
        <w:ind w:left="820" w:hanging="370"/>
        <w:spacing w:after="0" w:line="257"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Compression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utilize our interest rate swap compression tool as an efficient means to reduce the number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line items they have outstanding at a clearinghouse by netting offsetting positions in a single transaction. This functionality allows clients to submit up to 250 line 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62" w:lineRule="exact"/>
        <w:rPr>
          <w:rFonts w:ascii="Times New Roman" w:cs="Times New Roman" w:eastAsia="Times New Roman" w:hAnsi="Times New Roman"/>
          <w:sz w:val="20"/>
          <w:szCs w:val="20"/>
          <w:b w:val="1"/>
          <w:bCs w:val="1"/>
          <w:i w:val="1"/>
          <w:iCs w:val="1"/>
          <w:color w:val="auto"/>
        </w:rPr>
      </w:pPr>
    </w:p>
    <w:p>
      <w:pPr>
        <w:ind w:left="820" w:hanging="370"/>
        <w:spacing w:after="0" w:line="256"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Blast all-to-all.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Blast all-to-all, or A2A, protocol allows clients to send RFQ trade inquiries to all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62" w:lineRule="exact"/>
        <w:rPr>
          <w:rFonts w:ascii="Times New Roman" w:cs="Times New Roman" w:eastAsia="Times New Roman" w:hAnsi="Times New Roman"/>
          <w:sz w:val="20"/>
          <w:szCs w:val="20"/>
          <w:b w:val="1"/>
          <w:bCs w:val="1"/>
          <w:i w:val="1"/>
          <w:iCs w:val="1"/>
          <w:color w:val="auto"/>
        </w:rPr>
      </w:pPr>
    </w:p>
    <w:p>
      <w:pPr>
        <w:ind w:left="820" w:right="280" w:hanging="370"/>
        <w:spacing w:after="0" w:line="288" w:lineRule="auto"/>
        <w:tabs>
          <w:tab w:leader="none" w:pos="82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Click-to-trade.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click-to-trade, or CTT, protocol enables a liquidity-taking client to view a set of prices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real-time and click on the price and the dealer with whom they wish to execute. This trading protocol is especially popular with clients that are looking to view a range of executable, real-time prices across dealers.</w:t>
      </w:r>
    </w:p>
    <w:p>
      <w:pPr>
        <w:spacing w:after="0" w:line="133" w:lineRule="exact"/>
        <w:rPr>
          <w:rFonts w:ascii="Times New Roman" w:cs="Times New Roman" w:eastAsia="Times New Roman" w:hAnsi="Times New Roman"/>
          <w:sz w:val="19"/>
          <w:szCs w:val="19"/>
          <w:b w:val="1"/>
          <w:bCs w:val="1"/>
          <w:i w:val="1"/>
          <w:iCs w:val="1"/>
          <w:color w:val="auto"/>
        </w:rPr>
      </w:pPr>
    </w:p>
    <w:p>
      <w:pPr>
        <w:ind w:left="820" w:right="120" w:hanging="370"/>
        <w:spacing w:after="0" w:line="286"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Portfolio Trading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rebalancing of passive portfolios and ETFs, our portfolio trading solution allows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to obtain competitive prices and trade on net present value on a full basket of securities.</w:t>
      </w:r>
    </w:p>
    <w:p>
      <w:pPr>
        <w:spacing w:after="0" w:line="131" w:lineRule="exact"/>
        <w:rPr>
          <w:rFonts w:ascii="Times New Roman" w:cs="Times New Roman" w:eastAsia="Times New Roman" w:hAnsi="Times New Roman"/>
          <w:sz w:val="20"/>
          <w:szCs w:val="20"/>
          <w:b w:val="1"/>
          <w:bCs w:val="1"/>
          <w:i w:val="1"/>
          <w:iCs w:val="1"/>
          <w:color w:val="auto"/>
        </w:rPr>
      </w:pPr>
    </w:p>
    <w:p>
      <w:pPr>
        <w:ind w:left="820" w:right="160" w:hanging="370"/>
        <w:spacing w:after="0" w:line="259"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Session-based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Sweep, our session-based trading protocol, allows clients to manage inventory and balance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59" w:lineRule="exact"/>
        <w:rPr>
          <w:rFonts w:ascii="Times New Roman" w:cs="Times New Roman" w:eastAsia="Times New Roman" w:hAnsi="Times New Roman"/>
          <w:sz w:val="20"/>
          <w:szCs w:val="20"/>
          <w:b w:val="1"/>
          <w:bCs w:val="1"/>
          <w:i w:val="1"/>
          <w:iCs w:val="1"/>
          <w:color w:val="auto"/>
        </w:rPr>
      </w:pPr>
    </w:p>
    <w:p>
      <w:pPr>
        <w:ind w:left="820" w:right="140" w:hanging="370"/>
        <w:spacing w:after="0" w:line="268"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Central Limit Order Book.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central limit order book, or CLOB, is a continuous electronic protocol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allows clients to trade on firm bids and offers from other market participants, as well as enter their own resting bids and offers for display to the market participants, typically anonymously.</w:t>
      </w:r>
    </w:p>
    <w:p>
      <w:pPr>
        <w:spacing w:after="0" w:line="149" w:lineRule="exact"/>
        <w:rPr>
          <w:rFonts w:ascii="Times New Roman" w:cs="Times New Roman" w:eastAsia="Times New Roman" w:hAnsi="Times New Roman"/>
          <w:sz w:val="20"/>
          <w:szCs w:val="20"/>
          <w:b w:val="1"/>
          <w:bCs w:val="1"/>
          <w:i w:val="1"/>
          <w:iCs w:val="1"/>
          <w:color w:val="auto"/>
        </w:rPr>
      </w:pPr>
    </w:p>
    <w:p>
      <w:pPr>
        <w:ind w:left="820" w:right="100" w:hanging="370"/>
        <w:spacing w:after="0" w:line="259" w:lineRule="auto"/>
        <w:tabs>
          <w:tab w:leader="none" w:pos="820" w:val="left"/>
        </w:tabs>
        <w:numPr>
          <w:ilvl w:val="0"/>
          <w:numId w:val="1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Directed streams.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directed streams protocol, which is currently used by our wholesale clients 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ectPr>
          <w:pgSz w:w="12060" w:h="15660" w:orient="portrait"/>
          <w:cols w:equalWidth="0" w:num="1">
            <w:col w:w="9800"/>
          </w:cols>
          <w:pgMar w:left="1440" w:top="7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17</w:t>
      </w:r>
    </w:p>
    <w:p>
      <w:pPr>
        <w:sectPr>
          <w:pgSz w:w="12060" w:h="15660" w:orient="portrait"/>
          <w:cols w:equalWidth="0" w:num="1">
            <w:col w:w="9800"/>
          </w:cols>
          <w:pgMar w:left="1440" w:top="744" w:right="820" w:bottom="0" w:gutter="0" w:footer="0" w:header="0"/>
          <w:type w:val="continuous"/>
        </w:sectPr>
      </w:pPr>
    </w:p>
    <w:bookmarkStart w:id="29" w:name="page30"/>
    <w:bookmarkEnd w:id="29"/>
    <w:p>
      <w:pPr>
        <w:ind w:left="1440" w:hanging="370"/>
        <w:spacing w:after="0" w:line="259" w:lineRule="auto"/>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Inventory-based.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inventory-based protocol allows liquidity-providing clients to submit a range of bids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59" w:lineRule="exact"/>
        <w:rPr>
          <w:rFonts w:ascii="Times New Roman" w:cs="Times New Roman" w:eastAsia="Times New Roman" w:hAnsi="Times New Roman"/>
          <w:sz w:val="20"/>
          <w:szCs w:val="20"/>
          <w:color w:val="auto"/>
        </w:rPr>
      </w:pPr>
    </w:p>
    <w:p>
      <w:pPr>
        <w:ind w:left="1440" w:right="20" w:hanging="370"/>
        <w:spacing w:after="0" w:line="262" w:lineRule="auto"/>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Rematch.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Rematch protocol allows dealers to send accepted, but unmatched orders from a Sweep session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all-to-all network as 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55" w:lineRule="exact"/>
        <w:rPr>
          <w:rFonts w:ascii="Times New Roman" w:cs="Times New Roman" w:eastAsia="Times New Roman" w:hAnsi="Times New Roman"/>
          <w:sz w:val="20"/>
          <w:szCs w:val="20"/>
          <w:color w:val="auto"/>
        </w:rPr>
      </w:pPr>
    </w:p>
    <w:p>
      <w:pPr>
        <w:jc w:val="both"/>
        <w:ind w:left="1440" w:right="240" w:hanging="370"/>
        <w:spacing w:after="0" w:line="288" w:lineRule="auto"/>
        <w:tabs>
          <w:tab w:leader="none" w:pos="14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Voice.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Voice-brokered products in our wholesale client sector include, among other products, U.S. treasuries,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MBS, municipal bonds and repurchase agreements. Our voice brokers provide anonymity and insight for sell side traders and give us valuable high-touch relationships and market understanding and access.</w:t>
      </w:r>
    </w:p>
    <w:p>
      <w:pPr>
        <w:spacing w:after="0" w:line="137" w:lineRule="exact"/>
        <w:rPr>
          <w:sz w:val="20"/>
          <w:szCs w:val="20"/>
          <w:color w:val="auto"/>
        </w:rPr>
      </w:pPr>
    </w:p>
    <w:p>
      <w:pPr>
        <w:ind w:left="720" w:right="40"/>
        <w:spacing w:after="0" w:line="256" w:lineRule="auto"/>
        <w:rPr>
          <w:sz w:val="20"/>
          <w:szCs w:val="20"/>
          <w:color w:val="auto"/>
        </w:rPr>
      </w:pPr>
      <w:r>
        <w:rPr>
          <w:rFonts w:ascii="Times New Roman" w:cs="Times New Roman" w:eastAsia="Times New Roman" w:hAnsi="Times New Roman"/>
          <w:sz w:val="20"/>
          <w:szCs w:val="20"/>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64" w:lineRule="exact"/>
        <w:rPr>
          <w:sz w:val="20"/>
          <w:szCs w:val="20"/>
          <w:color w:val="auto"/>
        </w:rPr>
      </w:pPr>
    </w:p>
    <w:p>
      <w:pPr>
        <w:ind w:left="720" w:right="80" w:hanging="370"/>
        <w:spacing w:after="0" w:line="25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Processing</w:t>
      </w:r>
      <w:r>
        <w:rPr>
          <w:rFonts w:ascii="Times New Roman" w:cs="Times New Roman" w:eastAsia="Times New Roman" w:hAnsi="Times New Roman"/>
          <w:sz w:val="20"/>
          <w:szCs w:val="20"/>
          <w:color w:val="auto"/>
        </w:rPr>
        <w:t>: Our trade processing technology allows our clients to increase productivity, reduce risk and improve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69" w:lineRule="exact"/>
        <w:rPr>
          <w:rFonts w:ascii="Times New Roman" w:cs="Times New Roman" w:eastAsia="Times New Roman" w:hAnsi="Times New Roman"/>
          <w:sz w:val="20"/>
          <w:szCs w:val="20"/>
          <w:color w:val="auto"/>
        </w:rPr>
      </w:pPr>
    </w:p>
    <w:p>
      <w:pPr>
        <w:ind w:left="720" w:hanging="370"/>
        <w:spacing w:after="0" w:line="25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Post-Trade Data, Analytics and Reporting</w:t>
      </w:r>
      <w:r>
        <w:rPr>
          <w:rFonts w:ascii="Times New Roman" w:cs="Times New Roman" w:eastAsia="Times New Roman" w:hAnsi="Times New Roman"/>
          <w:sz w:val="20"/>
          <w:szCs w:val="20"/>
          <w:color w:val="auto"/>
        </w:rPr>
        <w:t>: Our comprehensive post-trade services include transaction cost analysis,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ectPr>
          <w:pgSz w:w="12060" w:h="15660" w:orient="portrait"/>
          <w:cols w:equalWidth="0" w:num="1">
            <w:col w:w="10420"/>
          </w:cols>
          <w:pgMar w:left="820" w:top="744" w:right="820" w:bottom="0" w:gutter="0" w:footer="0" w:header="0"/>
        </w:sect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060" w:h="15660" w:orient="portrait"/>
          <w:cols w:equalWidth="0" w:num="1">
            <w:col w:w="10420"/>
          </w:cols>
          <w:pgMar w:left="820" w:top="744" w:right="820" w:bottom="0" w:gutter="0" w:footer="0" w:header="0"/>
          <w:type w:val="continuous"/>
        </w:sectPr>
      </w:pPr>
    </w:p>
    <w:bookmarkStart w:id="30" w:name="page31"/>
    <w:bookmarkEnd w:id="30"/>
    <w:p>
      <w:pPr>
        <w:ind w:right="60"/>
        <w:spacing w:after="0" w:line="266" w:lineRule="auto"/>
        <w:rPr>
          <w:sz w:val="20"/>
          <w:szCs w:val="20"/>
          <w:color w:val="auto"/>
        </w:rPr>
      </w:pPr>
      <w:r>
        <w:rPr>
          <w:rFonts w:ascii="Times New Roman" w:cs="Times New Roman" w:eastAsia="Times New Roman" w:hAnsi="Times New Roman"/>
          <w:sz w:val="20"/>
          <w:szCs w:val="20"/>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1" w:lineRule="exact"/>
        <w:rPr>
          <w:sz w:val="20"/>
          <w:szCs w:val="20"/>
          <w:color w:val="auto"/>
        </w:rPr>
      </w:pPr>
    </w:p>
    <w:p>
      <w:pPr>
        <w:ind w:left="720" w:right="180" w:hanging="370"/>
        <w:spacing w:after="0" w:line="25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electronic trading platforms</w:t>
      </w:r>
      <w:r>
        <w:rPr>
          <w:rFonts w:ascii="Times New Roman" w:cs="Times New Roman" w:eastAsia="Times New Roman" w:hAnsi="Times New Roman"/>
          <w:sz w:val="20"/>
          <w:szCs w:val="20"/>
          <w:color w:val="auto"/>
        </w:rPr>
        <w:t>: We compete with a number of other electronic trading venues. These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MarketAxess, Bloomberg, ICE (Bondpoint, TMC Bonds, Creditex), Trumid, TP ICAP (Liquidnet) and others in the credit and municipal markets; Bloomberg, Euronext (MTS), CME Group (NEX Group), BGC Partners (Fenics), MarketAxess (LiquidityEdge) and others in the rates and derivatives markets; and Virtu (RFQ-hub) and Bloomberg in the equities and ETF markets.</w:t>
      </w:r>
    </w:p>
    <w:p>
      <w:pPr>
        <w:spacing w:after="0" w:line="159" w:lineRule="exact"/>
        <w:rPr>
          <w:rFonts w:ascii="Times New Roman" w:cs="Times New Roman" w:eastAsia="Times New Roman" w:hAnsi="Times New Roman"/>
          <w:sz w:val="20"/>
          <w:szCs w:val="20"/>
          <w:color w:val="auto"/>
        </w:rPr>
      </w:pPr>
    </w:p>
    <w:p>
      <w:pPr>
        <w:ind w:left="720" w:hanging="370"/>
        <w:spacing w:after="0" w:line="276"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Exchanges</w:t>
      </w:r>
      <w:r>
        <w:rPr>
          <w:rFonts w:ascii="Times New Roman" w:cs="Times New Roman" w:eastAsia="Times New Roman" w:hAnsi="Times New Roman"/>
          <w:sz w:val="19"/>
          <w:szCs w:val="19"/>
          <w:color w:val="auto"/>
        </w:rPr>
        <w:t>: In recent years, exchanges have pursued acquisitions that have put them in competition with us.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example, ICE acquired BondPoint and TMC Bonds, retail-focused platforms, and Interactive Data Corporation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43" w:lineRule="exact"/>
        <w:rPr>
          <w:rFonts w:ascii="Times New Roman" w:cs="Times New Roman" w:eastAsia="Times New Roman" w:hAnsi="Times New Roman"/>
          <w:sz w:val="19"/>
          <w:szCs w:val="19"/>
          <w:color w:val="auto"/>
        </w:rPr>
      </w:pPr>
    </w:p>
    <w:p>
      <w:pPr>
        <w:ind w:left="720" w:hanging="370"/>
        <w:spacing w:after="0" w:line="25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Inter-dealer brokers</w:t>
      </w:r>
      <w:r>
        <w:rPr>
          <w:rFonts w:ascii="Times New Roman" w:cs="Times New Roman" w:eastAsia="Times New Roman" w:hAnsi="Times New Roman"/>
          <w:sz w:val="20"/>
          <w:szCs w:val="20"/>
          <w:color w:val="auto"/>
        </w:rPr>
        <w:t>: We compete with inter-dealer brokers, particularly in our wholesale markets in products such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MBS, U.S. Treasuries, U.S. repo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59" w:lineRule="exact"/>
        <w:rPr>
          <w:rFonts w:ascii="Times New Roman" w:cs="Times New Roman" w:eastAsia="Times New Roman" w:hAnsi="Times New Roman"/>
          <w:sz w:val="20"/>
          <w:szCs w:val="20"/>
          <w:color w:val="auto"/>
        </w:rPr>
      </w:pPr>
    </w:p>
    <w:p>
      <w:pPr>
        <w:ind w:left="720" w:right="100" w:hanging="370"/>
        <w:spacing w:after="0" w:line="268"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Single-bank systems</w:t>
      </w:r>
      <w:r>
        <w:rPr>
          <w:rFonts w:ascii="Times New Roman" w:cs="Times New Roman" w:eastAsia="Times New Roman" w:hAnsi="Times New Roman"/>
          <w:sz w:val="20"/>
          <w:szCs w:val="20"/>
          <w:color w:val="auto"/>
        </w:rPr>
        <w:t>: Major global and regional investment and commercial banks offer institutional clients electronic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 execution through proprietary trading systems. Many of these banks expend considerable resources on product development, sales and support to promote their single-bank systems.</w:t>
      </w:r>
    </w:p>
    <w:p>
      <w:pPr>
        <w:spacing w:after="0" w:line="149" w:lineRule="exact"/>
        <w:rPr>
          <w:rFonts w:ascii="Times New Roman" w:cs="Times New Roman" w:eastAsia="Times New Roman" w:hAnsi="Times New Roman"/>
          <w:sz w:val="20"/>
          <w:szCs w:val="20"/>
          <w:color w:val="auto"/>
        </w:rPr>
      </w:pPr>
    </w:p>
    <w:p>
      <w:pPr>
        <w:ind w:left="720" w:hanging="370"/>
        <w:spacing w:after="0" w:line="262"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Dealers</w:t>
      </w:r>
      <w:r>
        <w:rPr>
          <w:rFonts w:ascii="Times New Roman" w:cs="Times New Roman" w:eastAsia="Times New Roman" w:hAnsi="Times New Roman"/>
          <w:sz w:val="20"/>
          <w:szCs w:val="20"/>
          <w:color w:val="auto"/>
        </w:rPr>
        <w:t>: Many of our markets are still traded through traditional voice-based protocols. Institutional investors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55" w:lineRule="exact"/>
        <w:rPr>
          <w:rFonts w:ascii="Times New Roman" w:cs="Times New Roman" w:eastAsia="Times New Roman" w:hAnsi="Times New Roman"/>
          <w:sz w:val="20"/>
          <w:szCs w:val="20"/>
          <w:color w:val="auto"/>
        </w:rPr>
      </w:pPr>
    </w:p>
    <w:p>
      <w:pPr>
        <w:ind w:left="720" w:right="80" w:hanging="370"/>
        <w:spacing w:after="0" w:line="268"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Market data and information vendors</w:t>
      </w:r>
      <w:r>
        <w:rPr>
          <w:rFonts w:ascii="Times New Roman" w:cs="Times New Roman" w:eastAsia="Times New Roman" w:hAnsi="Times New Roman"/>
          <w:sz w:val="20"/>
          <w:szCs w:val="20"/>
          <w:color w:val="auto"/>
        </w:rPr>
        <w:t>: Market data and information providers, such as Bloomberg, IDC (now part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ICE) and IHS Markit, have a pervasive presence across the financial trading community. Their data and pre- and post-trade analytics compete with offerings we provide to support trading on our marketplaces.</w:t>
      </w:r>
    </w:p>
    <w:p>
      <w:pPr>
        <w:spacing w:after="0" w:line="1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We face intense competition, and we expect competition with a broad range of competitors to continue to intensify in the future. See Part I, Item 1A. – “Risk Factors — Risks Relating to Market and Industry Dynamics and Competition — Failure to compete successfully could materially adversely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Proprietary Technology</w:t>
      </w:r>
    </w:p>
    <w:p>
      <w:pPr>
        <w:spacing w:after="0" w:line="2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For more than 25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350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ectPr>
          <w:pgSz w:w="12060" w:h="15660" w:orient="portrait"/>
          <w:cols w:equalWidth="0" w:num="1">
            <w:col w:w="10340"/>
          </w:cols>
          <w:pgMar w:left="820" w:top="748" w:right="900" w:bottom="0" w:gutter="0" w:footer="0" w:header="0"/>
        </w:sect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19</w:t>
      </w:r>
    </w:p>
    <w:p>
      <w:pPr>
        <w:sectPr>
          <w:pgSz w:w="12060" w:h="15660" w:orient="portrait"/>
          <w:cols w:equalWidth="0" w:num="1">
            <w:col w:w="10340"/>
          </w:cols>
          <w:pgMar w:left="820" w:top="748" w:right="900" w:bottom="0" w:gutter="0" w:footer="0" w:header="0"/>
          <w:type w:val="continuous"/>
        </w:sectPr>
      </w:pPr>
    </w:p>
    <w:bookmarkStart w:id="31" w:name="page32"/>
    <w:bookmarkEnd w:id="31"/>
    <w:p>
      <w:pPr>
        <w:ind w:right="80"/>
        <w:spacing w:after="0" w:line="281" w:lineRule="auto"/>
        <w:rPr>
          <w:sz w:val="20"/>
          <w:szCs w:val="20"/>
          <w:color w:val="auto"/>
        </w:rPr>
      </w:pPr>
      <w:r>
        <w:rPr>
          <w:rFonts w:ascii="Times New Roman" w:cs="Times New Roman" w:eastAsia="Times New Roman" w:hAnsi="Times New Roman"/>
          <w:sz w:val="20"/>
          <w:szCs w:val="20"/>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4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55"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13" w:lineRule="exact"/>
        <w:rPr>
          <w:sz w:val="20"/>
          <w:szCs w:val="20"/>
          <w:color w:val="auto"/>
        </w:rPr>
      </w:pPr>
    </w:p>
    <w:p>
      <w:pPr>
        <w:ind w:left="720" w:right="80" w:hanging="370"/>
        <w:spacing w:after="0" w:line="25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Nimble product development in collaboration with clients</w:t>
      </w:r>
      <w:r>
        <w:rPr>
          <w:rFonts w:ascii="Times New Roman" w:cs="Times New Roman" w:eastAsia="Times New Roman" w:hAnsi="Times New Roman"/>
          <w:sz w:val="20"/>
          <w:szCs w:val="20"/>
          <w:color w:val="auto"/>
        </w:rPr>
        <w:t>: Our approach to product development facilitates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159" w:lineRule="exact"/>
        <w:rPr>
          <w:rFonts w:ascii="Times New Roman" w:cs="Times New Roman" w:eastAsia="Times New Roman" w:hAnsi="Times New Roman"/>
          <w:sz w:val="20"/>
          <w:szCs w:val="20"/>
          <w:color w:val="auto"/>
        </w:rPr>
      </w:pPr>
    </w:p>
    <w:p>
      <w:pPr>
        <w:ind w:left="720" w:right="120" w:hanging="370"/>
        <w:spacing w:after="0" w:line="262"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Scalable architecture</w:t>
      </w:r>
      <w:r>
        <w:rPr>
          <w:rFonts w:ascii="Times New Roman" w:cs="Times New Roman" w:eastAsia="Times New Roman" w:hAnsi="Times New Roman"/>
          <w:sz w:val="20"/>
          <w:szCs w:val="20"/>
          <w:color w:val="auto"/>
        </w:rPr>
        <w:t>: Our scalable architecture was designed to address increased trading activities and evolving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155" w:lineRule="exact"/>
        <w:rPr>
          <w:rFonts w:ascii="Times New Roman" w:cs="Times New Roman" w:eastAsia="Times New Roman" w:hAnsi="Times New Roman"/>
          <w:sz w:val="20"/>
          <w:szCs w:val="20"/>
          <w:color w:val="auto"/>
        </w:rPr>
      </w:pPr>
    </w:p>
    <w:p>
      <w:pPr>
        <w:ind w:left="720" w:right="40" w:hanging="370"/>
        <w:spacing w:after="0" w:line="254"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Strong business continuity and disaster recovery planning</w:t>
      </w:r>
      <w:r>
        <w:rPr>
          <w:rFonts w:ascii="Times New Roman" w:cs="Times New Roman" w:eastAsia="Times New Roman" w:hAnsi="Times New Roman"/>
          <w:sz w:val="20"/>
          <w:szCs w:val="20"/>
          <w:color w:val="auto"/>
        </w:rPr>
        <w:t>: During 2022, we have continued to enhance our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continuity plans in place in the event of a significant business disruption or disaster recovery situation to ensure 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70" w:lineRule="exact"/>
        <w:rPr>
          <w:rFonts w:ascii="Times New Roman" w:cs="Times New Roman" w:eastAsia="Times New Roman" w:hAnsi="Times New Roman"/>
          <w:sz w:val="20"/>
          <w:szCs w:val="20"/>
          <w:color w:val="auto"/>
        </w:rPr>
      </w:pPr>
    </w:p>
    <w:p>
      <w:pPr>
        <w:ind w:left="720" w:right="2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maintain redundant networks, hardware, data centers and alternate operational facilities to address interruptions. We have eight datacenters across the United States, the United Kingdom (“UK”) and Japan. Our data center infrastructure is designed to be resilient and responsive with built-in redundancies.</w:t>
      </w:r>
    </w:p>
    <w:p>
      <w:pPr>
        <w:spacing w:after="0" w:line="151" w:lineRule="exact"/>
        <w:rPr>
          <w:rFonts w:ascii="Times New Roman" w:cs="Times New Roman" w:eastAsia="Times New Roman" w:hAnsi="Times New Roman"/>
          <w:sz w:val="20"/>
          <w:szCs w:val="20"/>
          <w:color w:val="auto"/>
        </w:rPr>
      </w:pPr>
    </w:p>
    <w:p>
      <w:pPr>
        <w:ind w:left="720" w:right="40" w:hanging="370"/>
        <w:spacing w:after="0" w:line="254"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Ongoing security, system monitoring and alerting</w:t>
      </w:r>
      <w:r>
        <w:rPr>
          <w:rFonts w:ascii="Times New Roman" w:cs="Times New Roman" w:eastAsia="Times New Roman" w:hAnsi="Times New Roman"/>
          <w:sz w:val="20"/>
          <w:szCs w:val="20"/>
          <w:color w:val="auto"/>
        </w:rPr>
        <w:t>: We prioritize security throughout our platforms, operations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 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1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To that end, we have patents or patents pending in the United States and other jurisdictions covering significant trading protocols and other aspects of our trading system technology.</w:t>
      </w:r>
    </w:p>
    <w:p>
      <w:pPr>
        <w:spacing w:after="0" w:line="14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060" w:h="15660" w:orient="portrait"/>
          <w:cols w:equalWidth="0" w:num="1">
            <w:col w:w="10380"/>
          </w:cols>
          <w:pgMar w:left="820" w:top="748" w:right="860" w:bottom="0" w:gutter="0" w:footer="0" w:header="0"/>
          <w:type w:val="continuous"/>
        </w:sectPr>
      </w:pPr>
    </w:p>
    <w:bookmarkStart w:id="32" w:name="page33"/>
    <w:bookmarkEnd w:id="32"/>
    <w:p>
      <w:pPr>
        <w:ind w:right="340"/>
        <w:spacing w:after="0" w:line="260" w:lineRule="auto"/>
        <w:rPr>
          <w:sz w:val="20"/>
          <w:szCs w:val="20"/>
          <w:color w:val="auto"/>
        </w:rPr>
      </w:pPr>
      <w:r>
        <w:rPr>
          <w:rFonts w:ascii="Times New Roman" w:cs="Times New Roman" w:eastAsia="Times New Roman" w:hAnsi="Times New Roman"/>
          <w:sz w:val="20"/>
          <w:szCs w:val="20"/>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Many aspects of our business are subject to regulation in a number of jurisdictions, including the United States, the UK, the Netherlands, France, Germany, Japan, Hong Kong, Singapore and Australia.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1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060" w:h="15660" w:orient="portrait"/>
          <w:cols w:equalWidth="0" w:num="1">
            <w:col w:w="10420"/>
          </w:cols>
          <w:pgMar w:left="820" w:top="748" w:right="820" w:bottom="0" w:gutter="0" w:footer="0" w:header="0"/>
          <w:type w:val="continuous"/>
        </w:sectPr>
      </w:pPr>
    </w:p>
    <w:bookmarkStart w:id="33" w:name="page34"/>
    <w:bookmarkEnd w:id="33"/>
    <w:p>
      <w:pPr>
        <w:ind w:right="100"/>
        <w:spacing w:after="0" w:line="258" w:lineRule="auto"/>
        <w:rPr>
          <w:sz w:val="20"/>
          <w:szCs w:val="20"/>
          <w:color w:val="auto"/>
        </w:rPr>
      </w:pPr>
      <w:r>
        <w:rPr>
          <w:rFonts w:ascii="Times New Roman" w:cs="Times New Roman" w:eastAsia="Times New Roman" w:hAnsi="Times New Roman"/>
          <w:sz w:val="20"/>
          <w:szCs w:val="20"/>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Following the 2008 financial crisis, legislators and regulators in the United States adopted new laws and regulations, including the Dodd-Frank Act. Various rules and regulations were promulgated following the financial crisis, such as the Volcker Rule and additional bank capital and liquidity requirements.</w:t>
      </w:r>
    </w:p>
    <w:p>
      <w:pPr>
        <w:spacing w:after="0" w:line="15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 The SEC proposed a number of rules relating to the registration and regulation of security-based swap execution facilities (“SBSEFs”), most recently on April 6, 2022. While we cannot yet predict the ultimate effect these rules will have on our business, we expect that certain of our subsidiaries may be required to register as SBSEFs if and when the SEC finalizes these rules.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regulatory environment in the U.S. continues to evolve and while legislation to roll-back key pieces of the Dodd-Frank Act in an effort to loosen certain regulatory restrictions on financial institutions has been issued, the industry continues to be more heavily regulated than it was prior to the 2008 financial crisis. While it is still largely unknown at this time to what extent new legislation will be passed into law or whether pending or new regulatory proposals will be adopted or modified, or what effect such passage, adoption or modification will have, whether positive or negative, on our industry, our clients or us, both the SEC and the CFTC have issued a number of regulatory proposals and we may continue to see the same level of activity by these two regulators in the future. For example, in August 2022, the CFTC issued a final rule modifying the swap clearing requirement in support of the transition from LIBOR and other Interbank Offered Rates to Alternative Reference Rates. Additionally, the SEC has recently conducted a review of the regulatory framework for fixed-income electronic trading platforms for the purpose of evaluating the potential regulatory gaps that may exist among such platforms, including ours, with respect to access to markets, system integrity, surveillance, and transparency, among other things. In January 2022, as a result of this review, the SEC proposed rules that will expand Regulation ATS and Regulation SCI to alternative trading systems (ATS) that trade government securities and amend the SEC rule regarding the definition of an “exchange” to include Communication Protocol Systems, such as our RFQ protocols. In connection with these proposed rules, we expect that we will have to operate additional trading protocols in compliance with Regulation ATS.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Non-U.S. Regulation</w:t>
      </w:r>
    </w:p>
    <w:p>
      <w:pPr>
        <w:spacing w:after="0" w:line="2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060" w:h="15660" w:orient="portrait"/>
          <w:cols w:equalWidth="0" w:num="1">
            <w:col w:w="10420"/>
          </w:cols>
          <w:pgMar w:left="820" w:top="748" w:right="820" w:bottom="0" w:gutter="0" w:footer="0" w:header="0"/>
          <w:type w:val="continuous"/>
        </w:sectPr>
      </w:pPr>
    </w:p>
    <w:bookmarkStart w:id="34" w:name="page35"/>
    <w:bookmarkEnd w:id="34"/>
    <w:p>
      <w:pPr>
        <w:ind w:left="10"/>
        <w:spacing w:after="0" w:line="256" w:lineRule="auto"/>
        <w:rPr>
          <w:sz w:val="20"/>
          <w:szCs w:val="20"/>
          <w:color w:val="auto"/>
        </w:rPr>
      </w:pPr>
      <w:r>
        <w:rPr>
          <w:rFonts w:ascii="Times New Roman" w:cs="Times New Roman" w:eastAsia="Times New Roman" w:hAnsi="Times New Roman"/>
          <w:sz w:val="20"/>
          <w:szCs w:val="20"/>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 Subject to section 178 of FSMA, individuals or companies that seek to acquire or increase their control in a firm that the FCA regulates is required to obtain prior approval from the FCA.</w:t>
      </w:r>
    </w:p>
    <w:p>
      <w:pPr>
        <w:spacing w:after="0" w:line="168"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69" w:lineRule="exact"/>
        <w:rPr>
          <w:sz w:val="20"/>
          <w:szCs w:val="20"/>
          <w:color w:val="auto"/>
        </w:rPr>
      </w:pPr>
    </w:p>
    <w:p>
      <w:pPr>
        <w:ind w:left="10" w:right="360"/>
        <w:spacing w:after="0" w:line="258" w:lineRule="auto"/>
        <w:rPr>
          <w:sz w:val="20"/>
          <w:szCs w:val="20"/>
          <w:color w:val="auto"/>
        </w:rPr>
      </w:pPr>
      <w:r>
        <w:rPr>
          <w:rFonts w:ascii="Times New Roman" w:cs="Times New Roman" w:eastAsia="Times New Roman" w:hAnsi="Times New Roman"/>
          <w:sz w:val="20"/>
          <w:szCs w:val="20"/>
          <w:color w:val="auto"/>
        </w:rPr>
        <w:t>Much of our derivatives volume continues to be executed by non-U.S. based clients outside the United States and is subject to local regulations. In particular, the European Union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designed to facilitate more efficient markets and greater transparency for participants.</w:t>
      </w:r>
    </w:p>
    <w:p>
      <w:pPr>
        <w:spacing w:after="0" w:line="164" w:lineRule="exact"/>
        <w:rPr>
          <w:sz w:val="20"/>
          <w:szCs w:val="20"/>
          <w:color w:val="auto"/>
        </w:rPr>
      </w:pPr>
    </w:p>
    <w:p>
      <w:pPr>
        <w:ind w:left="10" w:right="60"/>
        <w:spacing w:after="0" w:line="267" w:lineRule="auto"/>
        <w:rPr>
          <w:sz w:val="20"/>
          <w:szCs w:val="20"/>
          <w:color w:val="auto"/>
        </w:rPr>
      </w:pPr>
      <w:r>
        <w:rPr>
          <w:rFonts w:ascii="Times New Roman" w:cs="Times New Roman" w:eastAsia="Times New Roman" w:hAnsi="Times New Roman"/>
          <w:sz w:val="19"/>
          <w:szCs w:val="19"/>
          <w:color w:val="auto"/>
        </w:rPr>
        <w:t>Among other aspects of the regulations, MiFID II and MiFIR: (i) require a significant part of the market in certain derivative instruments to trade on regulated trading venues that are subject to transparency regimes, (ii) enhance pre- and post-trade transparency for instruments within the scope of the requirements that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 (v) provide for the establishment of a consolidated tape for certain trade data, (vi) improve technology synchronization and best execution and</w:t>
      </w:r>
    </w:p>
    <w:p>
      <w:pPr>
        <w:spacing w:after="0" w:line="2" w:lineRule="exact"/>
        <w:rPr>
          <w:sz w:val="20"/>
          <w:szCs w:val="20"/>
          <w:color w:val="auto"/>
        </w:rPr>
      </w:pPr>
    </w:p>
    <w:p>
      <w:pPr>
        <w:ind w:left="10" w:right="20" w:hanging="10"/>
        <w:spacing w:after="0" w:line="252" w:lineRule="auto"/>
        <w:tabs>
          <w:tab w:leader="none" w:pos="4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investor protection in other ways. MiFID II is also intended to help improve the functioning of the EU single market by achieving a greater consistency of regulatory standards. By design, therefore, it is intended that Member States should have very similar regulatory regimes in relation to the matters addressed by MiFID. In addition, the new regulated execution venue category introduced by MiFID II known as the Organized Trading Facility (“OTF”) (in addition to the venue category of Multilateral Trading Facility (“MTF”) for electronic trading) is intended to capture much of the voice and hybrid oriented trading within the EU.</w:t>
      </w:r>
    </w:p>
    <w:p>
      <w:pPr>
        <w:spacing w:after="0" w:line="171"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UK withdrew from the EU on January 31, 2020 and entered a transitional period which expired on December 31, 2020, following which our UK authorized subsidiary no longer could “passport” its FCA regulatory permissions throughout the European Economic Area (“EEA”). In preparation for Brexit, we successfully ensured that services can continue to be provided in the UK and throughout the EEA, notably by establishing a legal entity in the Netherlands, Tradeweb EU B.V., which offers services from our Amsterdam office. Further effects of Brexit will depend on any agreements the UK and EU may make, including in relation to access to the financial services markets.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219" w:lineRule="exact"/>
        <w:rPr>
          <w:sz w:val="20"/>
          <w:szCs w:val="20"/>
          <w:color w:val="auto"/>
        </w:rPr>
      </w:pPr>
    </w:p>
    <w:p>
      <w:pPr>
        <w:ind w:left="10" w:right="160"/>
        <w:spacing w:after="0" w:line="254" w:lineRule="auto"/>
        <w:rPr>
          <w:sz w:val="20"/>
          <w:szCs w:val="20"/>
          <w:color w:val="auto"/>
        </w:rPr>
      </w:pPr>
      <w:r>
        <w:rPr>
          <w:rFonts w:ascii="Times New Roman" w:cs="Times New Roman" w:eastAsia="Times New Roman" w:hAnsi="Times New Roman"/>
          <w:sz w:val="20"/>
          <w:szCs w:val="20"/>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2022,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 of Tradeweb Entities</w:t>
      </w:r>
    </w:p>
    <w:p>
      <w:pPr>
        <w:spacing w:after="0" w:line="219"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Our operations span jurisdictions across North America, Europe and Asia, and we operate through various regulated entities. The current regulatory status of our regulated entities is described below.</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23</w:t>
      </w:r>
    </w:p>
    <w:p>
      <w:pPr>
        <w:sectPr>
          <w:pgSz w:w="12060" w:h="15660" w:orient="portrait"/>
          <w:cols w:equalWidth="0" w:num="1">
            <w:col w:w="10430"/>
          </w:cols>
          <w:pgMar w:left="810" w:top="748" w:right="820" w:bottom="0" w:gutter="0" w:footer="0" w:header="0"/>
          <w:type w:val="continuous"/>
        </w:sectPr>
      </w:pPr>
    </w:p>
    <w:bookmarkStart w:id="35" w:name="page36"/>
    <w:bookmarkEnd w:id="35"/>
    <w:p>
      <w:pPr>
        <w:ind w:left="10"/>
        <w:spacing w:after="0" w:line="260" w:lineRule="auto"/>
        <w:rPr>
          <w:sz w:val="20"/>
          <w:szCs w:val="20"/>
          <w:color w:val="auto"/>
        </w:rPr>
      </w:pPr>
      <w:r>
        <w:rPr>
          <w:rFonts w:ascii="Times New Roman" w:cs="Times New Roman" w:eastAsia="Times New Roman" w:hAnsi="Times New Roman"/>
          <w:sz w:val="20"/>
          <w:szCs w:val="20"/>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63"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Dealerweb Inc. is a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provinces of Ontario, Quebec and Nova Scotia and the ATS Order Exemption for Ontario, Quebec and Nova Scotia.</w:t>
      </w:r>
    </w:p>
    <w:p>
      <w:pPr>
        <w:spacing w:after="0" w:line="163"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auto"/>
        </w:rPr>
        <w:t>Execution Access, LLC, acquired in June 2021, was a SEC-registered broker-dealer that operated an ATS and was a member of FINRA. In November 2022, Execution Access, LLC merged with and into Dealerweb Inc. with Dealerweb Inc. being the surviving entity.</w:t>
      </w:r>
    </w:p>
    <w:p>
      <w:pPr>
        <w:spacing w:after="0" w:line="155" w:lineRule="exact"/>
        <w:rPr>
          <w:sz w:val="20"/>
          <w:szCs w:val="20"/>
          <w:color w:val="auto"/>
        </w:rPr>
      </w:pPr>
    </w:p>
    <w:p>
      <w:pPr>
        <w:ind w:left="10" w:right="440"/>
        <w:spacing w:after="0" w:line="281" w:lineRule="auto"/>
        <w:rPr>
          <w:sz w:val="20"/>
          <w:szCs w:val="20"/>
          <w:color w:val="auto"/>
        </w:rPr>
      </w:pPr>
      <w:r>
        <w:rPr>
          <w:rFonts w:ascii="Times New Roman" w:cs="Times New Roman" w:eastAsia="Times New Roman" w:hAnsi="Times New Roman"/>
          <w:sz w:val="20"/>
          <w:szCs w:val="20"/>
          <w:color w:val="auto"/>
        </w:rPr>
        <w:t>Tradeweb Direct LLC is a SEC-registered broker-dealer, operates an ATS and is a member of FINRA and MSRB. Tradeweb Direct LLC relies on the international dealer exemption in the Canadian provinces of Ontario and Quebec.</w:t>
      </w:r>
    </w:p>
    <w:p>
      <w:pPr>
        <w:spacing w:after="0" w:line="141"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Tradeweb Europe Limited is authorized and regulated in the UK by the FCA as a MiFID Investment Firm. It has permissions to operate an MTF, an OTF and an APA. Tradeweb Europe Limited is also regulated by ASIC and holds an Overseas Australian Market Operator License. In January 2022, Tradeweb Europe obtained a license to provide direct market access to trading participants (Handelsteilnehmer) domiciled in Germany via an electronic trading system pursuant to section 102(1) of the German Securities Trading Act (Wertpapierhandelsgesetz – WpHG).</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Singapore branch of Tradeweb Europe Limited is regulated by the MAS as a Recognised Market Operator (“RMO”).</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Hong Kong branch of Tradeweb Europe Limited is regulated by the SFC as an Automated Trading Service.</w:t>
      </w:r>
    </w:p>
    <w:p>
      <w:pPr>
        <w:spacing w:after="0" w:line="210" w:lineRule="exact"/>
        <w:rPr>
          <w:sz w:val="20"/>
          <w:szCs w:val="20"/>
          <w:color w:val="auto"/>
        </w:rPr>
      </w:pPr>
    </w:p>
    <w:p>
      <w:pPr>
        <w:ind w:left="10" w:right="220"/>
        <w:spacing w:after="0" w:line="266" w:lineRule="auto"/>
        <w:rPr>
          <w:sz w:val="20"/>
          <w:szCs w:val="20"/>
          <w:color w:val="auto"/>
        </w:rPr>
      </w:pPr>
      <w:r>
        <w:rPr>
          <w:rFonts w:ascii="Times New Roman" w:cs="Times New Roman" w:eastAsia="Times New Roman" w:hAnsi="Times New Roman"/>
          <w:sz w:val="20"/>
          <w:szCs w:val="20"/>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 and CIBM Direct.</w:t>
      </w:r>
    </w:p>
    <w:p>
      <w:pPr>
        <w:spacing w:after="0" w:line="155"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TW SEF LLC is a CFTC-registered SEF. TW SEF LLC is formally exempt from registration as an exchange in the Canadian provinces of Alberta, Ontario and Quebec and is recognized as a foreign trading venue in Switzerland. TW SEF LLC is approved and regulated by ASIC as an Overseas Australian Market Operator Licensee and is recognized as Foreign Trading Venue in Mexico.</w:t>
      </w:r>
    </w:p>
    <w:p>
      <w:pPr>
        <w:spacing w:after="0" w:line="163"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DW SEF LLC is a CFTC-registered SEF. DW SEF LLC is formally exempt from registration in the Canadian province of Ontario and is recognized as a foreign trading venue in Switzerland.</w:t>
      </w:r>
    </w:p>
    <w:p>
      <w:pPr>
        <w:spacing w:after="0" w:line="141" w:lineRule="exact"/>
        <w:rPr>
          <w:sz w:val="20"/>
          <w:szCs w:val="20"/>
          <w:color w:val="auto"/>
        </w:rPr>
      </w:pPr>
    </w:p>
    <w:p>
      <w:pPr>
        <w:ind w:left="10" w:right="60"/>
        <w:spacing w:after="0" w:line="271" w:lineRule="auto"/>
        <w:rPr>
          <w:sz w:val="20"/>
          <w:szCs w:val="20"/>
          <w:color w:val="auto"/>
        </w:rPr>
      </w:pPr>
      <w:r>
        <w:rPr>
          <w:rFonts w:ascii="Times New Roman" w:cs="Times New Roman" w:eastAsia="Times New Roman" w:hAnsi="Times New Roman"/>
          <w:sz w:val="19"/>
          <w:szCs w:val="19"/>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w:t>
      </w:r>
    </w:p>
    <w:p>
      <w:pPr>
        <w:ind w:left="10" w:right="120" w:hanging="10"/>
        <w:spacing w:after="0" w:line="260" w:lineRule="auto"/>
        <w:tabs>
          <w:tab w:leader="none" w:pos="34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member of the JSDA, which is an authorized self-regulatory body under the Financial Instruments and Exchange Law of Japan, the governing law of the financial services industry in Japan.</w:t>
      </w:r>
    </w:p>
    <w:p>
      <w:pPr>
        <w:spacing w:after="0" w:line="162"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20"/>
          <w:szCs w:val="20"/>
          <w:color w:val="auto"/>
        </w:rPr>
        <w:t>Tradeweb EU B.V. is authorized and regulated by the DNB and AFM as a MiFID Investment Firm with permissions to operate an MTF and an OTF. Tradeweb EU B.V. passports its permissions under MiFID and accordingly provides services throughout the EU and the EEA. Tradeweb EU B.V. is also regulated by ASIC and holds an Overseas Australian Market Operator License.</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Paris branch of Tradeweb EU B.V. is supervised by the ACPR.</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Tradeweb Execution Services Limited is authorized and regulated in the UK by the FCA as an Investment Firm (“BIPRU Firm”).</w:t>
      </w:r>
    </w:p>
    <w:p>
      <w:pPr>
        <w:spacing w:after="0" w:line="210"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Tradeweb Execution Services B.V. is authorized and regulated by the AFM as a MiFID investment firm with permission to trade on a matched principal basis.</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24</w:t>
      </w:r>
    </w:p>
    <w:p>
      <w:pPr>
        <w:sectPr>
          <w:pgSz w:w="12060" w:h="15660" w:orient="portrait"/>
          <w:cols w:equalWidth="0" w:num="1">
            <w:col w:w="10430"/>
          </w:cols>
          <w:pgMar w:left="810" w:top="748" w:right="82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In order to maintain our role as a leader in building and operating electronic marketplaces for our global network of clients, it is crucial that we continue to attract and retain top talent. To facilitate talent attraction and employee retention, we strive to make Tradeweb a diverse, inclusive and safe workplace. We firmly believe that a cared-for, proud, and diverse workforce will power our innovation into the future. We strive to provide opportunities for our employees to grow and develop in their careers, supported by strong compensation, benefits and health and wellness programs, and by initiatives that build connections between our employees and the communities in which we operate.</w:t>
      </w:r>
    </w:p>
    <w:p>
      <w:pPr>
        <w:spacing w:after="0" w:line="1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 of December 31, 2022, we had 1,091 employees, 782 of whom were based in the United States and 309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2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We believe that diverse teams make better decisions and create greater long-term value, and we are committed to maintaining a safe and inclusive environment for everyone and attracting and retaining diverse talent at all levels. Our goal is to continue to reach for greater equality in the gender and ethnic diversity of our employees, to maintain and grow our culture of inclusiveness, education, acceptance and learning, and to ensure employees feel encouraged and equipped to be their genuine selves at work. Through our Diversity, Equity and Inclusion (DE&amp;I) Committee, on which members of our executive team serve, including our Global Head of Human Resources and Head of Investor Relations, FP&amp;A and Treasury, we raise awareness, provide a forum to discuss diversity and inclusion and promote a diverse and inclusive culture. We seek to involve employees at all levels in DE&amp;I, including through recruitment, philanthropy and training. We also sponsor the Global Women’s Network, which provides skills-building, educational, and career-relevant programming for employees and brings topics affecting women in the workplace front and center. Our commitment to DE&amp;I has been demonstrated through partnerships with approximately 18 organizations globally, including American Corporate Partners in the U.S. that focuses on helping return veterans and active duty spouse to the work force and Cowrie Scholarship Foundation in the U.K. that aims to empower disadvantaged Black students through university financial assistance. By focusing on employee volunteerism in these areas, our employees have the opportunity to take action and make a difference.</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also seek to advance the interests of our stakeholders through DE&amp;I initiatives. For example, in June 2022, we launched the Spotlight Dealer Diversity Program, designed to promote diverse dealers participating on our platforms, including woman-, veteran-, disabled- and minority-owned firms. The Spotlight Program was developed collaboratively with feedback from members of the buy-side and dealer communities to support our diverse dealer community through a combination of individual dealer profiles, direct consultation and other promotional programs designed to bring more visibility to diverse dealers operating in electronic markets. In addition, we enhanced our RFQ trading workflow for U.S. Institutional Credit to more prominently expose diverse dealer liquidity to our participating buy-side clients, further strengthening engagement between diverse dealers and buy-side users on the platform. We continue to receive positive feedback from our clients and diverse dealers regarding the Spotlight Program, and grew our universe of participating Spotlight Dealers throughout 2022.</w:t>
      </w:r>
    </w:p>
    <w:p>
      <w:pPr>
        <w:spacing w:after="0" w:line="169"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auto"/>
        </w:rPr>
        <w:t>In addition, we seek to cement our commitment to diversity at the intern, college graduate and experienced hire levels by leveraging relationships with a number of external organizations.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efforts all support our multi-layered strategy for recruiting and retaining diverse talent.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Well-Being</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success of our business is fundamentally connected to the health, safety and wellness of our employees. We provide an evolving package of benefits and perks to employees (which varies by country and region), aiming to ensure our employees have access to comprehensive care relating to their physical and mental health and their family planning needs, as well as adequate time out of office for personal, vacation, sick and bereavement leave needs. Some examples of the initiatives we provide in certain countries include post-birth parental and adoptive parent leave, financial assistance in connection with eligible fertility treatment, adoption and surrogacy expenses, health and wellness speaker series, health club discounts and subsidized memberships through Healthkick and virtual health visits.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060" w:h="15660" w:orient="portrait"/>
          <w:cols w:equalWidth="0" w:num="1">
            <w:col w:w="10420"/>
          </w:cols>
          <w:pgMar w:left="820" w:top="741" w:right="820" w:bottom="0" w:gutter="0" w:footer="0" w:header="0"/>
          <w:type w:val="continuous"/>
        </w:sectPr>
      </w:pPr>
    </w:p>
    <w:bookmarkStart w:id="37" w:name="page38"/>
    <w:bookmarkEnd w:id="37"/>
    <w:p>
      <w:pPr>
        <w:ind w:right="60"/>
        <w:spacing w:after="0" w:line="254" w:lineRule="auto"/>
        <w:rPr>
          <w:sz w:val="20"/>
          <w:szCs w:val="20"/>
          <w:color w:val="auto"/>
        </w:rPr>
      </w:pPr>
      <w:r>
        <w:rPr>
          <w:rFonts w:ascii="Times New Roman" w:cs="Times New Roman" w:eastAsia="Times New Roman" w:hAnsi="Times New Roman"/>
          <w:sz w:val="20"/>
          <w:szCs w:val="20"/>
          <w:color w:val="auto"/>
        </w:rPr>
        <w:t>Since the onset of the COVID-19 pandemic, we have been focused on keeping our employees safe, helping our staff and clients stay connected and ensuring our platforms operate efficiently. Throughout the pandemic, we implemented a series of measures to protect the health and safety of our employees. Starting in mid-2021, we, like many companies, began to transition our workforce back to the office. Our office re-entry policy set out guidance to protect employee safety and implement, at a minimum, the local regulations including, where applicable, masking mandates, vaccination status for in-person work, quarantine time, testing requirements, appropriate distancing measures and capacity limitations. Our Workplace Safety Committee is governed by the heads of Risk, Human Resources, Facilities, Operations, Technology and Marketing and meets in frequencies determined by the necessity and severity of the current conditions. We will continue to monitor the impact of COVID-19, including any related variants, and will adjust our plans accordingly.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provide robust compensation and benefits programs to help attract and retain talent and to meet the needs of our employees. In addition to salaries, these programs (which vary by country or region) include annual bonuses, stock awards, retirement savings plans, healthcare and insurance benefits, health savings and flexible spending accounts, paid time off, family leave, family care resources, flexible work schedules, employee assistance programs, including confidential counseling services for employees and their family members and tuition assistance, among many others. In addition to our broad-based equity award programs, we have used targeted equity-based grants with vesting conditions to facilitate retention of key personnel, particularly those with strong product and functional knowledge, critical technology and engineering skills and experience.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invest significant resources to develop and retain the talent needed to continue to build our position as a global leader in electronic marketplaces. We are focused on providing continuous opportunities for our employees to garner new knowledge and skills. Events and resources such as product and business updates, as well as other programs such as Lunch &amp; Learns and Tradeweb U(niversity), which provides education courses on financial topics, are aimed at sharing information and improving our collective understanding of our industry and our clients’ needs. We sponsor a competitive summer internship program, from which we often make full-time hires, and provide assistance with numerous professional courses and qualifications through our tuition reimbursement program. Through our mentoring efforts and Tradeweb Achievers Program, we aim to strengthen our global culture of mentoring and developing our homegrown talent by equipping our senior leadership team with the tools and framework to share their professional experiences, motivate up-and-coming talent and build our future leadership pipeline.</w:t>
      </w:r>
    </w:p>
    <w:p>
      <w:pPr>
        <w:spacing w:after="0" w:line="1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Our employee engagement programs provide employees with the resources they need to help develop themselves and our shared culture—celebrating our differences and common purpose as our people grow both as unique individuals and as a collective, positive force in the world. Tradeweb has established and supports a number of committees and affinity groups dedicated to improving our people’s lives at work and advancing their personal and professional development. These include the Tradeweb Global Women’s Network, Diversity Equity &amp; Inclusion Network, Tradeweb Cares philanthropy group, Sustainability Action Network and the Working Parents Network.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Involvement and Philanthropy</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believe it is our responsibility to do our part to help the communities around the world where our employees live and work. We bring these opportunities to our employees through our philanthropy group, Tradeweb Cares, which focuses on corporate partnerships, encouraging employee volunteerism and matching of qualifying charitable contributions by our employees up to $1,000 per year per employee. We partner with many organizations around the world that are focused on the four pillars of our philanthropy strategy: ensuring equitable access to quality education and economic opportunity for all, supporting environmental conservation efforts to restore our planet, enriching and empowering social mobility in the communities where we live and work, and providing access to healthcare and disease prevention for our society’s most vulnerable.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Sustainability – Environmental, Social and Governance Matters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are committed to doing our part to help financial markets move toward a more sustainable global financial system. In August 2022 we published our second annual Corporate Sustainability Report, which reports on our environmental, social and governance (“ESG”) goals and priorities as well as our progress towards those goals during calendar year 2021. While the reporting structure is relatively new, our strong foundation in ESG principles is not. 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060" w:h="15660" w:orient="portrait"/>
          <w:cols w:equalWidth="0" w:num="1">
            <w:col w:w="10420"/>
          </w:cols>
          <w:pgMar w:left="820" w:top="748" w:right="82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The Environment</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including the eventual setting of science-based targets for greenhouse gas emissions. While our business involves limited direct environmental risks, we will endeavor to make our operations and impact more sustainable over time. Our primary environmental goals are to reduce our overall energy consumption and emissions where possible, and to move toward renewable energy coverage, or direct sourcing of renewable energy for our Scope 2 energy usage.</w:t>
      </w:r>
    </w:p>
    <w:p>
      <w:pPr>
        <w:spacing w:after="0" w:line="1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April 2021, we joined the Climate Bonds Initiative’s (“CBI”) Partnership Programme. CBI is an international, investor-focused not-for-profit organization promoting investment in projects and assets necessary for a rapid transition to a low-carbon and climate-resilient economy. The Climate Bonds Standard and Certification Scheme (the “Scheme”) is a labeling scheme for bonds, loans and other debt instruments. The Scheme’s rigorous scientific criteria are intended to ensure consistency with the Paris Agreement’s goal of limiting global warming to 1.5 degrees Celsius above pre-industrial levels. The Scheme is used globally by bond issuers, governments, investors and the financial markets seeking to prioritize investments that genuinely contribute to addressing climate change. CBI has been tracking the green-labeled bond (“Green Bond”) market since 2009. By partnering with CBI, we aim to promote the visibility and accessibility of Green Bond trading activity across a wide range of asset classes, and leverage CBI data to provide transparency and clarity around the Green Bond trading volumes and trends on our platforms. In 2022, CBI-screened Green Bond trading accounted for $198.4 billion of the total $207.6 billion in global Green Bond trading volume executed on Tradeweb (excluding ETF). This represents a trading volume increase of 39% from 2021, calculated using CBI-screened Green Bond alignment based on the CBI definition of ‘Green’ as of December 31, 2022 for both the 2022 and 2021 comparative period. We provide Green Bond highlights across our institutional platform, including Global Credit, European Government Bonds, Supranationals, Repurchase Agreements, China Bonds, and Convertibles, and have Green Bond search tools across asset classes on our Retail platform. We plan to continually increase the data available to our clients around Green Bonds, and intend to expand this data set to include other ESG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related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People and Communities</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We value and encourage diverse perspectives, and strive to cultivate a team with varied and robust ideas. We aim to give everyone the access and ability to grow as an individual and, eventually, a leader. For more information on how we support our people and help foster a diverse workforce, please see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Human Capital”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Governance</w:t>
      </w:r>
    </w:p>
    <w:p>
      <w:pPr>
        <w:spacing w:after="0" w:line="21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We have invested in strong and well-established governance structures across our global enterprise, led by a diverse Board of Directors that is deeply experienced in our business and highly focused on advancing our ESG strategies across the company. As part of that commitment, during 2020, we established an ESG Steering Committee comprised of senior level executives covering major business directives across the company. The ESG Steering Committee is an advisory board assembled to guide our focus, and ensure delivery on our thoughtful approach to integrating our ESG strategy into our business and operations. To support the implementation of our ESG strategy, a dedicated role was also established in December 2020 to organize and manage our global Corporate Social Responsibility and ESG initiatives, as the first member of our ESG team. This role reports directly into our senior executive leadership team, which provides critical support for the integration of these initiatives across our business. In 2021, our ESG team was expanded to dedicate additional resources to support the project implementation of our sustainability efforts. We have designated two members of the Board to act as ESG Board Liaisons to oversee our ESG strategy and priorities.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Organizational Structure</w:t>
      </w:r>
    </w:p>
    <w:p>
      <w:pPr>
        <w:spacing w:after="0" w:line="2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060" w:h="15660" w:orient="portrait"/>
          <w:cols w:equalWidth="0" w:num="1">
            <w:col w:w="10420"/>
          </w:cols>
          <w:pgMar w:left="820" w:top="739" w:right="82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LSEG Transaction</w:t>
      </w:r>
    </w:p>
    <w:p>
      <w:pPr>
        <w:spacing w:after="0" w:line="21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On January 29, 2021, LSEG completed its acquisition of the Refinitiv business from a consortium, including certain investment funds affiliated with Blackstone as well as Thomson Reuters, in an all share transaction.</w:t>
      </w:r>
    </w:p>
    <w:p>
      <w:pPr>
        <w:spacing w:after="0" w:line="1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Following the consummation of the LSEG Transaction, LSEG is the controlling shareholder of Refinitiv and Refinitiv continues to be the controlling shareholder of Tradeweb, holding approximately 91.2% of our combined voting power as of December 31, 2022. Tradeweb remains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Our existing market data license agreement with Refinitiv remains unchanged. However, the non-compete period applicable to Refinitiv in their restrictive covenant agreement with us was terminated as of January 29,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ectPr>
          <w:pgSz w:w="12060" w:h="15660" w:orient="portrait"/>
          <w:cols w:equalWidth="0" w:num="1">
            <w:col w:w="10360"/>
          </w:cols>
          <w:pgMar w:left="820" w:top="73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ectPr>
          <w:pgSz w:w="12060" w:h="15660" w:orient="portrait"/>
          <w:cols w:equalWidth="0" w:num="1">
            <w:col w:w="10360"/>
          </w:cols>
          <w:pgMar w:left="820" w:top="739" w:right="8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principal factors that make an investment in our Class A common stock speculative or risky.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34"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market conditions may reduce trading volumes.</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compete successfully.</w:t>
      </w:r>
    </w:p>
    <w:p>
      <w:pPr>
        <w:spacing w:after="0" w:line="10" w:lineRule="exact"/>
        <w:rPr>
          <w:rFonts w:ascii="Times New Roman" w:cs="Times New Roman" w:eastAsia="Times New Roman" w:hAnsi="Times New Roman"/>
          <w:sz w:val="20"/>
          <w:szCs w:val="20"/>
          <w:color w:val="auto"/>
        </w:rPr>
      </w:pPr>
    </w:p>
    <w:p>
      <w:pPr>
        <w:ind w:left="720" w:right="34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adapt our business effectively to keep pace with industry changes, we may not be able to compete effectively.</w:t>
      </w: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consolidation and concentration in the financial services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34" w:lineRule="exact"/>
        <w:rPr>
          <w:sz w:val="20"/>
          <w:szCs w:val="20"/>
          <w:color w:val="auto"/>
        </w:rPr>
      </w:pPr>
    </w:p>
    <w:p>
      <w:pPr>
        <w:ind w:left="720" w:right="60" w:hanging="370"/>
        <w:spacing w:after="0" w:line="252"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our dealer clients to support our marketplaces by transacting with our other institutional, wholesale and retail clients.</w:t>
      </w: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long-term contractual arrangements with most of our liquidity taking clients.</w:t>
      </w:r>
    </w:p>
    <w:p>
      <w:pPr>
        <w:spacing w:after="0" w:line="10" w:lineRule="exact"/>
        <w:rPr>
          <w:rFonts w:ascii="Times New Roman" w:cs="Times New Roman" w:eastAsia="Times New Roman" w:hAnsi="Times New Roman"/>
          <w:sz w:val="20"/>
          <w:szCs w:val="20"/>
          <w:color w:val="auto"/>
        </w:rPr>
      </w:pPr>
    </w:p>
    <w:p>
      <w:pPr>
        <w:ind w:left="720" w:right="16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if we are unable to maintain and grow the capacity of our trading platforms, systems and infrastructure.</w:t>
      </w: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design defects, errors, failures or delays with our platforms or solutions.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conduct our business may be impacted by unforeseen, catastrophic or uncontrollable events.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results may fluctuate significantly.</w:t>
      </w:r>
    </w:p>
    <w:p>
      <w:pPr>
        <w:spacing w:after="0" w:line="1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retain our senior management team or the inability to attract and retain qualified personnel could materially adversely impact our ability to operate or grow our business.</w:t>
      </w: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damage to our reputation or brand.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 charges for our goodwill and other indefinite-lived intangible assets.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achieve our environmental, social and governance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34"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maintain our current level of business or execute our growth plan.</w:t>
      </w:r>
    </w:p>
    <w:p>
      <w:pPr>
        <w:spacing w:after="0" w:line="13"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w:t>
      </w: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undertake acquisitions or divestitures, which may not be successful.</w:t>
      </w:r>
    </w:p>
    <w:p>
      <w:pPr>
        <w:spacing w:after="0" w:line="10" w:lineRule="exact"/>
        <w:rPr>
          <w:rFonts w:ascii="Times New Roman" w:cs="Times New Roman" w:eastAsia="Times New Roman" w:hAnsi="Times New Roman"/>
          <w:sz w:val="20"/>
          <w:szCs w:val="20"/>
          <w:color w:val="auto"/>
        </w:rPr>
      </w:pPr>
    </w:p>
    <w:p>
      <w:pPr>
        <w:ind w:left="720" w:right="26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enter into strategic alliances, partnerships or joint ventures, we may not realize the anticipated strategic goals for any such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34" w:lineRule="exact"/>
        <w:rPr>
          <w:sz w:val="20"/>
          <w:szCs w:val="20"/>
          <w:color w:val="auto"/>
        </w:rPr>
      </w:pPr>
    </w:p>
    <w:p>
      <w:pPr>
        <w:ind w:left="720" w:right="100" w:hanging="370"/>
        <w:spacing w:after="0" w:line="252"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financial condition and results of operations may be materially adversely affected by risks associated with our international operations.</w:t>
      </w: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 may adversely affect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34" w:lineRule="exact"/>
        <w:rPr>
          <w:sz w:val="20"/>
          <w:szCs w:val="20"/>
          <w:color w:val="auto"/>
        </w:rPr>
      </w:pPr>
    </w:p>
    <w:p>
      <w:pPr>
        <w:ind w:left="720" w:right="600" w:hanging="370"/>
        <w:spacing w:after="0" w:line="252"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actual or perceived security vulnerabilities in our systems, networks and infrastructure, breaches of security controls, unauthorized access to confidential or personal information or cyber-attacks.</w:t>
      </w:r>
    </w:p>
    <w:p>
      <w:pPr>
        <w:ind w:left="7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systems failures, interruptions, delays in service, catastrophic events and resulting interruptions in the availability of our platforms or solutions.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adequately protect our intellectual property or rely on third-party intellectual property rights.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claim that we are infringing or misappropriating their intellectual property rights.</w:t>
      </w:r>
    </w:p>
    <w:p>
      <w:pPr>
        <w:spacing w:after="0" w:line="10" w:lineRule="exact"/>
        <w:rPr>
          <w:rFonts w:ascii="Times New Roman" w:cs="Times New Roman" w:eastAsia="Times New Roman" w:hAnsi="Times New Roman"/>
          <w:sz w:val="20"/>
          <w:szCs w:val="20"/>
          <w:color w:val="auto"/>
        </w:rPr>
      </w:pPr>
    </w:p>
    <w:p>
      <w:pPr>
        <w:ind w:left="720" w:right="920" w:hanging="37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open source software could result in litigation or impose unanticipated restrictions on our ability to commercialize our platforms and solutions.</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060" w:h="15660" w:orient="portrait"/>
          <w:cols w:equalWidth="0" w:num="1">
            <w:col w:w="10420"/>
          </w:cols>
          <w:pgMar w:left="820" w:top="741" w:right="82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34" w:lineRule="exact"/>
        <w:rPr>
          <w:sz w:val="20"/>
          <w:szCs w:val="20"/>
          <w:color w:val="auto"/>
        </w:rPr>
      </w:pPr>
    </w:p>
    <w:p>
      <w:pPr>
        <w:ind w:left="720" w:right="260" w:hanging="370"/>
        <w:spacing w:after="0" w:line="252"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 results in ongoing exposure to significant costs and penalties, enhanced oversight and restrictions and limitations on our business.</w:t>
      </w:r>
    </w:p>
    <w:p>
      <w:pPr>
        <w:ind w:left="720" w:right="36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the businesses of many of our clients, could be materially adversely affected by new laws, rules or regulations or changes in existing laws, rules or regulations.</w:t>
      </w:r>
    </w:p>
    <w:p>
      <w:pPr>
        <w:ind w:left="720" w:right="12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privacy, data protection and information security laws, rules, regulations and obligations could harm our business.</w:t>
      </w:r>
    </w:p>
    <w:p>
      <w:pPr>
        <w:ind w:left="720" w:right="66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new U.S. tax legislation as well as unanticipated changes in effective tax rates or adverse outcomes resulting from examination of our income or other tax returns.</w:t>
      </w: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and risk management programs might not be effective.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exposed to litigation risk, including securities litigation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34" w:lineRule="exact"/>
        <w:rPr>
          <w:sz w:val="20"/>
          <w:szCs w:val="20"/>
          <w:color w:val="auto"/>
        </w:rPr>
      </w:pPr>
    </w:p>
    <w:p>
      <w:pPr>
        <w:ind w:left="720" w:right="140" w:hanging="370"/>
        <w:spacing w:after="0" w:line="252"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that governs the Revolving Credit Facility imposes significant operating and financial restrictions on us and our restricted subsidiaries.</w:t>
      </w: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borrowings under the Revolving Credit Facility will subject us to interest rate risk.</w:t>
      </w:r>
    </w:p>
    <w:p>
      <w:pPr>
        <w:spacing w:after="0" w:line="10" w:lineRule="exact"/>
        <w:rPr>
          <w:rFonts w:ascii="Times New Roman" w:cs="Times New Roman" w:eastAsia="Times New Roman" w:hAnsi="Times New Roman"/>
          <w:sz w:val="20"/>
          <w:szCs w:val="20"/>
          <w:color w:val="auto"/>
        </w:rPr>
      </w:pPr>
    </w:p>
    <w:p>
      <w:pPr>
        <w:ind w:left="720" w:right="100" w:hanging="37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phase-out, replacement or unavailability of LIBOR and/or other interest rate benchmarks could adversely affect our indebtedness.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34"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controls us and its interests may conflict with ours or yours.</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“controlled company” within the meaning of the corporate governance standards of Nasdaq.</w:t>
      </w:r>
    </w:p>
    <w:p>
      <w:pPr>
        <w:spacing w:after="0" w:line="10" w:lineRule="exact"/>
        <w:rPr>
          <w:rFonts w:ascii="Times New Roman" w:cs="Times New Roman" w:eastAsia="Times New Roman" w:hAnsi="Times New Roman"/>
          <w:sz w:val="20"/>
          <w:szCs w:val="20"/>
          <w:color w:val="auto"/>
        </w:rPr>
      </w:pPr>
    </w:p>
    <w:p>
      <w:pPr>
        <w:ind w:left="720" w:right="5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organizational documents and Delaware law might discourage or delay acquisition attempts for us that you might consider favorable.</w:t>
      </w:r>
    </w:p>
    <w:p>
      <w:pPr>
        <w:ind w:left="720" w:right="20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720" w:right="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principal asset is our equity interest in TWM LLC, and, accordingly, we depend on distributions from TWM LLC to pay our taxes and expenses, including payments under the Tax Receivable Agreement.</w:t>
      </w:r>
    </w:p>
    <w:p>
      <w:pPr>
        <w:ind w:left="720" w:right="10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Receivable Agreement with the Continuing LLC Owners requires us to make cash payments to them in respect of certain tax benefits to which we may become entitled.</w:t>
      </w:r>
    </w:p>
    <w:p>
      <w:pPr>
        <w:ind w:left="720" w:right="1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 w:lineRule="exact"/>
        <w:rPr>
          <w:rFonts w:ascii="Times New Roman" w:cs="Times New Roman" w:eastAsia="Times New Roman" w:hAnsi="Times New Roman"/>
          <w:sz w:val="20"/>
          <w:szCs w:val="20"/>
          <w:color w:val="auto"/>
        </w:rPr>
      </w:pPr>
    </w:p>
    <w:p>
      <w:pPr>
        <w:ind w:left="720" w:right="2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cases, payments under the Tax Receivable Agreement to the Continuing LLC Owners may be accelerated or significantly exceed the actual benefits we realize.</w:t>
      </w:r>
    </w:p>
    <w:p>
      <w:pPr>
        <w:ind w:left="720" w:right="6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not be reimbursed for any payments made to the Continuing LLC Owners under the Tax Receivable Agreement in the event that any tax benefits are disallowed.</w:t>
      </w:r>
    </w:p>
    <w:p>
      <w:pPr>
        <w:ind w:left="720" w:hanging="370"/>
        <w:spacing w:after="0" w:line="255"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34" w:lineRule="exact"/>
        <w:rPr>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and Continuing LLC Owners may require us to issue additional shares of our Class A common stock.</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Class A common stock may be highly volatile.</w:t>
      </w:r>
    </w:p>
    <w:p>
      <w:pPr>
        <w:spacing w:after="0" w:line="10" w:lineRule="exact"/>
        <w:rPr>
          <w:rFonts w:ascii="Times New Roman" w:cs="Times New Roman" w:eastAsia="Times New Roman" w:hAnsi="Times New Roman"/>
          <w:sz w:val="20"/>
          <w:szCs w:val="20"/>
          <w:color w:val="auto"/>
        </w:rPr>
      </w:pPr>
    </w:p>
    <w:p>
      <w:pPr>
        <w:ind w:left="720" w:right="420" w:hanging="37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the potential for sales, of a substantial number of shares of our Class A common stock in the public market could cause our stock price to drop significantly.</w:t>
      </w:r>
    </w:p>
    <w:p>
      <w:pPr>
        <w:ind w:left="720" w:right="140" w:hanging="37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intend to continue to pay regular dividends, but our ability to do so may be limited.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any share repurchases are subject to a number of uncertainties.</w:t>
      </w:r>
    </w:p>
    <w:p>
      <w:pPr>
        <w:spacing w:after="0" w:line="10" w:lineRule="exact"/>
        <w:rPr>
          <w:rFonts w:ascii="Times New Roman" w:cs="Times New Roman" w:eastAsia="Times New Roman" w:hAnsi="Times New Roman"/>
          <w:sz w:val="20"/>
          <w:szCs w:val="20"/>
          <w:color w:val="auto"/>
        </w:rPr>
      </w:pPr>
    </w:p>
    <w:p>
      <w:pPr>
        <w:ind w:left="720" w:right="500" w:hanging="370"/>
        <w:spacing w:after="0" w:line="287" w:lineRule="auto"/>
        <w:tabs>
          <w:tab w:leader="none" w:pos="7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requirements of being a public company may strain our resources, increase our costs and divert management’s attention, and we may be unable to comply with these requirements in a timely or cost-effective manner.</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060" w:h="15660" w:orient="portrait"/>
          <w:cols w:equalWidth="0" w:num="1">
            <w:col w:w="10400"/>
          </w:cols>
          <w:pgMar w:left="820" w:top="741" w:right="84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2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Economic, political and market conditions may reduce trading volumes, which could have a material adverse effect on our business, financial condition and results of operations.</w:t>
      </w:r>
    </w:p>
    <w:p>
      <w:pPr>
        <w:spacing w:after="0" w:line="1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3" w:lineRule="exact"/>
        <w:rPr>
          <w:sz w:val="20"/>
          <w:szCs w:val="20"/>
          <w:color w:val="auto"/>
        </w:rPr>
      </w:pPr>
    </w:p>
    <w:p>
      <w:pPr>
        <w:ind w:left="720" w:right="22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social conditions in the United States, the UK, the EU and/or its member states, China or other major economies around the world, including, among other things, the strength and direction of the U.S. and global economy and the ongoing effects of COVID-19 and its variants;</w:t>
      </w:r>
    </w:p>
    <w:p>
      <w:pPr>
        <w:spacing w:after="0" w:line="1" w:lineRule="exact"/>
        <w:rPr>
          <w:rFonts w:ascii="Times New Roman" w:cs="Times New Roman" w:eastAsia="Times New Roman" w:hAnsi="Times New Roman"/>
          <w:sz w:val="20"/>
          <w:szCs w:val="20"/>
          <w:color w:val="auto"/>
        </w:rPr>
      </w:pPr>
    </w:p>
    <w:p>
      <w:pPr>
        <w:ind w:left="720" w:right="400" w:hanging="370"/>
        <w:spacing w:after="0" w:line="234"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foreign exchange fluctuations (see “—Risks Relating to our International Operations -- Fluctuations in foreign currency exchange rates may adversely affect our financial results” for further information);</w:t>
      </w:r>
    </w:p>
    <w:p>
      <w:pPr>
        <w:spacing w:after="0" w:line="1" w:lineRule="exact"/>
        <w:rPr>
          <w:rFonts w:ascii="Times New Roman" w:cs="Times New Roman" w:eastAsia="Times New Roman" w:hAnsi="Times New Roman"/>
          <w:sz w:val="20"/>
          <w:szCs w:val="20"/>
          <w:color w:val="auto"/>
        </w:rPr>
      </w:pPr>
    </w:p>
    <w:p>
      <w:pPr>
        <w:ind w:left="720" w:right="200" w:hanging="370"/>
        <w:spacing w:after="0" w:line="249"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Federal Reserve Board and other central banks’ monetary policy, increased capital requirements for banks and other financial institutions and other regulatory requirements;</w:t>
      </w: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conditions, including unforeseen market closures or other disruptions in trading;</w:t>
      </w:r>
    </w:p>
    <w:p>
      <w:pPr>
        <w:spacing w:after="0" w:line="10" w:lineRule="exact"/>
        <w:rPr>
          <w:rFonts w:ascii="Times New Roman" w:cs="Times New Roman" w:eastAsia="Times New Roman" w:hAnsi="Times New Roman"/>
          <w:sz w:val="20"/>
          <w:szCs w:val="20"/>
          <w:color w:val="auto"/>
        </w:rPr>
      </w:pPr>
    </w:p>
    <w:p>
      <w:pPr>
        <w:ind w:left="720" w:right="40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 trends in business and finance, including the number of new issuances and changes in investment patterns and priorities;</w:t>
      </w:r>
    </w:p>
    <w:p>
      <w:pPr>
        <w:ind w:left="720" w:right="34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concerns over a potential recession (in the United States or globally), inflation and weakening consumer and investor confidence levels;</w:t>
      </w:r>
    </w:p>
    <w:p>
      <w:pPr>
        <w:ind w:left="720" w:right="6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and volatility of interest rates, including actual and anticipated increases in the federal funds rate by the Federal Reserve;</w:t>
      </w: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or contraction in the number, and changes in the financial strength, of market participants;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capital for borrowings and investments by our clients;</w:t>
      </w:r>
    </w:p>
    <w:p>
      <w:pPr>
        <w:spacing w:after="0" w:line="10" w:lineRule="exact"/>
        <w:rPr>
          <w:rFonts w:ascii="Times New Roman" w:cs="Times New Roman" w:eastAsia="Times New Roman" w:hAnsi="Times New Roman"/>
          <w:sz w:val="20"/>
          <w:szCs w:val="20"/>
          <w:color w:val="auto"/>
        </w:rPr>
      </w:pPr>
    </w:p>
    <w:p>
      <w:pPr>
        <w:ind w:left="720" w:right="26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concerns, including concerns over credit default or bankruptcy of one or more sovereign nations or corporate entities;</w:t>
      </w:r>
    </w:p>
    <w:p>
      <w:pPr>
        <w:ind w:left="720" w:right="16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legislative, regulatory or government policy changes, including changes to financial industry regulations and tax laws, including the Inflation Reduction Act of 2022 (the “IRA”) and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20"/>
          <w:szCs w:val="20"/>
          <w:color w:val="auto"/>
        </w:rPr>
      </w:pPr>
    </w:p>
    <w:p>
      <w:pPr>
        <w:ind w:left="720" w:right="280" w:hanging="37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 including between the United States and China, or other governmental action related to tariffs, international trade agreements or trade policies; and</w:t>
      </w:r>
    </w:p>
    <w:p>
      <w:pPr>
        <w:ind w:left="720" w:right="280" w:hanging="370"/>
        <w:spacing w:after="0" w:line="255"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or anticipated impact of climate change, extreme weather events, natural disasters and other catastrophic events, actual or threatened acts of war, including Russia’s invasion of Ukraine, terrorism or other armed hostilities or outbreaks of pandemic or contagious diseases.</w:t>
      </w:r>
    </w:p>
    <w:p>
      <w:pPr>
        <w:spacing w:after="0" w:line="1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These factors also affect the degree of volatility (the magnitude and frequency of fluctuations) in the U.S. and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060" w:h="15660" w:orient="portrait"/>
          <w:cols w:equalWidth="0" w:num="1">
            <w:col w:w="10420"/>
          </w:cols>
          <w:pgMar w:left="820" w:top="741" w:right="820" w:bottom="0" w:gutter="0" w:footer="0" w:header="0"/>
          <w:type w:val="continuous"/>
        </w:sectPr>
      </w:pPr>
    </w:p>
    <w:bookmarkStart w:id="43" w:name="page44"/>
    <w:bookmarkEnd w:id="43"/>
    <w:p>
      <w:pPr>
        <w:ind w:right="20"/>
        <w:spacing w:after="0" w:line="272" w:lineRule="auto"/>
        <w:rPr>
          <w:sz w:val="20"/>
          <w:szCs w:val="20"/>
          <w:color w:val="auto"/>
        </w:rPr>
      </w:pPr>
      <w:r>
        <w:rPr>
          <w:rFonts w:ascii="Times New Roman" w:cs="Times New Roman" w:eastAsia="Times New Roman" w:hAnsi="Times New Roman"/>
          <w:sz w:val="19"/>
          <w:szCs w:val="19"/>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compete successfully could materially adversely affect our business, financial condition and results of operations.</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6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Further, in 2022, TP ICAP completed its acquisition of Liquidnet to further diversify its business.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operations also include the sale of pre- and post-trade services, analytics and market data (including through a distribution agreement with Refinitiv). There is a high degree of competition among market data and information vendors in solutions for pre-and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060" w:h="15660" w:orient="portrait"/>
          <w:cols w:equalWidth="0" w:num="1">
            <w:col w:w="10420"/>
          </w:cols>
          <w:pgMar w:left="820" w:top="748" w:right="820" w:bottom="0" w:gutter="0" w:footer="0" w:header="0"/>
          <w:type w:val="continuous"/>
        </w:sectPr>
      </w:pPr>
    </w:p>
    <w:bookmarkStart w:id="44" w:name="page45"/>
    <w:bookmarkEnd w:id="44"/>
    <w:p>
      <w:pPr>
        <w:jc w:val="both"/>
        <w:ind w:right="54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in a rapidly evolving industry involves a high degree of risk and our future success will depend in part on our ability to:</w:t>
      </w:r>
    </w:p>
    <w:p>
      <w:pPr>
        <w:spacing w:after="0" w:line="210" w:lineRule="exact"/>
        <w:rPr>
          <w:sz w:val="20"/>
          <w:szCs w:val="20"/>
          <w:color w:val="auto"/>
        </w:rPr>
      </w:pPr>
    </w:p>
    <w:p>
      <w:pPr>
        <w:ind w:left="720" w:right="720" w:hanging="37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and improve the responsiveness, functionality, accessibility and reliability of our existing platforms and solutions;</w:t>
      </w:r>
    </w:p>
    <w:p>
      <w:pPr>
        <w:spacing w:after="0" w:line="1"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and maintain market acceptance for our platforms and solutions;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our existing platforms and solutions for new markets, asset classes and products;</w:t>
      </w:r>
    </w:p>
    <w:p>
      <w:pPr>
        <w:spacing w:after="0" w:line="10" w:lineRule="exact"/>
        <w:rPr>
          <w:rFonts w:ascii="Times New Roman" w:cs="Times New Roman" w:eastAsia="Times New Roman" w:hAnsi="Times New Roman"/>
          <w:sz w:val="20"/>
          <w:szCs w:val="20"/>
          <w:color w:val="auto"/>
        </w:rPr>
      </w:pPr>
    </w:p>
    <w:p>
      <w:pPr>
        <w:ind w:left="720" w:right="320" w:hanging="370"/>
        <w:spacing w:after="0" w:line="25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competitive pressures, technological advances, including new or disruptive technology, emerging industry standards and practices and regulatory requirements and changes on a cost-effective and timely basis;</w:t>
      </w: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highly-skilled technology, regulatory, sales and marketing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support, expand, adapt and develop our operations, systems, networks and infrastructure;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cybersecurity threats;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advantage of acquisitions, strategic alliances and other opportunities;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any applicable regulatory approval for our platforms and solutions.</w:t>
      </w:r>
    </w:p>
    <w:p>
      <w:pPr>
        <w:spacing w:after="0" w:line="1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7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9"/>
          <w:szCs w:val="19"/>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45"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Consolidation and concentration in the financial services industry could materially adversely affect our business, financial condition and results of operations.</w:t>
      </w:r>
    </w:p>
    <w:p>
      <w:pPr>
        <w:spacing w:after="0" w:line="1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which may lower our trading volumes. If our clients merge with or are acquired by other companies that are not our clients, or companies that utilize our offerings to a lesser degree, such clients may discontinue or reduce their use of our platforms and solutions. Any such developments could materially adversely affect our business, financial condition and results of operations.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060" w:h="15660" w:orient="portrait"/>
          <w:cols w:equalWidth="0" w:num="1">
            <w:col w:w="10420"/>
          </w:cols>
          <w:pgMar w:left="820" w:top="739" w:right="820" w:bottom="0" w:gutter="0" w:footer="0" w:header="0"/>
          <w:type w:val="continuous"/>
        </w:sectPr>
      </w:pPr>
    </w:p>
    <w:bookmarkStart w:id="45" w:name="page46"/>
    <w:bookmarkEnd w:id="45"/>
    <w:p>
      <w:pPr>
        <w:ind w:right="60"/>
        <w:spacing w:after="0" w:line="258" w:lineRule="auto"/>
        <w:rPr>
          <w:sz w:val="20"/>
          <w:szCs w:val="20"/>
          <w:color w:val="auto"/>
        </w:rPr>
      </w:pPr>
      <w:r>
        <w:rPr>
          <w:rFonts w:ascii="Times New Roman" w:cs="Times New Roman" w:eastAsia="Times New Roman" w:hAnsi="Times New Roman"/>
          <w:sz w:val="20"/>
          <w:szCs w:val="20"/>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208"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dealer clients to support our marketplaces by transacting with our other institutional, wholesale and retail clients.</w:t>
      </w:r>
    </w:p>
    <w:p>
      <w:pPr>
        <w:spacing w:after="0" w:line="137"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auto"/>
        </w:rPr>
        <w:t>We rely on our dealer clients to provide liquidity on our trading platforms by posting prices on our platforms and responding to client inquiries, and certain of our dealer clients account for a significant portion of our total trading volume on our platforms.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were also stockholders. Market knowledge and feedback from dealer clients have been important factors in the development of many of our offerings and solutions.</w:t>
      </w:r>
    </w:p>
    <w:p>
      <w:pPr>
        <w:spacing w:after="0" w:line="1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Although we have established and maintain significant long-term relationships with our key dealer clients, we cannot assure you that all of these relationships will continue or will not diminish.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060" w:h="15660" w:orient="portrait"/>
          <w:cols w:equalWidth="0" w:num="1">
            <w:col w:w="10420"/>
          </w:cols>
          <w:pgMar w:left="820" w:top="748" w:right="820" w:bottom="0" w:gutter="0" w:footer="0" w:header="0"/>
          <w:type w:val="continuous"/>
        </w:sectPr>
      </w:pPr>
    </w:p>
    <w:bookmarkStart w:id="46" w:name="page47"/>
    <w:bookmarkEnd w:id="46"/>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64"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if we are unable to maintain and grow the capacity of our trading platforms, systems and infrastructure.</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Any material disruptions in our trading platforms could result in our clients deciding to stop using or to reduce their use of our trading platforms, either of which would have a material adverse effect on our business, financial condition and results of operations.</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will need to continually improve and upgrade our trading platforms, systems and infrastructure to accommodate increases in trading volumes, changes in trading practices of new and existing clients or irregular or heavy use of our trading platforms, especially during peak trading times or at times of increased market volatility.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66"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design defects, errors, failures or delays with our platforms or solutions, our business could suffer serious harm.</w:t>
      </w:r>
    </w:p>
    <w:p>
      <w:pPr>
        <w:spacing w:after="0" w:line="13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060" w:h="15660" w:orient="portrait"/>
          <w:cols w:equalWidth="0" w:num="1">
            <w:col w:w="10420"/>
          </w:cols>
          <w:pgMar w:left="820" w:top="739" w:right="820" w:bottom="0" w:gutter="0" w:footer="0" w:header="0"/>
          <w:type w:val="continuous"/>
        </w:sectPr>
      </w:pPr>
    </w:p>
    <w:bookmarkStart w:id="47" w:name="page48"/>
    <w:bookmarkEnd w:id="47"/>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rely on a number of third parties to supply, support and maintain critical elements of our operations, including our trading platforms,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and limited recourse to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third-party providers and our clients for our pre- and post-trade data, analytics and reporting solutions.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platforms at any time, which would decrease our volume of trade data and may diminish the competitiveness of our market data offerings.</w:t>
      </w:r>
    </w:p>
    <w:p>
      <w:pPr>
        <w:spacing w:after="0" w:line="17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060" w:h="15660" w:orient="portrait"/>
          <w:cols w:equalWidth="0" w:num="1">
            <w:col w:w="10420"/>
          </w:cols>
          <w:pgMar w:left="820" w:top="739" w:right="8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trading counterparties and clearinghouses to perform their obligations.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7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ability to conduct our business may be materially adversely impacted by unforeseen, catastrophic or uncontrollable events. In addition, our U.S. and European operations are heavily concentrated in particular areas and may be adversely affected by events in those areas.</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may incur losses as a result of unforeseen, catastrophic or uncontrollable events, including fire, natural disasters, extreme weather events, global health crises (including COVID-19 and its variants), power loss, telecommunications failure, software or hardware malfunctions, theft, cyber-attacks, acts of war, terrorist attacks or other armed hostilities.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platforms and solutions available to our clients could be impaired and, as a result, we could lose critical data and revenues. If we are unable to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In addition, our U.S. operations are heavily concentrated in the New York metro area and our European operations are heavily concentrated in London, United Kingdom. Any event that affects either of those geographic areas could affect our ability to operate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 and may not fully reflect the underlying performance of our business.</w:t>
      </w:r>
    </w:p>
    <w:p>
      <w:pPr>
        <w:spacing w:after="0" w:line="2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48"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overall trading volumes or our market share for our key products;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 or loss of clients;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unpredictability of the financial services industry;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drive an increase in the use of our trading platforms by new and existing clients;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products and volumes traded, changes in fee plans and average variable fees per million;</w:t>
      </w:r>
    </w:p>
    <w:p>
      <w:pPr>
        <w:spacing w:after="0" w:line="10"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expenses, including those related to the maintenance and expansion of our business, operations and infrastructure;</w:t>
      </w:r>
    </w:p>
    <w:p>
      <w:pPr>
        <w:ind w:left="720" w:right="60" w:hanging="37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or service outages, internet disruptions, the availability of our platforms, security breaches or perceived security breaches;</w:t>
      </w: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social, industry and market conditions;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strategies and pricing policies (or those of our competitors);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060" w:h="15660" w:orient="portrait"/>
          <w:cols w:equalWidth="0" w:num="1">
            <w:col w:w="10420"/>
          </w:cols>
          <w:pgMar w:left="820" w:top="739" w:right="820" w:bottom="0" w:gutter="0" w:footer="0" w:header="0"/>
          <w:type w:val="continuous"/>
        </w:sectPr>
      </w:pPr>
    </w:p>
    <w:bookmarkStart w:id="49" w:name="page50"/>
    <w:bookmarkEnd w:id="49"/>
    <w:p>
      <w:pPr>
        <w:ind w:left="720" w:hanging="370"/>
        <w:spacing w:after="0" w:line="257"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any acquisitions, divestitures or strategic alliances;</w:t>
      </w:r>
    </w:p>
    <w:p>
      <w:pPr>
        <w:spacing w:after="0" w:line="10"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platforms, solutions, technologies or businesses and potential future charges for impairment of goodwill from acquired companies;</w:t>
      </w:r>
    </w:p>
    <w:p>
      <w:pPr>
        <w:ind w:left="720" w:right="200" w:hanging="370"/>
        <w:spacing w:after="0" w:line="25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changes to existing, regulations that limit or affect our platforms, solutions and technologies or which increase our regulatory compliance costs; and</w:t>
      </w:r>
    </w:p>
    <w:p>
      <w:pPr>
        <w:ind w:left="720" w:right="160" w:hanging="370"/>
        <w:spacing w:after="0" w:line="260"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magnitude of any adjustments in our consolidated financial statements driven by changes in the liability under the Tax Receivable Agreement.</w:t>
      </w:r>
    </w:p>
    <w:p>
      <w:pPr>
        <w:spacing w:after="0" w:line="152"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or brand could negatively impact our business, financial condition and results of operations.</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1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060" w:h="15660" w:orient="portrait"/>
          <w:cols w:equalWidth="0" w:num="1">
            <w:col w:w="10380"/>
          </w:cols>
          <w:pgMar w:left="820" w:top="748" w:right="860" w:bottom="0" w:gutter="0" w:footer="0" w:header="0"/>
          <w:type w:val="continuous"/>
        </w:sectPr>
      </w:pPr>
    </w:p>
    <w:bookmarkStart w:id="50" w:name="page51"/>
    <w:bookmarkEnd w:id="50"/>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incur impairment charges for our goodwill and other indefinite-lived intangible assets which would negatively impact our operating results.</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of December 31, 2022, we had goodwill of $2.8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achieve our environmental, social and governance (“ESG”) goals.</w:t>
      </w:r>
    </w:p>
    <w:p>
      <w:pPr>
        <w:spacing w:after="0" w:line="2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We have established ESG goals for our business. These goals reflect our current plans and aspirations and we may not be able to achieve them.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w:t>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Our ability to achieve any ESG objective is subject to numerous risks, many of which are outside of our control. Examples of such risks include our ability to accurately track Scope 1, 2 and 3 greenhouse gas emissions, the evolving regulatory requirements affecting ESG standards or disclosures and our ability to recruit, develop and retain diverse talent in our workforce.</w:t>
      </w:r>
    </w:p>
    <w:p>
      <w:pPr>
        <w:spacing w:after="0" w:line="1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Standards for tracking and reporting ESG matters continue to evolve. Our selection of voluntary disclosure frameworks and standards, and the interpretation or application of those frameworks and standards, may change from time to time or differ from those of others.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across our operations are evolving along with multiple disparate standards for identifying, measuring, and reporting ESG metrics, including ESG-related disclosures that may be required by the SEC and European and other regulators, and such standards may change over time, which could result in significant revisions to our current goals, reported progress in achieving such goals, or ability to achieve such goals in the future. If our ESG practices and goals do not meet evolving investor or other stakeholder expectations and standards, then our reputation or our attractiveness as an investment, business partner, acquirer, service provider or employer could be negatively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20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our current level of business or execute our growth plan, our business, financial condition and results of operations may be materially harmed.</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060" w:h="15660" w:orient="portrait"/>
          <w:cols w:equalWidth="0" w:num="1">
            <w:col w:w="10400"/>
          </w:cols>
          <w:pgMar w:left="820" w:top="739" w:right="840" w:bottom="0" w:gutter="0" w:footer="0" w:header="0"/>
          <w:type w:val="continuous"/>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20"/>
          <w:szCs w:val="20"/>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As of December 31, 2022, we derived approximately 51% of our revenue from our Rates asset class. Our long-term growth plan includes expanding the number of products we offer across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It is possible that our entry into new markets will not be successful, and potential new markets may not develop quickly or at all.</w:t>
      </w:r>
    </w:p>
    <w:p>
      <w:pPr>
        <w:spacing w:after="0" w:line="13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1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These and other factors have led us to scale back our expansion efforts into new markets in the past, and there can be no assurance that we will not experience similar difficulties in the future. For example, although we have since re-entered the Asian market,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1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4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CodeStreet in 2016 and Nasdaq’s U.S. fixed income electronic trading platform in 2021.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ectPr>
          <w:pgSz w:w="12060" w:h="15660" w:orient="portrait"/>
          <w:cols w:equalWidth="0" w:num="1">
            <w:col w:w="10420"/>
          </w:cols>
          <w:pgMar w:left="820" w:top="748" w:right="820" w:bottom="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060" w:h="15660" w:orient="portrait"/>
          <w:cols w:equalWidth="0" w:num="1">
            <w:col w:w="10420"/>
          </w:cols>
          <w:pgMar w:left="820" w:top="748" w:right="820" w:bottom="0" w:gutter="0" w:footer="0" w:header="0"/>
          <w:type w:val="continuous"/>
        </w:sectPr>
      </w:pPr>
    </w:p>
    <w:bookmarkStart w:id="52" w:name="page53"/>
    <w:bookmarkEnd w:id="52"/>
    <w:p>
      <w:pPr>
        <w:ind w:right="60"/>
        <w:spacing w:after="0" w:line="253" w:lineRule="auto"/>
        <w:rPr>
          <w:sz w:val="20"/>
          <w:szCs w:val="20"/>
          <w:color w:val="auto"/>
        </w:rPr>
      </w:pPr>
      <w:r>
        <w:rPr>
          <w:rFonts w:ascii="Times New Roman" w:cs="Times New Roman" w:eastAsia="Times New Roman" w:hAnsi="Times New Roman"/>
          <w:sz w:val="20"/>
          <w:szCs w:val="20"/>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7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20"/>
          <w:szCs w:val="20"/>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46" w:lineRule="exact"/>
        <w:rPr>
          <w:sz w:val="20"/>
          <w:szCs w:val="20"/>
          <w:color w:val="auto"/>
        </w:rPr>
      </w:pPr>
    </w:p>
    <w:p>
      <w:pPr>
        <w:jc w:val="both"/>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enter into strategic alliances, partnerships or joint ventures, we may not realize the anticipated strategic goals for any such transactions.</w:t>
      </w:r>
    </w:p>
    <w:p>
      <w:pPr>
        <w:spacing w:after="0" w:line="1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w:t>
      </w:r>
    </w:p>
    <w:p>
      <w:pPr>
        <w:spacing w:after="0" w:line="1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060" w:h="15660" w:orient="portrait"/>
          <w:cols w:equalWidth="0" w:num="1">
            <w:col w:w="10420"/>
          </w:cols>
          <w:pgMar w:left="820" w:top="748" w:right="82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20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financial condition and results of operations may be materially adversely affected by risks associated with our international operations.</w:t>
      </w:r>
    </w:p>
    <w:p>
      <w:pPr>
        <w:spacing w:after="0" w:line="13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We have operations in the United States, China, France, Japan, Hong Kong, Singapore, the UK and the Netherlands.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163" w:lineRule="exact"/>
        <w:rPr>
          <w:sz w:val="20"/>
          <w:szCs w:val="20"/>
          <w:color w:val="auto"/>
        </w:rPr>
      </w:pPr>
    </w:p>
    <w:p>
      <w:pPr>
        <w:ind w:left="720" w:hanging="370"/>
        <w:spacing w:after="0" w:line="257"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economic, political and social conditions, including the possibility of economic slowdowns, hyperinflationary conditions, political instability, social unrest or outbreaks of pandemic or contagious diseases, such as COVID-19 and its variants;</w:t>
      </w:r>
    </w:p>
    <w:p>
      <w:pPr>
        <w:spacing w:after="0" w:line="1" w:lineRule="exact"/>
        <w:rPr>
          <w:rFonts w:ascii="Times New Roman" w:cs="Times New Roman" w:eastAsia="Times New Roman" w:hAnsi="Times New Roman"/>
          <w:sz w:val="20"/>
          <w:szCs w:val="20"/>
          <w:color w:val="auto"/>
        </w:rPr>
      </w:pPr>
    </w:p>
    <w:p>
      <w:pPr>
        <w:ind w:left="720" w:right="22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legal and regulatory requirements, and the possibility that any required approvals may impose restrictions on the operation of our business;</w:t>
      </w:r>
    </w:p>
    <w:p>
      <w:pPr>
        <w:ind w:left="720" w:right="12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government policies and regulations, or in how provisions are interpreted or administered and how we are supervised;</w:t>
      </w:r>
    </w:p>
    <w:p>
      <w:pPr>
        <w:ind w:left="720" w:right="32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manage and coordinate the various legal and regulatory requirements of multiple jurisdictions that are constantly evolving and subject to change;</w:t>
      </w:r>
    </w:p>
    <w:p>
      <w:pPr>
        <w:ind w:left="720" w:right="26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tax regimes, including with respect to imposition or increase of taxes on financial transactions or withholding and other taxes on remittances and other payments by subsidiaries;</w:t>
      </w:r>
    </w:p>
    <w:p>
      <w:pPr>
        <w:ind w:left="720" w:right="24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 including between the United States and China, or other governmental action related to tariffs, international trade agreements or trade policies;</w:t>
      </w: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changes in currency policies or practices and restrictions on currency conversion;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restrictions on the repatriation or other transfer of funds;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difficulties in protecting intellectual property;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enforce agreements, collect payments or seek recourse under or comply with differing commercial laws;</w:t>
      </w:r>
    </w:p>
    <w:p>
      <w:pPr>
        <w:spacing w:after="0" w:line="10" w:lineRule="exact"/>
        <w:rPr>
          <w:rFonts w:ascii="Times New Roman" w:cs="Times New Roman" w:eastAsia="Times New Roman" w:hAnsi="Times New Roman"/>
          <w:sz w:val="20"/>
          <w:szCs w:val="20"/>
          <w:color w:val="auto"/>
        </w:rPr>
      </w:pPr>
    </w:p>
    <w:p>
      <w:pPr>
        <w:ind w:left="720" w:right="28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potential conflicts between locally accepted business practices and our obligations to comply with laws and regulations, including anti-corruption and anti-money laundering laws and regulations;</w:t>
      </w: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economic sanctions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0"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and difficulties in developing and managing our global operations and our technological infrastructure; and</w:t>
      </w: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fluctuations in business activity.</w:t>
      </w:r>
    </w:p>
    <w:p>
      <w:pPr>
        <w:spacing w:after="0" w:line="1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may adversely affect our financial results.</w:t>
      </w: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2022, 36% of our revenues derived from our international operations. Since we operate in several different countries outside the United States, most notably the UK, the Netherlands, Japan, as well as China, Singapore, Hong Kong and Canada, among others, significant portions of our revenues, expenses, assets and liabilities are denominated in non-U.S. dollar currencies, most notably the British pound sterling and euros, as well as Japanese Yen, Chinese Yuan Renminbi, Singapore dollars, Hong Kong dollars and Canadian dollars,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ectPr>
          <w:pgSz w:w="12060" w:h="15660" w:orient="portrait"/>
          <w:cols w:equalWidth="0" w:num="1">
            <w:col w:w="10380"/>
          </w:cols>
          <w:pgMar w:left="820" w:top="7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060" w:h="15660" w:orient="portrait"/>
          <w:cols w:equalWidth="0" w:num="1">
            <w:col w:w="10380"/>
          </w:cols>
          <w:pgMar w:left="820" w:top="741" w:right="86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20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security vulnerabilities in our systems, networks and infrastructure, breaches of security controls, unauthorized access to confidential or personal information or cyber-attacks could harm our business, reputation and results of operations.</w:t>
      </w:r>
    </w:p>
    <w:p>
      <w:pPr>
        <w:spacing w:after="0" w:line="1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operation of our electronic trading platforms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including military actions associated with Russia’s invasion of Ukraine, we, like other financial services companies, may be subject to a heightened risk of such attacks from nation-state and affiliated actors, including attacks that could materially disrupt our systems, operations and platforms.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platforms and solutions, which could result in reputational damage, financial losses, client dissatisfaction, regulatory enforcement actions, fines and penalties and/or private litigation.</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identify or mitigate a cyber-attack,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cyber-attacks, security and data breaches or other security vulnerabilities and to protect against damage caused by such events.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There have been an increasing number of cyber-attacks in recent years in various industries, including ours, and cybersecurity risk management has been the subject of increasing focus by U.S. and foreign regulators. We have an Enterprise Risk Committee, chaired by the Chief Risk Officer, and comprised of the Chief Information Security Officer and heads of Risk Management, Global Compliance, Human Resources, Internal Audit and various business lines, as well as the General Counsel. Cybersecurity risk is overseen by our board of directors and audit committee. The Chief Risk Officer and the Chief Information Security Officer provide regular updates to the Executive Committee, our audit committee and the board of directors.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060" w:h="15660" w:orient="portrait"/>
          <w:cols w:equalWidth="0" w:num="1">
            <w:col w:w="10420"/>
          </w:cols>
          <w:pgMar w:left="820" w:top="741" w:right="820" w:bottom="0" w:gutter="0" w:footer="0" w:header="0"/>
          <w:type w:val="continuous"/>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20"/>
          <w:szCs w:val="20"/>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security measures and the reliability of our platforms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160"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3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 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cyberattacks, cyber-warfare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7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trading platforms and solutions.</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recent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060" w:h="15660" w:orient="portrait"/>
          <w:cols w:equalWidth="0" w:num="1">
            <w:col w:w="10420"/>
          </w:cols>
          <w:pgMar w:left="820" w:top="748" w:right="820" w:bottom="0" w:gutter="0" w:footer="0" w:header="0"/>
          <w:type w:val="continuous"/>
        </w:sectPr>
      </w:pPr>
    </w:p>
    <w:bookmarkStart w:id="56" w:name="page57"/>
    <w:bookmarkEnd w:id="56"/>
    <w:p>
      <w:pPr>
        <w:ind w:right="20"/>
        <w:spacing w:after="0" w:line="253" w:lineRule="auto"/>
        <w:rPr>
          <w:sz w:val="20"/>
          <w:szCs w:val="20"/>
          <w:color w:val="auto"/>
        </w:rPr>
      </w:pPr>
      <w:r>
        <w:rPr>
          <w:rFonts w:ascii="Times New Roman" w:cs="Times New Roman" w:eastAsia="Times New Roman" w:hAnsi="Times New Roman"/>
          <w:sz w:val="20"/>
          <w:szCs w:val="20"/>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In January 2022, the SEC proposed amendments which, among other things, would extend Regulation Systems Compliance and Integrity to systems involving U.S. government securities trading.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64"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6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060" w:h="15660" w:orient="portrait"/>
          <w:cols w:equalWidth="0" w:num="1">
            <w:col w:w="10420"/>
          </w:cols>
          <w:pgMar w:left="820" w:top="748" w:right="820" w:bottom="0" w:gutter="0" w:footer="0" w:header="0"/>
          <w:type w:val="continuous"/>
        </w:sectPr>
      </w:pPr>
    </w:p>
    <w:bookmarkStart w:id="57" w:name="page58"/>
    <w:bookmarkEnd w:id="57"/>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result in litigation or impose unanticipated restrictions on our ability to commercialize our platforms and solutions.</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20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in the UK,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the Japan Securities Dealers Association and the Australian Securities and Investment Commission.</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060" w:h="15660" w:orient="portrait"/>
          <w:cols w:equalWidth="0" w:num="1">
            <w:col w:w="10420"/>
          </w:cols>
          <w:pgMar w:left="820" w:top="739" w:right="820" w:bottom="0" w:gutter="0" w:footer="0" w:header="0"/>
          <w:type w:val="continuous"/>
        </w:sectPr>
      </w:pPr>
    </w:p>
    <w:bookmarkStart w:id="58" w:name="page59"/>
    <w:bookmarkEnd w:id="58"/>
    <w:p>
      <w:pPr>
        <w:ind w:right="60"/>
        <w:spacing w:after="0" w:line="260" w:lineRule="auto"/>
        <w:rPr>
          <w:sz w:val="20"/>
          <w:szCs w:val="20"/>
          <w:color w:val="auto"/>
        </w:rPr>
      </w:pPr>
      <w:r>
        <w:rPr>
          <w:rFonts w:ascii="Times New Roman" w:cs="Times New Roman" w:eastAsia="Times New Roman" w:hAnsi="Times New Roman"/>
          <w:sz w:val="20"/>
          <w:szCs w:val="20"/>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UK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59" w:lineRule="exact"/>
        <w:rPr>
          <w:sz w:val="20"/>
          <w:szCs w:val="20"/>
          <w:color w:val="auto"/>
        </w:rPr>
      </w:pPr>
    </w:p>
    <w:p>
      <w:pPr>
        <w:ind w:right="84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and the business of many of our clients, is subject to extensive regulation.</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such as the Federal Reserve’s recent increases to the federal funds rate, may directly impact our cost of funds for financing and investment activities and may impact the value of any financial instruments we hold.</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060" w:h="15660" w:orient="portrait"/>
          <w:cols w:equalWidth="0" w:num="1">
            <w:col w:w="10380"/>
          </w:cols>
          <w:pgMar w:left="820" w:top="748" w:right="860" w:bottom="0" w:gutter="0" w:footer="0" w:header="0"/>
          <w:type w:val="continuous"/>
        </w:sectPr>
      </w:pPr>
    </w:p>
    <w:bookmarkStart w:id="59" w:name="page60"/>
    <w:bookmarkEnd w:id="59"/>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The continued implementation of new rules and regulations concerning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7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privacy, data protection and information security laws, rules, regulations and obligations could harm our business.</w:t>
      </w:r>
    </w:p>
    <w:p>
      <w:pPr>
        <w:spacing w:after="0" w:line="13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16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European Economic Area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European Union/EEA (including the U.S.) that are not considered by the European Commission to provide an adequate level of data protection, except if the data controller meets very specific requirements, including use of standard contractual clauses (“SCCs”), issued by the European Commission.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we evaluate what additional mechanisms may be required to establish adequate safeguards for personal information. As supervisory authorities issue further guidance on personal information export mechanisms, including circumstances where the SCCs cannot be used and/or start taking enforcement action, we could incur substantial costs and/or regulatory investigations or fines. We are also subject to the GDPR as incorporated into United Kingdom law (“UK GDPR”). Following Brexit, the European Commission adopted a UK adequacy decision in June 2021 which organizations can rely on for EEA to UK personal data transfers. This decision will automatically expire four years after its entry into force, but it might be renewed provided the UK maintains an adequate level of data protection. The relationship between the UK and the EU in relation to certain aspects of data protection law remains unclear, however, and it is unclear how UK data protection laws and regulations will develop in the medium to longer term, and how data transfers to and from the UK will be regulated in the long term. Outside of Europe and the UK, several other countries in which we operate, including China, Japan, Singapore and Hong Kong have established specific legal requirements for privacy, data protection and information security, including data localization and/or cross-border transfer restrictions.</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060" w:h="15660" w:orient="portrait"/>
          <w:cols w:equalWidth="0" w:num="1">
            <w:col w:w="10420"/>
          </w:cols>
          <w:pgMar w:left="820" w:top="748" w:right="820" w:bottom="0" w:gutter="0" w:footer="0" w:header="0"/>
          <w:type w:val="continuous"/>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20"/>
          <w:szCs w:val="20"/>
          <w:color w:val="auto"/>
        </w:rPr>
        <w:t>There has also been increased regulation of data privacy and security in the U.S. at the state level. For example, the California Consumer Privacy Act (“CCPA”), which came into force in 2020, broadly defines personal information,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The CCPA contained certain exemptions for personal information of employees and job applicants, and personal information collected in a “business-to-business” context, each of which expired as of January 1, 2023, expanding compliance obligations under the CCPA.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has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Virginia, Utah, Connecticut and Colorado have adopted new state data privacy laws that take effect in 2023.</w:t>
      </w:r>
    </w:p>
    <w:p>
      <w:pPr>
        <w:spacing w:after="0" w:line="17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U.S. tax legislation may materially adversely affect our financial condition, results of operations and cash flows.</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 For example, the IRA enacted, among other changes, a 15% corporate minimum tax on certain United States corporations and a 1% excise tax on certain stock redemptions by United States corporations.</w:t>
      </w:r>
    </w:p>
    <w:p>
      <w:pPr>
        <w:spacing w:after="0" w:line="160"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5" w:lineRule="exact"/>
        <w:rPr>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10" w:lineRule="exact"/>
        <w:rPr>
          <w:rFonts w:ascii="Times New Roman" w:cs="Times New Roman" w:eastAsia="Times New Roman" w:hAnsi="Times New Roman"/>
          <w:sz w:val="20"/>
          <w:szCs w:val="20"/>
          <w:color w:val="auto"/>
        </w:rPr>
      </w:pPr>
    </w:p>
    <w:p>
      <w:pPr>
        <w:ind w:left="720" w:right="680" w:hanging="37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earnings being lower than anticipated in countries where we have lower statutory tax rates and higher than anticipated in countries where we have higher statutory tax rates.</w:t>
      </w:r>
    </w:p>
    <w:p>
      <w:pPr>
        <w:spacing w:after="0" w:line="162" w:lineRule="exact"/>
        <w:rPr>
          <w:sz w:val="20"/>
          <w:szCs w:val="20"/>
          <w:color w:val="auto"/>
        </w:rPr>
      </w:pPr>
    </w:p>
    <w:p>
      <w:pPr>
        <w:jc w:val="both"/>
        <w:ind w:right="200"/>
        <w:spacing w:after="0" w:line="309" w:lineRule="auto"/>
        <w:rPr>
          <w:sz w:val="20"/>
          <w:szCs w:val="20"/>
          <w:color w:val="auto"/>
        </w:rPr>
      </w:pPr>
      <w:r>
        <w:rPr>
          <w:rFonts w:ascii="Times New Roman" w:cs="Times New Roman" w:eastAsia="Times New Roman" w:hAnsi="Times New Roman"/>
          <w:sz w:val="19"/>
          <w:szCs w:val="19"/>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060" w:h="15660" w:orient="portrait"/>
          <w:cols w:equalWidth="0" w:num="1">
            <w:col w:w="10420"/>
          </w:cols>
          <w:pgMar w:left="820" w:top="748" w:right="820" w:bottom="0" w:gutter="0" w:footer="0" w:header="0"/>
          <w:type w:val="continuous"/>
        </w:sectPr>
      </w:pPr>
    </w:p>
    <w:bookmarkStart w:id="61" w:name="page62"/>
    <w:bookmarkEnd w:id="61"/>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litigation risk, including securities litigation risk.</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060" w:h="15660" w:orient="portrait"/>
          <w:cols w:equalWidth="0" w:num="1">
            <w:col w:w="10420"/>
          </w:cols>
          <w:pgMar w:left="820" w:top="739" w:right="82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20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15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We are party to a $500.0 million senior secured revolving credit facility (the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63" w:lineRule="exact"/>
        <w:rPr>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 and guarantee indebtedness;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incur liens;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distributions or repurchase capital stock;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 loans and advances;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certain transactions with affiliates.</w:t>
      </w:r>
    </w:p>
    <w:p>
      <w:pPr>
        <w:spacing w:after="0" w:line="1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In addition, the credit agreement that governs our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1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 Revolving Credit Facility on less favorable terms or if we cannot refinance these borrowings, our financial condition and results of operations could be materially adversely affected.</w:t>
      </w:r>
    </w:p>
    <w:p>
      <w:pPr>
        <w:spacing w:after="0" w:line="15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54"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borrowings under the Revolving Credit Facility will subject us to interest rate risk, which could cause our debt service obligations to increase significantly.</w:t>
      </w:r>
    </w:p>
    <w:p>
      <w:pPr>
        <w:spacing w:after="0" w:line="13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Any borrowings under the Revolving Credit Facility will be at variable rates of interest and expose us to interest rate risk. If interest rates rise, as they did throughout 2022, our debt service obligations on any borrowings under the Revolving Credit Facility will increase even though the amount borrowed may remain the same, and our net income and cash flows will correspondingly decrease. Assuming that the $500.0 million Revolving Credit Facility was fully drawn, each 0.125% change in interest rates would result in an approximate change of $0.6 million in annual interest expense on the borrowings under the Revolving Credit Facility.</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060" w:h="15660" w:orient="portrait"/>
          <w:cols w:equalWidth="0" w:num="1">
            <w:col w:w="10420"/>
          </w:cols>
          <w:pgMar w:left="820" w:top="741" w:right="820" w:bottom="0" w:gutter="0" w:footer="0" w:header="0"/>
          <w:type w:val="continuous"/>
        </w:sectPr>
      </w:pPr>
    </w:p>
    <w:bookmarkStart w:id="63" w:name="page64"/>
    <w:bookmarkEnd w:id="63"/>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phase-out, replacement or unavailability of LIBOR and/or other interest rate benchmarks could adversely affect our indebtedness.</w:t>
      </w:r>
    </w:p>
    <w:p>
      <w:pPr>
        <w:spacing w:after="0" w:line="1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interest rates applicable to the Revolving Credit Facility are based on a fluctuating rate of interest determined by reference to the London Interbank Offered Rate (“LIBOR”). In July 2017, the UK’s FCA, which regulates LIBOR, announced that it intends to stop persuading or compelling banks to submit rates for the calculation of LIBOR after 2021. On November 30, 2020, ICE Benchmark Administration (“IBA”), the administrator of LIBOR tenors, with the support of the Federal Reserve and the FCA, announced plans to consult on ceasing publication of U.S. dollar LIBOR on December 31, 2021 for the one-week and two-month U.S. dollar LIBOR, and on June 30, 2023 for all other U.S. dollar LIBOR tenors. The Federal Reserve concurrently issued a statement advising banks to stop new U.S. dollar LIBOR issuances by the end of 2021. On March 5, 2021, the IBA confirmed its intention to cease publication of (i) one-week and two-month U.S. dollar LIBOR tenors after December 31, 2021 and (ii) remaining USD U.S. dollar LIBOR tenors after June 30, 2023.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financial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the extent to which and how quickly SOFR will attain market traction as a LIBOR replacement. Additionally, it is uncertain whether and to what extent banks will continue to provide LIBOR submissions to the administrator of LIBOR and whether one-month, three-month, six-month, and twelve-month U.S. dollar LIBOR rates will continue to be published until June 2023,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Refinitiv controls us and its interests may conflict with ours or yours in the future.</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Following the consummation of the LSEG Transaction, LSEG is the controlling shareholder of Refinitiv and Refinitiv continues to be the controlling shareholder of Tradeweb. As of December 31, 2022, Refinitiv controls approximately 91.2% of the combined voting power of our common stock as a result of its ownership of our Class B common stock and Class D common stock, each share of which is entitled to 10 votes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Refinitiv will continue to have significant influence with respect to our management, business plans and policies. In particular, Refinitiv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ectPr>
          <w:pgSz w:w="12060" w:h="15660" w:orient="portrait"/>
          <w:cols w:equalWidth="0" w:num="1">
            <w:col w:w="10420"/>
          </w:cols>
          <w:pgMar w:left="820" w:top="73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060" w:h="15660" w:orient="portrait"/>
          <w:cols w:equalWidth="0" w:num="1">
            <w:col w:w="10420"/>
          </w:cols>
          <w:pgMar w:left="820" w:top="739" w:right="820" w:bottom="0" w:gutter="0" w:footer="0" w:header="0"/>
          <w:type w:val="continuous"/>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20"/>
          <w:szCs w:val="20"/>
          <w:color w:val="auto"/>
        </w:rPr>
        <w:t>Refinitiv engages in a broad spectrum of activities. In the ordinary course of its business activities, Refinitiv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Refinitiv also may pursue acquisition opportunities that may be complementary to our business, and, as a result, those acquisition opportunities may not be available to us. In addition, Refinitiv may have an interest in our pursuing acquisitions, divestitures and other transactions that, in its judgment, could enhance its investment, even though such transactions might involve risks to you.</w:t>
      </w:r>
    </w:p>
    <w:p>
      <w:pPr>
        <w:spacing w:after="0" w:line="160"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20"/>
          <w:szCs w:val="20"/>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3" w:lineRule="exact"/>
        <w:rPr>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majority of our board of directors consist of independent directors;</w:t>
      </w:r>
    </w:p>
    <w:p>
      <w:pPr>
        <w:spacing w:after="0" w:line="30" w:lineRule="exact"/>
        <w:rPr>
          <w:rFonts w:ascii="Times New Roman" w:cs="Times New Roman" w:eastAsia="Times New Roman" w:hAnsi="Times New Roman"/>
          <w:sz w:val="20"/>
          <w:szCs w:val="20"/>
          <w:color w:val="auto"/>
        </w:rPr>
      </w:pPr>
    </w:p>
    <w:p>
      <w:pPr>
        <w:ind w:left="720" w:right="360" w:hanging="370"/>
        <w:spacing w:after="0" w:line="25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 nominations be made, or recommended to the full board of directors, by its independent directors or by a nominations committee that is composed entirely of independent directors; and</w:t>
      </w: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we have a compensation committee that is composed entirely of independent directors.</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and Delaware law might discourage or delay acquisition attempts for us that you might consider favorable.</w:t>
      </w:r>
    </w:p>
    <w:p>
      <w:pPr>
        <w:spacing w:after="0" w:line="13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5" w:lineRule="exact"/>
        <w:rPr>
          <w:sz w:val="20"/>
          <w:szCs w:val="20"/>
          <w:color w:val="auto"/>
        </w:rPr>
      </w:pPr>
    </w:p>
    <w:p>
      <w:pPr>
        <w:ind w:left="720" w:right="460" w:hanging="370"/>
        <w:spacing w:after="0" w:line="26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 multi-class common stock structure with a 10 vote per share feature of our Class B common stock and Class D common stock;</w:t>
      </w:r>
    </w:p>
    <w:p>
      <w:pPr>
        <w:spacing w:after="0" w:line="1"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20"/>
          <w:szCs w:val="20"/>
          <w:color w:val="auto"/>
        </w:rPr>
      </w:pPr>
    </w:p>
    <w:p>
      <w:pPr>
        <w:ind w:left="720" w:right="6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spacing w:after="0" w:line="1"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20"/>
          <w:szCs w:val="20"/>
          <w:color w:val="auto"/>
        </w:rPr>
      </w:pPr>
    </w:p>
    <w:p>
      <w:pPr>
        <w:ind w:left="720" w:right="380" w:hanging="370"/>
        <w:spacing w:after="0" w:line="26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elections to our board or for proposing matters that can be acted upon by stockholders at stockholder meetings.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060" w:h="15660" w:orient="portrait"/>
          <w:cols w:equalWidth="0" w:num="1">
            <w:col w:w="10420"/>
          </w:cols>
          <w:pgMar w:left="820" w:top="748" w:right="820" w:bottom="0" w:gutter="0" w:footer="0" w:header="0"/>
          <w:type w:val="continuous"/>
        </w:sectPr>
      </w:pPr>
    </w:p>
    <w:bookmarkStart w:id="65" w:name="page66"/>
    <w:bookmarkEnd w:id="65"/>
    <w:p>
      <w:pPr>
        <w:ind w:right="480"/>
        <w:spacing w:after="0" w:line="260" w:lineRule="auto"/>
        <w:rPr>
          <w:sz w:val="20"/>
          <w:szCs w:val="20"/>
          <w:color w:val="auto"/>
        </w:rPr>
      </w:pPr>
      <w:r>
        <w:rPr>
          <w:rFonts w:ascii="Times New Roman" w:cs="Times New Roman" w:eastAsia="Times New Roman" w:hAnsi="Times New Roman"/>
          <w:sz w:val="20"/>
          <w:szCs w:val="20"/>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3" w:lineRule="exact"/>
        <w:rPr>
          <w:sz w:val="20"/>
          <w:szCs w:val="20"/>
          <w:color w:val="auto"/>
        </w:rPr>
      </w:pPr>
    </w:p>
    <w:p>
      <w:pPr>
        <w:ind w:left="720" w:right="220" w:hanging="370"/>
        <w:spacing w:after="0" w:line="26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time, our board of directors approved either the business combination or the transaction which resulted in the stockholder becoming an interested stockholder;</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 w:lineRule="exact"/>
        <w:rPr>
          <w:rFonts w:ascii="Times New Roman" w:cs="Times New Roman" w:eastAsia="Times New Roman" w:hAnsi="Times New Roman"/>
          <w:sz w:val="20"/>
          <w:szCs w:val="20"/>
          <w:color w:val="auto"/>
        </w:rPr>
      </w:pPr>
    </w:p>
    <w:p>
      <w:pPr>
        <w:ind w:left="720" w:right="100" w:hanging="370"/>
        <w:spacing w:after="0" w:line="26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59"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060" w:h="15660" w:orient="portrait"/>
          <w:cols w:equalWidth="0" w:num="1">
            <w:col w:w="10420"/>
          </w:cols>
          <w:pgMar w:left="820" w:top="748" w:right="820" w:bottom="0" w:gutter="0" w:footer="0" w:header="0"/>
          <w:type w:val="continuous"/>
        </w:sectPr>
      </w:pPr>
    </w:p>
    <w:bookmarkStart w:id="66" w:name="page67"/>
    <w:bookmarkEnd w:id="66"/>
    <w:p>
      <w:pPr>
        <w:ind w:right="20"/>
        <w:spacing w:after="0" w:line="252" w:lineRule="auto"/>
        <w:rPr>
          <w:sz w:val="20"/>
          <w:szCs w:val="20"/>
          <w:color w:val="auto"/>
        </w:rPr>
      </w:pPr>
      <w:r>
        <w:rPr>
          <w:rFonts w:ascii="Times New Roman" w:cs="Times New Roman" w:eastAsia="Times New Roman" w:hAnsi="Times New Roman"/>
          <w:sz w:val="20"/>
          <w:szCs w:val="20"/>
          <w:color w:val="auto"/>
        </w:rPr>
        <w:t>We also incur expenses related to our operations, including payments under the Tax Receivable Agreement, which we expect could be significant. See Note 10 – Tax Receivable Agreement to our audited consolidated financial statements included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060" w:h="15660" w:orient="portrait"/>
          <w:cols w:equalWidth="0" w:num="1">
            <w:col w:w="10420"/>
          </w:cols>
          <w:pgMar w:left="820" w:top="748" w:right="820" w:bottom="0" w:gutter="0" w:footer="0" w:header="0"/>
          <w:type w:val="continuous"/>
        </w:sectPr>
      </w:pPr>
    </w:p>
    <w:bookmarkStart w:id="67" w:name="page68"/>
    <w:bookmarkEnd w:id="67"/>
    <w:p>
      <w:pPr>
        <w:jc w:val="both"/>
        <w:ind w:right="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the April 2020 follow-on offerings and any future offerings or (b) redemptions or exchanges by such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 of December 31, 2022, we recorded a liability of $425.7 million related to our projected obligations under the Tax Receivable Agreement with respect to LLC Interests that were purchased by Tradeweb Markets Inc. using the net proceeds from the IPO and the October 2019 and the April 2020 follow-on offerings and LLC Interests that were exchanged by Continuing LLC Owners during the years ended December 31, 2022, 2021, 2020 and 2019.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6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and April 2020 follow-on offerings and any future offerings or (b) redemptions or exchanges by the Continuing LLC Owners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64" w:lineRule="exact"/>
        <w:rPr>
          <w:sz w:val="20"/>
          <w:szCs w:val="20"/>
          <w:color w:val="auto"/>
        </w:rPr>
      </w:pPr>
    </w:p>
    <w:p>
      <w:pPr>
        <w:ind w:right="4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1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9"/>
          <w:szCs w:val="19"/>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ectPr>
          <w:pgSz w:w="12060" w:h="15660" w:orient="portrait"/>
          <w:cols w:equalWidth="0" w:num="1">
            <w:col w:w="10400"/>
          </w:cols>
          <w:pgMar w:left="820" w:top="739" w:right="84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060" w:h="15660" w:orient="portrait"/>
          <w:cols w:equalWidth="0" w:num="1">
            <w:col w:w="10400"/>
          </w:cols>
          <w:pgMar w:left="820" w:top="739" w:right="840" w:bottom="0" w:gutter="0" w:footer="0" w:header="0"/>
          <w:type w:val="continuous"/>
        </w:sectPr>
      </w:pPr>
    </w:p>
    <w:bookmarkStart w:id="68" w:name="page69"/>
    <w:bookmarkEnd w:id="68"/>
    <w:p>
      <w:pPr>
        <w:ind w:right="40"/>
        <w:spacing w:after="0" w:line="254" w:lineRule="auto"/>
        <w:rPr>
          <w:sz w:val="20"/>
          <w:szCs w:val="20"/>
          <w:color w:val="auto"/>
        </w:rPr>
      </w:pPr>
      <w:r>
        <w:rPr>
          <w:rFonts w:ascii="Times New Roman" w:cs="Times New Roman" w:eastAsia="Times New Roman" w:hAnsi="Times New Roman"/>
          <w:sz w:val="20"/>
          <w:szCs w:val="20"/>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not be reimbursed for any payments made to the Continuing LLC Owners under the Tax Receivable Agreement in the event that any tax benefits are disallowed.</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5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Refinitiv and Continuing LLC Owners may require us to issue additional shares of our Class A common stock.</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of February 17, 2023, we have an aggregate of 888,774,111 shares of Class A common stock authorized but unissued, including approximately 123,275,273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ectPr>
          <w:pgSz w:w="12060" w:h="15660" w:orient="portrait"/>
          <w:cols w:equalWidth="0" w:num="1">
            <w:col w:w="10420"/>
          </w:cols>
          <w:pgMar w:left="820" w:top="748" w:right="820" w:bottom="0" w:gutter="0" w:footer="0" w:header="0"/>
        </w:sect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060" w:h="15660" w:orient="portrait"/>
          <w:cols w:equalWidth="0" w:num="1">
            <w:col w:w="10420"/>
          </w:cols>
          <w:pgMar w:left="820" w:top="748" w:right="820" w:bottom="0" w:gutter="0" w:footer="0" w:header="0"/>
          <w:type w:val="continuous"/>
        </w:sectPr>
      </w:pPr>
    </w:p>
    <w:bookmarkStart w:id="69" w:name="page70"/>
    <w:bookmarkEnd w:id="69"/>
    <w:p>
      <w:pPr>
        <w:spacing w:after="0" w:line="260" w:lineRule="auto"/>
        <w:rPr>
          <w:sz w:val="20"/>
          <w:szCs w:val="20"/>
          <w:color w:val="auto"/>
        </w:rPr>
      </w:pPr>
      <w:r>
        <w:rPr>
          <w:rFonts w:ascii="Times New Roman" w:cs="Times New Roman" w:eastAsia="Times New Roman" w:hAnsi="Times New Roman"/>
          <w:sz w:val="20"/>
          <w:szCs w:val="20"/>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be highly volatile.</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64" w:lineRule="exact"/>
        <w:rPr>
          <w:sz w:val="20"/>
          <w:szCs w:val="20"/>
          <w:color w:val="auto"/>
        </w:rPr>
      </w:pPr>
    </w:p>
    <w:p>
      <w:pPr>
        <w:ind w:left="720" w:right="140" w:hanging="37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trends in global economic conditions or activity levels in our industry, including any potential recession in the U.S. or global economies;</w:t>
      </w:r>
    </w:p>
    <w:p>
      <w:pPr>
        <w:spacing w:after="0" w:line="1" w:lineRule="exact"/>
        <w:rPr>
          <w:rFonts w:ascii="Times New Roman" w:cs="Times New Roman" w:eastAsia="Times New Roman" w:hAnsi="Times New Roman"/>
          <w:sz w:val="20"/>
          <w:szCs w:val="20"/>
          <w:color w:val="auto"/>
        </w:rPr>
      </w:pPr>
    </w:p>
    <w:p>
      <w:pPr>
        <w:ind w:left="720" w:right="560" w:hanging="37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relationship with our clients or in client needs or expectations or trends in the markets in which we operate;</w:t>
      </w:r>
    </w:p>
    <w:p>
      <w:pPr>
        <w:ind w:left="720" w:right="480" w:hanging="37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concerning or by our competitors or concerning our industry or the markets in which we operate in general;</w:t>
      </w: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investigations or regulatory scrutiny of our operations or lawsuits filed against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and integrate acquisitions;</w:t>
      </w:r>
    </w:p>
    <w:p>
      <w:pPr>
        <w:spacing w:after="0" w:line="10" w:lineRule="exact"/>
        <w:rPr>
          <w:rFonts w:ascii="Times New Roman" w:cs="Times New Roman" w:eastAsia="Times New Roman" w:hAnsi="Times New Roman"/>
          <w:sz w:val="20"/>
          <w:szCs w:val="20"/>
          <w:color w:val="auto"/>
        </w:rPr>
      </w:pPr>
    </w:p>
    <w:p>
      <w:pPr>
        <w:ind w:left="720" w:right="200" w:hanging="37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 or failure to meet guidance given by us or any change in guidance given by us or in our guidance practices;</w:t>
      </w: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Class A common stock;</w:t>
      </w:r>
    </w:p>
    <w:p>
      <w:pPr>
        <w:spacing w:after="0" w:line="10" w:lineRule="exact"/>
        <w:rPr>
          <w:rFonts w:ascii="Times New Roman" w:cs="Times New Roman" w:eastAsia="Times New Roman" w:hAnsi="Times New Roman"/>
          <w:sz w:val="20"/>
          <w:szCs w:val="20"/>
          <w:color w:val="auto"/>
        </w:rPr>
      </w:pPr>
    </w:p>
    <w:p>
      <w:pPr>
        <w:ind w:left="720" w:right="260" w:hanging="37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the Company or changes in financial estimates by the analysts who cover us, our competitors or our industry in general;</w:t>
      </w: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legal and regulatory factors unrelated to our performance;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of our management or key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Class A common stock by us, our executive officers, directors or our stockholders in the future;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us, our competitors and our industry;</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consequences related to our multi-class capital structure, such as stock index providers excluding companies with multi-class capital structures from certain indices; and</w:t>
      </w: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fluctuations in the U.S. equity markets generally.</w:t>
      </w:r>
    </w:p>
    <w:p>
      <w:pPr>
        <w:spacing w:after="0" w:line="190" w:lineRule="exact"/>
        <w:rPr>
          <w:sz w:val="20"/>
          <w:szCs w:val="20"/>
          <w:color w:val="auto"/>
        </w:rPr>
      </w:pPr>
    </w:p>
    <w:p>
      <w:pPr>
        <w:jc w:val="both"/>
        <w:ind w:right="40"/>
        <w:spacing w:after="0" w:line="309" w:lineRule="auto"/>
        <w:rPr>
          <w:sz w:val="20"/>
          <w:szCs w:val="20"/>
          <w:color w:val="auto"/>
        </w:rPr>
      </w:pPr>
      <w:r>
        <w:rPr>
          <w:rFonts w:ascii="Times New Roman" w:cs="Times New Roman" w:eastAsia="Times New Roman" w:hAnsi="Times New Roman"/>
          <w:sz w:val="19"/>
          <w:szCs w:val="19"/>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0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Sales, or the potential for sales, of a substantial number of shares of our Class A common stock in the public market could cause our stock price to drop significantly.</w:t>
      </w:r>
    </w:p>
    <w:p>
      <w:pPr>
        <w:spacing w:after="0" w:line="1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February 17, 2023 we have 111,225,889 outstanding shares of Class A common stock and 123,275,273 shares of Class A common stock that are authorized but unissued that would be issuable upon redemption or exchange of LLC Interests or exchange of shares of our Class B common stock.</w:t>
      </w:r>
    </w:p>
    <w:p>
      <w:pPr>
        <w:spacing w:after="0" w:line="16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In addition, shares of Class A common stock issued or issuable upon exercise of options that have currently vested and vesting of the PRSUs and RSUs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4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9"/>
          <w:szCs w:val="19"/>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060" w:h="15660" w:orient="portrait"/>
          <w:cols w:equalWidth="0" w:num="1">
            <w:col w:w="10380"/>
          </w:cols>
          <w:pgMar w:left="820" w:top="748" w:right="860" w:bottom="0" w:gutter="0" w:footer="0" w:header="0"/>
          <w:type w:val="continuous"/>
        </w:sectPr>
      </w:pPr>
    </w:p>
    <w:bookmarkStart w:id="70" w:name="page71"/>
    <w:bookmarkEnd w:id="70"/>
    <w:p>
      <w:pPr>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6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intend to continue to pay regular dividends on our Class A common stock and Class B common stock, but our ability to do so may be limited.</w:t>
      </w:r>
    </w:p>
    <w:p>
      <w:pPr>
        <w:spacing w:after="0" w:line="13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0"/>
          <w:szCs w:val="20"/>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1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timing and amount of any share repurchases are subject to a number of uncertainties.</w:t>
      </w:r>
    </w:p>
    <w:p>
      <w:pPr>
        <w:spacing w:after="0" w:line="2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On December 5, 2022, our board of directors approved a share repurchase program with an indefinite term under which the Company may purchase up to $300 million of its Class A common stock (the “Share Repurchase Program”). Pursuant to the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or pursuant to Rule</w:t>
      </w:r>
    </w:p>
    <w:p>
      <w:pPr>
        <w:ind w:right="260"/>
        <w:spacing w:after="0" w:line="253" w:lineRule="auto"/>
        <w:rPr>
          <w:sz w:val="20"/>
          <w:szCs w:val="20"/>
          <w:color w:val="auto"/>
        </w:rPr>
      </w:pPr>
      <w:r>
        <w:rPr>
          <w:rFonts w:ascii="Times New Roman" w:cs="Times New Roman" w:eastAsia="Times New Roman" w:hAnsi="Times New Roman"/>
          <w:sz w:val="20"/>
          <w:szCs w:val="20"/>
          <w:color w:val="auto"/>
        </w:rPr>
        <w:t>10b5-1 plans. The Share Repurchase Program will be conducted in compliance with applicable legal requirements and shall be subject to market conditions and other factors. The Share Repurchase Program has no termination date, may be suspended or discontinued at any time and does not obligate the company to acquire any amount of Class A common stock, and our board of directors may not authorize any increases to or extensions of the Share Repurchase Program or any new repurchase program in the future.</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manner, timing and amount of any purchase will be based on an evaluation of market conditions, stock price and other factors. For example, the IRA imposes a 1% excise tax on the repurchase after December 31, 2022 of stock by publicly traded U.S. corporations. The imposition of the excise tax on repurchases of our shares will increase the cost to us of making repurchases and may cause management to reduce the number of shares repurchased pursuant to the program. Additional considerations that could cause management to limit, suspend or delay future stock repurchases include unfavorable market conditions, the trading price of our Class A common stock, the nature and magnitude of other investment opportunities available to us from time to time and the allocation of available cash.</w:t>
      </w:r>
    </w:p>
    <w:p>
      <w:pPr>
        <w:sectPr>
          <w:pgSz w:w="12060" w:h="15660" w:orient="portrait"/>
          <w:cols w:equalWidth="0" w:num="1">
            <w:col w:w="10420"/>
          </w:cols>
          <w:pgMar w:left="820" w:top="739" w:right="820" w:bottom="0"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060" w:h="15660" w:orient="portrait"/>
          <w:cols w:equalWidth="0" w:num="1">
            <w:col w:w="10420"/>
          </w:cols>
          <w:pgMar w:left="820" w:top="739" w:right="820" w:bottom="0" w:gutter="0" w:footer="0" w:header="0"/>
          <w:type w:val="continuous"/>
        </w:sectPr>
      </w:pPr>
    </w:p>
    <w:bookmarkStart w:id="71" w:name="page72"/>
    <w:bookmarkEnd w:id="71"/>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repurchases of shares of our Class A common stock pursuant to the Share Repurchase Program could affect our stock price and increase its volatility. For example, the existence of the Share Repurchase Program could cause our stock price to be higher than it would be in the absence of such a program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program’s effectiveness. Additionally, our share repurchase program could diminish our cash reserves, which may impact our ability to finance or pursue our business strategies.</w:t>
      </w:r>
    </w:p>
    <w:p>
      <w:pPr>
        <w:spacing w:after="0" w:line="16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For example, we expect to incur additional costs in connection with compliance with the SEC’s new climate-related disclosure rules.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20"/>
          <w:szCs w:val="20"/>
          <w:color w:val="auto"/>
        </w:rPr>
        <w:t>Our corporate headquarters is located in New York, New York. As of December 31, 2022, our principal offices consisted of the following properties: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8"/>
                <w:szCs w:val="18"/>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Lease Expiration Date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275"/>
        </w:trPr>
        <w:tc>
          <w:tcPr>
            <w:tcW w:w="5360" w:type="dxa"/>
            <w:vAlign w:val="bottom"/>
            <w:tcBorders>
              <w:top w:val="single" w:sz="8" w:color="auto"/>
              <w:right w:val="single" w:sz="8" w:color="BAE4E9"/>
            </w:tcBorders>
          </w:tcPr>
          <w:p>
            <w:pPr>
              <w:ind w:left="40"/>
              <w:spacing w:after="0"/>
              <w:rPr>
                <w:sz w:val="20"/>
                <w:szCs w:val="20"/>
                <w:color w:val="auto"/>
              </w:rPr>
            </w:pPr>
            <w:r>
              <w:rPr>
                <w:rFonts w:ascii="Times New Roman" w:cs="Times New Roman" w:eastAsia="Times New Roman" w:hAnsi="Times New Roman"/>
                <w:sz w:val="20"/>
                <w:szCs w:val="20"/>
                <w:color w:val="auto"/>
              </w:rPr>
              <w:t>New York, New York</w:t>
            </w:r>
          </w:p>
        </w:tc>
        <w:tc>
          <w:tcPr>
            <w:tcW w:w="60" w:type="dxa"/>
            <w:vAlign w:val="bottom"/>
            <w:tcBorders>
              <w:right w:val="single" w:sz="8" w:color="BAE4E9"/>
            </w:tcBorders>
          </w:tcPr>
          <w:p>
            <w:pPr>
              <w:spacing w:after="0"/>
              <w:rPr>
                <w:sz w:val="23"/>
                <w:szCs w:val="23"/>
                <w:color w:val="auto"/>
              </w:rPr>
            </w:pPr>
          </w:p>
        </w:tc>
        <w:tc>
          <w:tcPr>
            <w:tcW w:w="1640" w:type="dxa"/>
            <w:vAlign w:val="bottom"/>
            <w:tcBorders>
              <w:top w:val="single" w:sz="8" w:color="auto"/>
              <w:right w:val="single" w:sz="8" w:color="BAE4E9"/>
            </w:tcBorders>
          </w:tcPr>
          <w:p>
            <w:pPr>
              <w:jc w:val="right"/>
              <w:ind w:right="7"/>
              <w:spacing w:after="0"/>
              <w:rPr>
                <w:sz w:val="20"/>
                <w:szCs w:val="20"/>
                <w:color w:val="auto"/>
              </w:rPr>
            </w:pPr>
            <w:r>
              <w:rPr>
                <w:rFonts w:ascii="Times New Roman" w:cs="Times New Roman" w:eastAsia="Times New Roman" w:hAnsi="Times New Roman"/>
                <w:sz w:val="20"/>
                <w:szCs w:val="20"/>
                <w:color w:val="auto"/>
              </w:rPr>
              <w:t>41,062</w:t>
            </w:r>
          </w:p>
        </w:tc>
        <w:tc>
          <w:tcPr>
            <w:tcW w:w="60" w:type="dxa"/>
            <w:vAlign w:val="bottom"/>
            <w:tcBorders>
              <w:right w:val="single" w:sz="8" w:color="BAE4E9"/>
            </w:tcBorders>
          </w:tcPr>
          <w:p>
            <w:pPr>
              <w:spacing w:after="0"/>
              <w:rPr>
                <w:sz w:val="23"/>
                <w:szCs w:val="23"/>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12/31/2023</w:t>
            </w:r>
          </w:p>
        </w:tc>
        <w:tc>
          <w:tcPr>
            <w:tcW w:w="80" w:type="dxa"/>
            <w:vAlign w:val="bottom"/>
            <w:tcBorders>
              <w:right w:val="single" w:sz="8" w:color="BAE4E9"/>
            </w:tcBorders>
          </w:tcPr>
          <w:p>
            <w:pPr>
              <w:spacing w:after="0"/>
              <w:rPr>
                <w:sz w:val="23"/>
                <w:szCs w:val="23"/>
                <w:color w:val="auto"/>
              </w:rPr>
            </w:pPr>
          </w:p>
        </w:tc>
        <w:tc>
          <w:tcPr>
            <w:tcW w:w="1620" w:type="dxa"/>
            <w:vAlign w:val="bottom"/>
            <w:tcBorders>
              <w:top w:val="single" w:sz="8" w:color="auto"/>
              <w:right w:val="single" w:sz="8" w:color="BAE4E9"/>
            </w:tcBorders>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72"/>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Jersey City, New Jersey</w:t>
            </w:r>
          </w:p>
        </w:tc>
        <w:tc>
          <w:tcPr>
            <w:tcW w:w="170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65,242</w:t>
            </w:r>
          </w:p>
        </w:tc>
        <w:tc>
          <w:tcPr>
            <w:tcW w:w="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12/31/2027</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98"/>
        </w:trPr>
        <w:tc>
          <w:tcPr>
            <w:tcW w:w="5360" w:type="dxa"/>
            <w:vAlign w:val="bottom"/>
            <w:tcBorders>
              <w:right w:val="single" w:sz="8" w:color="BAE4E9"/>
            </w:tcBorders>
          </w:tcPr>
          <w:p>
            <w:pPr>
              <w:ind w:left="40"/>
              <w:spacing w:after="0"/>
              <w:rPr>
                <w:sz w:val="20"/>
                <w:szCs w:val="20"/>
                <w:color w:val="auto"/>
              </w:rPr>
            </w:pPr>
            <w:r>
              <w:rPr>
                <w:rFonts w:ascii="Times New Roman" w:cs="Times New Roman" w:eastAsia="Times New Roman" w:hAnsi="Times New Roman"/>
                <w:sz w:val="20"/>
                <w:szCs w:val="20"/>
                <w:color w:val="auto"/>
              </w:rPr>
              <w:t>London, United Kingdom</w:t>
            </w:r>
          </w:p>
        </w:tc>
        <w:tc>
          <w:tcPr>
            <w:tcW w:w="60" w:type="dxa"/>
            <w:vAlign w:val="bottom"/>
            <w:tcBorders>
              <w:right w:val="single" w:sz="8" w:color="BAE4E9"/>
            </w:tcBorders>
          </w:tcPr>
          <w:p>
            <w:pPr>
              <w:spacing w:after="0"/>
              <w:rPr>
                <w:sz w:val="24"/>
                <w:szCs w:val="24"/>
                <w:color w:val="auto"/>
              </w:rPr>
            </w:pPr>
          </w:p>
        </w:tc>
        <w:tc>
          <w:tcPr>
            <w:tcW w:w="1640" w:type="dxa"/>
            <w:vAlign w:val="bottom"/>
            <w:tcBorders>
              <w:right w:val="single" w:sz="8" w:color="BAE4E9"/>
            </w:tcBorders>
          </w:tcPr>
          <w:p>
            <w:pPr>
              <w:jc w:val="right"/>
              <w:ind w:right="7"/>
              <w:spacing w:after="0"/>
              <w:rPr>
                <w:sz w:val="20"/>
                <w:szCs w:val="20"/>
                <w:color w:val="auto"/>
              </w:rPr>
            </w:pPr>
            <w:r>
              <w:rPr>
                <w:rFonts w:ascii="Times New Roman" w:cs="Times New Roman" w:eastAsia="Times New Roman" w:hAnsi="Times New Roman"/>
                <w:sz w:val="20"/>
                <w:szCs w:val="20"/>
                <w:color w:val="auto"/>
              </w:rPr>
              <w:t>16,259</w:t>
            </w:r>
          </w:p>
        </w:tc>
        <w:tc>
          <w:tcPr>
            <w:tcW w:w="60" w:type="dxa"/>
            <w:vAlign w:val="bottom"/>
            <w:tcBorders>
              <w:right w:val="single" w:sz="8" w:color="BAE4E9"/>
            </w:tcBorders>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9/30/2024</w:t>
            </w:r>
          </w:p>
        </w:tc>
        <w:tc>
          <w:tcPr>
            <w:tcW w:w="80" w:type="dxa"/>
            <w:vAlign w:val="bottom"/>
            <w:tcBorders>
              <w:right w:val="single" w:sz="8" w:color="BAE4E9"/>
            </w:tcBorders>
          </w:tcPr>
          <w:p>
            <w:pPr>
              <w:spacing w:after="0"/>
              <w:rPr>
                <w:sz w:val="24"/>
                <w:szCs w:val="24"/>
                <w:color w:val="auto"/>
              </w:rPr>
            </w:pPr>
          </w:p>
        </w:tc>
        <w:tc>
          <w:tcPr>
            <w:tcW w:w="1620" w:type="dxa"/>
            <w:vAlign w:val="bottom"/>
            <w:tcBorders>
              <w:right w:val="single" w:sz="8" w:color="BAE4E9"/>
            </w:tcBorders>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654800" cy="206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-193040</wp:posOffset>
            </wp:positionV>
            <wp:extent cx="6654800" cy="206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1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We also lease offices in Boston, Massachusetts, Garden City, New York, Shanghai, China, Paris, France, Hong Kong, Tokyo, Japan, Amsterdam, Netherlands and Singapore.</w:t>
      </w:r>
    </w:p>
    <w:p>
      <w:pPr>
        <w:spacing w:after="0" w:line="14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auto"/>
        </w:rPr>
        <w:t>Our infrastructure operates out of third-party data centers in Secaucus, New Jersey, Weehawken, New Jersey, Piscataway, New Jersey and Chicago, Illinois and, outside the United States, in Hounslow, United Kingdom, Slough, United Kingdom, Saitama, Japan and Tokyo, Japan.</w:t>
      </w:r>
    </w:p>
    <w:p>
      <w:pPr>
        <w:spacing w:after="0" w:line="15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auto"/>
        </w:rPr>
        <w:t>We believe that our facilities are in good operating condition and adequately meet our current needs, and that additional or alternative space to support future use and expansion will be available on reasonable commercial terms.</w:t>
      </w:r>
    </w:p>
    <w:p>
      <w:pPr>
        <w:sectPr>
          <w:pgSz w:w="12060" w:h="15660" w:orient="portrait"/>
          <w:cols w:equalWidth="0" w:num="1">
            <w:col w:w="10440"/>
          </w:cols>
          <w:pgMar w:left="820" w:top="748" w:right="800" w:bottom="0" w:gutter="0" w:footer="0" w:header="0"/>
        </w:sectPr>
      </w:pP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60</w:t>
      </w:r>
    </w:p>
    <w:p>
      <w:pPr>
        <w:sectPr>
          <w:pgSz w:w="12060" w:h="15660" w:orient="portrait"/>
          <w:cols w:equalWidth="0" w:num="1">
            <w:col w:w="10440"/>
          </w:cols>
          <w:pgMar w:left="820" w:top="748" w:right="80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Treasuries Matter</w:t>
      </w:r>
    </w:p>
    <w:p>
      <w:pPr>
        <w:spacing w:after="0" w:line="21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Times New Roman" w:cs="Times New Roman" w:eastAsia="Times New Roman" w:hAnsi="Times New Roman"/>
          <w:sz w:val="19"/>
          <w:szCs w:val="19"/>
          <w:b w:val="1"/>
          <w:bCs w:val="1"/>
          <w:i w:val="1"/>
          <w:iCs w:val="1"/>
          <w:color w:val="auto"/>
        </w:rPr>
        <w:t>In re Treasuries Securities Auction Antitrust Litigation</w:t>
      </w:r>
      <w:r>
        <w:rPr>
          <w:rFonts w:ascii="Times New Roman" w:cs="Times New Roman" w:eastAsia="Times New Roman" w:hAnsi="Times New Roman"/>
          <w:sz w:val="19"/>
          <w:szCs w:val="19"/>
          <w:color w:val="auto"/>
        </w:rPr>
        <w:t>, No. 1:15-md-2673 (S.D.N.Y.) (PGG). In November 2017, the 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Defendants filed motions to dismiss in February 2018, including a separate motion to dismiss filed by the Tradeweb Parties. The cases were dismissed in March 2021, with the Court granting the Plaintiffs leave to further amend the complaint by no later than May 14, 2021. The Plaintiffs filed an amended complaint on or about May 14, 2021, and the Company served its motion to dismiss the amended compliant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The parties have requested oral argument on the appeal, which request is currently pending, and no date for oral argument has yet been set. We believe that we have meritorious defenses to the claims set forth in the complaint and intend to continue to vigorously defend our 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 Matter</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20"/>
          <w:szCs w:val="20"/>
          <w:b w:val="1"/>
          <w:bCs w:val="1"/>
          <w:i w:val="1"/>
          <w:iCs w:val="1"/>
          <w:color w:val="auto"/>
        </w:rPr>
        <w:t>Public School Teachers’ Pension and Retirement Fund of Chicago v. Bank of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Case No. 15-cv-09219 (S.D.N.Y.). Additional plaintiffs, including Tera Group Inc. and Javelin Capital Markets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LLC, filed lawsuits and, ultimately, the cases were consolidated under the caption </w:t>
      </w:r>
      <w:r>
        <w:rPr>
          <w:rFonts w:ascii="Times New Roman" w:cs="Times New Roman" w:eastAsia="Times New Roman" w:hAnsi="Times New Roman"/>
          <w:sz w:val="20"/>
          <w:szCs w:val="20"/>
          <w:b w:val="1"/>
          <w:bCs w:val="1"/>
          <w:i w:val="1"/>
          <w:iCs w:val="1"/>
          <w:color w:val="auto"/>
        </w:rPr>
        <w:t>In re Interest Rate Swaps Antitrust Litigation</w:t>
      </w:r>
      <w:r>
        <w:rPr>
          <w:rFonts w:ascii="Times New Roman" w:cs="Times New Roman" w:eastAsia="Times New Roman" w:hAnsi="Times New Roman"/>
          <w:sz w:val="20"/>
          <w:szCs w:val="20"/>
          <w:color w:val="auto"/>
        </w:rPr>
        <w:t>, No. 1:16-md-2704.</w:t>
      </w:r>
    </w:p>
    <w:p>
      <w:pPr>
        <w:sectPr>
          <w:pgSz w:w="12060" w:h="15660" w:orient="portrait"/>
          <w:cols w:equalWidth="0" w:num="1">
            <w:col w:w="10420"/>
          </w:cols>
          <w:pgMar w:left="820" w:top="741" w:right="820" w:bottom="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060" w:h="15660" w:orient="portrait"/>
          <w:cols w:equalWidth="0" w:num="1">
            <w:col w:w="10420"/>
          </w:cols>
          <w:pgMar w:left="820" w:top="741" w:right="820" w:bottom="0" w:gutter="0" w:footer="0" w:header="0"/>
          <w:type w:val="continuous"/>
        </w:sectPr>
      </w:pPr>
    </w:p>
    <w:bookmarkStart w:id="73" w:name="page74"/>
    <w:bookmarkEnd w:id="73"/>
    <w:p>
      <w:pPr>
        <w:spacing w:after="0" w:line="260" w:lineRule="auto"/>
        <w:rPr>
          <w:sz w:val="20"/>
          <w:szCs w:val="20"/>
          <w:color w:val="auto"/>
        </w:rPr>
      </w:pPr>
      <w:r>
        <w:rPr>
          <w:rFonts w:ascii="Times New Roman" w:cs="Times New Roman" w:eastAsia="Times New Roman" w:hAnsi="Times New Roman"/>
          <w:sz w:val="20"/>
          <w:szCs w:val="20"/>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060" w:h="15660" w:orient="portrait"/>
          <w:cols w:equalWidth="0" w:num="1">
            <w:col w:w="10400"/>
          </w:cols>
          <w:pgMar w:left="820" w:top="748" w:right="84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1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Our Class A common stock trades on the Nasdaq Global Select Market under the ticker symbol “TW.” There is no established public trading market for our Class B common stock, Class C common stock or Class D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As of December 31, 2022, there are two holders of record of our Class A common stock, one holder of record of our Class B common stock, one holder of record of our Class C common stock and 12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two holders of record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$0.09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During 2022, Tradeweb Markets Inc. paid quarterly cash dividends of $0.08 per share, in an aggregate amount of $66.0 million, to the holders of Class A common stock and Class B common stock.</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060" w:h="15660" w:orient="portrait"/>
          <w:cols w:equalWidth="0" w:num="1">
            <w:col w:w="10420"/>
          </w:cols>
          <w:pgMar w:left="820" w:top="741" w:right="820" w:bottom="0" w:gutter="0" w:footer="0" w:header="0"/>
          <w:type w:val="continuous"/>
        </w:sectPr>
      </w:pPr>
    </w:p>
    <w:bookmarkStart w:id="75" w:name="page76"/>
    <w:bookmarkEnd w:id="75"/>
    <w:p>
      <w:pPr>
        <w:ind w:left="1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See Item 12 of this Report for information about securities authorized for issuance under our equity compensation plans.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the three months ended December 31, 2022, we repurchased the following shares of Class A common stock:</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Shares That</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177"/>
        </w:trPr>
        <w:tc>
          <w:tcPr>
            <w:tcW w:w="5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5"/>
                <w:szCs w:val="15"/>
                <w:color w:val="auto"/>
              </w:rPr>
            </w:pPr>
          </w:p>
        </w:tc>
        <w:tc>
          <w:tcPr>
            <w:tcW w:w="12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6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Plans or</w:t>
            </w:r>
          </w:p>
        </w:tc>
        <w:tc>
          <w:tcPr>
            <w:tcW w:w="60" w:type="dxa"/>
            <w:vAlign w:val="bottom"/>
          </w:tcPr>
          <w:p>
            <w:pPr>
              <w:spacing w:after="0"/>
              <w:rPr>
                <w:sz w:val="15"/>
                <w:szCs w:val="15"/>
                <w:color w:val="auto"/>
              </w:rPr>
            </w:pPr>
          </w:p>
        </w:tc>
        <w:tc>
          <w:tcPr>
            <w:tcW w:w="126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Under the Plans</w:t>
            </w:r>
          </w:p>
        </w:tc>
      </w:tr>
      <w:tr>
        <w:trPr>
          <w:trHeight w:val="232"/>
        </w:trPr>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6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Programs </w:t>
            </w:r>
            <w:r>
              <w:rPr>
                <w:rFonts w:ascii="Times New Roman" w:cs="Times New Roman" w:eastAsia="Times New Roman" w:hAnsi="Times New Roman"/>
                <w:sz w:val="20"/>
                <w:szCs w:val="20"/>
                <w:b w:val="1"/>
                <w:bCs w:val="1"/>
                <w:color w:val="auto"/>
                <w:w w:val="96"/>
                <w:vertAlign w:val="superscript"/>
              </w:rPr>
              <w:t>(1)</w:t>
            </w:r>
          </w:p>
        </w:tc>
        <w:tc>
          <w:tcPr>
            <w:tcW w:w="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or Programs </w:t>
            </w:r>
            <w:r>
              <w:rPr>
                <w:rFonts w:ascii="Times New Roman" w:cs="Times New Roman" w:eastAsia="Times New Roman" w:hAnsi="Times New Roman"/>
                <w:sz w:val="20"/>
                <w:szCs w:val="20"/>
                <w:b w:val="1"/>
                <w:bCs w:val="1"/>
                <w:color w:val="auto"/>
                <w:w w:val="96"/>
                <w:vertAlign w:val="superscript"/>
              </w:rPr>
              <w:t>(1)</w:t>
            </w:r>
          </w:p>
        </w:tc>
      </w:tr>
      <w:tr>
        <w:trPr>
          <w:trHeight w:val="274"/>
        </w:trPr>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1, 2022 – October 31, 2022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167,174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167,174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1, 2022 – November 30, 2022</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2022 – December 31, 2022</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387,198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64.57</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387,198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auto"/>
              </w:rPr>
              <w:t>275,000</w:t>
            </w:r>
          </w:p>
        </w:tc>
      </w:tr>
      <w:tr>
        <w:trPr>
          <w:trHeight w:val="245"/>
        </w:trPr>
        <w:tc>
          <w:tcPr>
            <w:tcW w:w="5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554,372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554,372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ind w:left="370" w:right="60" w:hanging="370"/>
        <w:spacing w:after="0" w:line="256" w:lineRule="auto"/>
        <w:tabs>
          <w:tab w:leader="none" w:pos="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4, 2021, we announced that our board of directors authorized a share repurchase program (the “2021 Share Repurchase Program”), primarily to offset annual dilution from stock-based compensation plans. The 2021 Share Repurchase Program authorized the purchase of up to $150.0 million of our Class A common stock at the Company’s discretion through the end of fiscal year 2023. The 2021 Share Repurchase Program was effected through regular open-market purchases (which included repurchase plans designed to comply with Rule 10b5-1). The 2021 Share Repurchase Program did not require the Company to acquire a specific number of shares and was able to be suspended, amended or discontinued at any time. As of October 31, 2022, no shares remained available for repurchase pursuant to the 2021 Share Repurchase Program.</w:t>
      </w:r>
    </w:p>
    <w:p>
      <w:pPr>
        <w:spacing w:after="0" w:line="174" w:lineRule="exact"/>
        <w:rPr>
          <w:rFonts w:ascii="Times New Roman" w:cs="Times New Roman" w:eastAsia="Times New Roman" w:hAnsi="Times New Roman"/>
          <w:sz w:val="16"/>
          <w:szCs w:val="16"/>
          <w:color w:val="auto"/>
        </w:rPr>
      </w:pPr>
    </w:p>
    <w:p>
      <w:pPr>
        <w:ind w:left="370" w:right="20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On December 5, 2022, we announced that our board of directors authorized a new share repurchase program (the “2022 Share Repurchase Program”), to continue to offset annual dilution from stock-based compensation plans, as well as to opportunistically repurchase our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w:t>
      </w:r>
    </w:p>
    <w:p>
      <w:pPr>
        <w:spacing w:after="0" w:line="2" w:lineRule="exact"/>
        <w:rPr>
          <w:rFonts w:ascii="Times New Roman" w:cs="Times New Roman" w:eastAsia="Times New Roman" w:hAnsi="Times New Roman"/>
          <w:sz w:val="16"/>
          <w:szCs w:val="16"/>
          <w:color w:val="auto"/>
        </w:rPr>
      </w:pPr>
    </w:p>
    <w:p>
      <w:pPr>
        <w:ind w:left="370" w:right="1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72" w:lineRule="exact"/>
        <w:rPr>
          <w:rFonts w:ascii="Times New Roman" w:cs="Times New Roman" w:eastAsia="Times New Roman" w:hAnsi="Times New Roman"/>
          <w:sz w:val="16"/>
          <w:szCs w:val="16"/>
          <w:color w:val="auto"/>
        </w:rPr>
      </w:pPr>
    </w:p>
    <w:p>
      <w:pPr>
        <w:ind w:left="370" w:right="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w:t>
      </w:r>
    </w:p>
    <w:p>
      <w:pPr>
        <w:spacing w:after="0" w:line="152"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2022, the Company withheld 25,630 shares of common stock from employee stock option, PRSU and/or RSU awards.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64</w:t>
      </w:r>
    </w:p>
    <w:p>
      <w:pPr>
        <w:sectPr>
          <w:pgSz w:w="12060" w:h="15660" w:orient="portrait"/>
          <w:cols w:equalWidth="0" w:num="1">
            <w:col w:w="10450"/>
          </w:cols>
          <w:pgMar w:left="810" w:top="741" w:right="8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following graph shows a comparison from April 4, 2019 (the date our Class A common stock commenced trading on Nasdaq) through December 31, 2022 of the cumulative total return for (i) our Class A common stock, (ii) the S&amp;P 500 Index and (iii) the Dow Jones U.S. Financials Index. The graph assumes an initial investment of $100 in our Class A common stock and in each index on April 4, 2019, and that all dividends were reinvested. Historical stock price performance should not be relied upon as an indication of future stock price performance</w:t>
      </w:r>
      <w:r>
        <w:rPr>
          <w:rFonts w:ascii="Times New Roman" w:cs="Times New Roman" w:eastAsia="Times New Roman" w:hAnsi="Times New Roman"/>
          <w:sz w:val="20"/>
          <w:szCs w:val="20"/>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6629400" cy="3896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6629400" cy="389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060" w:h="15660" w:orient="portrait"/>
          <w:cols w:equalWidth="0" w:num="1">
            <w:col w:w="10420"/>
          </w:cols>
          <w:pgMar w:left="820" w:top="741" w:right="820" w:bottom="0" w:gutter="0" w:footer="0" w:header="0"/>
          <w:type w:val="continuous"/>
        </w:sectPr>
      </w:pPr>
    </w:p>
    <w:bookmarkStart w:id="77" w:name="page78"/>
    <w:bookmarkEnd w:id="77"/>
    <w:p>
      <w:pPr>
        <w:ind w:right="64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includes a comparison of our results of operations, cash flows and liquidity and capital resources for the years ended December 31, 2022 and 2021, respectively. A comparison of our results of operations, cash flows and liquidity and capital resources from the years ended December 31, 2021 and December 31, 2020 may be found in Part II, Item 7. – “Management’s Discussion and Analysis of Financial Condition and Results of Operations,” of our Annual Report on Form 10-K for the year ended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Our institutional client sector serves institutional investors in over 65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6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6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060" w:h="15660" w:orient="portrait"/>
          <w:cols w:equalWidth="0" w:num="1">
            <w:col w:w="10420"/>
          </w:cols>
          <w:pgMar w:left="820" w:top="741" w:right="82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Trends and Other Factors Impacting Our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CEO Transition</w:t>
      </w:r>
    </w:p>
    <w:p>
      <w:pPr>
        <w:spacing w:after="0" w:line="13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On February 16, 2022, we announced that Mr. Lee Olesky would retire as Chief Executive Officer (“CEO”) of the Company, effective December 31, 2022. On February 11, 2022, the board of directors elected our then-current President, Mr. Billy Hult, to succeed Mr. Olesky as CEO of the Company, effective January 1, 2023. Following his retirement as CEO, Mr. Olesky has continued in his role as Chairman of the board of directors.</w:t>
      </w:r>
    </w:p>
    <w:p>
      <w:pPr>
        <w:spacing w:after="0" w:line="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As of the beginning of Mr. Olesky’s six month notice period under our 2019 Omnibus Equity Incentive Plan, there were (i) approximately $6.7 million in total unamortized stock-based compensation associated with equity awards previously granted to Mr. Olesky plus (ii) $5.0 million in unamortized stock-based compensation awards granted to Mr. Olesky during 2022 that were accelerated and amortized into expense over a revised estimated service period that ended on August 11, 2022, the date that such six month notice period ended. In addition, in December 2022, $5.5 million in stock-based compensation awards, relating to 2022 performance, were granted to Mr. Olesky and immediately recognized into expense upon grant. Of these amounts, $3.1 million represents regular amortization that would have been recognized through August 11, 2022 if Mr. Olesky had not announced his retirement and $14.1 million represents accelerated stock-based compensation (the “CEO Retirement Accelerated Stock-Based Compensation Expense”) that is excluded from our non-GAAP measures of Adjusted EBITDA and Adjusted Net Income as it is recorded as expense. Total amortization amounts disclosed were based on a 100% multiplier achieved for the 2022 performance-based restricted stock units and were adjusted, up by $0.7 million, based on the final performance multiplier achieved for the year ended December 31, 2022. See “—Non-GAAP Financial Measures” below for further details. During the year ended December 31, 2022, we incurred a total of $15.0 million in CEO Retirement Accelerated Stock-Based Compensation Expense and related payroll taxes.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President Transition</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On July 13, 2022, we announced that the board of directors appointed Mr. Thomas Pluta as our next President effective as of January 1, 2023. Mr. Pluta succeeded Mr. Hult in this role, when, as previously announced and discussed above, Mr. Hult assumed the position of CEO of the Company on January 1, 2023. Mr. Pluta joined the Company as President-elect on October 3, 2022. Upon announcement, Mr. Pluta was a standing non-independent member of our board of directors and has remained on the board in his new role.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CFO Transition</w:t>
      </w:r>
    </w:p>
    <w:p>
      <w:pPr>
        <w:spacing w:after="0" w:line="1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On August 30, 2021, our Board of Directors appointed Sara Furber to serve as our new Chief Financial Officer (“CFO”), effective September 7, 2021. She succeeded Robert Warshaw, our former CFO, who left the Company following a period of transition ending on January 4, 2022. In connection with her employment offer, Ms. Furber was granted RSUs and PRSUs with grant date fair values totaling $3.9 million, collectively referred to as the “CFO Special Equity Awards”. See Note 13 – Stock-Based Compensation Plans to our audited consolidated financial statements included elsewhere in this Annual Report on Form 10-K for additional details of the CFO Special Equity Awards. As of August 30, 2021, there was approximately $1.8 million in unamortized stock-based compensation expense associated with equity awards previously granted to Mr. Warshaw, which was accelerated and amortized into expense over a revised estimated service period ending on January 4, 2022 (the “Former CFO Accelerated Stock-Based Compensation Expense”). During the year ended December 31, 2021, we incurred a total of $1.3 million in GAAP stock-based compensation expense relating to the CFO Special Equity Awards and $1.7 million relating to the Former CFO Accelerated Stock-Based Compensation Expense. The Former CFO Accelerated Stock-Based Compensation Expense is excluded from our non-GAAP measures of Adjusted EBITDA and Adjusted Net Income.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Since the onset of the COVID-19 pandemic, we have been focused on keeping our employees safe, helping our staff and clients stay connected and ensuring our platforms operate efficiently. Throughout the pandemic, we implemented a series of measures to protect the health and safety of our employees. During 2022, we, like many companies, began to transition our workforce back to the office. Our office re-entry policy set out guidance to protect employee safety and implement, at a minimum, the local regulations including, where applicable, masking mandates, vaccination status for in-person work, quarantine time, testing requirements, appropriate distancing measures and capacity limitations. Our Workplace Safety Committee is governed by the heads of Risk, Human Resources, Facilities, Operations, Technology, and Marketing and meets in frequencies determined by the necessity and severity of the current conditions. We will continue to monitor the impact of COVID-19, including any related variants, and will adjust our plans accordingly.</w:t>
      </w:r>
    </w:p>
    <w:p>
      <w:pPr>
        <w:spacing w:after="0" w:line="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 or on a hybrid basis.</w:t>
      </w:r>
    </w:p>
    <w:p>
      <w:pPr>
        <w:sectPr>
          <w:pgSz w:w="12060" w:h="15660" w:orient="portrait"/>
          <w:cols w:equalWidth="0" w:num="1">
            <w:col w:w="10420"/>
          </w:cols>
          <w:pgMar w:left="820" w:top="741" w:right="820" w:bottom="0" w:gutter="0" w:footer="0" w:header="0"/>
        </w:sect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060" w:h="15660" w:orient="portrait"/>
          <w:cols w:equalWidth="0" w:num="1">
            <w:col w:w="10420"/>
          </w:cols>
          <w:pgMar w:left="820" w:top="741" w:right="820" w:bottom="0" w:gutter="0" w:footer="0" w:header="0"/>
          <w:type w:val="continuous"/>
        </w:sectPr>
      </w:pPr>
    </w:p>
    <w:bookmarkStart w:id="79" w:name="page80"/>
    <w:bookmarkEnd w:id="79"/>
    <w:p>
      <w:pPr>
        <w:ind w:right="20"/>
        <w:spacing w:after="0" w:line="255" w:lineRule="auto"/>
        <w:rPr>
          <w:sz w:val="20"/>
          <w:szCs w:val="20"/>
          <w:color w:val="auto"/>
        </w:rPr>
      </w:pPr>
      <w:r>
        <w:rPr>
          <w:rFonts w:ascii="Times New Roman" w:cs="Times New Roman" w:eastAsia="Times New Roman" w:hAnsi="Times New Roman"/>
          <w:sz w:val="20"/>
          <w:szCs w:val="20"/>
          <w:color w:val="auto"/>
        </w:rPr>
        <w:t>We are focused on minimizing any future disruptive impact of COVID-19 on our business. Although we have implemented risk management and contingency plans and taken preventive measures and other precautions, our efforts to mitigate the effects of any disruptions may prove to be inadequate. Further, as the COVID-19 situation is unprecedented and continuously evolving, COVID-19, including any related variants, may also affect our operating and financial results in a manner that is not presently known to us or in a manner that we currently do not consider to present significant risks to our operations. As the COVID-19 pandemic continues to evolve, it may also have the effect of heightening many of the risks described in Part I, Item 1A. – “Risk Factors” of our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Environment</w:t>
      </w:r>
    </w:p>
    <w:p>
      <w:pPr>
        <w:spacing w:after="0" w:line="13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2023 include, among other things, evolving monetary policies of central banks, economic, political and social conditions, and legislative, regulatory or government policy changes.</w:t>
      </w:r>
    </w:p>
    <w:p>
      <w:pPr>
        <w:spacing w:after="0" w:line="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Because the majority of our financial assets are short-term in nature, they are not significantly affected by inflation. However, the rate of inflation may affect our expenses, such as employee compensation and benefits and technology and communication expenses,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Environment</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Environment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060" w:h="15660" w:orient="portrait"/>
          <w:cols w:equalWidth="0" w:num="1">
            <w:col w:w="10420"/>
          </w:cols>
          <w:pgMar w:left="820" w:top="748" w:right="82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Cybersecurity Environment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Environment</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2022, 2021 and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On February 16, 2023, the Board of Directors (the “Board”) appointed Mr. Troy Dixon as an independent director of the Board, effective as of March 1, 2023. Mr. Dixon is the Founder and Chief Investment Officer of Hollis Park Partners LP, an alternative asset manager that specializes in structured products, a position he has held since 2013. Mr. Dixon has nearly thirty years of industry experience, including leading residential mortgage-backed securities trading at UBS Inc. from 2002 to 2006 and at Deutsche Bank from 2006 to 2013.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Taxation</w:t>
      </w: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are currently evaluating the impacts, if any, of the provisions of the IRA however, do not expect a material impact to our financial condition, results of operations and cash flows. We do not currently anticipate the adoption of the IRA will have an impact to our non-GAAP adjusted effective tax rate used for purposes of calculating our non-GAAP measure of Adjusted Net Income.</w:t>
      </w:r>
    </w:p>
    <w:p>
      <w:pPr>
        <w:sectPr>
          <w:pgSz w:w="12060" w:h="15660" w:orient="portrait"/>
          <w:cols w:equalWidth="0" w:num="1">
            <w:col w:w="10400"/>
          </w:cols>
          <w:pgMar w:left="82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060" w:h="15660" w:orient="portrait"/>
          <w:cols w:equalWidth="0" w:num="1">
            <w:col w:w="10400"/>
          </w:cols>
          <w:pgMar w:left="820" w:top="739" w:right="84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 is derived primarily from transaction fees, commissions, subscription fees and market data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Fees and Commissions</w:t>
      </w:r>
    </w:p>
    <w:p>
      <w:pPr>
        <w:spacing w:after="0" w:line="21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Subscription Fees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5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For purposes of our discussion of our results of operations, we include Refinitiv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Compensation and Benefits</w:t>
      </w:r>
    </w:p>
    <w:p>
      <w:pPr>
        <w:spacing w:after="0" w:line="2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1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ectPr>
          <w:pgSz w:w="12060" w:h="15660" w:orient="portrait"/>
          <w:cols w:equalWidth="0" w:num="1">
            <w:col w:w="10420"/>
          </w:cols>
          <w:pgMar w:left="820" w:top="741" w:right="820" w:bottom="0" w:gutter="0" w:footer="0" w:header="0"/>
        </w:sect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060" w:h="15660" w:orient="portrait"/>
          <w:cols w:equalWidth="0" w:num="1">
            <w:col w:w="10420"/>
          </w:cols>
          <w:pgMar w:left="820" w:top="741" w:right="820" w:bottom="0" w:gutter="0" w:footer="0" w:header="0"/>
          <w:type w:val="continuous"/>
        </w:sectPr>
      </w:pPr>
    </w:p>
    <w:bookmarkStart w:id="82" w:name="page83"/>
    <w:bookmarkEnd w:id="82"/>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Communications</w:t>
      </w:r>
    </w:p>
    <w:p>
      <w:pPr>
        <w:spacing w:after="0" w:line="214"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Professional Fees</w:t>
      </w:r>
    </w:p>
    <w:p>
      <w:pPr>
        <w:spacing w:after="0" w:line="214" w:lineRule="exact"/>
        <w:rPr>
          <w:sz w:val="20"/>
          <w:szCs w:val="20"/>
          <w:color w:val="auto"/>
        </w:rPr>
      </w:pPr>
    </w:p>
    <w:p>
      <w:pPr>
        <w:ind w:left="10" w:right="560"/>
        <w:spacing w:after="0" w:line="281" w:lineRule="auto"/>
        <w:rPr>
          <w:sz w:val="20"/>
          <w:szCs w:val="20"/>
          <w:color w:val="auto"/>
        </w:rPr>
      </w:pPr>
      <w:r>
        <w:rPr>
          <w:rFonts w:ascii="Times New Roman" w:cs="Times New Roman" w:eastAsia="Times New Roman" w:hAnsi="Times New Roman"/>
          <w:sz w:val="20"/>
          <w:szCs w:val="20"/>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Occupancy</w:t>
      </w:r>
    </w:p>
    <w:p>
      <w:pPr>
        <w:spacing w:after="0" w:line="214"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Occupancy expense consists of operating lease rent and related costs for office space and data centers leased in North America, Europe and Asia.</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9"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The tax receivable agreement liability adjustment reflects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 (Expense)</w:t>
      </w:r>
    </w:p>
    <w:p>
      <w:pPr>
        <w:spacing w:after="0" w:line="219"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Income (Loss) from Investments</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Income (loss) from investments consists of income and losses earned from investments.</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left="10" w:right="200"/>
        <w:spacing w:after="0" w:line="255" w:lineRule="auto"/>
        <w:rPr>
          <w:sz w:val="20"/>
          <w:szCs w:val="20"/>
          <w:color w:val="auto"/>
        </w:rPr>
      </w:pPr>
      <w:r>
        <w:rPr>
          <w:rFonts w:ascii="Times New Roman" w:cs="Times New Roman" w:eastAsia="Times New Roman" w:hAnsi="Times New Roman"/>
          <w:sz w:val="20"/>
          <w:szCs w:val="20"/>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Non-Controlling Interests</w:t>
      </w:r>
    </w:p>
    <w:p>
      <w:pPr>
        <w:spacing w:after="0" w:line="219"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In connection with the Reorganization Transactions, the TWM LLC Agreement was amended and restated to, among other things,</w:t>
      </w:r>
    </w:p>
    <w:p>
      <w:pPr>
        <w:spacing w:after="0" w:line="42" w:lineRule="exact"/>
        <w:rPr>
          <w:sz w:val="20"/>
          <w:szCs w:val="20"/>
          <w:color w:val="auto"/>
        </w:rPr>
      </w:pPr>
    </w:p>
    <w:p>
      <w:pPr>
        <w:ind w:left="10" w:right="40" w:hanging="10"/>
        <w:spacing w:after="0" w:line="251" w:lineRule="auto"/>
        <w:tabs>
          <w:tab w:leader="none" w:pos="2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December 31, 2022, we owned 88.7% of TWM LLC and Continuing LLC Owners owned the remaining 11.3% of TWM LLC.</w:t>
      </w:r>
    </w:p>
    <w:p>
      <w:pPr>
        <w:sectPr>
          <w:pgSz w:w="12060" w:h="15660" w:orient="portrait"/>
          <w:cols w:equalWidth="0" w:num="1">
            <w:col w:w="10430"/>
          </w:cols>
          <w:pgMar w:left="810" w:top="744" w:right="820" w:bottom="0" w:gutter="0" w:footer="0" w:header="0"/>
        </w:sectPr>
      </w:pPr>
    </w:p>
    <w:p>
      <w:pPr>
        <w:spacing w:after="0" w:line="32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71</w:t>
      </w:r>
    </w:p>
    <w:p>
      <w:pPr>
        <w:sectPr>
          <w:pgSz w:w="12060" w:h="15660" w:orient="portrait"/>
          <w:cols w:equalWidth="0" w:num="1">
            <w:col w:w="10430"/>
          </w:cols>
          <w:pgMar w:left="810" w:top="744" w:right="820" w:bottom="0" w:gutter="0" w:footer="0" w:header="0"/>
          <w:type w:val="continuous"/>
        </w:sectPr>
      </w:pPr>
    </w:p>
    <w:bookmarkStart w:id="83" w:name="page84"/>
    <w:bookmarkEnd w:id="83"/>
    <w:p>
      <w:pPr>
        <w:ind w:left="1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 the Years Ended December 31, 2022 and December 31, 2021</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sets forth a summary of our statements of income for the years ended December 31, 2022 and 2021:</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776,208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717,619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8.2 %</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412,573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358,828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 adjustment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interest income (expense)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(848.9)%</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investments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437,133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369,983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(77,520)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(96,875)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19,355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359,613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273,108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31.7 %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50,275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46,280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36.4 %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654800" cy="206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-1659890</wp:posOffset>
            </wp:positionV>
            <wp:extent cx="6654800" cy="206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130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6654800" cy="13049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Our revenues for the years ended December 31, 2022 and 2021, and the resulting dollar and percentage changes, were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2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2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3"/>
        </w:trPr>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2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4"/>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8"/>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fees and</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commissions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950,269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846,354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r>
      <w:tr>
        <w:trPr>
          <w:trHeight w:val="289"/>
        </w:trPr>
        <w:tc>
          <w:tcPr>
            <w:tcW w:w="26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Subscription fees </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228,643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20"/>
                <w:szCs w:val="20"/>
                <w:color w:val="auto"/>
              </w:rPr>
              <w:t>19.2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10,484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4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112,334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3"/>
        </w:trPr>
        <w:tc>
          <w:tcPr>
            <w:tcW w:w="41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Components of total revenue growth:</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3"/>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Constant currency change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impact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5"/>
        </w:trPr>
        <w:tc>
          <w:tcPr>
            <w:tcW w:w="2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revenue growth</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-1993265</wp:posOffset>
            </wp:positionV>
            <wp:extent cx="6654800" cy="20002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6654800" cy="2000250"/>
                    </a:xfrm>
                    <a:prstGeom prst="rect">
                      <a:avLst/>
                    </a:prstGeom>
                    <a:noFill/>
                  </pic:spPr>
                </pic:pic>
              </a:graphicData>
            </a:graphic>
          </wp:anchor>
        </w:drawing>
      </w:r>
    </w:p>
    <w:p>
      <w:pPr>
        <w:ind w:left="370" w:hanging="370"/>
        <w:spacing w:after="0"/>
        <w:tabs>
          <w:tab w:leader="none" w:pos="3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fees for the years ended December 31, 2022 and 2021 include $62.7 million and $61.2 million, respectively, of Refinitiv market data fees.</w:t>
      </w:r>
    </w:p>
    <w:p>
      <w:pPr>
        <w:spacing w:after="0" w:line="24" w:lineRule="exact"/>
        <w:rPr>
          <w:rFonts w:ascii="Times New Roman" w:cs="Times New Roman" w:eastAsia="Times New Roman" w:hAnsi="Times New Roman"/>
          <w:sz w:val="16"/>
          <w:szCs w:val="16"/>
          <w:color w:val="auto"/>
        </w:rPr>
      </w:pPr>
    </w:p>
    <w:p>
      <w:pPr>
        <w:ind w:left="370" w:right="140" w:hanging="370"/>
        <w:spacing w:after="0" w:line="253" w:lineRule="auto"/>
        <w:tabs>
          <w:tab w:leader="none" w:pos="3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72</w:t>
      </w:r>
    </w:p>
    <w:p>
      <w:pPr>
        <w:sectPr>
          <w:pgSz w:w="12060" w:h="15660" w:orient="portrait"/>
          <w:cols w:equalWidth="0" w:num="1">
            <w:col w:w="10450"/>
          </w:cols>
          <w:pgMar w:left="810" w:top="741" w:right="800" w:bottom="0" w:gutter="0" w:footer="0" w:header="0"/>
          <w:type w:val="continuous"/>
        </w:sectPr>
      </w:pPr>
    </w:p>
    <w:bookmarkStart w:id="84" w:name="page85"/>
    <w:bookmarkEnd w:id="84"/>
    <w:p>
      <w:pPr>
        <w:ind w:right="40"/>
        <w:spacing w:after="0" w:line="256" w:lineRule="auto"/>
        <w:rPr>
          <w:sz w:val="20"/>
          <w:szCs w:val="20"/>
          <w:color w:val="auto"/>
        </w:rPr>
      </w:pPr>
      <w:r>
        <w:rPr>
          <w:rFonts w:ascii="Times New Roman" w:cs="Times New Roman" w:eastAsia="Times New Roman" w:hAnsi="Times New Roman"/>
          <w:sz w:val="20"/>
          <w:szCs w:val="20"/>
          <w:color w:val="auto"/>
        </w:rPr>
        <w:t>Our diversified offering across products, client sectors and geographies supported sustained growth amidst a complex macroeconomic backdrop, including evolving central bank policy, sustained elevated volatility, economic concerns and a stronger U.S. dollar. The primary driver of the $112.3 million increase in revenue is related to a $103.9 million increase in transaction fees and commissions to $950.3 million for the year ended December 31, 2022 from $846.4 million for the year ended December 31, 2021, primarily due to increased volumes and fees for rates derivatives products, municipals, U.S. ETFs, U.S. government bonds and U.S. corporate bonds.</w:t>
      </w:r>
    </w:p>
    <w:p>
      <w:pPr>
        <w:spacing w:after="0" w:line="168"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color w:val="auto"/>
        </w:rPr>
        <w:t>Our total revenue by asset class for the years ended December 31, 2022 and 2021,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605,406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562,878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331,803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292,437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22,227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23,620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654800" cy="20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654800"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-43815</wp:posOffset>
            </wp:positionV>
            <wp:extent cx="247332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spacing w:after="0" w:line="18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Our variable and fixed revenues by asset class for the years ended December 31, 2022 and 2021,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21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0"/>
        </w:trPr>
        <w:tc>
          <w:tcPr>
            <w:tcW w:w="2180" w:type="dxa"/>
            <w:vAlign w:val="bottom"/>
          </w:tcPr>
          <w:p>
            <w:pPr>
              <w:spacing w:after="0"/>
              <w:rPr>
                <w:sz w:val="19"/>
                <w:szCs w:val="19"/>
                <w:color w:val="auto"/>
              </w:rPr>
            </w:pPr>
          </w:p>
        </w:tc>
        <w:tc>
          <w:tcPr>
            <w:tcW w:w="2000" w:type="dxa"/>
            <w:vAlign w:val="bottom"/>
            <w:gridSpan w:val="3"/>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8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2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w w:val="94"/>
              </w:rPr>
              <w:t>Fixed</w:t>
            </w: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Fixed</w:t>
            </w:r>
          </w:p>
        </w:tc>
      </w:tr>
      <w:tr>
        <w:trPr>
          <w:trHeight w:val="274"/>
        </w:trPr>
        <w:tc>
          <w:tcPr>
            <w:tcW w:w="2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8"/>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$ 383,780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$ 221,626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$ 338,395</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$ 224,483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45,385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305,760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266,367</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26,070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39,393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60,579</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10,497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27,884</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16,410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7.6 %</w:t>
            </w:r>
          </w:p>
        </w:tc>
      </w:tr>
      <w:tr>
        <w:trPr>
          <w:trHeight w:val="28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85,913</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82,142</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w:t>
            </w:r>
          </w:p>
        </w:tc>
        <w:tc>
          <w:tcPr>
            <w:tcW w:w="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88"/>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22,227</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23,620</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45"/>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$ 806,200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$ 382,581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$ 693,225</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$ 383,222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$ 112,975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0"/>
        </w:trPr>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654800" cy="1485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key drivers of the change in total revenue by asset class are summarized as follows: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xml:space="preserve"> Revenues from our rates asset class increased by $42.5 million or 7.6% to $605.4 million for the year ended December 31, 2022 compared to $562.9 million for the year ended December 31, 2021 primarily due to variable transaction fees and commissions on higher trading volumes for rates derivatives products and U.S. government bonds, partially offset by lower trading volumes for mortgages as historically high mortgage rates and inflation during 2022 impacted issuance and trading activity in mortgage products.</w:t>
      </w:r>
    </w:p>
    <w:p>
      <w:pPr>
        <w:spacing w:after="0" w:line="16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Revenues from our credit asset class increased by $39.4 million or 13.5% to $331.8 million for the year ended December 31, 2022 compared to $292.4 million for the year ended December 31, 2021 primarily due to variable transaction fees and commissions on higher trading volumes for municipals, U.S. corporate bonds and credit derivatives products.</w:t>
      </w:r>
    </w:p>
    <w:p>
      <w:pPr>
        <w:spacing w:after="0" w:line="15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u w:val="single" w:color="auto"/>
          <w:color w:val="auto"/>
        </w:rPr>
        <w:t>Equities.</w:t>
      </w:r>
      <w:r>
        <w:rPr>
          <w:rFonts w:ascii="Times New Roman" w:cs="Times New Roman" w:eastAsia="Times New Roman" w:hAnsi="Times New Roman"/>
          <w:sz w:val="20"/>
          <w:szCs w:val="20"/>
          <w:color w:val="auto"/>
        </w:rPr>
        <w:t xml:space="preserve"> Revenues from our equities asset class increased by $22.4 million or 31.5% to $93.5 million for the year ended December 31, 2022 compared to $71.1 million for the year ended December 31, 2021 primarily due to variable transaction fees and commissions on higher trading volumes for U.S. and European ETFs.</w:t>
      </w:r>
    </w:p>
    <w:p>
      <w:pPr>
        <w:sectPr>
          <w:pgSz w:w="12060" w:h="15660" w:orient="portrait"/>
          <w:cols w:equalWidth="0" w:num="1">
            <w:col w:w="10440"/>
          </w:cols>
          <w:pgMar w:left="820" w:top="748" w:right="80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060" w:h="15660" w:orient="portrait"/>
          <w:cols w:equalWidth="0" w:num="1">
            <w:col w:w="10440"/>
          </w:cols>
          <w:pgMar w:left="820" w:top="748" w:right="800" w:bottom="0" w:gutter="0" w:footer="0" w:header="0"/>
          <w:type w:val="continuous"/>
        </w:sectPr>
      </w:pPr>
    </w:p>
    <w:bookmarkStart w:id="85" w:name="page86"/>
    <w:bookmarkEnd w:id="85"/>
    <w:p>
      <w:pPr>
        <w:ind w:right="100"/>
        <w:spacing w:after="0" w:line="266" w:lineRule="auto"/>
        <w:rPr>
          <w:sz w:val="20"/>
          <w:szCs w:val="20"/>
          <w:color w:val="auto"/>
        </w:rPr>
      </w:pPr>
      <w:r>
        <w:rPr>
          <w:rFonts w:ascii="Times New Roman" w:cs="Times New Roman" w:eastAsia="Times New Roman" w:hAnsi="Times New Roman"/>
          <w:sz w:val="20"/>
          <w:szCs w:val="20"/>
          <w:u w:val="single" w:color="auto"/>
          <w:color w:val="auto"/>
        </w:rPr>
        <w:t>Money Markets.</w:t>
      </w:r>
      <w:r>
        <w:rPr>
          <w:rFonts w:ascii="Times New Roman" w:cs="Times New Roman" w:eastAsia="Times New Roman" w:hAnsi="Times New Roman"/>
          <w:sz w:val="20"/>
          <w:szCs w:val="20"/>
          <w:color w:val="auto"/>
        </w:rPr>
        <w:t xml:space="preserve"> Revenues from our money markets asset class increased by $5.7 million or 12.8% to $50.0 million for the year ended December 31, 2022 compared to $44.3 million for the year ended December 31, 2021 primarily due to variable transaction fees and commissions on higher trading volumes for certificates of deposit and repurchase agreements.</w:t>
      </w:r>
    </w:p>
    <w:p>
      <w:pPr>
        <w:spacing w:after="0" w:line="15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asset class increased by $3.8 million or 4.6% to $85.9 million for the year ended December 31, 2022 compared to $82.1 million for the year ended December 31, 2021. The increase was derived primarily from increased third party market data fees and Refinitiv market data fees.</w:t>
      </w:r>
    </w:p>
    <w:p>
      <w:pPr>
        <w:spacing w:after="0" w:line="15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Revenues from our other asset class decreased by $1.4 million or 5.9%, to $22.2 million for the year ended December 31, 2022 compared to $23.6 million for the year ended December 31, 2021 primarily due to decreased fees from retail client fee minimums.</w:t>
      </w:r>
    </w:p>
    <w:p>
      <w:pPr>
        <w:spacing w:after="0" w:line="15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We generate revenue from a diverse portfolio of client sectors. Our total revenue by client sector for the years ended December 31, 2022 and 2021,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Institutional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719,211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668,812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Wholesale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254,927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56.5 %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85,913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82,142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654800" cy="206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-56515</wp:posOffset>
            </wp:positionV>
            <wp:extent cx="2498725" cy="76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extLst>
                        <a:ext uri="{28A0092B-C50C-407E-A947-70E740481C1C}"/>
                      </a:extLst>
                    </a:blip>
                    <a:srcRect/>
                    <a:stretch>
                      <a:fillRect/>
                    </a:stretch>
                  </pic:blipFill>
                  <pic:spPr bwMode="auto">
                    <a:xfrm>
                      <a:off x="0" y="0"/>
                      <a:ext cx="2498725" cy="76200"/>
                    </a:xfrm>
                    <a:prstGeom prst="rect">
                      <a:avLst/>
                    </a:prstGeom>
                    <a:noFill/>
                  </pic:spPr>
                </pic:pic>
              </a:graphicData>
            </a:graphic>
          </wp:anchor>
        </w:drawing>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u w:val="single" w:color="auto"/>
          <w:color w:val="auto"/>
        </w:rPr>
        <w:t>Institutional.</w:t>
      </w:r>
      <w:r>
        <w:rPr>
          <w:rFonts w:ascii="Times New Roman" w:cs="Times New Roman" w:eastAsia="Times New Roman" w:hAnsi="Times New Roman"/>
          <w:sz w:val="20"/>
          <w:szCs w:val="20"/>
          <w:color w:val="auto"/>
        </w:rPr>
        <w:t xml:space="preserve"> Revenues from our institutional client sector increased by $50.4 million or 7.5% to $719.2 million for the year ended December 31, 2022 from $668.8 million for the year ended December 31, 2021. The increase was derived primarily from increased volumes for rates derivatives products, U.S. ETFs and credit derivatives products, partially offset by lower trading volumes for mortgages as historically high mortgage rates and inflation during 2022 impacted issuance and trading activity in mortgage products.</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u w:val="single" w:color="auto"/>
          <w:color w:val="auto"/>
        </w:rPr>
        <w:t>Wholesale.</w:t>
      </w:r>
      <w:r>
        <w:rPr>
          <w:rFonts w:ascii="Times New Roman" w:cs="Times New Roman" w:eastAsia="Times New Roman" w:hAnsi="Times New Roman"/>
          <w:sz w:val="20"/>
          <w:szCs w:val="20"/>
          <w:color w:val="auto"/>
        </w:rPr>
        <w:t xml:space="preserve"> Revenues from our wholesale client sector increased by $18.3 million or 7.2% to $273.2 million for the year ended December 31, 2022 from $254.9 million for the year ended December 31, 2021. The increase was derived primarily from increased volumes for U.S. government bonds.</w:t>
      </w:r>
    </w:p>
    <w:p>
      <w:pPr>
        <w:spacing w:after="0" w:line="15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u w:val="single" w:color="auto"/>
          <w:color w:val="auto"/>
        </w:rPr>
        <w:t>Retail.</w:t>
      </w:r>
      <w:r>
        <w:rPr>
          <w:rFonts w:ascii="Times New Roman" w:cs="Times New Roman" w:eastAsia="Times New Roman" w:hAnsi="Times New Roman"/>
          <w:sz w:val="20"/>
          <w:szCs w:val="20"/>
          <w:color w:val="auto"/>
        </w:rPr>
        <w:t xml:space="preserve"> Revenues from our retail client sector increased by $39.9 million or 56.5% to $110.5 million for the year ended December 31, 2022 from $70.6 million for the year ended December 31, 2021. The increase was derived primarily from increased volumes for municipals, U.S. corporate bonds and U.S. government bonds.</w:t>
      </w:r>
    </w:p>
    <w:p>
      <w:pPr>
        <w:spacing w:after="0" w:line="1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client sector increased by $3.8 million or 4.6% to $85.9 million for the year ended December 31, 2022 from $82.1 million for the year ended December 31, 2021. The increase was derived primarily from increased third party market data fees and Refinitiv market data fees.</w:t>
      </w:r>
    </w:p>
    <w:p>
      <w:pPr>
        <w:spacing w:after="0" w:line="15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Our revenues and client base are also diversified by geography. Our total revenue by geography (based on client location) for the years ended December 31, 2022 and 2021, and the resulting dollar and percentage changes,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760,642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428,139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403,224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10.4 %</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-56515</wp:posOffset>
            </wp:positionV>
            <wp:extent cx="2498725" cy="76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a:extLst>
                        <a:ext uri="{28A0092B-C50C-407E-A947-70E740481C1C}"/>
                      </a:extLst>
                    </a:blip>
                    <a:srcRect/>
                    <a:stretch>
                      <a:fillRect/>
                    </a:stretch>
                  </pic:blipFill>
                  <pic:spPr bwMode="auto">
                    <a:xfrm>
                      <a:off x="0" y="0"/>
                      <a:ext cx="2498725" cy="76200"/>
                    </a:xfrm>
                    <a:prstGeom prst="rect">
                      <a:avLst/>
                    </a:prstGeom>
                    <a:noFill/>
                  </pic:spPr>
                </pic:pic>
              </a:graphicData>
            </a:graphic>
          </wp:anchor>
        </w:drawing>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74</w:t>
      </w:r>
    </w:p>
    <w:p>
      <w:pPr>
        <w:sectPr>
          <w:pgSz w:w="12060" w:h="15660" w:orient="portrait"/>
          <w:cols w:equalWidth="0" w:num="1">
            <w:col w:w="10440"/>
          </w:cols>
          <w:pgMar w:left="820" w:top="748" w:right="800" w:bottom="0" w:gutter="0" w:footer="0" w:header="0"/>
          <w:type w:val="continuous"/>
        </w:sectPr>
      </w:pPr>
    </w:p>
    <w:bookmarkStart w:id="86" w:name="page87"/>
    <w:bookmarkEnd w:id="86"/>
    <w:p>
      <w:pPr>
        <w:ind w:right="160"/>
        <w:spacing w:after="0" w:line="266" w:lineRule="auto"/>
        <w:rPr>
          <w:sz w:val="20"/>
          <w:szCs w:val="20"/>
          <w:color w:val="auto"/>
        </w:rPr>
      </w:pP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Revenues from U.S. clients increased by $87.4 million or 13.0% to $760.6 million for the year ended December 31, 2022 from $673.2 million for the year ended December 31, 2021 primarily due to higher revenues for municipals, U.S. ETFs and U.S. corporate bonds.</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u w:val="single" w:color="auto"/>
          <w:color w:val="auto"/>
        </w:rPr>
        <w:t>International.</w:t>
      </w:r>
      <w:r>
        <w:rPr>
          <w:rFonts w:ascii="Times New Roman" w:cs="Times New Roman" w:eastAsia="Times New Roman" w:hAnsi="Times New Roman"/>
          <w:sz w:val="20"/>
          <w:szCs w:val="20"/>
          <w:color w:val="auto"/>
        </w:rPr>
        <w:t xml:space="preserve"> Revenues from International clients increased by $24.9 million or 6.2% to $428.1 million for the year ended December 31, 2022 from $403.2 million for the year ended December 31, 2021. Fluctuations in foreign currency rates decreased our total International revenues for the year ended December 31, 2022 by $37.4 million when comparing to International revenues for the year ended December 31, 2022 determined using constant currency foreign currency exchange rates. Excluding this foreign currency impact, international revenues increased by $62.3 million or 15.5% primarily due to higher revenues for rates derivatives products, European government bonds, credit derivatives products and European ETFs.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expenses for the years ended December 31, 2022 and 2021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center"/>
              <w:ind w:left="40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5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40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0"/>
        </w:trPr>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gridSpan w:val="4"/>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432,421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407,260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178,879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65,857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44.8 %</w:t>
            </w: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37,764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Occupancy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14,726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14,528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776,208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717,619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8.2 %</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654800" cy="206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206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6654800" cy="231775"/>
                    </a:xfrm>
                    <a:prstGeom prst="rect">
                      <a:avLst/>
                    </a:prstGeom>
                    <a:noFill/>
                  </pic:spPr>
                </pic:pic>
              </a:graphicData>
            </a:graphic>
          </wp:anchor>
        </w:drawing>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u w:val="single" w:color="auto"/>
          <w:color w:val="auto"/>
        </w:rPr>
        <w:t>Employee Compensation and Benefits.</w:t>
      </w:r>
      <w:r>
        <w:rPr>
          <w:rFonts w:ascii="Times New Roman" w:cs="Times New Roman" w:eastAsia="Times New Roman" w:hAnsi="Times New Roman"/>
          <w:sz w:val="20"/>
          <w:szCs w:val="20"/>
          <w:color w:val="auto"/>
        </w:rPr>
        <w:t xml:space="preserve"> Expenses related to employee compensation and benefits increased by $25.2 million or 6.2% to $432.4 million for the year ended December 31, 2022 from $407.3 million for the year ended December 31, 2021. The increase was primarily due to an increase in salaries and benefits as a result of increased employee headcount. During the year ended December 31, 2022, we also incurred a total of $15.0 million in stock-based compensation expense and related payroll taxes relating to the CEO Retirement Accelerated Stock-Based Compensation Expense. See “— Trends and Other Factors Impacting Our Performance — CEO Transition” for further details. During the year ended December 31, 2021 we incurred a total of $1.7 million of non-cash accelerated stock-based compensation expense and related payroll taxes associated with our former CFO.</w:t>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u w:val="single" w:color="auto"/>
          <w:color w:val="auto"/>
        </w:rPr>
        <w:t>Depreciation and Amortization.</w:t>
      </w:r>
      <w:r>
        <w:rPr>
          <w:rFonts w:ascii="Times New Roman" w:cs="Times New Roman" w:eastAsia="Times New Roman" w:hAnsi="Times New Roman"/>
          <w:sz w:val="20"/>
          <w:szCs w:val="20"/>
          <w:color w:val="auto"/>
        </w:rPr>
        <w:t xml:space="preserve"> Expenses related to depreciation and amortization increased by $7.6 million or 4.4% to $178.9 million for the year ended December 31, 2022 from $171.3 million for the year ended December 31, 2021. The increase in depreciation and amortization expense was primarily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 Pushdown Accounting, to our audited consolidated financial statements included elsewhere in this Annual Report on Form 10-K for details). Assets which may have been fully depreciated or amortized prior to the application of pushdown accounting are still being depreciated or amortized in these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Technology and Communications.</w:t>
      </w:r>
      <w:r>
        <w:rPr>
          <w:rFonts w:ascii="Times New Roman" w:cs="Times New Roman" w:eastAsia="Times New Roman" w:hAnsi="Times New Roman"/>
          <w:sz w:val="20"/>
          <w:szCs w:val="20"/>
          <w:color w:val="auto"/>
        </w:rPr>
        <w:t xml:space="preserve"> Expenses related to technology and communications increased by $9.7 million or 17.2% to</w:t>
      </w:r>
    </w:p>
    <w:p>
      <w:pPr>
        <w:spacing w:after="0" w:line="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$65.9 million for the year ended December 31, 2022 from $56.2 million for the year ended December 31, 2021. The increase was primarily due to increased investment in our data strategy and infrastructure and increased data and clearance fees driven primarily by higher trading volumes period over period.</w:t>
      </w:r>
    </w:p>
    <w:p>
      <w:pPr>
        <w:spacing w:after="0" w:line="16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u w:val="single" w:color="auto"/>
          <w:color w:val="auto"/>
        </w:rPr>
        <w:t>General and Administrative.</w:t>
      </w:r>
      <w:r>
        <w:rPr>
          <w:rFonts w:ascii="Times New Roman" w:cs="Times New Roman" w:eastAsia="Times New Roman" w:hAnsi="Times New Roman"/>
          <w:sz w:val="20"/>
          <w:szCs w:val="20"/>
          <w:color w:val="auto"/>
        </w:rPr>
        <w:t xml:space="preserve"> Expenses related to general and administrative costs increased by $14.4 million or 44.8% to $46.6 million for the year ended December 31, 2022 from $32.2 million for the year ended December 31, 2021. The increase was primarily due to higher travel and entertainment expenses, as the COVID-19 pandemic contributed to a reduction in expenses during 2021. Also contributing to the increase were realized and unrealized foreign currency gains, which decreased by $2.4 million to $2.6 million for the year ended December 31, 2022 from $5.0 million for the year ended December 31, 2021. The change was primarily driven by the change in fair value of our foreign currency forward contracts used in connection with our foreign currency risk management program, partially offset by a decrease in foreign currency re-measurement losses on transactions in nonfunctional currencies.</w:t>
      </w:r>
    </w:p>
    <w:p>
      <w:pPr>
        <w:sectPr>
          <w:pgSz w:w="12060" w:h="15660" w:orient="portrait"/>
          <w:cols w:equalWidth="0" w:num="1">
            <w:col w:w="10440"/>
          </w:cols>
          <w:pgMar w:left="820" w:top="748" w:right="800" w:bottom="0" w:gutter="0" w:footer="0" w:header="0"/>
        </w:sect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75</w:t>
      </w:r>
    </w:p>
    <w:p>
      <w:pPr>
        <w:sectPr>
          <w:pgSz w:w="12060" w:h="15660" w:orient="portrait"/>
          <w:cols w:equalWidth="0" w:num="1">
            <w:col w:w="10440"/>
          </w:cols>
          <w:pgMar w:left="820" w:top="748" w:right="800" w:bottom="0" w:gutter="0" w:footer="0" w:header="0"/>
          <w:type w:val="continuous"/>
        </w:sectPr>
      </w:pPr>
    </w:p>
    <w:bookmarkStart w:id="87" w:name="page88"/>
    <w:bookmarkEnd w:id="87"/>
    <w:p>
      <w:pPr>
        <w:ind w:right="100"/>
        <w:spacing w:after="0" w:line="260" w:lineRule="auto"/>
        <w:rPr>
          <w:sz w:val="20"/>
          <w:szCs w:val="20"/>
          <w:color w:val="auto"/>
        </w:rPr>
      </w:pPr>
      <w:r>
        <w:rPr>
          <w:rFonts w:ascii="Times New Roman" w:cs="Times New Roman" w:eastAsia="Times New Roman" w:hAnsi="Times New Roman"/>
          <w:sz w:val="20"/>
          <w:szCs w:val="20"/>
          <w:u w:val="single" w:color="auto"/>
          <w:color w:val="auto"/>
        </w:rPr>
        <w:t>Professional Fees.</w:t>
      </w:r>
      <w:r>
        <w:rPr>
          <w:rFonts w:ascii="Times New Roman" w:cs="Times New Roman" w:eastAsia="Times New Roman" w:hAnsi="Times New Roman"/>
          <w:sz w:val="20"/>
          <w:szCs w:val="20"/>
          <w:color w:val="auto"/>
        </w:rPr>
        <w:t xml:space="preserve"> Expenses related to professional fees increased by $1.6 million or 4.4% to $37.8 million for the year ended December 31, 2022 from $36.2 million for the year ended December 31, 2021. The increase was primarily the result of increased legal fees during 2022, partially offset by acquisition transaction costs related to the NFI Acquisition incurred during the year ended December 31, 2021.</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u w:val="single" w:color="auto"/>
          <w:color w:val="auto"/>
        </w:rPr>
        <w:t>Occupancy.</w:t>
      </w:r>
      <w:r>
        <w:rPr>
          <w:rFonts w:ascii="Times New Roman" w:cs="Times New Roman" w:eastAsia="Times New Roman" w:hAnsi="Times New Roman"/>
          <w:sz w:val="20"/>
          <w:szCs w:val="20"/>
          <w:color w:val="auto"/>
        </w:rPr>
        <w:t xml:space="preserve"> Expenses related to occupancy costs remained relatively flat at $14.7 million for the year ended December 31, 2022 as compared to $14.5 million for the year ended December 31,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tax receivable agreement liability adjustment increased by $0.9 million to $13.7 million for the year ended December 31, 2022 from $12.7 million for the year ended December 31, 2021,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 (Expense)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interest income increased by $13.5 million to $11.9 million of net interest income for the year ended December 31, 2022 from $1.6 million of net interest expense for the year ended December 31, 2021, primarily due to an increase in interest income earned as a result of an increase in our average invested cash balance and an increase in interest rates period over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(Loss) From Investments</w:t>
      </w:r>
    </w:p>
    <w:p>
      <w:pPr>
        <w:spacing w:after="0" w:line="21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auto"/>
        </w:rPr>
        <w:t>Our net loss from investments increased to $1.0 million for the year ended December 31, 2022 due to a write-off of an investment that was determined to be uncollectible.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Income tax expense decreased by $19.4 million to $77.5 million for the year ended December 31, 2022 from $96.9 million for the year ended December 31, 2021. The provision for income taxes includes U.S. federal, state, local, and foreign taxes. The effective tax rate for the year ended December 31, 2022 was approximately 17.7%, compared with 26.2% for the year ended December 31, 2021. The effective tax rate for the years ended December 31, 2022 and 2021 differed from the U.S. federal statutory rate of</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0"/>
          <w:szCs w:val="20"/>
          <w:color w:val="auto"/>
        </w:rPr>
        <w:t>21.0% primarily due to the state and local taxes including the tax impact of state apportionment rates changes on total tax expense as a result of the remeasurement of the Company’s net tax deferred asset, the effect of non-controlling interests and the tax impact of the exercise of equity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While inflation may impact our revenues and operating expenses, we believe the effects of inflation, if any, on our results of operations and financial condition have not been significant during the years ended December 31, 2022 and 2021. However, there can be no assurance that our results of operations and financial condition will not be materially impacted by inflation in the future. See “— Trends and Other Factors Impacting Our Performance — Economic Environment”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1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20"/>
          <w:szCs w:val="20"/>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Historically, we have generated significant cash flows from operations and have funded our business operations through cash on hand and cash flows from operations.</w:t>
      </w:r>
    </w:p>
    <w:p>
      <w:pPr>
        <w:spacing w:after="0" w:line="14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20"/>
          <w:szCs w:val="20"/>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060" w:h="15660" w:orient="portrait"/>
          <w:cols w:equalWidth="0" w:num="1">
            <w:col w:w="10420"/>
          </w:cols>
          <w:pgMar w:left="820" w:top="748" w:right="820" w:bottom="0" w:gutter="0" w:footer="0" w:header="0"/>
          <w:type w:val="continuous"/>
        </w:sectPr>
      </w:pPr>
    </w:p>
    <w:bookmarkStart w:id="88" w:name="page89"/>
    <w:bookmarkEnd w:id="88"/>
    <w:p>
      <w:pPr>
        <w:ind w:right="380"/>
        <w:spacing w:after="0" w:line="260" w:lineRule="auto"/>
        <w:rPr>
          <w:sz w:val="20"/>
          <w:szCs w:val="20"/>
          <w:color w:val="auto"/>
        </w:rPr>
      </w:pPr>
      <w:r>
        <w:rPr>
          <w:rFonts w:ascii="Times New Roman" w:cs="Times New Roman" w:eastAsia="Times New Roman" w:hAnsi="Times New Roman"/>
          <w:sz w:val="20"/>
          <w:szCs w:val="20"/>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 of December 31, 2022 and 2021, we had cash and cash equivalents of approximately $1.3 billion and $972.0 million, respectively. All cash and cash equivalents were held in accounts with financial institutions or money market funds such that the funds are immediately available or in fixed term deposits with a maximum maturity of three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Influencing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$0.09 per share. As discussed below, our ability to pay these quarterly cash dividends on our Class A common stock and Class B common stock will depend on distributions to us from TWM LLC.</w:t>
      </w:r>
    </w:p>
    <w:p>
      <w:pPr>
        <w:spacing w:after="0" w:line="1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Dividends</w:t>
      </w:r>
    </w:p>
    <w:p>
      <w:pPr>
        <w:spacing w:after="0" w:line="21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color w:val="auto"/>
        </w:rPr>
        <w:t>On February 2, 2023, the board of directors of Tradeweb Markets Inc. declared a cash dividend of $0.09 per share of Class A common stock and Class B common stock for the first quarter of 2023. This dividend will be payable on March 15, 2023 to stockholders of record as of March 1, 2023. The February 2023 dividend declaration of $0.09 represents a 12.5% per share increase from our historical quarterly dividend of $0.08 per share. During 2022, Tradeweb Markets Inc. paid quarterly cash dividends of $0.08 per share to holders of Class A common stock and Class B common stock, in an aggregate amount totaling $66.0 million.</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060" w:h="15660" w:orient="portrait"/>
          <w:cols w:equalWidth="0" w:num="1">
            <w:col w:w="10420"/>
          </w:cols>
          <w:pgMar w:left="820" w:top="748" w:right="82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auto"/>
        </w:rPr>
        <w:t>Cash Distributions</w:t>
      </w:r>
    </w:p>
    <w:p>
      <w:pPr>
        <w:spacing w:after="0" w:line="21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On February 2, 2023, Tradeweb Markets Inc., as the sole manager, approved a distribution by TWM LLC to its equityholders, including Tradeweb Markets Inc., in an aggregate amount of $20.3 million, as adjusted by required state and local tax withholdings that will be determined prior to the record date of March 1, 2023, payable on March 13,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2022, TWM LLC made quarterly cash distributions to its equityholders in an aggregate amount totaling $88.4 million,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distributions to Tradeweb Markets Inc. totaling $77.5 million and distributions to non-controlling interests totaling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 million. The proceeds of the cash distributions were used by Tradeweb Markets Inc. to fund dividend payments, taxes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Share Repurchase Program</w:t>
      </w:r>
    </w:p>
    <w:p>
      <w:pPr>
        <w:spacing w:after="0" w:line="2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On February 4, 2021, we announced that our board of directors authorized a share repurchase program (the “2021 Share Repurchase Program”), primarily to offset annual dilution from stock-based compensation plans. The 2021 Share Repurchase Program authorized the purchase of up to $150.0 million of our Class A common stock at the Company’s discretion through the end of fiscal year 2023. The 2021 Share Repurchase Program was effected through regular open-market purchases (which included repurchase plans designed to comply with Rule 10b5-1). The amounts and timing of the repurchases were subject to general market conditions and the prevailing price and trading volumes of our Class A common stock. The 2021 Share Repurchase Program did not require the Company to acquire a specific number of shares and was able to be suspended, amended or discontinued at any time. During the year ended December 31, 2022, the Company acquired a total of 959,869 shares of Class A common stock, at an average price of $77.43, for purchases totaling $74.3 million pursuant to the 2021 Share Repurchase Program. As of December 31, 2022, no shares remained available for repurchase pursuant to the 2021 Share Repurchase Program.</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On December 5, 2022, we announced that our board of directors authorized a new share repurchase program (the “2022 Share Repurchase Program”), to continue to offset annual dilution from stock-based compensation plans, as well as to opportunistically repurchase our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year ended December 31, 2022, the Company acquired a total of 387,198 shares of Class A common stock, at an average price of $64.57, for purchases totaling $25.0 million pursuant to the 2022 Share Repurchase Program. As of December 31, 2022, a total of $275.0 million remained available for repurchase pursuant to the 2022 Share Repurchase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Share Repurchases</w:t>
      </w:r>
    </w:p>
    <w:p>
      <w:pPr>
        <w:spacing w:after="0" w:line="21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In addition to the share repurchase programs discussed above, we may also withhold shares to cover the payroll tax withholding obligations upon the exercise of stock options and vesting of PRSUs and RSUs.</w:t>
      </w:r>
    </w:p>
    <w:p>
      <w:pPr>
        <w:spacing w:after="0" w:line="14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2022 and 2021, the Company withheld 1,074,467 and 983,072 shares, respectively, of common stock from employee stock option, PRSU and RSU awards, at an average price per share of $94.64 and $72.25, respectively, and an aggregate value of $101.7 million and $71.0 million, respectively, based on the price of the Class A common stock on the date the relevant withholding occurred.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2022, total amounts due to the Continuing LLC Owners under the Tax Receivable Agreement were $425.7 million, substantially all due to be paid over 15 years following the purchase of LLC Interests from Continuing LLC Owners or redemption or exchanges by Continuing LLC Owners of LLC Interests.</w:t>
      </w:r>
    </w:p>
    <w:p>
      <w:pPr>
        <w:sectPr>
          <w:pgSz w:w="12060" w:h="15660" w:orient="portrait"/>
          <w:cols w:equalWidth="0" w:num="1">
            <w:col w:w="10420"/>
          </w:cols>
          <w:pgMar w:left="820" w:top="748" w:right="820" w:bottom="0" w:gutter="0" w:footer="0" w:header="0"/>
        </w:sect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060" w:h="15660" w:orient="portrait"/>
          <w:cols w:equalWidth="0" w:num="1">
            <w:col w:w="10420"/>
          </w:cols>
          <w:pgMar w:left="820" w:top="748" w:right="820" w:bottom="0" w:gutter="0" w:footer="0" w:header="0"/>
          <w:type w:val="continuous"/>
        </w:sectPr>
      </w:pPr>
    </w:p>
    <w:bookmarkStart w:id="90" w:name="page91"/>
    <w:bookmarkEnd w:id="90"/>
    <w:p>
      <w:pPr>
        <w:ind w:left="10" w:right="80"/>
        <w:spacing w:after="0" w:line="260" w:lineRule="auto"/>
        <w:rPr>
          <w:sz w:val="20"/>
          <w:szCs w:val="20"/>
          <w:color w:val="auto"/>
        </w:rPr>
      </w:pPr>
      <w:r>
        <w:rPr>
          <w:rFonts w:ascii="Times New Roman" w:cs="Times New Roman" w:eastAsia="Times New Roman" w:hAnsi="Times New Roman"/>
          <w:sz w:val="20"/>
          <w:szCs w:val="20"/>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As of December 31, 2022, we had the following obligations expected to be paid pursuant to the Tax Receivable Agreement:</w:t>
      </w:r>
    </w:p>
    <w:p>
      <w:pPr>
        <w:spacing w:after="0" w:line="2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More than 5</w:t>
            </w:r>
          </w:p>
        </w:tc>
      </w:tr>
      <w:tr>
        <w:trPr>
          <w:trHeight w:val="217"/>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1 to 3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3 to 5 years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274"/>
        </w:trPr>
        <w:tc>
          <w:tcPr>
            <w:tcW w:w="3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425,724</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299,916</w:t>
            </w:r>
          </w:p>
        </w:tc>
      </w:tr>
      <w:tr>
        <w:trPr>
          <w:trHeight w:val="20"/>
        </w:trPr>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20"/>
          <w:szCs w:val="20"/>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2022 and 2021, we had no outstanding indebtedness.</w:t>
      </w:r>
    </w:p>
    <w:p>
      <w:pPr>
        <w:spacing w:after="0" w:line="210" w:lineRule="exact"/>
        <w:rPr>
          <w:sz w:val="20"/>
          <w:szCs w:val="20"/>
          <w:color w:val="auto"/>
        </w:rPr>
      </w:pPr>
    </w:p>
    <w:p>
      <w:pPr>
        <w:jc w:val="both"/>
        <w:ind w:left="10" w:right="60"/>
        <w:spacing w:after="0" w:line="260" w:lineRule="auto"/>
        <w:rPr>
          <w:sz w:val="20"/>
          <w:szCs w:val="20"/>
          <w:color w:val="auto"/>
        </w:rPr>
      </w:pPr>
      <w:r>
        <w:rPr>
          <w:rFonts w:ascii="Times New Roman" w:cs="Times New Roman" w:eastAsia="Times New Roman" w:hAnsi="Times New Roman"/>
          <w:sz w:val="20"/>
          <w:szCs w:val="20"/>
          <w:color w:val="auto"/>
        </w:rPr>
        <w:t>On April 8, 2019, TWM LLC entered into the Revolving Credit Facility with a syndicate of banks. The Revolving Credit Facility was subsequently amended on November 7, 2019. The Revolving Credit Facility provides borrowing capacity to be used to fund our ongoing working capital needs, letters of credit and for general corporate purposes, including potential future acquisitions and expansions.</w:t>
      </w:r>
    </w:p>
    <w:p>
      <w:pPr>
        <w:spacing w:after="0" w:line="163"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64" w:lineRule="exact"/>
        <w:rPr>
          <w:sz w:val="20"/>
          <w:szCs w:val="20"/>
          <w:color w:val="auto"/>
        </w:rPr>
      </w:pPr>
    </w:p>
    <w:p>
      <w:pPr>
        <w:ind w:left="10" w:right="940"/>
        <w:spacing w:after="0" w:line="281" w:lineRule="auto"/>
        <w:rPr>
          <w:sz w:val="20"/>
          <w:szCs w:val="20"/>
          <w:color w:val="auto"/>
        </w:rPr>
      </w:pPr>
      <w:r>
        <w:rPr>
          <w:rFonts w:ascii="Times New Roman" w:cs="Times New Roman" w:eastAsia="Times New Roman" w:hAnsi="Times New Roman"/>
          <w:sz w:val="20"/>
          <w:szCs w:val="20"/>
          <w:color w:val="auto"/>
        </w:rPr>
        <w:t>As of December 31, 2022, there were $0.5 million in letters of credit issued under the Revolving Credit Facility and no borrowings outstanding. As of December 31, 2022, we had availability of $499.5 million.</w:t>
      </w:r>
    </w:p>
    <w:p>
      <w:pPr>
        <w:spacing w:after="0" w:line="141" w:lineRule="exact"/>
        <w:rPr>
          <w:sz w:val="20"/>
          <w:szCs w:val="20"/>
          <w:color w:val="auto"/>
        </w:rPr>
      </w:pPr>
    </w:p>
    <w:p>
      <w:pPr>
        <w:ind w:left="10" w:right="160"/>
        <w:spacing w:after="0" w:line="271" w:lineRule="auto"/>
        <w:rPr>
          <w:sz w:val="20"/>
          <w:szCs w:val="20"/>
          <w:color w:val="auto"/>
        </w:rPr>
      </w:pPr>
      <w:r>
        <w:rPr>
          <w:rFonts w:ascii="Times New Roman" w:cs="Times New Roman" w:eastAsia="Times New Roman" w:hAnsi="Times New Roman"/>
          <w:sz w:val="19"/>
          <w:szCs w:val="19"/>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w:t>
      </w:r>
    </w:p>
    <w:p>
      <w:pPr>
        <w:ind w:left="10" w:right="220" w:hanging="10"/>
        <w:spacing w:after="0" w:line="260" w:lineRule="auto"/>
        <w:tabs>
          <w:tab w:leader="none" w:pos="2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LIBOR plus 1.75%, subject to a 0.00% floor. The credit agreement also requires that we pay a commitment fee of 0.25% for available but unborrowed amounts. We are also required to pay customary letter of credit fees and agency fees.</w:t>
      </w:r>
    </w:p>
    <w:p>
      <w:pPr>
        <w:spacing w:after="0" w:line="162" w:lineRule="exact"/>
        <w:rPr>
          <w:sz w:val="20"/>
          <w:szCs w:val="20"/>
          <w:color w:val="auto"/>
        </w:rPr>
      </w:pPr>
    </w:p>
    <w:p>
      <w:pPr>
        <w:ind w:left="10" w:right="840"/>
        <w:spacing w:after="0" w:line="281" w:lineRule="auto"/>
        <w:rPr>
          <w:sz w:val="20"/>
          <w:szCs w:val="20"/>
          <w:color w:val="auto"/>
        </w:rPr>
      </w:pPr>
      <w:r>
        <w:rPr>
          <w:rFonts w:ascii="Times New Roman" w:cs="Times New Roman" w:eastAsia="Times New Roman" w:hAnsi="Times New Roman"/>
          <w:sz w:val="20"/>
          <w:szCs w:val="20"/>
          <w:color w:val="auto"/>
        </w:rPr>
        <w:t>We have the option to voluntarily repay outstanding loans at any time without premium or penalty other than customary “breakage” costs with respect to LIBOR loans.</w:t>
      </w:r>
    </w:p>
    <w:p>
      <w:pPr>
        <w:spacing w:after="0" w:line="141"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There will be no scheduled amortization under the Revolving Credit Facility. The principal amount outstanding will be due and payable in full at maturity.</w:t>
      </w:r>
    </w:p>
    <w:p>
      <w:pPr>
        <w:spacing w:after="0" w:line="141" w:lineRule="exact"/>
        <w:rPr>
          <w:sz w:val="20"/>
          <w:szCs w:val="20"/>
          <w:color w:val="auto"/>
        </w:rPr>
      </w:pPr>
    </w:p>
    <w:p>
      <w:pPr>
        <w:jc w:val="both"/>
        <w:ind w:left="10" w:right="320"/>
        <w:spacing w:after="0" w:line="286" w:lineRule="auto"/>
        <w:rPr>
          <w:sz w:val="20"/>
          <w:szCs w:val="20"/>
          <w:color w:val="auto"/>
        </w:rPr>
      </w:pPr>
      <w:r>
        <w:rPr>
          <w:rFonts w:ascii="Times New Roman" w:cs="Times New Roman" w:eastAsia="Times New Roman" w:hAnsi="Times New Roman"/>
          <w:sz w:val="19"/>
          <w:szCs w:val="19"/>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39" w:lineRule="exact"/>
        <w:rPr>
          <w:sz w:val="20"/>
          <w:szCs w:val="20"/>
          <w:color w:val="auto"/>
        </w:rPr>
      </w:pPr>
    </w:p>
    <w:p>
      <w:pPr>
        <w:ind w:left="10" w:right="420"/>
        <w:spacing w:after="0" w:line="281" w:lineRule="auto"/>
        <w:rPr>
          <w:sz w:val="20"/>
          <w:szCs w:val="20"/>
          <w:color w:val="auto"/>
        </w:rPr>
      </w:pPr>
      <w:r>
        <w:rPr>
          <w:rFonts w:ascii="Times New Roman" w:cs="Times New Roman" w:eastAsia="Times New Roman" w:hAnsi="Times New Roman"/>
          <w:sz w:val="20"/>
          <w:szCs w:val="20"/>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41" w:lineRule="exact"/>
        <w:rPr>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 and guarantee indebtedness;</w:t>
      </w:r>
    </w:p>
    <w:p>
      <w:pPr>
        <w:spacing w:after="0" w:line="2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incur liens;</w:t>
      </w:r>
    </w:p>
    <w:p>
      <w:pPr>
        <w:spacing w:after="0" w:line="2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distributions or repurchase capital stock;</w:t>
      </w:r>
    </w:p>
    <w:p>
      <w:pPr>
        <w:spacing w:after="0" w:line="2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 loans and advances; and</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79</w:t>
      </w:r>
    </w:p>
    <w:p>
      <w:pPr>
        <w:sectPr>
          <w:pgSz w:w="12060" w:h="15660" w:orient="portrait"/>
          <w:cols w:equalWidth="0" w:num="1">
            <w:col w:w="10450"/>
          </w:cols>
          <w:pgMar w:left="810" w:top="748" w:right="800" w:bottom="0" w:gutter="0" w:footer="0" w:header="0"/>
          <w:type w:val="continuous"/>
        </w:sectPr>
      </w:pPr>
    </w:p>
    <w:bookmarkStart w:id="91" w:name="page92"/>
    <w:bookmarkEnd w:id="91"/>
    <w:p>
      <w:pPr>
        <w:ind w:left="720" w:hanging="37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certain transactions with affiliates.</w:t>
      </w:r>
    </w:p>
    <w:p>
      <w:pPr>
        <w:spacing w:after="0" w:line="2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63"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20"/>
          <w:szCs w:val="20"/>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63" w:lineRule="exact"/>
        <w:rPr>
          <w:sz w:val="20"/>
          <w:szCs w:val="20"/>
          <w:color w:val="auto"/>
        </w:rPr>
      </w:pPr>
    </w:p>
    <w:p>
      <w:pPr>
        <w:ind w:right="1240"/>
        <w:spacing w:after="0" w:line="459" w:lineRule="auto"/>
        <w:rPr>
          <w:sz w:val="20"/>
          <w:szCs w:val="20"/>
          <w:color w:val="auto"/>
        </w:rPr>
      </w:pPr>
      <w:r>
        <w:rPr>
          <w:rFonts w:ascii="Times New Roman" w:cs="Times New Roman" w:eastAsia="Times New Roman" w:hAnsi="Times New Roman"/>
          <w:sz w:val="20"/>
          <w:szCs w:val="20"/>
          <w:color w:val="auto"/>
        </w:rPr>
        <w:t xml:space="preserve">As of December 31, 2022, we were in compliance with all the covenants set forth in the Revolving Credit Facility. </w:t>
      </w:r>
      <w:r>
        <w:rPr>
          <w:rFonts w:ascii="Times New Roman" w:cs="Times New Roman" w:eastAsia="Times New Roman" w:hAnsi="Times New Roman"/>
          <w:sz w:val="20"/>
          <w:szCs w:val="20"/>
          <w:b w:val="1"/>
          <w:bCs w:val="1"/>
          <w:i w:val="1"/>
          <w:iCs w:val="1"/>
          <w:color w:val="auto"/>
        </w:rPr>
        <w:t>Operating Lease Obligations</w:t>
      </w:r>
    </w:p>
    <w:p>
      <w:pPr>
        <w:ind w:right="120"/>
        <w:spacing w:after="0" w:line="256" w:lineRule="auto"/>
        <w:rPr>
          <w:sz w:val="20"/>
          <w:szCs w:val="20"/>
          <w:color w:val="auto"/>
        </w:rPr>
      </w:pPr>
      <w:r>
        <w:rPr>
          <w:rFonts w:ascii="Times New Roman" w:cs="Times New Roman" w:eastAsia="Times New Roman" w:hAnsi="Times New Roman"/>
          <w:sz w:val="20"/>
          <w:szCs w:val="20"/>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March 2022, the lease for our New York headquarters was extended for an amended term through December 2023, as we continue to evaluate our office space needs for the future. As of December 31, 2022, our operating lease liabilities totaled $27.9 million, with payments pursuant to these obligations due within the next 12 months and thereafter totaling $11.9 million and $17.5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business also requires continued investment in our technology for product innovation, proprietary technology architecture, operational reliability and cybersecurity. We expect total capital expenditures and software development costs for fiscal 2023 to be between $56 million and $62 million, compared to expenditures of $60.1 million in fiscal year 2022 and $51.3 million in fiscal year 2021, with the midpoint of our 2023 capital expenditure guidance at slightly lower than fiscal year 2022 due to the acceleration of certain infrastructure enhancements during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Cash and Liquidity Requirements</w:t>
      </w:r>
    </w:p>
    <w:p>
      <w:pPr>
        <w:spacing w:after="0" w:line="2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FCA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2022 and 2021, each of our regulated subsidiaries had maintained sufficient net capital or financial resources to at least satisfy their minimum requirements, which in aggregate were $69.1 million and $66.7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060" w:h="15660" w:orient="portrait"/>
          <w:cols w:equalWidth="0" w:num="1">
            <w:col w:w="10380"/>
          </w:cols>
          <w:pgMar w:left="820" w:top="748" w:right="8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payable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working capital as of December 31, 2022 and 2021 was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4"/>
        </w:trPr>
        <w:tc>
          <w:tcPr>
            <w:tcW w:w="7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1,257,229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972,048</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from brokers and dealers and clearing organizations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20,523</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129,937</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from affiliates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3,313</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1,436,449</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1,126,821</w:t>
            </w:r>
          </w:p>
        </w:tc>
      </w:tr>
      <w:tr>
        <w:trPr>
          <w:trHeight w:val="26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to brokers and dealers and clearing organizations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154,824</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24,930</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to affiliates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4,860</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6"/>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38,214</w:t>
            </w:r>
          </w:p>
        </w:tc>
      </w:tr>
      <w:tr>
        <w:trPr>
          <w:trHeight w:val="285"/>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7,534</w:t>
            </w:r>
          </w:p>
        </w:tc>
      </w:tr>
      <w:tr>
        <w:trPr>
          <w:trHeight w:val="288"/>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9,078</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255,362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239,440</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working capital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1,181,087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887,381</w:t>
            </w:r>
          </w:p>
        </w:tc>
      </w:tr>
      <w:tr>
        <w:trPr>
          <w:trHeight w:val="20"/>
        </w:trPr>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654800" cy="3114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extLst>
                    </a:blip>
                    <a:srcRect/>
                    <a:stretch>
                      <a:fillRect/>
                    </a:stretch>
                  </pic:blipFill>
                  <pic:spPr bwMode="auto">
                    <a:xfrm>
                      <a:off x="0" y="0"/>
                      <a:ext cx="6654800" cy="311467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Assets</w:t>
      </w:r>
    </w:p>
    <w:p>
      <w:pPr>
        <w:spacing w:after="0" w:line="21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Current assets increased to $1.4 billion as of December 31, 2022 from $1.1 billion as of December 31, 2021 primarily due to an increase in cash and cash equivalents (see “—Cash Flows”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Liabilities</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Current liabilities increased to $255.4 million as of December 31, 2022 from $239.4 million as of December 31, 2021 primarily due an increase in accounts payable, accrued expenses and other liabilities, primarily as a result of an increase in current income tax expense.</w:t>
      </w:r>
    </w:p>
    <w:p>
      <w:pPr>
        <w:spacing w:after="0" w:line="152"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Other Cash and Liquidity Requirements</w:t>
      </w:r>
      <w:r>
        <w:rPr>
          <w:rFonts w:ascii="Times New Roman" w:cs="Times New Roman" w:eastAsia="Times New Roman" w:hAnsi="Times New Roman"/>
          <w:sz w:val="20"/>
          <w:szCs w:val="20"/>
          <w:color w:val="auto"/>
        </w:rPr>
        <w:t>” above for a discussion on how capital requirements can impact our working capital.</w:t>
      </w:r>
    </w:p>
    <w:p>
      <w:pPr>
        <w:sectPr>
          <w:pgSz w:w="12060" w:h="15660" w:orient="portrait"/>
          <w:cols w:equalWidth="0" w:num="1">
            <w:col w:w="10440"/>
          </w:cols>
          <w:pgMar w:left="820" w:top="73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060" w:h="15660" w:orient="portrait"/>
          <w:cols w:equalWidth="0" w:num="1">
            <w:col w:w="10440"/>
          </w:cols>
          <w:pgMar w:left="820" w:top="739" w:right="8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cash flows for the years ended December 31, 2022, 2021 and 2020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632,822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578,021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443,234</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(259,110)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(62,536)</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(276,703)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(52,693)</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cash equivalents and restricted cash</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2,564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285,181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180,768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330,569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206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190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1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2022 was $632.8 million, an increase of $54.8 million as compared to the year ended December 31, 2021, primarily driven by an increase in net income during 2022, partially offset by changes in working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Investing activities consist primarily of software development costs, investments in technology hardware, purchases of equipment and other tangible assets, business acquisitions and investments.</w:t>
      </w:r>
    </w:p>
    <w:p>
      <w:pPr>
        <w:spacing w:after="0" w:line="14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Net cash used in investing activities was $60.1 million for the year ended December 31, 2022, which consisted of $36.9 million of capitalized software development costs and $23.2 million of purchases of furniture, equipment, purchased software and leasehold improvements. Net cash used in investing activities was $259.1 million for the year ended December 31, 2021, which consisted of $207.8 million in total net cash paid related to the NFI Acquisition (net of cash acquired), $34.5 million of capitalized software development costs and $16.9 million of purchases of furniture, equipment, purchased software and leasehold improvements.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used in financing activities for the year ended December 31, 2022 was $276.7 million, and was primarily driven by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$99.3 million in share repurchases pursuant to our share repurchase programs, $91.5 million in payroll tax payments for options,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PRSUs and RSUs, net of proceeds from stock-based compensation option exercises and $66.0 million in cash dividends to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A and Class B common stockholders. Net cash used in financing activities for the year ended December 31, 2021 was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$136.1 million, and was primarily driven by $75.7 million in share repurchases pursuant to our 2021 Share Repurchase Program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$64.6 million in cash dividends to our Class A and Class B common stockholders, partially offset by $22.1 million in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from stock-based compensation option exercises, net of related stock-based compensation payroll tax payments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options, PRSUs and RSUs.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5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2060" w:h="15660" w:orient="portrait"/>
          <w:cols w:equalWidth="0" w:num="1">
            <w:col w:w="10440"/>
          </w:cols>
          <w:pgMar w:left="820" w:top="739" w:right="80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82</w:t>
      </w:r>
    </w:p>
    <w:p>
      <w:pPr>
        <w:sectPr>
          <w:pgSz w:w="12060" w:h="15660" w:orient="portrait"/>
          <w:cols w:equalWidth="0" w:num="1">
            <w:col w:w="10440"/>
          </w:cols>
          <w:pgMar w:left="820" w:top="739" w:right="800" w:bottom="0" w:gutter="0" w:footer="0" w:header="0"/>
          <w:type w:val="continuous"/>
        </w:sectPr>
      </w:pPr>
    </w:p>
    <w:bookmarkStart w:id="94" w:name="page95"/>
    <w:bookmarkEnd w:id="94"/>
    <w:p>
      <w:pPr>
        <w:ind w:right="140"/>
        <w:spacing w:after="0" w:line="258" w:lineRule="auto"/>
        <w:rPr>
          <w:sz w:val="20"/>
          <w:szCs w:val="20"/>
          <w:color w:val="auto"/>
        </w:rPr>
      </w:pPr>
      <w:r>
        <w:rPr>
          <w:rFonts w:ascii="Times New Roman" w:cs="Times New Roman" w:eastAsia="Times New Roman" w:hAnsi="Times New Roman"/>
          <w:sz w:val="20"/>
          <w:szCs w:val="20"/>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6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our cash flow from operating activities to Free Cash Flow for the years ended December 31, 2022, 2021 and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632,822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578,021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443,234</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Capitalization of software development costs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(31,046)</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Purchases of furniture, equipment and leasehold improvements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(23,214)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(11,490)</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Free Cash Flow</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572,726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526,673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400,698</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206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-43815</wp:posOffset>
            </wp:positionV>
            <wp:extent cx="247332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spacing w:after="0" w:line="17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Adjusted EBIT margin, Adjusted Net Income and Adjusted Diluted EPS</w:t>
      </w:r>
    </w:p>
    <w:p>
      <w:pPr>
        <w:spacing w:after="0" w:line="13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and Adjusted EBIT margin</w:t>
      </w:r>
    </w:p>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income and loss from investments.</w:t>
      </w:r>
    </w:p>
    <w:p>
      <w:pPr>
        <w:spacing w:after="0" w:line="16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9"/>
          <w:szCs w:val="19"/>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income and loss from investments.</w:t>
      </w:r>
    </w:p>
    <w:p>
      <w:pPr>
        <w:spacing w:after="0" w:line="1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83</w:t>
      </w:r>
    </w:p>
    <w:p>
      <w:pPr>
        <w:sectPr>
          <w:pgSz w:w="12060" w:h="15660" w:orient="portrait"/>
          <w:cols w:equalWidth="0" w:num="1">
            <w:col w:w="10440"/>
          </w:cols>
          <w:pgMar w:left="820" w:top="748" w:right="800" w:bottom="0" w:gutter="0" w:footer="0" w:header="0"/>
          <w:type w:val="continuous"/>
        </w:sectPr>
      </w:pPr>
    </w:p>
    <w:bookmarkStart w:id="95" w:name="page96"/>
    <w:bookmarkEnd w:id="95"/>
    <w:p>
      <w:pPr>
        <w:ind w:right="20"/>
        <w:spacing w:after="0" w:line="251"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compensation expense associated with our former CFO and beginning on February 11, 2022 the incremental non-cash accelerated stock-based compensation expense associated with our retired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acquisitions and the related integration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Diluted EPS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income and loss from investments.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060" w:h="15660" w:orient="portrait"/>
          <w:cols w:equalWidth="0" w:num="1">
            <w:col w:w="10420"/>
          </w:cols>
          <w:pgMar w:left="820" w:top="748" w:right="820" w:bottom="0" w:gutter="0" w:footer="0" w:header="0"/>
          <w:type w:val="continuous"/>
        </w:sectPr>
      </w:pPr>
    </w:p>
    <w:bookmarkStart w:id="96" w:name="page97"/>
    <w:bookmarkEnd w:id="96"/>
    <w:p>
      <w:pPr>
        <w:ind w:right="40"/>
        <w:spacing w:after="0" w:line="252"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ectPr>
          <w:pgSz w:w="12060" w:h="15660" w:orient="portrait"/>
          <w:cols w:equalWidth="0" w:num="1">
            <w:col w:w="10340"/>
          </w:cols>
          <w:pgMar w:left="820" w:top="74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85</w:t>
      </w:r>
    </w:p>
    <w:p>
      <w:pPr>
        <w:sectPr>
          <w:pgSz w:w="12060" w:h="15660" w:orient="portrait"/>
          <w:cols w:equalWidth="0" w:num="1">
            <w:col w:w="10340"/>
          </w:cols>
          <w:pgMar w:left="820" w:top="748" w:right="900" w:bottom="0" w:gutter="0" w:footer="0" w:header="0"/>
          <w:type w:val="continuous"/>
        </w:sectPr>
      </w:pPr>
    </w:p>
    <w:bookmarkStart w:id="97" w:name="page98"/>
    <w:bookmarkEnd w:id="97"/>
    <w:p>
      <w:pPr>
        <w:ind w:left="10" w:right="6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net income and net income margin to Adjusted EBITDA, Adjusted EBITDA margin, Adjusted EBIT and Adjusted EBIT margin for the years ended December 31, 2022, 2021 and 2020:</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74"/>
        </w:trPr>
        <w:tc>
          <w:tcPr>
            <w:tcW w:w="6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359,613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273,108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218,390</w:t>
            </w:r>
          </w:p>
        </w:tc>
        <w:tc>
          <w:tcPr>
            <w:tcW w:w="0" w:type="dxa"/>
            <w:vAlign w:val="bottom"/>
          </w:tcPr>
          <w:p>
            <w:pPr>
              <w:spacing w:after="0"/>
              <w:rPr>
                <w:sz w:val="1"/>
                <w:szCs w:val="1"/>
                <w:color w:val="auto"/>
              </w:rPr>
            </w:pPr>
          </w:p>
        </w:tc>
      </w:tr>
      <w:tr>
        <w:trPr>
          <w:trHeight w:val="31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1,069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5,073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interest (income) expense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1,590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178,879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171,308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153,789</w:t>
            </w:r>
          </w:p>
        </w:tc>
        <w:tc>
          <w:tcPr>
            <w:tcW w:w="0" w:type="dxa"/>
            <w:vAlign w:val="bottom"/>
          </w:tcPr>
          <w:p>
            <w:pPr>
              <w:spacing w:after="0"/>
              <w:rPr>
                <w:sz w:val="1"/>
                <w:szCs w:val="1"/>
                <w:color w:val="auto"/>
              </w:rPr>
            </w:pPr>
          </w:p>
        </w:tc>
      </w:tr>
      <w:tr>
        <w:trPr>
          <w:trHeight w:val="31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20,409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16,509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13,025</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77,520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96,875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56,074</w:t>
            </w:r>
          </w:p>
        </w:tc>
        <w:tc>
          <w:tcPr>
            <w:tcW w:w="0" w:type="dxa"/>
            <w:vAlign w:val="bottom"/>
          </w:tcPr>
          <w:p>
            <w:pPr>
              <w:spacing w:after="0"/>
              <w:rPr>
                <w:sz w:val="1"/>
                <w:szCs w:val="1"/>
                <w:color w:val="auto"/>
              </w:rPr>
            </w:pPr>
          </w:p>
        </w:tc>
      </w:tr>
      <w:tr>
        <w:trPr>
          <w:trHeight w:val="291"/>
        </w:trPr>
        <w:tc>
          <w:tcPr>
            <w:tcW w:w="654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(4,702)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6,279</w:t>
            </w:r>
          </w:p>
        </w:tc>
        <w:tc>
          <w:tcPr>
            <w:tcW w:w="0" w:type="dxa"/>
            <w:vAlign w:val="bottom"/>
          </w:tcPr>
          <w:p>
            <w:pPr>
              <w:spacing w:after="0"/>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(12,745)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(11,425)</w:t>
            </w:r>
          </w:p>
        </w:tc>
        <w:tc>
          <w:tcPr>
            <w:tcW w:w="0" w:type="dxa"/>
            <w:vAlign w:val="bottom"/>
          </w:tcPr>
          <w:p>
            <w:pPr>
              <w:spacing w:after="0"/>
              <w:rPr>
                <w:sz w:val="1"/>
                <w:szCs w:val="1"/>
                <w:color w:val="auto"/>
              </w:rPr>
            </w:pPr>
          </w:p>
        </w:tc>
      </w:tr>
      <w:tr>
        <w:trPr>
          <w:trHeight w:val="26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investments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1,000</w:t>
            </w:r>
          </w:p>
        </w:tc>
        <w:tc>
          <w:tcPr>
            <w:tcW w:w="1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617,339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547,016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436,448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Less: Depreciation and amortization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(178,879)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(171,308)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(153,789)</w:t>
            </w:r>
          </w:p>
        </w:tc>
        <w:tc>
          <w:tcPr>
            <w:tcW w:w="0" w:type="dxa"/>
            <w:vAlign w:val="bottom"/>
          </w:tcPr>
          <w:p>
            <w:pPr>
              <w:spacing w:after="0"/>
              <w:rPr>
                <w:sz w:val="1"/>
                <w:szCs w:val="1"/>
                <w:color w:val="auto"/>
              </w:rPr>
            </w:pPr>
          </w:p>
        </w:tc>
      </w:tr>
      <w:tr>
        <w:trPr>
          <w:trHeight w:val="282"/>
        </w:trPr>
        <w:tc>
          <w:tcPr>
            <w:tcW w:w="654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Add: D&amp;A related to acquisitions and the Refinitiv Transaction </w:t>
            </w:r>
            <w:r>
              <w:rPr>
                <w:rFonts w:ascii="Times New Roman" w:cs="Times New Roman" w:eastAsia="Times New Roman" w:hAnsi="Times New Roman"/>
                <w:sz w:val="26"/>
                <w:szCs w:val="26"/>
                <w:color w:val="auto"/>
                <w:vertAlign w:val="superscript"/>
              </w:rPr>
              <w:t>(5)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126,659</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124,580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110,187</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565,119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500,288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392,846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-2383790</wp:posOffset>
            </wp:positionV>
            <wp:extent cx="6654800" cy="2921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extLst>
                        <a:ext uri="{28A0092B-C50C-407E-A947-70E740481C1C}"/>
                      </a:extLst>
                    </a:blip>
                    <a:srcRect/>
                    <a:stretch>
                      <a:fillRect/>
                    </a:stretch>
                  </pic:blipFill>
                  <pic:spPr bwMode="auto">
                    <a:xfrm>
                      <a:off x="0" y="0"/>
                      <a:ext cx="6654800" cy="2921000"/>
                    </a:xfrm>
                    <a:prstGeom prst="rect">
                      <a:avLst/>
                    </a:prstGeom>
                    <a:noFill/>
                  </pic:spPr>
                </pic:pic>
              </a:graphicData>
            </a:graphic>
          </wp:anchor>
        </w:drawing>
      </w:r>
    </w:p>
    <w:tbl>
      <w:tblPr>
        <w:tblLayout w:type="fixed"/>
        <w:tblInd w:w="50" w:type="dxa"/>
        <w:tblCellMar>
          <w:top w:w="0" w:type="dxa"/>
          <w:left w:w="0" w:type="dxa"/>
          <w:bottom w:w="0" w:type="dxa"/>
          <w:right w:w="0" w:type="dxa"/>
        </w:tblCellMar>
      </w:tblP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Net income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30.3 %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25.4 %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24.5 %</w:t>
            </w:r>
          </w:p>
        </w:tc>
      </w:tr>
      <w:tr>
        <w:trPr>
          <w:trHeight w:val="26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51.9 %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50.8 %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48.9 %</w:t>
            </w:r>
          </w:p>
        </w:tc>
      </w:tr>
      <w:tr>
        <w:trPr>
          <w:trHeight w:val="285"/>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47.5 %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46.5 %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44.0 %</w:t>
            </w:r>
          </w:p>
        </w:tc>
      </w:tr>
    </w:tbl>
    <w:p>
      <w:pPr>
        <w:spacing w:after="0" w:line="63" w:lineRule="exact"/>
        <w:rPr>
          <w:sz w:val="20"/>
          <w:szCs w:val="20"/>
          <w:color w:val="auto"/>
        </w:rPr>
      </w:pPr>
    </w:p>
    <w:p>
      <w:pPr>
        <w:ind w:left="370" w:right="60" w:hanging="370"/>
        <w:spacing w:after="0" w:line="257"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totaling $5.4 million, $14.8 million and $13.0 million during the years ended December 31, 2022, 2021 and 2020, respectively.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spacing w:after="0" w:line="1" w:lineRule="exact"/>
        <w:rPr>
          <w:rFonts w:ascii="Times New Roman" w:cs="Times New Roman" w:eastAsia="Times New Roman" w:hAnsi="Times New Roman"/>
          <w:sz w:val="16"/>
          <w:szCs w:val="16"/>
          <w:color w:val="auto"/>
        </w:rPr>
      </w:pPr>
    </w:p>
    <w:p>
      <w:pPr>
        <w:ind w:left="370" w:right="66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70" w:right="60" w:hanging="370"/>
        <w:spacing w:after="0" w:line="250"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70" w:right="160" w:hanging="370"/>
        <w:spacing w:after="0" w:line="255" w:lineRule="auto"/>
        <w:tabs>
          <w:tab w:leader="none" w:pos="3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0" w:lineRule="exact"/>
        <w:rPr>
          <w:sz w:val="20"/>
          <w:szCs w:val="20"/>
          <w:color w:val="auto"/>
        </w:rPr>
      </w:pPr>
    </w:p>
    <w:p>
      <w:pPr>
        <w:spacing w:after="0" w:line="228"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Basis Point</w:t>
            </w:r>
          </w:p>
        </w:tc>
        <w:tc>
          <w:tcPr>
            <w:tcW w:w="6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240" w:type="dxa"/>
            <w:vAlign w:val="bottom"/>
            <w:vMerge w:val="restart"/>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vMerge w:val="restart"/>
          </w:tcPr>
          <w:p>
            <w:pPr>
              <w:spacing w:after="0"/>
              <w:rPr>
                <w:sz w:val="13"/>
                <w:szCs w:val="13"/>
                <w:color w:val="auto"/>
              </w:rPr>
            </w:pPr>
          </w:p>
        </w:tc>
        <w:tc>
          <w:tcPr>
            <w:tcW w:w="124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Currency Basis</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Point Change </w:t>
            </w:r>
            <w:r>
              <w:rPr>
                <w:rFonts w:ascii="Times New Roman" w:cs="Times New Roman" w:eastAsia="Times New Roman" w:hAnsi="Times New Roman"/>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32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50.8 %</w:t>
            </w:r>
          </w:p>
        </w:tc>
        <w:tc>
          <w:tcPr>
            <w:tcW w:w="60" w:type="dxa"/>
            <w:vAlign w:val="bottom"/>
          </w:tcPr>
          <w:p>
            <w:pPr>
              <w:spacing w:after="0"/>
              <w:rPr>
                <w:sz w:val="24"/>
                <w:szCs w:val="24"/>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111 bps</w:t>
            </w:r>
          </w:p>
        </w:tc>
        <w:tc>
          <w:tcPr>
            <w:tcW w:w="60" w:type="dxa"/>
            <w:vAlign w:val="bottom"/>
          </w:tcPr>
          <w:p>
            <w:pPr>
              <w:spacing w:after="0"/>
              <w:rPr>
                <w:sz w:val="24"/>
                <w:szCs w:val="24"/>
                <w:color w:val="auto"/>
              </w:rPr>
            </w:pPr>
          </w:p>
        </w:tc>
        <w:tc>
          <w:tcPr>
            <w:tcW w:w="12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113 bps</w:t>
            </w:r>
          </w:p>
        </w:tc>
        <w:tc>
          <w:tcPr>
            <w:tcW w:w="0" w:type="dxa"/>
            <w:vAlign w:val="bottom"/>
          </w:tcPr>
          <w:p>
            <w:pPr>
              <w:spacing w:after="0"/>
              <w:rPr>
                <w:sz w:val="1"/>
                <w:szCs w:val="1"/>
                <w:color w:val="auto"/>
              </w:rPr>
            </w:pPr>
          </w:p>
        </w:tc>
      </w:tr>
      <w:tr>
        <w:trPr>
          <w:trHeight w:val="28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46.5 %</w:t>
            </w:r>
          </w:p>
        </w:tc>
        <w:tc>
          <w:tcPr>
            <w:tcW w:w="60" w:type="dxa"/>
            <w:vAlign w:val="bottom"/>
          </w:tcPr>
          <w:p>
            <w:pPr>
              <w:spacing w:after="0"/>
              <w:rPr>
                <w:sz w:val="24"/>
                <w:szCs w:val="24"/>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106 bps</w:t>
            </w:r>
          </w:p>
        </w:tc>
        <w:tc>
          <w:tcPr>
            <w:tcW w:w="60" w:type="dxa"/>
            <w:vAlign w:val="bottom"/>
          </w:tcPr>
          <w:p>
            <w:pPr>
              <w:spacing w:after="0"/>
              <w:rPr>
                <w:sz w:val="24"/>
                <w:szCs w:val="24"/>
                <w:color w:val="auto"/>
              </w:rPr>
            </w:pPr>
          </w:p>
        </w:tc>
        <w:tc>
          <w:tcPr>
            <w:tcW w:w="12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116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43" w:lineRule="exact"/>
        <w:rPr>
          <w:sz w:val="20"/>
          <w:szCs w:val="20"/>
          <w:color w:val="auto"/>
        </w:rPr>
      </w:pPr>
    </w:p>
    <w:p>
      <w:pPr>
        <w:ind w:left="370" w:right="60" w:hanging="370"/>
        <w:spacing w:after="0" w:line="255" w:lineRule="auto"/>
        <w:tabs>
          <w:tab w:leader="none" w:pos="37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86</w:t>
      </w:r>
    </w:p>
    <w:p>
      <w:pPr>
        <w:sectPr>
          <w:pgSz w:w="12060" w:h="15660" w:orient="portrait"/>
          <w:cols w:equalWidth="0" w:num="1">
            <w:col w:w="10450"/>
          </w:cols>
          <w:pgMar w:left="810" w:top="748" w:right="800" w:bottom="0" w:gutter="0" w:footer="0" w:header="0"/>
          <w:type w:val="continuous"/>
        </w:sectPr>
      </w:pPr>
    </w:p>
    <w:bookmarkStart w:id="98" w:name="page99"/>
    <w:bookmarkEnd w:id="98"/>
    <w:p>
      <w:pPr>
        <w:ind w:left="10" w:right="700"/>
        <w:spacing w:after="0" w:line="309" w:lineRule="auto"/>
        <w:rPr>
          <w:sz w:val="20"/>
          <w:szCs w:val="20"/>
          <w:color w:val="auto"/>
        </w:rPr>
      </w:pPr>
      <w:r>
        <w:rPr>
          <w:rFonts w:ascii="Times New Roman" w:cs="Times New Roman" w:eastAsia="Times New Roman" w:hAnsi="Times New Roman"/>
          <w:sz w:val="19"/>
          <w:szCs w:val="19"/>
          <w:color w:val="auto"/>
        </w:rPr>
        <w:t>The table set forth below presents a reconciliation of net income attributable to Tradeweb Markets Inc. and net income, as applicable, to Adjusted Net Income and Adjusted Diluted EPS for the years ended December 31, 2022, 2021 and 2020:</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560" w:type="dxa"/>
            <w:vAlign w:val="bottom"/>
            <w:gridSpan w:val="7"/>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(in thousands except per share amounts)</w:t>
            </w:r>
          </w:p>
        </w:tc>
        <w:tc>
          <w:tcPr>
            <w:tcW w:w="0" w:type="dxa"/>
            <w:vAlign w:val="bottom"/>
          </w:tcPr>
          <w:p>
            <w:pPr>
              <w:spacing w:after="0"/>
              <w:rPr>
                <w:sz w:val="1"/>
                <w:szCs w:val="1"/>
                <w:color w:val="auto"/>
              </w:rPr>
            </w:pPr>
          </w:p>
        </w:tc>
      </w:tr>
      <w:tr>
        <w:trPr>
          <w:trHeight w:val="27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diluted share</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0.88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40" w:type="dxa"/>
            <w:vAlign w:val="bottom"/>
            <w:vMerge w:val="continue"/>
          </w:tcPr>
          <w:p>
            <w:pPr>
              <w:spacing w:after="0"/>
              <w:rPr>
                <w:sz w:val="21"/>
                <w:szCs w:val="21"/>
                <w:color w:val="auto"/>
              </w:rPr>
            </w:pPr>
          </w:p>
        </w:tc>
        <w:tc>
          <w:tcPr>
            <w:tcW w:w="3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309,338</w:t>
            </w:r>
          </w:p>
        </w:tc>
        <w:tc>
          <w:tcPr>
            <w:tcW w:w="6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226,828</w:t>
            </w:r>
          </w:p>
        </w:tc>
        <w:tc>
          <w:tcPr>
            <w:tcW w:w="60" w:type="dxa"/>
            <w:vAlign w:val="bottom"/>
          </w:tcPr>
          <w:p>
            <w:pPr>
              <w:spacing w:after="0"/>
              <w:rPr>
                <w:sz w:val="21"/>
                <w:szCs w:val="21"/>
                <w:color w:val="auto"/>
              </w:rPr>
            </w:pPr>
          </w:p>
        </w:tc>
        <w:tc>
          <w:tcPr>
            <w:tcW w:w="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166,296</w:t>
            </w:r>
          </w:p>
        </w:tc>
        <w:tc>
          <w:tcPr>
            <w:tcW w:w="0" w:type="dxa"/>
            <w:vAlign w:val="bottom"/>
          </w:tcPr>
          <w:p>
            <w:pPr>
              <w:spacing w:after="0"/>
              <w:rPr>
                <w:sz w:val="1"/>
                <w:szCs w:val="1"/>
                <w:color w:val="auto"/>
              </w:rPr>
            </w:pPr>
          </w:p>
        </w:tc>
      </w:tr>
      <w:tr>
        <w:trPr>
          <w:trHeight w:val="282"/>
        </w:trPr>
        <w:tc>
          <w:tcPr>
            <w:tcW w:w="654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Net income attributable to non-controlling interests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50,275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46,280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52,094</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273,108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218,390</w:t>
            </w:r>
          </w:p>
        </w:tc>
        <w:tc>
          <w:tcPr>
            <w:tcW w:w="0" w:type="dxa"/>
            <w:vAlign w:val="bottom"/>
          </w:tcPr>
          <w:p>
            <w:pPr>
              <w:spacing w:after="0"/>
              <w:rPr>
                <w:sz w:val="1"/>
                <w:szCs w:val="1"/>
                <w:color w:val="auto"/>
              </w:rPr>
            </w:pP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56,074</w:t>
            </w:r>
          </w:p>
        </w:tc>
        <w:tc>
          <w:tcPr>
            <w:tcW w:w="0" w:type="dxa"/>
            <w:vAlign w:val="bottom"/>
          </w:tcPr>
          <w:p>
            <w:pPr>
              <w:spacing w:after="0"/>
              <w:rPr>
                <w:sz w:val="1"/>
                <w:szCs w:val="1"/>
                <w:color w:val="auto"/>
              </w:rPr>
            </w:pPr>
          </w:p>
        </w:tc>
      </w:tr>
      <w:tr>
        <w:trPr>
          <w:trHeight w:val="291"/>
        </w:trPr>
        <w:tc>
          <w:tcPr>
            <w:tcW w:w="654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54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D&amp;A related to acquisitions and the Refinitiv Transaction </w:t>
            </w:r>
            <w:r>
              <w:rPr>
                <w:rFonts w:ascii="Times New Roman" w:cs="Times New Roman" w:eastAsia="Times New Roman" w:hAnsi="Times New Roman"/>
                <w:sz w:val="26"/>
                <w:szCs w:val="26"/>
                <w:color w:val="auto"/>
                <w:vertAlign w:val="superscript"/>
              </w:rPr>
              <w:t>(3)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110,187</w:t>
            </w:r>
          </w:p>
        </w:tc>
        <w:tc>
          <w:tcPr>
            <w:tcW w:w="0" w:type="dxa"/>
            <w:vAlign w:val="bottom"/>
          </w:tcPr>
          <w:p>
            <w:pPr>
              <w:spacing w:after="0"/>
              <w:rPr>
                <w:sz w:val="1"/>
                <w:szCs w:val="1"/>
                <w:color w:val="auto"/>
              </w:rPr>
            </w:pPr>
          </w:p>
        </w:tc>
      </w:tr>
      <w:tr>
        <w:trPr>
          <w:trHeight w:val="264"/>
        </w:trPr>
        <w:tc>
          <w:tcPr>
            <w:tcW w:w="654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(4)</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13,025</w:t>
            </w:r>
          </w:p>
        </w:tc>
        <w:tc>
          <w:tcPr>
            <w:tcW w:w="0" w:type="dxa"/>
            <w:vAlign w:val="bottom"/>
          </w:tcPr>
          <w:p>
            <w:pPr>
              <w:spacing w:after="0"/>
              <w:rPr>
                <w:sz w:val="1"/>
                <w:szCs w:val="1"/>
                <w:color w:val="auto"/>
              </w:rPr>
            </w:pPr>
          </w:p>
        </w:tc>
      </w:tr>
      <w:tr>
        <w:trPr>
          <w:trHeight w:val="30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(5)</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6,279</w:t>
            </w:r>
          </w:p>
        </w:tc>
        <w:tc>
          <w:tcPr>
            <w:tcW w:w="0" w:type="dxa"/>
            <w:vAlign w:val="bottom"/>
          </w:tcPr>
          <w:p>
            <w:pPr>
              <w:spacing w:after="0"/>
              <w:rPr>
                <w:sz w:val="1"/>
                <w:szCs w:val="1"/>
                <w:color w:val="auto"/>
              </w:rPr>
            </w:pPr>
          </w:p>
        </w:tc>
      </w:tr>
      <w:tr>
        <w:trPr>
          <w:trHeight w:val="30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(6)</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(11,425)</w:t>
            </w:r>
          </w:p>
        </w:tc>
        <w:tc>
          <w:tcPr>
            <w:tcW w:w="0" w:type="dxa"/>
            <w:vAlign w:val="bottom"/>
          </w:tcPr>
          <w:p>
            <w:pPr>
              <w:spacing w:after="0"/>
              <w:rPr>
                <w:sz w:val="1"/>
                <w:szCs w:val="1"/>
                <w:color w:val="auto"/>
              </w:rPr>
            </w:pPr>
          </w:p>
        </w:tc>
      </w:tr>
      <w:tr>
        <w:trPr>
          <w:trHeight w:val="26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investments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before income taxes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577,026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498,698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392,530</w:t>
            </w:r>
          </w:p>
        </w:tc>
        <w:tc>
          <w:tcPr>
            <w:tcW w:w="0" w:type="dxa"/>
            <w:vAlign w:val="bottom"/>
          </w:tcPr>
          <w:p>
            <w:pPr>
              <w:spacing w:after="0"/>
              <w:rPr>
                <w:sz w:val="1"/>
                <w:szCs w:val="1"/>
                <w:color w:val="auto"/>
              </w:rPr>
            </w:pPr>
          </w:p>
        </w:tc>
      </w:tr>
      <w:tr>
        <w:trPr>
          <w:trHeight w:val="288"/>
        </w:trPr>
        <w:tc>
          <w:tcPr>
            <w:tcW w:w="65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Adjusted income taxes </w:t>
            </w:r>
            <w:r>
              <w:rPr>
                <w:rFonts w:ascii="Times New Roman" w:cs="Times New Roman" w:eastAsia="Times New Roman" w:hAnsi="Times New Roman"/>
                <w:sz w:val="26"/>
                <w:szCs w:val="26"/>
                <w:color w:val="auto"/>
                <w:vertAlign w:val="superscript"/>
              </w:rPr>
              <w:t>(7)</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(126,946)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(109,713)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(86,357)</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450,080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388,985</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306,173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265" w:lineRule="exact"/>
              <w:rPr>
                <w:sz w:val="20"/>
                <w:szCs w:val="20"/>
                <w:color w:val="auto"/>
              </w:rPr>
            </w:pPr>
            <w:r>
              <w:rPr>
                <w:rFonts w:ascii="Times New Roman" w:cs="Times New Roman" w:eastAsia="Times New Roman" w:hAnsi="Times New Roman"/>
                <w:sz w:val="20"/>
                <w:szCs w:val="20"/>
                <w:color w:val="auto"/>
              </w:rPr>
              <w:t xml:space="preserve">Adjusted Diluted EPS </w:t>
            </w:r>
            <w:r>
              <w:rPr>
                <w:rFonts w:ascii="Times New Roman" w:cs="Times New Roman" w:eastAsia="Times New Roman" w:hAnsi="Times New Roman"/>
                <w:sz w:val="26"/>
                <w:szCs w:val="26"/>
                <w:color w:val="auto"/>
                <w:vertAlign w:val="superscript"/>
              </w:rPr>
              <w:t>(8)</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40" w:type="dxa"/>
            <w:vAlign w:val="bottom"/>
            <w:vMerge w:val="continue"/>
          </w:tcPr>
          <w:p>
            <w:pPr>
              <w:spacing w:after="0"/>
              <w:rPr>
                <w:sz w:val="19"/>
                <w:szCs w:val="19"/>
                <w:color w:val="auto"/>
              </w:rPr>
            </w:pPr>
          </w:p>
        </w:tc>
        <w:tc>
          <w:tcPr>
            <w:tcW w:w="30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1.90</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1.63</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654800" cy="2752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ind w:left="370" w:right="140" w:hanging="370"/>
        <w:spacing w:after="0" w:line="261"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reallocation of net income attributable to non-controlling interests from the assumed exchange of all outstanding LLC Interests held by non-controlling interests for shares of Class A or Class B common stock.</w:t>
      </w:r>
    </w:p>
    <w:p>
      <w:pPr>
        <w:ind w:left="370" w:right="6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jc w:val="both"/>
        <w:ind w:left="370" w:right="16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6"/>
          <w:szCs w:val="16"/>
          <w:color w:val="auto"/>
        </w:rPr>
      </w:pPr>
    </w:p>
    <w:p>
      <w:pPr>
        <w:ind w:left="370" w:right="2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totaling $5.4 million, $14.8 million and $13.0 million during the years ended December 31, 2022, 2021 and 2020, respectively. During the year ended December 31, 2022, this adjustment also includes $15.0 million of non-cash accelerated stock-based compensation expense and related payroll taxes associated with our retired CEO. During the year ended December 31, 2021, this adjustment also includes $1.7 million of non-cash accelerated stock-based compensation expense and related payroll taxes associated with our former CFO.</w:t>
      </w:r>
    </w:p>
    <w:p>
      <w:pPr>
        <w:spacing w:after="0" w:line="1" w:lineRule="exact"/>
        <w:rPr>
          <w:rFonts w:ascii="Times New Roman" w:cs="Times New Roman" w:eastAsia="Times New Roman" w:hAnsi="Times New Roman"/>
          <w:sz w:val="16"/>
          <w:szCs w:val="16"/>
          <w:color w:val="auto"/>
        </w:rPr>
      </w:pPr>
    </w:p>
    <w:p>
      <w:pPr>
        <w:ind w:left="370" w:right="66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70" w:right="6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70" w:right="120" w:hanging="370"/>
        <w:spacing w:after="0" w:line="25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corporate income taxes at an assumed effective tax rate of 22% applied to Adjusted Net Income before income taxes for each of the years ended December 31, 2022, 2021 and 2020.</w:t>
      </w:r>
    </w:p>
    <w:p>
      <w:pPr>
        <w:ind w:left="370" w:right="480" w:hanging="370"/>
        <w:spacing w:after="0" w:line="260"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summary of the calculation of Adjusted Diluted EPS, see “Reconciliation of Diluted Weighted Average Shares Outstanding to Adjusted Diluted Weighted Average Shares Outstanding and Adjusted Diluted EPS” below.</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87</w:t>
      </w:r>
    </w:p>
    <w:p>
      <w:pPr>
        <w:sectPr>
          <w:pgSz w:w="12060" w:h="15660" w:orient="portrait"/>
          <w:cols w:equalWidth="0" w:num="1">
            <w:col w:w="10450"/>
          </w:cols>
          <w:pgMar w:left="810" w:top="748" w:right="800" w:bottom="0" w:gutter="0" w:footer="0" w:header="0"/>
          <w:type w:val="continuous"/>
        </w:sectPr>
      </w:pPr>
    </w:p>
    <w:bookmarkStart w:id="99" w:name="page100"/>
    <w:bookmarkEnd w:id="99"/>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Diluted EPS for the periods presented:</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Reconciliation of Diluted Weighted Average Shares Outstanding to Adjusted 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and Adjusted Diluted EPS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42"/>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Diluted weighted average shares of Class A and Class B common stock</w:t>
            </w: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208,400,040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207,254,840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w w:val="97"/>
              </w:rPr>
              <w:t>188,223,032</w:t>
            </w:r>
          </w:p>
        </w:tc>
        <w:tc>
          <w:tcPr>
            <w:tcW w:w="0" w:type="dxa"/>
            <w:vAlign w:val="bottom"/>
          </w:tcPr>
          <w:p>
            <w:pPr>
              <w:spacing w:after="0"/>
              <w:rPr>
                <w:sz w:val="1"/>
                <w:szCs w:val="1"/>
                <w:color w:val="auto"/>
              </w:rPr>
            </w:pPr>
          </w:p>
        </w:tc>
      </w:tr>
      <w:tr>
        <w:trPr>
          <w:trHeight w:val="26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580" w:type="dxa"/>
            <w:vAlign w:val="bottom"/>
            <w:gridSpan w:val="2"/>
          </w:tcPr>
          <w:p>
            <w:pPr>
              <w:ind w:left="40"/>
              <w:spacing w:after="0" w:line="290" w:lineRule="exact"/>
              <w:rPr>
                <w:sz w:val="20"/>
                <w:szCs w:val="20"/>
                <w:color w:val="auto"/>
              </w:rPr>
            </w:pPr>
            <w:r>
              <w:rPr>
                <w:rFonts w:ascii="Times New Roman" w:cs="Times New Roman" w:eastAsia="Times New Roman" w:hAnsi="Times New Roman"/>
                <w:sz w:val="20"/>
                <w:szCs w:val="20"/>
                <w:color w:val="auto"/>
              </w:rPr>
              <w:t xml:space="preserve">Weighted average of other participating securities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658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rPr>
              <w:t>Assumed exchange of LLC Interests for shares of Class A or Class B common</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28,830,686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30,699,577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45,828,289</w:t>
            </w:r>
          </w:p>
        </w:tc>
        <w:tc>
          <w:tcPr>
            <w:tcW w:w="0" w:type="dxa"/>
            <w:vAlign w:val="bottom"/>
          </w:tcPr>
          <w:p>
            <w:pPr>
              <w:spacing w:after="0"/>
              <w:rPr>
                <w:sz w:val="1"/>
                <w:szCs w:val="1"/>
                <w:color w:val="auto"/>
              </w:rPr>
            </w:pPr>
          </w:p>
        </w:tc>
      </w:tr>
      <w:tr>
        <w:trPr>
          <w:trHeight w:val="263"/>
        </w:trPr>
        <w:tc>
          <w:tcPr>
            <w:tcW w:w="658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 xml:space="preserve">stock </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diluted weighted average shares outstanding</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237,424,167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237,954,417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w w:val="97"/>
              </w:rPr>
              <w:t>234,051,321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Adjusted Net Income (in thousands)</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450,080</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388,985</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306,173</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Adjusted Diluted EPS</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1.90</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1.63</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-1345565</wp:posOffset>
            </wp:positionV>
            <wp:extent cx="6654800" cy="3206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8">
                      <a:extLst>
                        <a:ext uri="{28A0092B-C50C-407E-A947-70E740481C1C}"/>
                      </a:extLst>
                    </a:blip>
                    <a:srcRect/>
                    <a:stretch>
                      <a:fillRect/>
                    </a:stretch>
                  </pic:blipFill>
                  <pic:spPr bwMode="auto">
                    <a:xfrm>
                      <a:off x="0" y="0"/>
                      <a:ext cx="6654800" cy="3206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-869315</wp:posOffset>
            </wp:positionV>
            <wp:extent cx="6654800" cy="3206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9">
                      <a:extLst>
                        <a:ext uri="{28A0092B-C50C-407E-A947-70E740481C1C}"/>
                      </a:extLst>
                    </a:blip>
                    <a:srcRect/>
                    <a:stretch>
                      <a:fillRect/>
                    </a:stretch>
                  </pic:blipFill>
                  <pic:spPr bwMode="auto">
                    <a:xfrm>
                      <a:off x="0" y="0"/>
                      <a:ext cx="6654800" cy="3206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-405765</wp:posOffset>
            </wp:positionV>
            <wp:extent cx="6654800" cy="231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0">
                      <a:extLst>
                        <a:ext uri="{28A0092B-C50C-407E-A947-70E740481C1C}"/>
                      </a:extLst>
                    </a:blip>
                    <a:srcRect/>
                    <a:stretch>
                      <a:fillRect/>
                    </a:stretch>
                  </pic:blipFill>
                  <pic:spPr bwMode="auto">
                    <a:xfrm>
                      <a:off x="0" y="0"/>
                      <a:ext cx="6654800" cy="2317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-43815</wp:posOffset>
            </wp:positionV>
            <wp:extent cx="247332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1">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ind w:left="370" w:right="40" w:hanging="370"/>
        <w:spacing w:after="0" w:line="255" w:lineRule="auto"/>
        <w:tabs>
          <w:tab w:leader="none" w:pos="3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spacing w:after="0" w:line="2" w:lineRule="exact"/>
        <w:rPr>
          <w:rFonts w:ascii="Times New Roman" w:cs="Times New Roman" w:eastAsia="Times New Roman" w:hAnsi="Times New Roman"/>
          <w:sz w:val="16"/>
          <w:szCs w:val="16"/>
          <w:color w:val="auto"/>
        </w:rPr>
      </w:pPr>
    </w:p>
    <w:p>
      <w:pPr>
        <w:jc w:val="both"/>
        <w:ind w:left="370" w:right="500" w:hanging="370"/>
        <w:spacing w:after="0" w:line="294" w:lineRule="auto"/>
        <w:tabs>
          <w:tab w:leader="none" w:pos="37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7"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73" w:lineRule="exact"/>
        <w:rPr>
          <w:sz w:val="20"/>
          <w:szCs w:val="20"/>
          <w:color w:val="auto"/>
        </w:rPr>
      </w:pPr>
    </w:p>
    <w:p>
      <w:pPr>
        <w:ind w:left="10" w:right="140"/>
        <w:spacing w:after="0" w:line="254" w:lineRule="auto"/>
        <w:rPr>
          <w:sz w:val="20"/>
          <w:szCs w:val="20"/>
          <w:color w:val="auto"/>
        </w:rPr>
      </w:pPr>
      <w:r>
        <w:rPr>
          <w:rFonts w:ascii="Times New Roman" w:cs="Times New Roman" w:eastAsia="Times New Roman" w:hAnsi="Times New Roman"/>
          <w:sz w:val="20"/>
          <w:szCs w:val="20"/>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ind w:left="10" w:right="140"/>
        <w:spacing w:after="0" w:line="256" w:lineRule="auto"/>
        <w:rPr>
          <w:sz w:val="20"/>
          <w:szCs w:val="20"/>
          <w:color w:val="auto"/>
        </w:rPr>
      </w:pPr>
      <w:r>
        <w:rPr>
          <w:rFonts w:ascii="Times New Roman" w:cs="Times New Roman" w:eastAsia="Times New Roman" w:hAnsi="Times New Roman"/>
          <w:sz w:val="20"/>
          <w:szCs w:val="20"/>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68"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88</w:t>
      </w:r>
    </w:p>
    <w:p>
      <w:pPr>
        <w:sectPr>
          <w:pgSz w:w="12060" w:h="15660" w:orient="portrait"/>
          <w:cols w:equalWidth="0" w:num="1">
            <w:col w:w="10450"/>
          </w:cols>
          <w:pgMar w:left="810" w:top="748" w:right="800" w:bottom="0" w:gutter="0" w:footer="0" w:header="0"/>
          <w:type w:val="continuous"/>
        </w:sectPr>
      </w:pPr>
    </w:p>
    <w:bookmarkStart w:id="100" w:name="page101"/>
    <w:bookmarkEnd w:id="100"/>
    <w:p>
      <w:pPr>
        <w:ind w:right="20"/>
        <w:spacing w:after="0" w:line="260" w:lineRule="auto"/>
        <w:rPr>
          <w:sz w:val="20"/>
          <w:szCs w:val="20"/>
          <w:color w:val="auto"/>
        </w:rPr>
      </w:pPr>
      <w:r>
        <w:rPr>
          <w:rFonts w:ascii="Times New Roman" w:cs="Times New Roman" w:eastAsia="Times New Roman" w:hAnsi="Times New Roman"/>
          <w:sz w:val="20"/>
          <w:szCs w:val="20"/>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6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We are required to make significant judgments for the Refinitiv market data fees. Significant judgments used in accounting for this contract include the following determinations:</w:t>
      </w:r>
    </w:p>
    <w:p>
      <w:pPr>
        <w:spacing w:after="0" w:line="141" w:lineRule="exact"/>
        <w:rPr>
          <w:sz w:val="20"/>
          <w:szCs w:val="20"/>
          <w:color w:val="auto"/>
        </w:rPr>
      </w:pPr>
    </w:p>
    <w:p>
      <w:pPr>
        <w:ind w:left="720" w:hanging="37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annual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or each historical data set until the end of the contract term.</w:t>
      </w:r>
    </w:p>
    <w:p>
      <w:pPr>
        <w:spacing w:after="0" w:line="141" w:lineRule="exact"/>
        <w:rPr>
          <w:rFonts w:ascii="Times New Roman" w:cs="Times New Roman" w:eastAsia="Times New Roman" w:hAnsi="Times New Roman"/>
          <w:sz w:val="20"/>
          <w:szCs w:val="20"/>
          <w:color w:val="auto"/>
        </w:rPr>
      </w:pPr>
    </w:p>
    <w:p>
      <w:pPr>
        <w:ind w:left="720" w:right="60" w:hanging="370"/>
        <w:spacing w:after="0" w:line="266"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2022, 2021 and 2020, there were no material changes in the assumptions used to determine the Refinitiv market data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2022 and 2021, we established a valuation allowance of none and $0.7 million on gross deferred tax assets totaling $698.1 million and $625.4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7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060" w:h="15660" w:orient="portrait"/>
          <w:cols w:equalWidth="0" w:num="1">
            <w:col w:w="10420"/>
          </w:cols>
          <w:pgMar w:left="820" w:top="748" w:right="820" w:bottom="0" w:gutter="0" w:footer="0" w:header="0"/>
          <w:type w:val="continuous"/>
        </w:sectPr>
      </w:pPr>
    </w:p>
    <w:bookmarkStart w:id="101" w:name="page102"/>
    <w:bookmarkEnd w:id="101"/>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68"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and Derivative Risk</w:t>
      </w:r>
    </w:p>
    <w:p>
      <w:pPr>
        <w:spacing w:after="0" w:line="219"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We have global operations and substantial portions of our revenues, expenses, assets and liabilities are generated and denominated in non-U.S. dollar currencies.</w:t>
      </w:r>
    </w:p>
    <w:p>
      <w:pPr>
        <w:spacing w:after="0" w:line="141"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The following table shows the percentage breakdown of our revenue and operating expenses denominated in currencies other than the U.S. dollar for the years ended December 31, 2022, 2021 and 2020:</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8"/>
        </w:trPr>
        <w:tc>
          <w:tcPr>
            <w:tcW w:w="654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 xml:space="preserve">% of revenue denominated in foreign currencies </w:t>
            </w:r>
            <w:r>
              <w:rPr>
                <w:rFonts w:ascii="Times New Roman" w:cs="Times New Roman" w:eastAsia="Times New Roman" w:hAnsi="Times New Roman"/>
                <w:sz w:val="26"/>
                <w:szCs w:val="26"/>
                <w:color w:val="auto"/>
                <w:vertAlign w:val="superscript"/>
              </w:rPr>
              <w:t>(1)</w:t>
            </w:r>
          </w:p>
        </w:tc>
        <w:tc>
          <w:tcPr>
            <w:tcW w:w="1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29%</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29%</w:t>
            </w:r>
          </w:p>
        </w:tc>
      </w:tr>
      <w:tr>
        <w:trPr>
          <w:trHeight w:val="34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 of operating expenses denominated in foreign currencies </w:t>
            </w:r>
            <w:r>
              <w:rPr>
                <w:rFonts w:ascii="Times New Roman" w:cs="Times New Roman" w:eastAsia="Times New Roman" w:hAnsi="Times New Roman"/>
                <w:sz w:val="26"/>
                <w:szCs w:val="26"/>
                <w:color w:val="auto"/>
                <w:vertAlign w:val="superscript"/>
              </w:rPr>
              <w:t>(2)</w:t>
            </w:r>
          </w:p>
        </w:tc>
        <w:tc>
          <w:tcPr>
            <w:tcW w:w="12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15%</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15%</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-405765</wp:posOffset>
            </wp:positionV>
            <wp:extent cx="6654800" cy="2063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ind w:left="370" w:hanging="370"/>
        <w:spacing w:after="0"/>
        <w:tabs>
          <w:tab w:leader="none" w:pos="3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 foreign currencies is primarily denominated in euros.</w:t>
      </w:r>
    </w:p>
    <w:p>
      <w:pPr>
        <w:spacing w:after="0" w:line="2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 foreign currencies are primarily denominated in British pounds sterling.</w:t>
      </w:r>
    </w:p>
    <w:p>
      <w:pPr>
        <w:spacing w:after="0" w:line="180" w:lineRule="exact"/>
        <w:rPr>
          <w:sz w:val="20"/>
          <w:szCs w:val="20"/>
          <w:color w:val="auto"/>
        </w:rPr>
      </w:pPr>
    </w:p>
    <w:p>
      <w:pPr>
        <w:ind w:left="10" w:right="140"/>
        <w:spacing w:after="0" w:line="254"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gains/losses from foreign currency re-measurement of transactions in nonfunctional currencies recognized in the consolidated statements of income within general and administrative expense totaled a $2.3 million loss, a $4.0 million loss and a $1.3 million gain for the years ended December 31, 2022, 2021 and 2020, respectively.</w:t>
      </w:r>
    </w:p>
    <w:p>
      <w:pPr>
        <w:spacing w:after="0" w:line="173"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ectPr>
          <w:pgSz w:w="12060" w:h="15660" w:orient="portrait"/>
          <w:cols w:equalWidth="0" w:num="1">
            <w:col w:w="10450"/>
          </w:cols>
          <w:pgMar w:left="810" w:top="73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90</w:t>
      </w:r>
    </w:p>
    <w:p>
      <w:pPr>
        <w:sectPr>
          <w:pgSz w:w="12060" w:h="15660" w:orient="portrait"/>
          <w:cols w:equalWidth="0" w:num="1">
            <w:col w:w="10450"/>
          </w:cols>
          <w:pgMar w:left="810" w:top="739" w:right="800" w:bottom="0" w:gutter="0" w:footer="0" w:header="0"/>
          <w:type w:val="continuous"/>
        </w:sectPr>
      </w:pPr>
    </w:p>
    <w:bookmarkStart w:id="102" w:name="page103"/>
    <w:bookmarkEnd w:id="102"/>
    <w:p>
      <w:pPr>
        <w:ind w:right="180"/>
        <w:spacing w:after="0" w:line="266" w:lineRule="auto"/>
        <w:rPr>
          <w:sz w:val="20"/>
          <w:szCs w:val="20"/>
          <w:color w:val="auto"/>
        </w:rPr>
      </w:pPr>
      <w:r>
        <w:rPr>
          <w:rFonts w:ascii="Times New Roman" w:cs="Times New Roman" w:eastAsia="Times New Roman" w:hAnsi="Times New Roman"/>
          <w:sz w:val="20"/>
          <w:szCs w:val="20"/>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2022,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Euros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1.14</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British pound sterling</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The following table shows the change in revenue and operating income caused by fluctuations in foreign currency rates used in translation during the years ended December 31, 2022,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Impact of Foreign Currency Rate Fluctuations (amounts in thousands)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2"/>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Increase (decrease) in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4,500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Increase (decrease) in operating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2022,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2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Hypothetical 10% Change in Value of U.S. Dollar (amounts in thousands)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4"/>
        </w:trPr>
        <w:tc>
          <w:tcPr>
            <w:tcW w:w="6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All currencies</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83"/>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28,900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18,900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Euros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26,300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25,900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British pound sterling</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1,300</w:t>
            </w:r>
          </w:p>
        </w:tc>
      </w:tr>
      <w:tr>
        <w:trPr>
          <w:trHeight w:val="285"/>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-1270635</wp:posOffset>
            </wp:positionV>
            <wp:extent cx="6654800" cy="206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-908685</wp:posOffset>
            </wp:positionV>
            <wp:extent cx="6654800" cy="206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-546735</wp:posOffset>
            </wp:positionV>
            <wp:extent cx="6654800" cy="2063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654800" cy="206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-1632585</wp:posOffset>
            </wp:positionV>
            <wp:extent cx="6654800" cy="206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We have derivative risk relating to our foreign currency forward contracts. We enter into foreign currency forward contracts to mitigate our U.S. dollar and British pound sterling versus euro exposure, generally with a duration of not more than 12 months. We do not use derivative instruments for trading or speculative purposes. As of December 31, 2022 and 2021, the notional amount of our foreign currency forward contracts was $162.8 million and $146.2 million, respectively. Realized and unrealized gains/losses on foreign currency forward contracts totaled a $4.9 million gain, a $9.0 million gain and a $6.3 million loss for the years ended December 31, 2022, 2021 and 2020, respectively.</w:t>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We have credit risk relating to our receivables, which are primarily receivables from financial institutions, including investment managers and brokers and dealers. As of December 31, 2022 and 2021, the allowance for credit losses with regard to these receivables totaled $0.1 million and $0.3 million, respectively.</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060" w:h="15660" w:orient="portrait"/>
          <w:cols w:equalWidth="0" w:num="1">
            <w:col w:w="10440"/>
          </w:cols>
          <w:pgMar w:left="820" w:top="748" w:right="800" w:bottom="0" w:gutter="0" w:footer="0" w:header="0"/>
          <w:type w:val="continuous"/>
        </w:sectPr>
      </w:pPr>
    </w:p>
    <w:bookmarkStart w:id="103" w:name="page104"/>
    <w:bookmarkEnd w:id="103"/>
    <w:p>
      <w:pPr>
        <w:spacing w:after="0" w:line="258" w:lineRule="auto"/>
        <w:rPr>
          <w:sz w:val="20"/>
          <w:szCs w:val="20"/>
          <w:color w:val="auto"/>
        </w:rPr>
      </w:pPr>
      <w:r>
        <w:rPr>
          <w:rFonts w:ascii="Times New Roman" w:cs="Times New Roman" w:eastAsia="Times New Roman" w:hAnsi="Times New Roman"/>
          <w:sz w:val="20"/>
          <w:szCs w:val="20"/>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6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3"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2022, we also recognized losses totaling $1.0 million, related to the write-off of an investment that was determined to be uncollectible.</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060" w:h="15660" w:orient="portrait"/>
          <w:cols w:equalWidth="0" w:num="1">
            <w:col w:w="10380"/>
          </w:cols>
          <w:pgMar w:left="820" w:top="748" w:right="8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4"/>
        </w:trPr>
        <w:tc>
          <w:tcPr>
            <w:tcW w:w="64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w w:val="99"/>
              </w:rPr>
              <w:t>Reports of Independent Registered Public Accounting Firm (PCAOB ID No.34)</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0"/>
        </w:trPr>
        <w:tc>
          <w:tcPr>
            <w:tcW w:w="64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Consolidated Statements of Financial Condition</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80"/>
        </w:trPr>
        <w:tc>
          <w:tcPr>
            <w:tcW w:w="38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Consolidated Statements of Income</w:t>
            </w:r>
          </w:p>
        </w:tc>
        <w:tc>
          <w:tcPr>
            <w:tcW w:w="2580" w:type="dxa"/>
            <w:vAlign w:val="bottom"/>
            <w:gridSpan w:val="2"/>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0"/>
        </w:trPr>
        <w:tc>
          <w:tcPr>
            <w:tcW w:w="2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0"/>
        </w:trPr>
        <w:tc>
          <w:tcPr>
            <w:tcW w:w="4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w:t>
            </w:r>
          </w:p>
        </w:tc>
        <w:tc>
          <w:tcPr>
            <w:tcW w:w="2260" w:type="dxa"/>
            <w:vAlign w:val="bottom"/>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80"/>
        </w:trPr>
        <w:tc>
          <w:tcPr>
            <w:tcW w:w="64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Consolidated Statements of Changes in Equity</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80"/>
        </w:trPr>
        <w:tc>
          <w:tcPr>
            <w:tcW w:w="3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700" w:type="dxa"/>
            <w:vAlign w:val="bottom"/>
            <w:gridSpan w:val="3"/>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0"/>
        </w:trPr>
        <w:tc>
          <w:tcPr>
            <w:tcW w:w="3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0"/>
        </w:trPr>
        <w:tc>
          <w:tcPr>
            <w:tcW w:w="3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9"/>
              </w:rPr>
              <w:t>Notes to Consolidated Financial Statements</w:t>
            </w:r>
          </w:p>
        </w:tc>
        <w:tc>
          <w:tcPr>
            <w:tcW w:w="2920" w:type="dxa"/>
            <w:vAlign w:val="bottom"/>
            <w:gridSpan w:val="4"/>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r>
    </w:tbl>
    <w:p>
      <w:pPr>
        <w:spacing w:after="0" w:line="200" w:lineRule="exact"/>
        <w:rPr>
          <w:sz w:val="20"/>
          <w:szCs w:val="20"/>
          <w:color w:val="auto"/>
        </w:rPr>
      </w:pPr>
    </w:p>
    <w:p>
      <w:pPr>
        <w:sectPr>
          <w:pgSz w:w="12060" w:h="15660" w:orient="portrait"/>
          <w:cols w:equalWidth="0" w:num="1">
            <w:col w:w="10260"/>
          </w:cols>
          <w:pgMar w:left="820" w:top="74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93</w:t>
      </w:r>
    </w:p>
    <w:p>
      <w:pPr>
        <w:sectPr>
          <w:pgSz w:w="12060" w:h="15660" w:orient="portrait"/>
          <w:cols w:equalWidth="0" w:num="1">
            <w:col w:w="10260"/>
          </w:cols>
          <w:pgMar w:left="820" w:top="741" w:right="980" w:bottom="0" w:gutter="0" w:footer="0" w:header="0"/>
          <w:type w:val="continuous"/>
        </w:sectPr>
      </w:pPr>
    </w:p>
    <w:bookmarkStart w:id="105" w:name="page106"/>
    <w:bookmarkEnd w:id="105"/>
    <w:p>
      <w:pPr>
        <w:ind w:right="2700" w:firstLine="271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Tradeweb Markets Inc. and subsidiaries (the “Company”) as of December 31, 2022 and 2021, the related consolidated statements of income, comprehensive income,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February 24, 2023, expressed an unqualified opinion on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 Refer to Note 9 to the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Tradeweb Markets Inc. (the “Corporation” or the “Company” which refers to Tradeweb Markets Inc. and its consolidated subsidiaries)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060" w:h="15660" w:orient="portrait"/>
          <w:cols w:equalWidth="0" w:num="1">
            <w:col w:w="10420"/>
          </w:cols>
          <w:pgMar w:left="820" w:top="741" w:right="820" w:bottom="0" w:gutter="0" w:footer="0" w:header="0"/>
          <w:type w:val="continuous"/>
        </w:sectPr>
      </w:pPr>
    </w:p>
    <w:bookmarkStart w:id="106" w:name="page107"/>
    <w:bookmarkEnd w:id="106"/>
    <w:p>
      <w:pPr>
        <w:ind w:right="200"/>
        <w:spacing w:after="0" w:line="256" w:lineRule="auto"/>
        <w:rPr>
          <w:sz w:val="20"/>
          <w:szCs w:val="20"/>
          <w:color w:val="auto"/>
        </w:rPr>
      </w:pPr>
      <w:r>
        <w:rPr>
          <w:rFonts w:ascii="Times New Roman" w:cs="Times New Roman" w:eastAsia="Times New Roman" w:hAnsi="Times New Roman"/>
          <w:sz w:val="20"/>
          <w:szCs w:val="20"/>
          <w:color w:val="auto"/>
        </w:rPr>
        <w:t>Auditing management’s estimates related to income taxes required a high degree of auditor judgment and an increased extent of effort, including the need to involve our income tax specialists, when performing procedures to audit the application of relevant domestic and foreign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income taxes included, among others, the following:</w:t>
      </w:r>
    </w:p>
    <w:p>
      <w:pPr>
        <w:spacing w:after="0" w:line="240" w:lineRule="exact"/>
        <w:rPr>
          <w:sz w:val="20"/>
          <w:szCs w:val="20"/>
          <w:color w:val="auto"/>
        </w:rPr>
      </w:pPr>
    </w:p>
    <w:p>
      <w:pPr>
        <w:ind w:left="720" w:right="140" w:hanging="370"/>
        <w:spacing w:after="0" w:line="281"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income tax balances, including the provision for income taxes, deferred tax assets and liabilities and unrecognized tax benefits.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income tax specialists, we assessed the Company’s provision for income taxes by:</w:t>
      </w:r>
    </w:p>
    <w:p>
      <w:pPr>
        <w:spacing w:after="0" w:line="250" w:lineRule="exact"/>
        <w:rPr>
          <w:rFonts w:ascii="Times New Roman" w:cs="Times New Roman" w:eastAsia="Times New Roman" w:hAnsi="Times New Roman"/>
          <w:sz w:val="20"/>
          <w:szCs w:val="20"/>
          <w:color w:val="auto"/>
        </w:rPr>
      </w:pPr>
    </w:p>
    <w:p>
      <w:pPr>
        <w:ind w:left="1440" w:right="40" w:hanging="370"/>
        <w:spacing w:after="0" w:line="258" w:lineRule="auto"/>
        <w:tabs>
          <w:tab w:leader="none" w:pos="14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 (3) testing, on a sample basis, the completeness and accuracy of book to tax differences, and (4) testing the mathematical accuracy of the income tax provision calculation.</w:t>
      </w:r>
    </w:p>
    <w:p>
      <w:pPr>
        <w:spacing w:after="0" w:line="203" w:lineRule="exact"/>
        <w:rPr>
          <w:rFonts w:ascii="Times New Roman" w:cs="Times New Roman" w:eastAsia="Times New Roman" w:hAnsi="Times New Roman"/>
          <w:sz w:val="20"/>
          <w:szCs w:val="20"/>
          <w:color w:val="auto"/>
        </w:rPr>
      </w:pPr>
    </w:p>
    <w:p>
      <w:pPr>
        <w:ind w:left="1440" w:hanging="370"/>
        <w:spacing w:after="0" w:line="255" w:lineRule="auto"/>
        <w:tabs>
          <w:tab w:leader="none" w:pos="14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pacing w:after="0" w:line="209" w:lineRule="exact"/>
        <w:rPr>
          <w:rFonts w:ascii="Times New Roman" w:cs="Times New Roman" w:eastAsia="Times New Roman" w:hAnsi="Times New Roman"/>
          <w:sz w:val="20"/>
          <w:szCs w:val="20"/>
          <w:color w:val="auto"/>
        </w:rPr>
      </w:pPr>
    </w:p>
    <w:p>
      <w:pPr>
        <w:ind w:left="1440" w:right="60" w:hanging="370"/>
        <w:spacing w:after="0" w:line="266" w:lineRule="auto"/>
        <w:tabs>
          <w:tab w:leader="none" w:pos="14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both positive and negative evidence in management’s assessment of the Company’s ability to utilize the deferred tax assets in future years to conclude if it is appropriate to continue to recognize a deferred tax asset.</w:t>
      </w:r>
    </w:p>
    <w:p>
      <w:pPr>
        <w:spacing w:after="0" w:line="195" w:lineRule="exact"/>
        <w:rPr>
          <w:rFonts w:ascii="Times New Roman" w:cs="Times New Roman" w:eastAsia="Times New Roman" w:hAnsi="Times New Roman"/>
          <w:sz w:val="20"/>
          <w:szCs w:val="20"/>
          <w:color w:val="auto"/>
        </w:rPr>
      </w:pPr>
    </w:p>
    <w:p>
      <w:pPr>
        <w:ind w:left="1440" w:right="100" w:hanging="370"/>
        <w:spacing w:after="0" w:line="266" w:lineRule="auto"/>
        <w:tabs>
          <w:tab w:leader="none" w:pos="14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appropriateness of the recognition, measurement and accuracy of the Company’s unrecognized tax benefits (“UTB”) to determine if they have been correctly recognized if they meet the “more likely than not threshold” to be realized.</w:t>
      </w:r>
    </w:p>
    <w:p>
      <w:pPr>
        <w:spacing w:after="0" w:line="148" w:lineRule="exact"/>
        <w:rPr>
          <w:sz w:val="20"/>
          <w:szCs w:val="20"/>
          <w:color w:val="auto"/>
        </w:rPr>
      </w:pPr>
    </w:p>
    <w:p>
      <w:pPr>
        <w:ind w:right="3460"/>
        <w:spacing w:after="0" w:line="462" w:lineRule="auto"/>
        <w:rPr>
          <w:sz w:val="20"/>
          <w:szCs w:val="20"/>
          <w:color w:val="auto"/>
        </w:rPr>
      </w:pPr>
      <w:r>
        <w:rPr>
          <w:rFonts w:ascii="Times New Roman" w:cs="Times New Roman" w:eastAsia="Times New Roman" w:hAnsi="Times New Roman"/>
          <w:sz w:val="20"/>
          <w:szCs w:val="20"/>
          <w:b w:val="1"/>
          <w:bCs w:val="1"/>
          <w:color w:val="auto"/>
        </w:rPr>
        <w:t xml:space="preserve">Tax Receivable Agreement Liability – Refer to Note 10 to the financial statements </w:t>
      </w:r>
      <w:r>
        <w:rPr>
          <w:rFonts w:ascii="Times New Roman" w:cs="Times New Roman" w:eastAsia="Times New Roman" w:hAnsi="Times New Roman"/>
          <w:sz w:val="20"/>
          <w:szCs w:val="20"/>
          <w:b w:val="1"/>
          <w:bCs w:val="1"/>
          <w:i w:val="1"/>
          <w:iCs w:val="1"/>
          <w:color w:val="auto"/>
        </w:rPr>
        <w:t>Critical Audit Matter Description</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connection with the Company’s Reorganization Transactions, the Corporation entered into a Tax Receivable Agreement between the Company and former and continuing owners of Tradeweb Markets LLC (Continuing LLC Owner) which provides for the payment by the Corporation to a Continuing LLC Owner of 50% of the amount of U.S. federal, state and local income or franchise tax savings, if any, realized due to tax benefits resulting from the Reorganization Transaction. 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 change to its Tax Receivable Agreement liability, reflecting the amount expected to be due to Continuing LLC Owners, discounted at present value.</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addition, the Corporation recognizes a change in the Corporation’s tax basis in its LLC interest (i.e., “tax basis step up”). The tax basis step up, in turn, results in a change to the Corporation’s deferred tax assets, based on enacted tax rates at the date of each redemption or exchange. The impact of any changes in the projected obligations under the Tax Receivable Agreement for the tax basis step up as a result of changes in the geographic mix of the Company’s earnings, changes in tax legislation and tax rates or other factors that may impact the Corporation’s tax savings will be reflected in income before taxes on the statement of income in the period in which the change occurs.</w:t>
      </w:r>
    </w:p>
    <w:p>
      <w:pPr>
        <w:sectPr>
          <w:pgSz w:w="12060" w:h="15660" w:orient="portrait"/>
          <w:cols w:equalWidth="0" w:num="1">
            <w:col w:w="10420"/>
          </w:cols>
          <w:pgMar w:left="82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060" w:h="15660" w:orient="portrait"/>
          <w:cols w:equalWidth="0" w:num="1">
            <w:col w:w="10420"/>
          </w:cols>
          <w:pgMar w:left="820" w:top="748" w:right="820" w:bottom="0" w:gutter="0" w:footer="0" w:header="0"/>
          <w:type w:val="continuous"/>
        </w:sectPr>
      </w:pPr>
    </w:p>
    <w:bookmarkStart w:id="107" w:name="page108"/>
    <w:bookmarkEnd w:id="107"/>
    <w:p>
      <w:pPr>
        <w:ind w:right="100"/>
        <w:spacing w:after="0" w:line="260" w:lineRule="auto"/>
        <w:rPr>
          <w:sz w:val="20"/>
          <w:szCs w:val="20"/>
          <w:color w:val="auto"/>
        </w:rPr>
      </w:pPr>
      <w:r>
        <w:rPr>
          <w:rFonts w:ascii="Times New Roman" w:cs="Times New Roman" w:eastAsia="Times New Roman" w:hAnsi="Times New Roman"/>
          <w:sz w:val="20"/>
          <w:szCs w:val="20"/>
          <w:color w:val="auto"/>
        </w:rPr>
        <w:t>Given the complexity of the calculation and high volume of inputs used to estimate the Tax Receivable Agreement liability and related deferred tax assets,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Tax Receivable Agreement calculation expertise.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Tax Receivable Agreement liability included, among others, the following:</w:t>
      </w:r>
    </w:p>
    <w:p>
      <w:pPr>
        <w:spacing w:after="0" w:line="250" w:lineRule="exact"/>
        <w:rPr>
          <w:sz w:val="20"/>
          <w:szCs w:val="20"/>
          <w:color w:val="auto"/>
        </w:rPr>
      </w:pPr>
    </w:p>
    <w:p>
      <w:pPr>
        <w:ind w:left="720" w:right="160" w:hanging="37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the controls established by the Company around the Tax Receivable Agreement liability and related deferred tax assets.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income tax specialists, we evaluated:</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partnership exchange transactions on the computation of the Tax Receivable Agreement liability.</w:t>
      </w:r>
    </w:p>
    <w:p>
      <w:pPr>
        <w:spacing w:after="0" w:line="25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sources of management’s estimated taxable income were of the appropriate character and sufficient to utilize the deferred tax assets and result in cash tax savings under the relevant tax laws.</w:t>
      </w:r>
    </w:p>
    <w:p>
      <w:pPr>
        <w:spacing w:after="0" w:line="181" w:lineRule="exact"/>
        <w:rPr>
          <w:rFonts w:ascii="Times New Roman" w:cs="Times New Roman" w:eastAsia="Times New Roman" w:hAnsi="Times New Roman"/>
          <w:sz w:val="20"/>
          <w:szCs w:val="20"/>
          <w:color w:val="auto"/>
        </w:rPr>
      </w:pPr>
    </w:p>
    <w:p>
      <w:pPr>
        <w:ind w:left="1440" w:right="160" w:hanging="370"/>
        <w:spacing w:after="0" w:line="266"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appropriateness of the tax rates, interest rates and tax amortization utilized in the determination of the Tax Receivable Agreement liability, by agreeing to the terms in the Tax Receivable Agreement and applicable Federal and state tax laws.</w:t>
      </w:r>
    </w:p>
    <w:p>
      <w:pPr>
        <w:spacing w:after="0" w:line="195" w:lineRule="exact"/>
        <w:rPr>
          <w:rFonts w:ascii="Times New Roman" w:cs="Times New Roman" w:eastAsia="Times New Roman" w:hAnsi="Times New Roman"/>
          <w:sz w:val="20"/>
          <w:szCs w:val="20"/>
          <w:color w:val="auto"/>
        </w:rPr>
      </w:pPr>
    </w:p>
    <w:p>
      <w:pPr>
        <w:ind w:left="1440" w:right="140" w:hanging="370"/>
        <w:spacing w:after="0" w:line="266"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reasonableness of the methods, inputs, and assumptions used by management to determine the Tax Receivable Agreement liability. We performed testing, on a sample basis, on contributions, distributions, and tax basis amounts and calculations related to the step-up in basis.</w:t>
      </w:r>
    </w:p>
    <w:p>
      <w:pPr>
        <w:spacing w:after="0" w:line="19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mathematical accuracy of the Tax Receivable Agreement liability calculation and cash payments.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ectPr>
          <w:pgSz w:w="12060" w:h="15660" w:orient="portrait"/>
          <w:cols w:equalWidth="0" w:num="1">
            <w:col w:w="10360"/>
          </w:cols>
          <w:pgMar w:left="820" w:top="74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ectPr>
          <w:pgSz w:w="12060" w:h="15660" w:orient="portrait"/>
          <w:cols w:equalWidth="0" w:num="1">
            <w:col w:w="10360"/>
          </w:cols>
          <w:pgMar w:left="820" w:top="748" w:right="880" w:bottom="0" w:gutter="0" w:footer="0" w:header="0"/>
          <w:type w:val="continuous"/>
        </w:sectPr>
      </w:pPr>
    </w:p>
    <w:bookmarkStart w:id="108" w:name="page109"/>
    <w:bookmarkEnd w:id="108"/>
    <w:p>
      <w:pPr>
        <w:ind w:left="10" w:right="2700" w:firstLine="271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Internal Control over Financial Reporting</w:t>
      </w:r>
    </w:p>
    <w:p>
      <w:pPr>
        <w:spacing w:after="0" w:line="2"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We have audited the internal control over financial reporting of Tradeweb Markets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64"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17" w:lineRule="exact"/>
        <w:rPr>
          <w:sz w:val="20"/>
          <w:szCs w:val="20"/>
          <w:color w:val="auto"/>
        </w:rPr>
      </w:pPr>
    </w:p>
    <w:p>
      <w:pPr>
        <w:ind w:left="10" w:right="100"/>
        <w:spacing w:after="0" w:line="27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10" w:right="20" w:hanging="10"/>
        <w:spacing w:after="0" w:line="252" w:lineRule="auto"/>
        <w:tabs>
          <w:tab w:leader="none" w:pos="2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left="10" w:right="64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February 24, 2023</w:t>
      </w:r>
    </w:p>
    <w:p>
      <w:pPr>
        <w:sectPr>
          <w:pgSz w:w="12060" w:h="15660" w:orient="portrait"/>
          <w:cols w:equalWidth="0" w:num="1">
            <w:col w:w="10430"/>
          </w:cols>
          <w:pgMar w:left="81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97</w:t>
      </w:r>
    </w:p>
    <w:p>
      <w:pPr>
        <w:sectPr>
          <w:pgSz w:w="12060" w:h="15660" w:orient="portrait"/>
          <w:cols w:equalWidth="0" w:num="1">
            <w:col w:w="10430"/>
          </w:cols>
          <w:pgMar w:left="810" w:top="741" w:right="820" w:bottom="0" w:gutter="0" w:footer="0" w:header="0"/>
          <w:type w:val="continuous"/>
        </w:sectPr>
      </w:pPr>
    </w:p>
    <w:bookmarkStart w:id="109" w:name="page110"/>
    <w:bookmarkEnd w:id="109"/>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Financial Condition</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199"/>
        </w:trPr>
        <w:tc>
          <w:tcPr>
            <w:tcW w:w="7840" w:type="dxa"/>
            <w:vAlign w:val="bottom"/>
          </w:tcPr>
          <w:p>
            <w:pPr>
              <w:ind w:left="3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1,257,229</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972,048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brokers and dealers and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$129 and $273 at December 31, 2022 and 2021, respectively</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129,937</w:t>
            </w:r>
          </w:p>
        </w:tc>
        <w:tc>
          <w:tcPr>
            <w:tcW w:w="0" w:type="dxa"/>
            <w:vAlign w:val="bottom"/>
          </w:tcPr>
          <w:p>
            <w:pPr>
              <w:spacing w:after="0"/>
              <w:rPr>
                <w:sz w:val="1"/>
                <w:szCs w:val="1"/>
                <w:color w:val="auto"/>
              </w:rPr>
            </w:pPr>
          </w:p>
        </w:tc>
      </w:tr>
      <w:tr>
        <w:trPr>
          <w:trHeight w:val="180"/>
        </w:trPr>
        <w:tc>
          <w:tcPr>
            <w:tcW w:w="7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equipment, purchased software and leasehold improvements, net of accumulated depreciation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Software development costs, net of accumulated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141,833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156,203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2,780,259</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2,780,259</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1,072,818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1,180,016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affiliates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689,442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618,970</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76,984</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76,355</w:t>
            </w:r>
          </w:p>
        </w:tc>
        <w:tc>
          <w:tcPr>
            <w:tcW w:w="0" w:type="dxa"/>
            <w:vAlign w:val="bottom"/>
          </w:tcPr>
          <w:p>
            <w:pPr>
              <w:spacing w:after="0"/>
              <w:rPr>
                <w:sz w:val="1"/>
                <w:szCs w:val="1"/>
                <w:color w:val="auto"/>
              </w:rPr>
            </w:pPr>
          </w:p>
        </w:tc>
      </w:tr>
      <w:tr>
        <w:trPr>
          <w:trHeight w:val="20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6,260,131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5,990,180</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1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to brokers and dealers and clearing organizations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154,824</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24,331</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to affiliates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425,724</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412,449</w:t>
            </w:r>
          </w:p>
        </w:tc>
        <w:tc>
          <w:tcPr>
            <w:tcW w:w="0" w:type="dxa"/>
            <w:vAlign w:val="bottom"/>
          </w:tcPr>
          <w:p>
            <w:pPr>
              <w:spacing w:after="0"/>
              <w:rPr>
                <w:sz w:val="1"/>
                <w:szCs w:val="1"/>
                <w:color w:val="auto"/>
              </w:rPr>
            </w:pPr>
          </w:p>
        </w:tc>
      </w:tr>
      <w:tr>
        <w:trPr>
          <w:trHeight w:val="22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713,815</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681,237</w:t>
            </w:r>
          </w:p>
        </w:tc>
        <w:tc>
          <w:tcPr>
            <w:tcW w:w="0" w:type="dxa"/>
            <w:vAlign w:val="bottom"/>
          </w:tcPr>
          <w:p>
            <w:pPr>
              <w:spacing w:after="0"/>
              <w:rPr>
                <w:sz w:val="1"/>
                <w:szCs w:val="1"/>
                <w:color w:val="auto"/>
              </w:rPr>
            </w:pPr>
          </w:p>
        </w:tc>
      </w:tr>
      <w:tr>
        <w:trPr>
          <w:trHeight w:val="46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$0.00001 par value; 250,000,000 shares authorized; none issued or outstanding</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$0.00001 par value; 1,000,000,000 shares authorized; 110,746,606 and 106,286,821 shares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as of December 31, 2022 and 2021,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$0.00001 par value; 450,000,000 shares authorized; 96,933,192 and 96,933,192 shares issued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2022 and 2021,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C common stock, $0.00001 par value; 350,000,000 shares authorized; 3,251,177 and 1,654,825 shares issued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2022 and 2021,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D common stock, $0.00001 par value; 300,000,000 shares authorized; 23,092,704 and 28,873,139 shares issued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2022 and 2021, respectively</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4,577,270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4,401,366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386,632</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242,623</w:t>
            </w:r>
          </w:p>
        </w:tc>
        <w:tc>
          <w:tcPr>
            <w:tcW w:w="0" w:type="dxa"/>
            <w:vAlign w:val="bottom"/>
          </w:tcPr>
          <w:p>
            <w:pPr>
              <w:spacing w:after="0"/>
              <w:rPr>
                <w:sz w:val="1"/>
                <w:szCs w:val="1"/>
                <w:color w:val="auto"/>
              </w:rPr>
            </w:pPr>
          </w:p>
        </w:tc>
      </w:tr>
      <w:tr>
        <w:trPr>
          <w:trHeight w:val="214"/>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 attributable to Tradeweb Markets Inc.</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4,953,791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4,645,595</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592,525</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663,348</w:t>
            </w:r>
          </w:p>
        </w:tc>
        <w:tc>
          <w:tcPr>
            <w:tcW w:w="0" w:type="dxa"/>
            <w:vAlign w:val="bottom"/>
          </w:tcPr>
          <w:p>
            <w:pPr>
              <w:spacing w:after="0"/>
              <w:rPr>
                <w:sz w:val="1"/>
                <w:szCs w:val="1"/>
                <w:color w:val="auto"/>
              </w:rPr>
            </w:pPr>
          </w:p>
        </w:tc>
      </w:tr>
      <w:tr>
        <w:trPr>
          <w:trHeight w:val="22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5,546,316</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5,308,943</w:t>
            </w:r>
          </w:p>
        </w:tc>
        <w:tc>
          <w:tcPr>
            <w:tcW w:w="0" w:type="dxa"/>
            <w:vAlign w:val="bottom"/>
          </w:tcPr>
          <w:p>
            <w:pPr>
              <w:spacing w:after="0"/>
              <w:rPr>
                <w:sz w:val="1"/>
                <w:szCs w:val="1"/>
                <w:color w:val="auto"/>
              </w:rPr>
            </w:pPr>
          </w:p>
        </w:tc>
      </w:tr>
      <w:tr>
        <w:trPr>
          <w:trHeight w:val="200"/>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6,260,131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5,990,180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-7146290</wp:posOffset>
            </wp:positionV>
            <wp:extent cx="6654800" cy="7153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extLst>
                        <a:ext uri="{28A0092B-C50C-407E-A947-70E740481C1C}"/>
                      </a:extLst>
                    </a:blip>
                    <a:srcRect/>
                    <a:stretch>
                      <a:fillRect/>
                    </a:stretch>
                  </pic:blipFill>
                  <pic:spPr bwMode="auto">
                    <a:xfrm>
                      <a:off x="0" y="0"/>
                      <a:ext cx="6654800" cy="7153275"/>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98</w:t>
      </w:r>
    </w:p>
    <w:p>
      <w:pPr>
        <w:sectPr>
          <w:pgSz w:w="12060" w:h="15660" w:orient="portrait"/>
          <w:cols w:equalWidth="0" w:num="1">
            <w:col w:w="10400"/>
          </w:cols>
          <w:pgMar w:left="860" w:top="726" w:right="800" w:bottom="0" w:gutter="0" w:footer="0" w:header="0"/>
          <w:type w:val="continuous"/>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Consolidated Statements of Income</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9"/>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 fees and commissions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846,354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681,588</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Subscription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158,448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142,358</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Refinitiv market data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59,706</w:t>
            </w:r>
          </w:p>
        </w:tc>
        <w:tc>
          <w:tcPr>
            <w:tcW w:w="0" w:type="dxa"/>
            <w:vAlign w:val="bottom"/>
          </w:tcPr>
          <w:p>
            <w:pPr>
              <w:spacing w:after="0"/>
              <w:rPr>
                <w:sz w:val="1"/>
                <w:szCs w:val="1"/>
                <w:color w:val="auto"/>
              </w:rPr>
            </w:pPr>
          </w:p>
        </w:tc>
      </w:tr>
      <w:tr>
        <w:trPr>
          <w:trHeight w:val="246"/>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10,484</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0" w:type="dxa"/>
            <w:vAlign w:val="bottom"/>
          </w:tcPr>
          <w:p>
            <w:pPr>
              <w:spacing w:after="0"/>
              <w:rPr>
                <w:sz w:val="1"/>
                <w:szCs w:val="1"/>
                <w:color w:val="auto"/>
              </w:rPr>
            </w:pPr>
          </w:p>
        </w:tc>
      </w:tr>
      <w:tr>
        <w:trPr>
          <w:trHeight w:val="214"/>
        </w:trPr>
        <w:tc>
          <w:tcPr>
            <w:tcW w:w="6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1,188,781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1,076,447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892,659</w:t>
            </w:r>
          </w:p>
        </w:tc>
        <w:tc>
          <w:tcPr>
            <w:tcW w:w="0" w:type="dxa"/>
            <w:vAlign w:val="bottom"/>
          </w:tcPr>
          <w:p>
            <w:pPr>
              <w:spacing w:after="0"/>
              <w:rPr>
                <w:sz w:val="1"/>
                <w:szCs w:val="1"/>
                <w:color w:val="auto"/>
              </w:rPr>
            </w:pPr>
          </w:p>
        </w:tc>
      </w:tr>
      <w:tr>
        <w:trPr>
          <w:trHeight w:val="465"/>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407,260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349,658</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178,879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171,308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153,789</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 and communications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34,822</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28,875</w:t>
            </w:r>
          </w:p>
        </w:tc>
        <w:tc>
          <w:tcPr>
            <w:tcW w:w="0" w:type="dxa"/>
            <w:vAlign w:val="bottom"/>
          </w:tcPr>
          <w:p>
            <w:pPr>
              <w:spacing w:after="0"/>
              <w:rPr>
                <w:sz w:val="1"/>
                <w:szCs w:val="1"/>
                <w:color w:val="auto"/>
              </w:rPr>
            </w:pPr>
          </w:p>
        </w:tc>
      </w:tr>
      <w:tr>
        <w:trPr>
          <w:trHeight w:val="246"/>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14,528</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14,660</w:t>
            </w:r>
          </w:p>
        </w:tc>
        <w:tc>
          <w:tcPr>
            <w:tcW w:w="0" w:type="dxa"/>
            <w:vAlign w:val="bottom"/>
          </w:tcPr>
          <w:p>
            <w:pPr>
              <w:spacing w:after="0"/>
              <w:rPr>
                <w:sz w:val="1"/>
                <w:szCs w:val="1"/>
                <w:color w:val="auto"/>
              </w:rPr>
            </w:pPr>
          </w:p>
        </w:tc>
      </w:tr>
      <w:tr>
        <w:trPr>
          <w:trHeight w:val="220"/>
        </w:trPr>
        <w:tc>
          <w:tcPr>
            <w:tcW w:w="6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776,208</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717,619</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629,304</w:t>
            </w:r>
          </w:p>
        </w:tc>
        <w:tc>
          <w:tcPr>
            <w:tcW w:w="0" w:type="dxa"/>
            <w:vAlign w:val="bottom"/>
          </w:tcPr>
          <w:p>
            <w:pPr>
              <w:spacing w:after="0"/>
              <w:rPr>
                <w:sz w:val="1"/>
                <w:szCs w:val="1"/>
                <w:color w:val="auto"/>
              </w:rPr>
            </w:pPr>
          </w:p>
        </w:tc>
      </w:tr>
      <w:tr>
        <w:trPr>
          <w:trHeight w:val="220"/>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412,573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358,828</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263,355</w:t>
            </w:r>
          </w:p>
        </w:tc>
        <w:tc>
          <w:tcPr>
            <w:tcW w:w="0" w:type="dxa"/>
            <w:vAlign w:val="bottom"/>
          </w:tcPr>
          <w:p>
            <w:pPr>
              <w:spacing w:after="0"/>
              <w:rPr>
                <w:sz w:val="1"/>
                <w:szCs w:val="1"/>
                <w:color w:val="auto"/>
              </w:rPr>
            </w:pPr>
          </w:p>
        </w:tc>
      </w:tr>
      <w:tr>
        <w:trPr>
          <w:trHeight w:val="233"/>
        </w:trPr>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Tax receivable agreement liability adjustment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11,425</w:t>
            </w:r>
          </w:p>
        </w:tc>
        <w:tc>
          <w:tcPr>
            <w:tcW w:w="0" w:type="dxa"/>
            <w:vAlign w:val="bottom"/>
          </w:tcPr>
          <w:p>
            <w:pPr>
              <w:spacing w:after="0"/>
              <w:rPr>
                <w:sz w:val="1"/>
                <w:szCs w:val="1"/>
                <w:color w:val="auto"/>
              </w:rPr>
            </w:pPr>
          </w:p>
        </w:tc>
      </w:tr>
      <w:tr>
        <w:trPr>
          <w:trHeight w:val="221"/>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46"/>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from investments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taxes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437,133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369,983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274,464</w:t>
            </w:r>
          </w:p>
        </w:tc>
        <w:tc>
          <w:tcPr>
            <w:tcW w:w="0" w:type="dxa"/>
            <w:vAlign w:val="bottom"/>
          </w:tcPr>
          <w:p>
            <w:pPr>
              <w:spacing w:after="0"/>
              <w:rPr>
                <w:sz w:val="1"/>
                <w:szCs w:val="1"/>
                <w:color w:val="auto"/>
              </w:rPr>
            </w:pPr>
          </w:p>
        </w:tc>
      </w:tr>
      <w:tr>
        <w:trPr>
          <w:trHeight w:val="220"/>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(77,520)</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(56,074)</w:t>
            </w:r>
          </w:p>
        </w:tc>
        <w:tc>
          <w:tcPr>
            <w:tcW w:w="0" w:type="dxa"/>
            <w:vAlign w:val="bottom"/>
          </w:tcPr>
          <w:p>
            <w:pPr>
              <w:spacing w:after="0"/>
              <w:rPr>
                <w:sz w:val="1"/>
                <w:szCs w:val="1"/>
                <w:color w:val="auto"/>
              </w:rPr>
            </w:pPr>
          </w:p>
        </w:tc>
      </w:tr>
      <w:tr>
        <w:trPr>
          <w:trHeight w:val="214"/>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359,613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273,108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218,390</w:t>
            </w:r>
          </w:p>
        </w:tc>
        <w:tc>
          <w:tcPr>
            <w:tcW w:w="0" w:type="dxa"/>
            <w:vAlign w:val="bottom"/>
          </w:tcPr>
          <w:p>
            <w:pPr>
              <w:spacing w:after="0"/>
              <w:rPr>
                <w:sz w:val="1"/>
                <w:szCs w:val="1"/>
                <w:color w:val="auto"/>
              </w:rPr>
            </w:pPr>
          </w:p>
        </w:tc>
      </w:tr>
      <w:tr>
        <w:trPr>
          <w:trHeight w:val="246"/>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52,094</w:t>
            </w:r>
          </w:p>
        </w:tc>
        <w:tc>
          <w:tcPr>
            <w:tcW w:w="0" w:type="dxa"/>
            <w:vAlign w:val="bottom"/>
          </w:tcPr>
          <w:p>
            <w:pPr>
              <w:spacing w:after="0"/>
              <w:rPr>
                <w:sz w:val="1"/>
                <w:szCs w:val="1"/>
                <w:color w:val="auto"/>
              </w:rPr>
            </w:pPr>
          </w:p>
        </w:tc>
      </w:tr>
      <w:tr>
        <w:trPr>
          <w:trHeight w:val="200"/>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309,338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226,828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166,296</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Earnings per share attributable to Tradeweb Markets Inc. Class A and B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80" w:type="dxa"/>
            <w:vAlign w:val="bottom"/>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205,576,637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201,419,081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180,409,462</w:t>
            </w:r>
          </w:p>
        </w:tc>
        <w:tc>
          <w:tcPr>
            <w:tcW w:w="0" w:type="dxa"/>
            <w:vAlign w:val="bottom"/>
          </w:tcPr>
          <w:p>
            <w:pPr>
              <w:spacing w:after="0"/>
              <w:rPr>
                <w:sz w:val="1"/>
                <w:szCs w:val="1"/>
                <w:color w:val="auto"/>
              </w:rPr>
            </w:pPr>
          </w:p>
        </w:tc>
      </w:tr>
      <w:tr>
        <w:trPr>
          <w:trHeight w:val="240"/>
        </w:trPr>
        <w:tc>
          <w:tcPr>
            <w:tcW w:w="6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208,400,040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207,254,840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188,223,032</w:t>
            </w:r>
          </w:p>
        </w:tc>
        <w:tc>
          <w:tcPr>
            <w:tcW w:w="0" w:type="dxa"/>
            <w:vAlign w:val="bottom"/>
          </w:tcPr>
          <w:p>
            <w:pPr>
              <w:spacing w:after="0"/>
              <w:rPr>
                <w:sz w:val="1"/>
                <w:szCs w:val="1"/>
                <w:color w:val="auto"/>
              </w:rPr>
            </w:pPr>
          </w:p>
        </w:tc>
      </w:tr>
      <w:tr>
        <w:trPr>
          <w:trHeight w:val="275"/>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(1)  See Note 10 – Tax Receivable Agreement.</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-4900930</wp:posOffset>
            </wp:positionV>
            <wp:extent cx="6654800" cy="4749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1">
                      <a:extLst>
                        <a:ext uri="{28A0092B-C50C-407E-A947-70E740481C1C}"/>
                      </a:extLst>
                    </a:blip>
                    <a:srcRect/>
                    <a:stretch>
                      <a:fillRect/>
                    </a:stretch>
                  </pic:blipFill>
                  <pic:spPr bwMode="auto">
                    <a:xfrm>
                      <a:off x="0" y="0"/>
                      <a:ext cx="6654800" cy="4749800"/>
                    </a:xfrm>
                    <a:prstGeom prst="rect">
                      <a:avLst/>
                    </a:prstGeom>
                    <a:noFill/>
                  </pic:spPr>
                </pic:pic>
              </a:graphicData>
            </a:graphic>
          </wp:anchor>
        </w:drawing>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40"/>
          </w:cols>
          <w:pgMar w:left="82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99</w:t>
      </w:r>
    </w:p>
    <w:p>
      <w:pPr>
        <w:sectPr>
          <w:pgSz w:w="12060" w:h="15660" w:orient="portrait"/>
          <w:cols w:equalWidth="0" w:num="1">
            <w:col w:w="10440"/>
          </w:cols>
          <w:pgMar w:left="820" w:top="726" w:right="800" w:bottom="0" w:gutter="0" w:footer="0" w:header="0"/>
          <w:type w:val="continuous"/>
        </w:sectPr>
      </w:pPr>
    </w:p>
    <w:bookmarkStart w:id="111" w:name="page112"/>
    <w:bookmarkEnd w:id="111"/>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Comprehensive Income</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218,390</w:t>
            </w:r>
          </w:p>
        </w:tc>
      </w:tr>
      <w:tr>
        <w:trPr>
          <w:trHeight w:val="20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92"/>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with no tax benefit for each of the years ended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2"/>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2022, 2021 and 2020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r>
      <w:tr>
        <w:trPr>
          <w:trHeight w:val="45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346,371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221,596</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52,094</w:t>
            </w:r>
          </w:p>
        </w:tc>
      </w:tr>
      <w:tr>
        <w:trPr>
          <w:trHeight w:val="24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Less: Foreign currency translation adjustments attributable to non-controlling interests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Tradeweb Markets Inc.</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169,389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-1507490</wp:posOffset>
            </wp:positionV>
            <wp:extent cx="6654800" cy="15144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2">
                      <a:extLst>
                        <a:ext uri="{28A0092B-C50C-407E-A947-70E740481C1C}"/>
                      </a:extLst>
                    </a:blip>
                    <a:srcRect/>
                    <a:stretch>
                      <a:fillRect/>
                    </a:stretch>
                  </pic:blipFill>
                  <pic:spPr bwMode="auto">
                    <a:xfrm>
                      <a:off x="0" y="0"/>
                      <a:ext cx="6654800" cy="1514475"/>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100</w:t>
      </w:r>
    </w:p>
    <w:p>
      <w:pPr>
        <w:sectPr>
          <w:pgSz w:w="12060" w:h="15660" w:orient="portrait"/>
          <w:cols w:equalWidth="0" w:num="1">
            <w:col w:w="10400"/>
          </w:cols>
          <w:pgMar w:left="860" w:top="726" w:right="800" w:bottom="0" w:gutter="0" w:footer="0" w:header="0"/>
          <w:type w:val="continuous"/>
        </w:sectPr>
      </w:pPr>
    </w:p>
    <w:bookmarkStart w:id="112" w:name="page113"/>
    <w:bookmarkEnd w:id="112"/>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Changes in Equity</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Tradeweb Markets Inc. Stockholders’ Equity</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Non-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rPr>
                <w:sz w:val="8"/>
                <w:szCs w:val="8"/>
                <w:color w:val="auto"/>
              </w:rPr>
            </w:pPr>
          </w:p>
        </w:tc>
        <w:tc>
          <w:tcPr>
            <w:tcW w:w="78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98"/>
              </w:rPr>
              <w:t>Class A</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9"/>
              </w:rPr>
              <w:t>Class B</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8"/>
              </w:rPr>
              <w:t>Class C</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center"/>
              <w:ind w:left="350"/>
              <w:spacing w:after="0"/>
              <w:rPr>
                <w:sz w:val="20"/>
                <w:szCs w:val="20"/>
                <w:color w:val="auto"/>
              </w:rPr>
            </w:pPr>
            <w:r>
              <w:rPr>
                <w:rFonts w:ascii="Times New Roman" w:cs="Times New Roman" w:eastAsia="Times New Roman" w:hAnsi="Times New Roman"/>
                <w:sz w:val="10"/>
                <w:szCs w:val="10"/>
                <w:b w:val="1"/>
                <w:bCs w:val="1"/>
                <w:color w:val="auto"/>
                <w:w w:val="98"/>
              </w:rPr>
              <w:t>Class 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50"/>
              <w:spacing w:after="0" w:line="100"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5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0"/>
        </w:trPr>
        <w:tc>
          <w:tcPr>
            <w:tcW w:w="228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ind w:right="70"/>
              <w:spacing w:after="0" w:line="100" w:lineRule="exact"/>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8"/>
                <w:szCs w:val="8"/>
                <w:color w:val="auto"/>
              </w:rPr>
            </w:pPr>
          </w:p>
        </w:tc>
        <w:tc>
          <w:tcPr>
            <w:tcW w:w="78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100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6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3"/>
                <w:szCs w:val="13"/>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3"/>
                <w:szCs w:val="13"/>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3"/>
                <w:szCs w:val="13"/>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3"/>
                <w:szCs w:val="13"/>
                <w:color w:val="auto"/>
              </w:rPr>
            </w:pPr>
          </w:p>
        </w:tc>
        <w:tc>
          <w:tcPr>
            <w:tcW w:w="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Balance at December 31, 2019</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66,408,328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96,933,192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color w:val="auto"/>
              </w:rPr>
              <w:t>8,328,983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color w:val="auto"/>
              </w:rPr>
              <w:t>50,853,172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$ 3,329,386</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47,833</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1,214,157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4,592,745</w:t>
            </w:r>
          </w:p>
        </w:tc>
        <w:tc>
          <w:tcPr>
            <w:tcW w:w="0" w:type="dxa"/>
            <w:vAlign w:val="bottom"/>
          </w:tcPr>
          <w:p>
            <w:pPr>
              <w:spacing w:after="0"/>
              <w:rPr>
                <w:sz w:val="1"/>
                <w:szCs w:val="1"/>
                <w:color w:val="auto"/>
              </w:rPr>
            </w:pPr>
          </w:p>
        </w:tc>
      </w:tr>
      <w:tr>
        <w:trPr>
          <w:trHeight w:val="14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Activities related to the follow-on offering and 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exchanges of LLC Interests, net of offering costs and</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25,170,953</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(5,189,162)</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(19,981,791)</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(2,612)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(2,613)</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cancellations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Tax receivable agreement liability and deferred taxes</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203,932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203,932</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arising from LLC Interest ownership exchanges</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from equity incentive</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6,496,184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100,830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100,830</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Deferred taxes arising from issuance of common</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14,402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14,402</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 from equity incentive plans</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Adjustments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534,045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(533,900)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(16,752)</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Dividends ($0.32 per share)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(58,088)</w:t>
            </w: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PRSU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27,809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27,809</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5,359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5,359</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Option</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6,118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6,118</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Payroll taxes paid for stock-based compensation</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(76,175)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(76,175)</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166,296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218,390</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3,093</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3,206</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98,075,465</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96,933,192</w:t>
            </w:r>
          </w:p>
        </w:tc>
        <w:tc>
          <w:tcPr>
            <w:tcW w:w="60" w:type="dxa"/>
            <w:vAlign w:val="bottom"/>
          </w:tcPr>
          <w:p>
            <w:pPr>
              <w:spacing w:after="0"/>
              <w:rPr>
                <w:sz w:val="12"/>
                <w:szCs w:val="12"/>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2"/>
                <w:szCs w:val="12"/>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3,139,821</w:t>
            </w:r>
          </w:p>
        </w:tc>
        <w:tc>
          <w:tcPr>
            <w:tcW w:w="60" w:type="dxa"/>
            <w:vAlign w:val="bottom"/>
          </w:tcPr>
          <w:p>
            <w:pPr>
              <w:spacing w:after="0"/>
              <w:rPr>
                <w:sz w:val="12"/>
                <w:szCs w:val="1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30,871,381</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$ 4,143,094</w:t>
            </w:r>
          </w:p>
        </w:tc>
        <w:tc>
          <w:tcPr>
            <w:tcW w:w="60" w:type="dxa"/>
            <w:vAlign w:val="bottom"/>
          </w:tcPr>
          <w:p>
            <w:pPr>
              <w:spacing w:after="0"/>
              <w:rPr>
                <w:sz w:val="12"/>
                <w:szCs w:val="12"/>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4,314</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156,041</w:t>
            </w:r>
          </w:p>
        </w:tc>
        <w:tc>
          <w:tcPr>
            <w:tcW w:w="60" w:type="dxa"/>
            <w:vAlign w:val="bottom"/>
          </w:tcPr>
          <w:p>
            <w:pPr>
              <w:spacing w:after="0"/>
              <w:rPr>
                <w:sz w:val="12"/>
                <w:szCs w:val="12"/>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715,712</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5,019,163</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Activities related to exchanges of LLC Interests</w:t>
            </w: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3,483,238</w:t>
            </w: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(1,484,996)</w:t>
            </w: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(1,998,242)</w:t>
            </w: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from equity incentive</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5,630,086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93,104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93,104</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Share repurchases pursuant to share repurchase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(901,968)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(75,676)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(75,676)</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programs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Tax receivable agreement liability and deferred taxes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arising from LLC Interest ownership exchanges and</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the issuance of common stock from equity incentive</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8"/>
                <w:szCs w:val="8"/>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95,670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95,670</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plans</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Adjustments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87,006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(11,129)</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Dividends ($0.32 per share)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(64,570)</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PRSU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30,633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30,633</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Option</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5,327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5,327</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Payroll taxes paid for stock-based compensation</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(71,024)</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226,828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273,108</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(3,219)</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Other - See Note 14</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1,573</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1,573</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106,286,821</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96,933,192</w:t>
            </w:r>
          </w:p>
        </w:tc>
        <w:tc>
          <w:tcPr>
            <w:tcW w:w="60" w:type="dxa"/>
            <w:vAlign w:val="bottom"/>
          </w:tcPr>
          <w:p>
            <w:pPr>
              <w:spacing w:after="0"/>
              <w:rPr>
                <w:sz w:val="12"/>
                <w:szCs w:val="12"/>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2"/>
                <w:szCs w:val="12"/>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1,654,825</w:t>
            </w:r>
          </w:p>
        </w:tc>
        <w:tc>
          <w:tcPr>
            <w:tcW w:w="60" w:type="dxa"/>
            <w:vAlign w:val="bottom"/>
          </w:tcPr>
          <w:p>
            <w:pPr>
              <w:spacing w:after="0"/>
              <w:rPr>
                <w:sz w:val="12"/>
                <w:szCs w:val="1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28,873,139</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$ 4,401,366</w:t>
            </w:r>
          </w:p>
        </w:tc>
        <w:tc>
          <w:tcPr>
            <w:tcW w:w="60" w:type="dxa"/>
            <w:vAlign w:val="bottom"/>
          </w:tcPr>
          <w:p>
            <w:pPr>
              <w:spacing w:after="0"/>
              <w:rPr>
                <w:sz w:val="12"/>
                <w:szCs w:val="12"/>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1,604</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242,623</w:t>
            </w:r>
          </w:p>
        </w:tc>
        <w:tc>
          <w:tcPr>
            <w:tcW w:w="60" w:type="dxa"/>
            <w:vAlign w:val="bottom"/>
          </w:tcPr>
          <w:p>
            <w:pPr>
              <w:spacing w:after="0"/>
              <w:rPr>
                <w:sz w:val="12"/>
                <w:szCs w:val="12"/>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663,348</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5,308,943</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Activities related to exchanges of LLC Interests</w:t>
            </w: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4,184,083</w:t>
            </w: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1,596,352</w:t>
            </w: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(5,780,435)</w:t>
            </w: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from equity incentive</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1,622,769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10,190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10,190</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Share repurchases pursuant to share repurchase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(1,347,067)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(99,323)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(99,323)</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programs</w:t>
            </w: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Tax receivable agreement liability and deferred taxes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arising from LLC Interest ownership exchanges and</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80" w:type="dxa"/>
            <w:vAlign w:val="bottom"/>
          </w:tcPr>
          <w:p>
            <w:pPr>
              <w:spacing w:after="0" w:line="100" w:lineRule="exact"/>
              <w:rPr>
                <w:sz w:val="20"/>
                <w:szCs w:val="20"/>
                <w:color w:val="auto"/>
              </w:rPr>
            </w:pPr>
            <w:r>
              <w:rPr>
                <w:rFonts w:ascii="Times New Roman" w:cs="Times New Roman" w:eastAsia="Times New Roman" w:hAnsi="Times New Roman"/>
                <w:sz w:val="10"/>
                <w:szCs w:val="10"/>
                <w:color w:val="auto"/>
              </w:rPr>
              <w:t>the issuance of common stock from equity incentive</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8"/>
                <w:szCs w:val="8"/>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88,230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88,230</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plans</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Adjustments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108,679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(10,894)</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Dividends ($0.32 per share)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(66,006)</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PRSU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30,952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30,952</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RSU</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34,329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34,329</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 under the Option</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2,099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2,099</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Plan</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Payroll taxes paid for stock-based compensation</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(101,675)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(101,675)</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309,338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50,275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359,613</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(13,242)</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Other - See Note 14</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3,100</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110,746,606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96,933,192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color w:val="auto"/>
              </w:rPr>
              <w:t>3,251,177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color w:val="auto"/>
              </w:rPr>
              <w:t>23,092,704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$ 4,577,270</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386,632</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592,525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5,546,316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-6574790</wp:posOffset>
            </wp:positionV>
            <wp:extent cx="6692900" cy="658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extLst>
                    </a:blip>
                    <a:srcRect/>
                    <a:stretch>
                      <a:fillRect/>
                    </a:stretch>
                  </pic:blipFill>
                  <pic:spPr bwMode="auto">
                    <a:xfrm>
                      <a:off x="0" y="0"/>
                      <a:ext cx="6692900" cy="6581775"/>
                    </a:xfrm>
                    <a:prstGeom prst="rect">
                      <a:avLst/>
                    </a:prstGeom>
                    <a:noFill/>
                  </pic:spPr>
                </pic:pic>
              </a:graphicData>
            </a:graphic>
          </wp:anchor>
        </w:drawing>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2060" w:h="15660" w:orient="portrait"/>
          <w:cols w:equalWidth="0" w:num="1">
            <w:col w:w="10440"/>
          </w:cols>
          <w:pgMar w:left="840" w:top="54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101</w:t>
      </w:r>
    </w:p>
    <w:p>
      <w:pPr>
        <w:sectPr>
          <w:pgSz w:w="12060" w:h="15660" w:orient="portrait"/>
          <w:cols w:equalWidth="0" w:num="1">
            <w:col w:w="10440"/>
          </w:cols>
          <w:pgMar w:left="840" w:top="546" w:right="780" w:bottom="0" w:gutter="0" w:footer="0" w:header="0"/>
          <w:type w:val="continuous"/>
        </w:sectPr>
      </w:pPr>
    </w:p>
    <w:bookmarkStart w:id="113" w:name="page114"/>
    <w:bookmarkEnd w:id="113"/>
    <w:p>
      <w:pPr>
        <w:ind w:left="312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218,390</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171,308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153,789</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39,286</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65,189</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(11,425)</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operating assets: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from/payable to brokers and dealers and clearing organizations,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from/payable to affiliates,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(35,109)</w:t>
            </w:r>
          </w:p>
        </w:tc>
      </w:tr>
      <w:tr>
        <w:trPr>
          <w:trHeight w:val="228"/>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9,187</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4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11,194</w:t>
            </w:r>
          </w:p>
        </w:tc>
      </w:tr>
      <w:tr>
        <w:trPr>
          <w:trHeight w:val="246"/>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equity compensation payable</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443,234</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furniture, equipment, software and leasehold improvements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(11,490)</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(31,046)</w:t>
            </w: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investments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(60,096)</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(259,110)</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(62,536)</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repurchases pursuant to share repurchase programs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(99,323)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exercises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100,830</w:t>
            </w:r>
          </w:p>
        </w:tc>
      </w:tr>
      <w:tr>
        <w:trPr>
          <w:trHeight w:val="211"/>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Class A common stock in follow-on offering, net of underwriting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discounts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626,267</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LLC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(626,267)</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Offering costs from issuance of Class A common stock in follow-on offering</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(58,088)</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(76,175)</w:t>
            </w:r>
          </w:p>
        </w:tc>
      </w:tr>
      <w:tr>
        <w:trPr>
          <w:trHeight w:val="246"/>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tax receivable agreement liability</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(276,703)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(136,100)</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(52,693)</w:t>
            </w: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w:t>
            </w:r>
          </w:p>
        </w:tc>
      </w:tr>
      <w:tr>
        <w:trPr>
          <w:trHeight w:val="214"/>
        </w:trPr>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180,768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330,569</w:t>
            </w: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973,048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792,280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461,711</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973,048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792,280</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-6546215</wp:posOffset>
            </wp:positionV>
            <wp:extent cx="6654800" cy="6553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4">
                      <a:extLst>
                        <a:ext uri="{28A0092B-C50C-407E-A947-70E740481C1C}"/>
                      </a:extLst>
                    </a:blip>
                    <a:srcRect/>
                    <a:stretch>
                      <a:fillRect/>
                    </a:stretch>
                  </pic:blipFill>
                  <pic:spPr bwMode="auto">
                    <a:xfrm>
                      <a:off x="0" y="0"/>
                      <a:ext cx="6654800" cy="65532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45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102</w:t>
      </w:r>
    </w:p>
    <w:p>
      <w:pPr>
        <w:sectPr>
          <w:pgSz w:w="12060" w:h="15660" w:orient="portrait"/>
          <w:cols w:equalWidth="0" w:num="1">
            <w:col w:w="10400"/>
          </w:cols>
          <w:pgMar w:left="860" w:top="456" w:right="800" w:bottom="0" w:gutter="0" w:footer="0" w:header="0"/>
          <w:type w:val="continuous"/>
        </w:sectPr>
      </w:pPr>
    </w:p>
    <w:bookmarkStart w:id="114" w:name="page115"/>
    <w:bookmarkEnd w:id="114"/>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 - (Continued)</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19,105</w:t>
            </w: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Furniture, equipment, software and leasehold improvement additions included in accounts payable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 obtained in exchange for lease liabilities, net of modifications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terminations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capitalized to software development costs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Items arising from follow-on offering and other LLC Interest ownership changes: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Establishment of liabilities under Tax Receivable Agreement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174,940</w:t>
            </w:r>
          </w:p>
        </w:tc>
      </w:tr>
      <w:tr>
        <w:trPr>
          <w:trHeight w:val="240"/>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393,274</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Other - See Note 14</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-1640205</wp:posOffset>
            </wp:positionV>
            <wp:extent cx="6654800" cy="1663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5">
                      <a:extLst>
                        <a:ext uri="{28A0092B-C50C-407E-A947-70E740481C1C}"/>
                      </a:extLst>
                    </a:blip>
                    <a:srcRect/>
                    <a:stretch>
                      <a:fillRect/>
                    </a:stretch>
                  </pic:blipFill>
                  <pic:spPr bwMode="auto">
                    <a:xfrm>
                      <a:off x="0" y="0"/>
                      <a:ext cx="6654800" cy="166370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as shown on the statements of</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0"/>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condition: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791,280</w:t>
            </w:r>
          </w:p>
        </w:tc>
      </w:tr>
      <w:tr>
        <w:trPr>
          <w:trHeight w:val="24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1,258,229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973,048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792,280</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-488315</wp:posOffset>
            </wp:positionV>
            <wp:extent cx="6654800" cy="177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6">
                      <a:extLst>
                        <a:ext uri="{28A0092B-C50C-407E-A947-70E740481C1C}"/>
                      </a:extLst>
                    </a:blip>
                    <a:srcRect/>
                    <a:stretch>
                      <a:fillRect/>
                    </a:stretch>
                  </pic:blipFill>
                  <pic:spPr bwMode="auto">
                    <a:xfrm>
                      <a:off x="0" y="0"/>
                      <a:ext cx="6654800" cy="17780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-183515</wp:posOffset>
            </wp:positionV>
            <wp:extent cx="6654800" cy="190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7">
                      <a:extLst>
                        <a:ext uri="{28A0092B-C50C-407E-A947-70E740481C1C}"/>
                      </a:extLst>
                    </a:blip>
                    <a:srcRect/>
                    <a:stretch>
                      <a:fillRect/>
                    </a:stretch>
                  </pic:blipFill>
                  <pic:spPr bwMode="auto">
                    <a:xfrm>
                      <a:off x="0" y="0"/>
                      <a:ext cx="6654800" cy="1905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0" w:orient="portrait"/>
          <w:cols w:equalWidth="0" w:num="1">
            <w:col w:w="10400"/>
          </w:cols>
          <w:pgMar w:left="860" w:top="88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103</w:t>
      </w:r>
    </w:p>
    <w:p>
      <w:pPr>
        <w:sectPr>
          <w:pgSz w:w="12060" w:h="15660" w:orient="portrait"/>
          <w:cols w:equalWidth="0" w:num="1">
            <w:col w:w="10400"/>
          </w:cols>
          <w:pgMar w:left="860" w:top="884" w:right="800" w:bottom="0" w:gutter="0" w:footer="0" w:header="0"/>
          <w:type w:val="continuous"/>
        </w:sectPr>
      </w:pPr>
    </w:p>
    <w:bookmarkStart w:id="115" w:name="page116"/>
    <w:bookmarkEnd w:id="115"/>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9"/>
        </w:trPr>
        <w:tc>
          <w:tcPr>
            <w:tcW w:w="80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color w:val="auto"/>
              </w:rPr>
              <w:t>Note 1</w:t>
            </w:r>
          </w:p>
        </w:tc>
        <w:tc>
          <w:tcPr>
            <w:tcW w:w="3780" w:type="dxa"/>
            <w:vAlign w:val="bottom"/>
            <w:gridSpan w:val="16"/>
          </w:tcPr>
          <w:p>
            <w:pPr>
              <w:spacing w:after="0" w:line="219" w:lineRule="exact"/>
              <w:rPr>
                <w:sz w:val="20"/>
                <w:szCs w:val="20"/>
                <w:color w:val="auto"/>
              </w:rPr>
            </w:pPr>
            <w:r>
              <w:rPr>
                <w:rFonts w:ascii="Times New Roman" w:cs="Times New Roman" w:eastAsia="Times New Roman" w:hAnsi="Times New Roman"/>
                <w:sz w:val="20"/>
                <w:szCs w:val="20"/>
                <w:color w:val="auto"/>
              </w:rPr>
              <w:t>Organization</w:t>
            </w:r>
          </w:p>
        </w:tc>
        <w:tc>
          <w:tcPr>
            <w:tcW w:w="58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105</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2</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Significant Accounting Policies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3</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4</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5</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Software Development Costs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6</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Goodwill and Intangible Assets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7</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Leases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8</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Revenue</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9</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10</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Tax Receivable Agreement</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11</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12</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13</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Stock-Based Compensation Plans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14</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Related Party Transactions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15</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Fair Value of Financial Instruments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1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16</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Credit Risk</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17</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114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18</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19</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Regulatory Capital Requirements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20</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9"/>
              </w:rPr>
              <w:t>Business Segment and Geographic Information</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2260" w:type="dxa"/>
            <w:vAlign w:val="bottom"/>
            <w:gridSpan w:val="9"/>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Note 21</w:t>
            </w:r>
          </w:p>
        </w:tc>
        <w:tc>
          <w:tcPr>
            <w:tcW w:w="37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Subsequent Events</w:t>
            </w:r>
          </w:p>
        </w:tc>
        <w:tc>
          <w:tcPr>
            <w:tcW w:w="5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1">
            <w:col w:w="10400"/>
          </w:cols>
          <w:pgMar w:left="860" w:top="72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104</w:t>
      </w:r>
    </w:p>
    <w:p>
      <w:pPr>
        <w:sectPr>
          <w:pgSz w:w="12060" w:h="15660" w:orient="portrait"/>
          <w:cols w:equalWidth="0" w:num="1">
            <w:col w:w="10400"/>
          </w:cols>
          <w:pgMar w:left="860" w:top="726" w:right="800" w:bottom="0" w:gutter="0" w:footer="0" w:header="0"/>
          <w:type w:val="continuous"/>
        </w:sectPr>
      </w:pPr>
    </w:p>
    <w:bookmarkStart w:id="116" w:name="page117"/>
    <w:bookmarkEnd w:id="116"/>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197" w:lineRule="exact"/>
        <w:rPr>
          <w:sz w:val="20"/>
          <w:szCs w:val="20"/>
          <w:color w:val="auto"/>
        </w:rPr>
      </w:pPr>
    </w:p>
    <w:p>
      <w:pPr>
        <w:ind w:left="730" w:hanging="730"/>
        <w:spacing w:after="0"/>
        <w:tabs>
          <w:tab w:leader="none" w:pos="73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17"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64"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55"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73"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2022, Tradeweb Markets Inc. owns 88.7% of TWM LLC and the non-controlling interest holders own the remaining 11.3% of TWM LLC. As of December 31, 2021, Tradeweb Markets Inc. owned 86.9% of TWM LLC and the non-controlling interest holders owned the remaining 13.1% of TWM LLC.</w:t>
      </w:r>
    </w:p>
    <w:p>
      <w:pPr>
        <w:spacing w:after="0" w:line="173" w:lineRule="exact"/>
        <w:rPr>
          <w:sz w:val="20"/>
          <w:szCs w:val="20"/>
          <w:color w:val="auto"/>
        </w:rPr>
      </w:pPr>
    </w:p>
    <w:p>
      <w:pPr>
        <w:jc w:val="both"/>
        <w:ind w:left="10" w:right="760"/>
        <w:spacing w:after="0" w:line="266" w:lineRule="auto"/>
        <w:rPr>
          <w:sz w:val="20"/>
          <w:szCs w:val="20"/>
          <w:color w:val="auto"/>
        </w:rPr>
      </w:pPr>
      <w:r>
        <w:rPr>
          <w:rFonts w:ascii="Times New Roman" w:cs="Times New Roman" w:eastAsia="Times New Roman" w:hAnsi="Times New Roman"/>
          <w:sz w:val="20"/>
          <w:szCs w:val="20"/>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55"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auto"/>
        </w:rPr>
        <w:t>The Company is a leader in building and operating electronic marketplaces for a global network of clients across the institutional, wholesale and retail client sectors. The Company’s principal subsidiaries include:</w:t>
      </w:r>
    </w:p>
    <w:p>
      <w:pPr>
        <w:spacing w:after="0" w:line="141" w:lineRule="exact"/>
        <w:rPr>
          <w:sz w:val="20"/>
          <w:szCs w:val="20"/>
          <w:color w:val="auto"/>
        </w:rPr>
      </w:pPr>
    </w:p>
    <w:p>
      <w:pPr>
        <w:ind w:left="730" w:right="420" w:hanging="370"/>
        <w:spacing w:after="0" w:line="260" w:lineRule="auto"/>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63" w:lineRule="exact"/>
        <w:rPr>
          <w:rFonts w:ascii="Times New Roman" w:cs="Times New Roman" w:eastAsia="Times New Roman" w:hAnsi="Times New Roman"/>
          <w:sz w:val="20"/>
          <w:szCs w:val="20"/>
          <w:color w:val="auto"/>
        </w:rPr>
      </w:pPr>
    </w:p>
    <w:p>
      <w:pPr>
        <w:jc w:val="both"/>
        <w:ind w:left="730" w:right="120" w:hanging="370"/>
        <w:spacing w:after="0" w:line="266" w:lineRule="auto"/>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55" w:lineRule="exact"/>
        <w:rPr>
          <w:rFonts w:ascii="Times New Roman" w:cs="Times New Roman" w:eastAsia="Times New Roman" w:hAnsi="Times New Roman"/>
          <w:sz w:val="20"/>
          <w:szCs w:val="20"/>
          <w:color w:val="auto"/>
        </w:rPr>
      </w:pPr>
    </w:p>
    <w:p>
      <w:pPr>
        <w:ind w:left="730" w:right="480" w:hanging="370"/>
        <w:spacing w:after="0" w:line="281" w:lineRule="auto"/>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Direct LLC (“TWD”) (formerly known as BondDesk Trading LLC), a registered broker-dealer under the Exchange Act and a member of FINRA and MSRB.</w:t>
      </w:r>
    </w:p>
    <w:p>
      <w:pPr>
        <w:spacing w:after="0" w:line="141" w:lineRule="exact"/>
        <w:rPr>
          <w:rFonts w:ascii="Times New Roman" w:cs="Times New Roman" w:eastAsia="Times New Roman" w:hAnsi="Times New Roman"/>
          <w:sz w:val="20"/>
          <w:szCs w:val="20"/>
          <w:color w:val="auto"/>
        </w:rPr>
      </w:pPr>
    </w:p>
    <w:p>
      <w:pPr>
        <w:ind w:left="730" w:right="660" w:hanging="370"/>
        <w:spacing w:after="0" w:line="281" w:lineRule="auto"/>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Europe Limited (“TEL”), a MiFID Investment Firm regulated by the Financial Conduct Authority (the “FCA”) in the UK and certain other global regulators and maintains branches in Asia.</w:t>
      </w:r>
    </w:p>
    <w:p>
      <w:pPr>
        <w:spacing w:after="0" w:line="141" w:lineRule="exact"/>
        <w:rPr>
          <w:rFonts w:ascii="Times New Roman" w:cs="Times New Roman" w:eastAsia="Times New Roman" w:hAnsi="Times New Roman"/>
          <w:sz w:val="20"/>
          <w:szCs w:val="20"/>
          <w:color w:val="auto"/>
        </w:rPr>
      </w:pPr>
    </w:p>
    <w:p>
      <w:pPr>
        <w:ind w:left="730" w:right="780" w:hanging="370"/>
        <w:spacing w:after="0" w:line="281" w:lineRule="auto"/>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SEF LLC (“TW SEF”), a Swap Execution Facility (“SEF”) regulated by the CFTC and certain other global regulators.</w:t>
      </w:r>
    </w:p>
    <w:p>
      <w:pPr>
        <w:spacing w:after="0" w:line="141"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 SEF LLC (“DW SEF”), a SEF regulated by the CFTC and certain other global regulators.</w:t>
      </w:r>
    </w:p>
    <w:p>
      <w:pPr>
        <w:sectPr>
          <w:pgSz w:w="12060" w:h="15660" w:orient="portrait"/>
          <w:cols w:equalWidth="0" w:num="1">
            <w:col w:w="10430"/>
          </w:cols>
          <w:pgMar w:left="810" w:top="7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105</w:t>
      </w:r>
    </w:p>
    <w:p>
      <w:pPr>
        <w:sectPr>
          <w:pgSz w:w="12060" w:h="15660" w:orient="portrait"/>
          <w:cols w:equalWidth="0" w:num="1">
            <w:col w:w="10430"/>
          </w:cols>
          <w:pgMar w:left="810" w:top="726" w:right="820" w:bottom="0" w:gutter="0" w:footer="0" w:header="0"/>
          <w:type w:val="continuous"/>
        </w:sectPr>
      </w:pPr>
    </w:p>
    <w:bookmarkStart w:id="117" w:name="page118"/>
    <w:bookmarkEnd w:id="117"/>
    <w:p>
      <w:pPr>
        <w:ind w:left="720" w:right="80" w:hanging="370"/>
        <w:spacing w:after="0" w:line="281"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Japan K.K. (“TWJ”), a security house regulated by the Japanese Financial Services Agency (“JFSA”) and the Japan Securities Dealers Association (“JSDA”).</w:t>
      </w:r>
    </w:p>
    <w:p>
      <w:pPr>
        <w:spacing w:after="0" w:line="141" w:lineRule="exact"/>
        <w:rPr>
          <w:rFonts w:ascii="Times New Roman" w:cs="Times New Roman" w:eastAsia="Times New Roman" w:hAnsi="Times New Roman"/>
          <w:sz w:val="20"/>
          <w:szCs w:val="20"/>
          <w:color w:val="auto"/>
        </w:rPr>
      </w:pPr>
    </w:p>
    <w:p>
      <w:pPr>
        <w:ind w:left="720" w:right="220" w:hanging="370"/>
        <w:spacing w:after="0" w:line="266"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EU B.V. (“TWEU”), a MiFID Investment Firm regulated by the Netherlands Authority for the Financial Markets (“AFM”), the De Nederlandsche Bank (“DNB”) and certain other global regulators and maintains a branch in France.</w:t>
      </w:r>
    </w:p>
    <w:p>
      <w:pPr>
        <w:spacing w:after="0" w:line="15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Limited (“TESL”), an Investment Firm (“BIPRU Firm”) regulated by the FCA in the UK.</w:t>
      </w:r>
    </w:p>
    <w:p>
      <w:pPr>
        <w:spacing w:after="0" w:line="250"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95"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B.V. (“TESBV”), a MiFID Investment Firm authorized and regulated by the AFM, with permission to trade on a matched principal basis.</w:t>
      </w:r>
    </w:p>
    <w:p>
      <w:pPr>
        <w:spacing w:after="0" w:line="14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In June 2021, the Company acquired Nasdaq’s U.S. fixed income electronic trading platform, formerly known as eSpeed (the “NFI Acquisition”), which is a fully executable central order limit book (CLOB) for electronic trading in on-the-run (OTR) U.S. government bonds. The $190.0 million, all-cash transaction closed on June 25, 2021 (the “NFI Acquisition”). See Note 4 – Acquisitions for additional details on this acquisition. The NFI Acquisition included the acquisition of Execution Access, LLC, (“EA”), a registered broker-dealer under the Exchange Act and a member of FINRA. In November 2022, EA merged with and into DW with DW being the surviving entity.</w:t>
      </w:r>
    </w:p>
    <w:p>
      <w:pPr>
        <w:spacing w:after="0" w:line="16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2022:</w:t>
      </w:r>
    </w:p>
    <w:p>
      <w:pPr>
        <w:spacing w:after="0" w:line="210" w:lineRule="exact"/>
        <w:rPr>
          <w:sz w:val="20"/>
          <w:szCs w:val="20"/>
          <w:color w:val="auto"/>
        </w:rPr>
      </w:pPr>
    </w:p>
    <w:p>
      <w:pPr>
        <w:ind w:left="720" w:right="560" w:hanging="370"/>
        <w:spacing w:after="0" w:line="266"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investors collectively owned 110,746,606 shares of Class A common stock, representing 8.4% of the combined voting power of Tradeweb Markets Inc.’s issued and outstanding common stock and indirectly, through Tradeweb Markets Inc., owned 47.3% of the economic interest in TWM LLC;</w:t>
      </w:r>
    </w:p>
    <w:p>
      <w:pPr>
        <w:spacing w:after="0" w:line="155" w:lineRule="exact"/>
        <w:rPr>
          <w:rFonts w:ascii="Times New Roman" w:cs="Times New Roman" w:eastAsia="Times New Roman" w:hAnsi="Times New Roman"/>
          <w:sz w:val="20"/>
          <w:szCs w:val="20"/>
          <w:color w:val="auto"/>
        </w:rPr>
      </w:pPr>
    </w:p>
    <w:p>
      <w:pPr>
        <w:ind w:left="720" w:right="80" w:hanging="370"/>
        <w:spacing w:after="0" w:line="260"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51.2% of the economic interest in TWM LLC; and</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106</w:t>
      </w:r>
    </w:p>
    <w:p>
      <w:pPr>
        <w:sectPr>
          <w:pgSz w:w="12060" w:h="15660" w:orient="portrait"/>
          <w:cols w:equalWidth="0" w:num="1">
            <w:col w:w="10400"/>
          </w:cols>
          <w:pgMar w:left="820" w:top="748" w:right="840" w:bottom="0" w:gutter="0" w:footer="0" w:header="0"/>
          <w:type w:val="continuous"/>
        </w:sectPr>
      </w:pPr>
    </w:p>
    <w:bookmarkStart w:id="118" w:name="page119"/>
    <w:bookmarkEnd w:id="118"/>
    <w:p>
      <w:pPr>
        <w:ind w:left="730" w:right="280" w:hanging="370"/>
        <w:spacing w:after="0" w:line="260" w:lineRule="auto"/>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stockholders that continued to own LLC Interests also collectively owned 3,251,177 shares of Class C common stock and 104,375 shares of Class D common stock, representing 0.3% of the combined voting power of Tradeweb Markets Inc.’s issued and outstanding common stock. Collectively, these stockholders directly owned 1.4% of the economic interest in TWM LLC.</w:t>
      </w:r>
    </w:p>
    <w:p>
      <w:pPr>
        <w:spacing w:after="0" w:line="163"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In addition, for the year ended December 31, 2022, the Company’s basic and diluted earnings per share calculation is impacted by 193,441 of weighted average shares resulting from unvested restricted stock units and unsettled vested performance-based restricted stock units that were considered participating securities for purposes of calculating earnings per share in accordance with the two-class method, and for the year ended December 31, 2022 the Company’s diluted earnings per share calculation also includes 2,823,403 of weighted average shares resulting from the dilutive effect of its equity incentive plans. See Note 18 – Earnings Per Share for additional details.</w:t>
      </w:r>
    </w:p>
    <w:p>
      <w:pPr>
        <w:spacing w:after="0" w:line="161"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significant accounting policies: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17"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17"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The total cost of an acquisition is allocated to the underlying net assets based on their respective estimated fair values. The 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3" w:lineRule="exact"/>
        <w:rPr>
          <w:sz w:val="20"/>
          <w:szCs w:val="20"/>
          <w:color w:val="auto"/>
        </w:rPr>
      </w:pPr>
    </w:p>
    <w:p>
      <w:pPr>
        <w:ind w:left="10" w:right="800"/>
        <w:spacing w:after="0" w:line="281" w:lineRule="auto"/>
        <w:rPr>
          <w:sz w:val="20"/>
          <w:szCs w:val="20"/>
          <w:color w:val="auto"/>
        </w:rPr>
      </w:pPr>
      <w:r>
        <w:rPr>
          <w:rFonts w:ascii="Times New Roman" w:cs="Times New Roman" w:eastAsia="Times New Roman" w:hAnsi="Times New Roman"/>
          <w:sz w:val="20"/>
          <w:szCs w:val="20"/>
          <w:color w:val="auto"/>
        </w:rPr>
        <w:t>Transaction costs incurred to effect a business combination are expensed as incurred and are included as a component of professional fees in the consolidated statements of income.</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107</w:t>
      </w:r>
    </w:p>
    <w:p>
      <w:pPr>
        <w:sectPr>
          <w:pgSz w:w="12060" w:h="15660" w:orient="portrait"/>
          <w:cols w:equalWidth="0" w:num="1">
            <w:col w:w="10430"/>
          </w:cols>
          <w:pgMar w:left="810" w:top="748" w:right="82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Pushdown Accounting</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1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Cash and cash equivalents consists of cash and highly liquid investments (such as short-term money market instruments) with original maturities at the time of purchase of three months or less.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 Additions to the allowance for credit losses are charged to credit loss expense, which is included in general and administrative expenses in the consolidated statements of income. Aged balances that are determined to be uncollectible are written off against the allowance for credit losses. See Note 16 – Credit Risk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Receivable from and Payable to Brokers and Dealers and Clearing Organizations</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Deposits with Clearing Organizations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with clearing organizations are comprised of cash deposits.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Furniture, Equipment, Purchased Software and Leasehold Improvements</w:t>
      </w:r>
    </w:p>
    <w:p>
      <w:pPr>
        <w:spacing w:after="0" w:line="2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tested for impairment whenever events or changes in circumstances suggest that an asset’s carrying value may not be fully recoverable.</w:t>
      </w:r>
    </w:p>
    <w:p>
      <w:pPr>
        <w:spacing w:after="0" w:line="14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As of December 31, 2022 and 2021, accumulated depreciation related to furniture, equipment, purchased software and leasehold improvements totaled $73.8 million and $56.0 million, respectively. Depreciation expense for furniture, equipment, purchased software and leasehold improvements for the years ended December 31, 2022, 2021 and 2020 was $19.5 million, $20.9 million and $18.3 million, respectively.</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108</w:t>
      </w:r>
    </w:p>
    <w:p>
      <w:pPr>
        <w:sectPr>
          <w:pgSz w:w="12060" w:h="15660" w:orient="portrait"/>
          <w:cols w:equalWidth="0" w:num="1">
            <w:col w:w="10400"/>
          </w:cols>
          <w:pgMar w:left="820" w:top="741" w:right="84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Software Development Costs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were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69" w:lineRule="exact"/>
        <w:rPr>
          <w:sz w:val="20"/>
          <w:szCs w:val="20"/>
          <w:color w:val="auto"/>
        </w:rPr>
      </w:pPr>
    </w:p>
    <w:p>
      <w:pPr>
        <w:ind w:right="1840"/>
        <w:spacing w:after="0" w:line="459" w:lineRule="auto"/>
        <w:rPr>
          <w:sz w:val="20"/>
          <w:szCs w:val="20"/>
          <w:color w:val="auto"/>
        </w:rPr>
      </w:pPr>
      <w:r>
        <w:rPr>
          <w:rFonts w:ascii="Times New Roman" w:cs="Times New Roman" w:eastAsia="Times New Roman" w:hAnsi="Times New Roman"/>
          <w:sz w:val="20"/>
          <w:szCs w:val="20"/>
          <w:color w:val="auto"/>
        </w:rPr>
        <w:t xml:space="preserve">Goodwill was last tested for impairment on October 1, 2022 and no impairment of goodwill was identified. </w:t>
      </w:r>
      <w:r>
        <w:rPr>
          <w:rFonts w:ascii="Times New Roman" w:cs="Times New Roman" w:eastAsia="Times New Roman" w:hAnsi="Times New Roman"/>
          <w:sz w:val="20"/>
          <w:szCs w:val="20"/>
          <w:b w:val="1"/>
          <w:bCs w:val="1"/>
          <w:color w:val="auto"/>
        </w:rPr>
        <w:t>Intangible Assets</w:t>
      </w:r>
    </w:p>
    <w:p>
      <w:pPr>
        <w:ind w:right="20"/>
        <w:spacing w:after="0" w:line="258" w:lineRule="auto"/>
        <w:rPr>
          <w:sz w:val="20"/>
          <w:szCs w:val="20"/>
          <w:color w:val="auto"/>
        </w:rPr>
      </w:pPr>
      <w:r>
        <w:rPr>
          <w:rFonts w:ascii="Times New Roman" w:cs="Times New Roman" w:eastAsia="Times New Roman" w:hAnsi="Times New Roman"/>
          <w:sz w:val="20"/>
          <w:szCs w:val="20"/>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Investments Without Readily Determinable Fair Values</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consolidated statements of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109</w:t>
      </w:r>
    </w:p>
    <w:p>
      <w:pPr>
        <w:sectPr>
          <w:pgSz w:w="12060" w:h="15660" w:orient="portrait"/>
          <w:cols w:equalWidth="0" w:num="1">
            <w:col w:w="10400"/>
          </w:cols>
          <w:pgMar w:left="820" w:top="741" w:right="84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Deferred Offering Costs</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Deferred offering costs consist of legal, accounting and other costs directly related to the Company’s efforts to raise capital. These costs are recognized as a reduction in additional paid-in capital within the consolidated statements of financial condition when the offering is effective. During the year ended December 31, 2020, $2.6 million of deferred costs related to the April 2020 follow-on offering discussed in Note 11 – Stockholders’ Equity were recorded as a reduction of additional paid-in capital balance in the consolidated statements of financial condition. No offering costs were incurred during the years ended December 31, 2022 and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Company’s classification of revenues in the consolidated statements of income represents revenues from contracts with customers disaggregated by type of revenue. See Note 8 – Revenue for additional details regarding revenue types and the Company’s policies regarding revenue recognition.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Currency and Foreign Currency Forward Contracts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$2.3 million loss, a $4.0 million loss and a $1.3 million gain for the years ended December 31, 2022, 2021 and 2020,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The Company enters into foreign currency forward contracts to mitigate its U.S. dollar and British pound sterling versus euro exposure, generally with a duration of less than 12 months. The Company’s foreign currency forward contracts are not designated as hedges for accounting purposes and changes in the fair value of these contracts during the period are recognized in the consolidated statements of income within general and administrative expenses. The Company does not use derivative instruments for trading or speculative purposes. Realized and unrealized gains/losses on foreign currency forward contracts totaled a</w:t>
      </w:r>
    </w:p>
    <w:p>
      <w:pPr>
        <w:ind w:right="240"/>
        <w:spacing w:after="0" w:line="287" w:lineRule="auto"/>
        <w:rPr>
          <w:sz w:val="20"/>
          <w:szCs w:val="20"/>
          <w:color w:val="auto"/>
        </w:rPr>
      </w:pPr>
      <w:r>
        <w:rPr>
          <w:rFonts w:ascii="Times New Roman" w:cs="Times New Roman" w:eastAsia="Times New Roman" w:hAnsi="Times New Roman"/>
          <w:sz w:val="19"/>
          <w:szCs w:val="19"/>
          <w:color w:val="auto"/>
        </w:rPr>
        <w:t>$4.9 million gain, a $9.0 million gain and a $6.3 million loss for each of the years ended December 31, 2022, 2021 and 2020, respectively. See Note 15 – Fair Value of Financial Instruments for additional details on the Company’s derivative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ectPr>
          <w:pgSz w:w="12060" w:h="15660" w:orient="portrait"/>
          <w:cols w:equalWidth="0" w:num="1">
            <w:col w:w="10420"/>
          </w:cols>
          <w:pgMar w:left="820" w:top="741" w:right="8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110</w:t>
      </w:r>
    </w:p>
    <w:p>
      <w:pPr>
        <w:sectPr>
          <w:pgSz w:w="12060" w:h="15660" w:orient="portrait"/>
          <w:cols w:equalWidth="0" w:num="1">
            <w:col w:w="10420"/>
          </w:cols>
          <w:pgMar w:left="820" w:top="741" w:right="820" w:bottom="0" w:gutter="0" w:footer="0" w:header="0"/>
          <w:type w:val="continuous"/>
        </w:sectPr>
      </w:pPr>
    </w:p>
    <w:bookmarkStart w:id="122" w:name="page123"/>
    <w:bookmarkEnd w:id="122"/>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5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The Company has elected to treat taxes due on future U.S. inclusions in taxable income under the global intangible low-taxed income (“GILTI”) provision of the Tax Cuts and Jobs Act as a current period expense when incurred.</w:t>
      </w:r>
    </w:p>
    <w:p>
      <w:pPr>
        <w:spacing w:after="0" w:line="14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are currently evaluating the impacts, if any, of the provisions of the IRA however, do not expect a material impact to our financial condition, results of operations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6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For grants made during the post-IPO period, the fair value of the equity instruments is determined based on the price of the Class A common stock on the grant date.</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dilutive effect of stock options and other stock-based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7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w:t>
      </w:r>
    </w:p>
    <w:p>
      <w:pPr>
        <w:sectPr>
          <w:pgSz w:w="12060" w:h="15660" w:orient="portrait"/>
          <w:cols w:equalWidth="0" w:num="1">
            <w:col w:w="10380"/>
          </w:cols>
          <w:pgMar w:left="820" w:top="74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111</w:t>
      </w:r>
    </w:p>
    <w:p>
      <w:pPr>
        <w:sectPr>
          <w:pgSz w:w="12060" w:h="15660" w:orient="portrait"/>
          <w:cols w:equalWidth="0" w:num="1">
            <w:col w:w="10380"/>
          </w:cols>
          <w:pgMar w:left="820" w:top="748" w:right="860" w:bottom="0" w:gutter="0" w:footer="0" w:header="0"/>
          <w:type w:val="continuous"/>
        </w:sectPr>
      </w:pPr>
    </w:p>
    <w:bookmarkStart w:id="123" w:name="page124"/>
    <w:bookmarkEnd w:id="123"/>
    <w:p>
      <w:pPr>
        <w:ind w:left="10"/>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17"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60" w:lineRule="exact"/>
        <w:rPr>
          <w:sz w:val="20"/>
          <w:szCs w:val="20"/>
          <w:color w:val="auto"/>
        </w:rPr>
      </w:pPr>
    </w:p>
    <w:p>
      <w:pPr>
        <w:ind w:left="10" w:right="40"/>
        <w:spacing w:after="0" w:line="262" w:lineRule="auto"/>
        <w:rPr>
          <w:sz w:val="20"/>
          <w:szCs w:val="20"/>
          <w:color w:val="auto"/>
        </w:rPr>
      </w:pPr>
      <w:r>
        <w:rPr>
          <w:rFonts w:ascii="Times New Roman" w:cs="Times New Roman" w:eastAsia="Times New Roman" w:hAnsi="Times New Roman"/>
          <w:sz w:val="20"/>
          <w:szCs w:val="20"/>
          <w:color w:val="auto"/>
        </w:rPr>
        <w:t xml:space="preserve">The fair value hierarchy under ASC 820,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xml:space="preserve"> (“ASC 820”)</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of Fair Value Measurement</w:t>
      </w:r>
    </w:p>
    <w:p>
      <w:pPr>
        <w:spacing w:after="0" w:line="217"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A financial instrument’s level within the fair value hierarchy is based on the lowest level of any input that is significant to the fair value measurement.</w:t>
      </w:r>
    </w:p>
    <w:p>
      <w:pPr>
        <w:spacing w:after="0" w:line="141" w:lineRule="exact"/>
        <w:rPr>
          <w:sz w:val="20"/>
          <w:szCs w:val="20"/>
          <w:color w:val="auto"/>
        </w:rPr>
      </w:pPr>
    </w:p>
    <w:p>
      <w:pPr>
        <w:ind w:left="730" w:hanging="370"/>
        <w:spacing w:after="0" w:line="281" w:lineRule="auto"/>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Unadjusted quoted prices in active markets that are accessible at the measurement date for identical, unrestricted assets or liabilities;</w:t>
      </w:r>
    </w:p>
    <w:p>
      <w:pPr>
        <w:spacing w:after="0" w:line="141" w:lineRule="exact"/>
        <w:rPr>
          <w:rFonts w:ascii="Times New Roman" w:cs="Times New Roman" w:eastAsia="Times New Roman" w:hAnsi="Times New Roman"/>
          <w:sz w:val="20"/>
          <w:szCs w:val="20"/>
          <w:color w:val="auto"/>
        </w:rPr>
      </w:pPr>
    </w:p>
    <w:p>
      <w:pPr>
        <w:ind w:left="730" w:right="240" w:hanging="370"/>
        <w:spacing w:after="0" w:line="281" w:lineRule="auto"/>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Quoted prices in markets that are not considered to be active or financial instruments for which all significant inputs are observable, either directly or indirectly;</w:t>
      </w:r>
    </w:p>
    <w:p>
      <w:pPr>
        <w:spacing w:after="0" w:line="141"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Prices or valuations that require inputs that are both significant to the fair value measurement and unobservable.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3"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 xml:space="preserve">In June 2022, the Financial Accounting Standards Board (“FASB”) issued Accounting Standards Update (“ASU”) 2022-03, </w:t>
      </w:r>
      <w:r>
        <w:rPr>
          <w:rFonts w:ascii="Times New Roman" w:cs="Times New Roman" w:eastAsia="Times New Roman" w:hAnsi="Times New Roman"/>
          <w:sz w:val="20"/>
          <w:szCs w:val="20"/>
          <w:b w:val="1"/>
          <w:bCs w:val="1"/>
          <w:i w:val="1"/>
          <w:iCs w:val="1"/>
          <w:color w:val="auto"/>
        </w:rPr>
        <w:t>Fair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Value Measurement (Topic 820): Fair Value Measurement of Equity Securities Subject to Contractual Sale Restrictions </w:t>
      </w:r>
      <w:r>
        <w:rPr>
          <w:rFonts w:ascii="Times New Roman" w:cs="Times New Roman" w:eastAsia="Times New Roman" w:hAnsi="Times New Roman"/>
          <w:sz w:val="20"/>
          <w:szCs w:val="20"/>
          <w:color w:val="auto"/>
        </w:rPr>
        <w:t>(“ASU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2022-03”), which clarifies that a contractual 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December 31, 2022, the Company has not yet adopted ASU 2022-03 and does not expect that the adoption of this ASU will have a material impact on the Company’s consolidated financial statements.</w:t>
      </w:r>
    </w:p>
    <w:p>
      <w:pPr>
        <w:spacing w:after="0" w:line="159" w:lineRule="exact"/>
        <w:rPr>
          <w:sz w:val="20"/>
          <w:szCs w:val="20"/>
          <w:color w:val="auto"/>
        </w:rPr>
      </w:pPr>
    </w:p>
    <w:p>
      <w:pPr>
        <w:ind w:left="730" w:hanging="730"/>
        <w:spacing w:after="0"/>
        <w:tabs>
          <w:tab w:leader="none" w:pos="73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Cash</w:t>
      </w:r>
    </w:p>
    <w:p>
      <w:pPr>
        <w:spacing w:after="0" w:line="21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2022 and 2021, cash in the amount of $1.0 million has been segregated in the PAB reserve account, exceeding the requirements pursuant to SEC Rule 15c3-3.</w:t>
      </w:r>
    </w:p>
    <w:p>
      <w:pPr>
        <w:spacing w:after="0" w:line="157" w:lineRule="exact"/>
        <w:rPr>
          <w:sz w:val="20"/>
          <w:szCs w:val="20"/>
          <w:color w:val="auto"/>
        </w:rPr>
      </w:pPr>
    </w:p>
    <w:p>
      <w:pPr>
        <w:ind w:left="730" w:hanging="730"/>
        <w:spacing w:after="0"/>
        <w:tabs>
          <w:tab w:leader="none" w:pos="73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17"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On June 25, 2021, the Company completed its acquisition of all of the outstanding equity interests of Execution Access, LLC, Kleos Managed Services Holdings, LLC and Kleos Managed Services, L.P., which collectively represented the NFI Acquisition. The platform (formerly known as eSpeed) acquired from Nasdaq is a fully executable central order limit book (CLOB) for electronic trading in on-the-run (OTR) U.S. government bonds. The all-cash purchase price of $190.0 million was net of cash acquired, net of deposits with clearing organizations acquired and prior to working capital adjustments. At closing, preliminary working capital adjustments resulted in a $0.7 million increase to the purchase price. During the fourth quarter of 2021, the Company recorded final working capital and purchase price adjustments which resulted in a $0.1 million decrease in accounts receivable, $2.0 million increase in customer relationships, $0.9 million decrease in other assets, $0.4 million decrease in accounts payable, accrued expenses and other liabilities, and a $2.5 million decrease in goodwill.</w:t>
      </w:r>
    </w:p>
    <w:p>
      <w:pPr>
        <w:sectPr>
          <w:pgSz w:w="12060" w:h="15660" w:orient="portrait"/>
          <w:cols w:equalWidth="0" w:num="1">
            <w:col w:w="10430"/>
          </w:cols>
          <w:pgMar w:left="810" w:top="74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112</w:t>
      </w:r>
    </w:p>
    <w:p>
      <w:pPr>
        <w:sectPr>
          <w:pgSz w:w="12060" w:h="15660" w:orient="portrait"/>
          <w:cols w:equalWidth="0" w:num="1">
            <w:col w:w="10430"/>
          </w:cols>
          <w:pgMar w:left="810" w:top="741" w:right="820" w:bottom="0" w:gutter="0" w:footer="0" w:header="0"/>
          <w:type w:val="continuous"/>
        </w:sectPr>
      </w:pPr>
    </w:p>
    <w:bookmarkStart w:id="124" w:name="page125"/>
    <w:bookmarkEnd w:id="124"/>
    <w:p>
      <w:pPr>
        <w:ind w:right="20"/>
        <w:spacing w:after="0" w:line="253" w:lineRule="auto"/>
        <w:rPr>
          <w:sz w:val="20"/>
          <w:szCs w:val="20"/>
          <w:color w:val="auto"/>
        </w:rPr>
      </w:pPr>
      <w:r>
        <w:rPr>
          <w:rFonts w:ascii="Times New Roman" w:cs="Times New Roman" w:eastAsia="Times New Roman" w:hAnsi="Times New Roman"/>
          <w:sz w:val="20"/>
          <w:szCs w:val="20"/>
          <w:color w:val="auto"/>
        </w:rPr>
        <w:t>The acquisition was accounted for as a business combination and the Company utilized the assistance of a third-party valuation specialist to determine the fair value of the assets acquired and liabilities assumed at the date of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w:t>
      </w:r>
    </w:p>
    <w:p>
      <w:pPr>
        <w:sectPr>
          <w:pgSz w:w="12060" w:h="15660" w:orient="portrait"/>
          <w:cols w:equalWidth="0" w:num="1">
            <w:col w:w="10420"/>
          </w:cols>
          <w:pgMar w:left="820" w:top="748" w:right="820" w:bottom="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final purchase price was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617220</wp:posOffset>
            </wp:positionV>
            <wp:extent cx="6654800" cy="2752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8">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Deposits with clearing organizations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Accounts receivable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Equipment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Software development costs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Goodwill</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Intangible assets – customer relationships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Accrued compensation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Deferred revenue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Less: Cash acquired</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Less: Deposits with clearing organizations acquired</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Working capital adjustments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Purchase price, net of cash and deposits acquired and excluding working capital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Purchase Price</w:t>
      </w:r>
    </w:p>
    <w:p>
      <w:pPr>
        <w:spacing w:after="0" w:line="27"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Allocation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15240</wp:posOffset>
                </wp:positionV>
                <wp:extent cx="78994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2pt" to="59.6pt,1.2pt" o:allowincell="f" strokecolor="#000000" strokeweight="1pt"/>
            </w:pict>
          </mc:Fallback>
        </mc:AlternateContent>
      </w:r>
    </w:p>
    <w:p>
      <w:pPr>
        <w:spacing w:after="0" w:line="77"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5" w:lineRule="exact"/>
        <w:rPr>
          <w:sz w:val="20"/>
          <w:szCs w:val="20"/>
          <w:color w:val="auto"/>
        </w:rPr>
      </w:pPr>
    </w:p>
    <w:p>
      <w:pPr>
        <w:ind w:left="562" w:hanging="562"/>
        <w:spacing w:after="0"/>
        <w:tabs>
          <w:tab w:leader="none" w:pos="56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33,797</w:t>
      </w:r>
    </w:p>
    <w:p>
      <w:pPr>
        <w:spacing w:after="0" w:line="55" w:lineRule="exact"/>
        <w:rPr>
          <w:rFonts w:ascii="Times New Roman" w:cs="Times New Roman" w:eastAsia="Times New Roman" w:hAnsi="Times New Roman"/>
          <w:sz w:val="20"/>
          <w:szCs w:val="20"/>
          <w:color w:val="auto"/>
        </w:rPr>
      </w:pPr>
    </w:p>
    <w:p>
      <w:pPr>
        <w:ind w:left="56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18,147</w:t>
      </w:r>
    </w:p>
    <w:p>
      <w:pPr>
        <w:spacing w:after="0" w:line="55" w:lineRule="exact"/>
        <w:rPr>
          <w:rFonts w:ascii="Times New Roman" w:cs="Times New Roman" w:eastAsia="Times New Roman" w:hAnsi="Times New Roman"/>
          <w:sz w:val="20"/>
          <w:szCs w:val="20"/>
          <w:color w:val="auto"/>
        </w:rPr>
      </w:pPr>
    </w:p>
    <w:p>
      <w:pPr>
        <w:ind w:left="66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2,645</w:t>
      </w:r>
    </w:p>
    <w:p>
      <w:pPr>
        <w:spacing w:after="0" w:line="55" w:lineRule="exact"/>
        <w:rPr>
          <w:rFonts w:ascii="Times New Roman" w:cs="Times New Roman" w:eastAsia="Times New Roman" w:hAnsi="Times New Roman"/>
          <w:sz w:val="20"/>
          <w:szCs w:val="20"/>
          <w:color w:val="auto"/>
        </w:rPr>
      </w:pPr>
    </w:p>
    <w:p>
      <w:pPr>
        <w:ind w:left="66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1,498</w:t>
      </w:r>
    </w:p>
    <w:p>
      <w:pPr>
        <w:spacing w:after="0" w:line="55" w:lineRule="exact"/>
        <w:rPr>
          <w:rFonts w:ascii="Times New Roman" w:cs="Times New Roman" w:eastAsia="Times New Roman" w:hAnsi="Times New Roman"/>
          <w:sz w:val="20"/>
          <w:szCs w:val="20"/>
          <w:color w:val="auto"/>
        </w:rPr>
      </w:pPr>
    </w:p>
    <w:p>
      <w:pPr>
        <w:ind w:left="80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820</w:t>
      </w:r>
    </w:p>
    <w:p>
      <w:pPr>
        <w:spacing w:after="0" w:line="55" w:lineRule="exact"/>
        <w:rPr>
          <w:rFonts w:ascii="Times New Roman" w:cs="Times New Roman" w:eastAsia="Times New Roman" w:hAnsi="Times New Roman"/>
          <w:sz w:val="20"/>
          <w:szCs w:val="20"/>
          <w:color w:val="auto"/>
        </w:rPr>
      </w:pPr>
    </w:p>
    <w:p>
      <w:pPr>
        <w:ind w:left="56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85,462</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101,285</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(1,246)</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(620)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(229)</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241,559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(33,797)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(18,147)</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385</w:t>
      </w:r>
    </w:p>
    <w:p>
      <w:pPr>
        <w:spacing w:after="0" w:line="51" w:lineRule="exact"/>
        <w:rPr>
          <w:sz w:val="20"/>
          <w:szCs w:val="20"/>
          <w:color w:val="auto"/>
        </w:rPr>
      </w:pPr>
    </w:p>
    <w:p>
      <w:pPr>
        <w:ind w:left="462" w:hanging="462"/>
        <w:spacing w:after="0"/>
        <w:tabs>
          <w:tab w:leader="none" w:pos="462"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190,000</w:t>
      </w:r>
    </w:p>
    <w:p>
      <w:pPr>
        <w:spacing w:after="0" w:line="200" w:lineRule="exact"/>
        <w:rPr>
          <w:sz w:val="20"/>
          <w:szCs w:val="20"/>
          <w:color w:val="auto"/>
        </w:rPr>
      </w:pPr>
    </w:p>
    <w:p>
      <w:pPr>
        <w:sectPr>
          <w:pgSz w:w="12060" w:h="15660" w:orient="portrait"/>
          <w:cols w:equalWidth="0" w:num="2">
            <w:col w:w="8518" w:space="720"/>
            <w:col w:w="1182"/>
          </w:cols>
          <w:pgMar w:left="820" w:top="748" w:right="820" w:bottom="0" w:gutter="0" w:footer="0" w:header="0"/>
          <w:type w:val="continuous"/>
        </w:sectPr>
      </w:pP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For GAAP purposes, the acquired software development costs were amortized over a useful life of one year and the customer relationships will be amortized over a useful life of 13 years. The goodwill recognized in connection with the NFI Acquisition is primarily attributable to the acquisition of an assembled workforce and expected synergies from the integration of the operations of the NFI Acquisition into the Company’s operations and its single business segment. All of the goodwill recognized in connection with the NFI Acquisition is expected to be deductible for income tax purposes.</w:t>
      </w:r>
    </w:p>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2021, the Company recognized $5.1 million in transaction costs incurred to effect the NFI Acquisition, which are included as a component of professional fees in the accompanying consolidated statements of income. There were no acquisitions completed during the year ended December 31, 2022.</w:t>
      </w:r>
    </w:p>
    <w:p>
      <w:pPr>
        <w:spacing w:after="0" w:line="15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The NFI Acquisition was not material to the Company’s consolidated financial statements and therefore pro forma results of this acquisition have not been presented.</w:t>
      </w:r>
    </w:p>
    <w:p>
      <w:pPr>
        <w:sectPr>
          <w:pgSz w:w="12060" w:h="15660" w:orient="portrait"/>
          <w:cols w:equalWidth="0" w:num="1">
            <w:col w:w="10420"/>
          </w:cols>
          <w:pgMar w:left="820" w:top="748"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060" w:h="15660" w:orient="portrait"/>
          <w:cols w:equalWidth="0" w:num="1">
            <w:col w:w="10420"/>
          </w:cols>
          <w:pgMar w:left="820" w:top="748" w:right="820" w:bottom="0" w:gutter="0" w:footer="0" w:header="0"/>
          <w:type w:val="continuous"/>
        </w:sectPr>
      </w:pPr>
    </w:p>
    <w:bookmarkStart w:id="125" w:name="page126"/>
    <w:bookmarkEnd w:id="125"/>
    <w:tbl>
      <w:tblPr>
        <w:tblLayout w:type="fixed"/>
        <w:tblInd w:w="10" w:type="dxa"/>
        <w:tblCellMar>
          <w:top w:w="0" w:type="dxa"/>
          <w:left w:w="0" w:type="dxa"/>
          <w:bottom w:w="0" w:type="dxa"/>
          <w:right w:w="0" w:type="dxa"/>
        </w:tblCellMar>
      </w:tblPr>
      <w:tr>
        <w:trPr>
          <w:trHeight w:val="264"/>
        </w:trPr>
        <w:tc>
          <w:tcPr>
            <w:tcW w:w="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746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Software Development Costs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443"/>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software development costs, net of accumulated amortization are as follows: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1"/>
        </w:trPr>
        <w:tc>
          <w:tcPr>
            <w:tcW w:w="4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20" w:type="dxa"/>
            <w:vAlign w:val="bottom"/>
            <w:tcBorders>
              <w:bottom w:val="single" w:sz="8" w:color="auto"/>
            </w:tcBorders>
          </w:tcPr>
          <w:p>
            <w:pPr>
              <w:spacing w:after="0"/>
              <w:rPr>
                <w:sz w:val="23"/>
                <w:szCs w:val="23"/>
                <w:color w:val="auto"/>
              </w:rPr>
            </w:pPr>
          </w:p>
        </w:tc>
      </w:tr>
      <w:tr>
        <w:trPr>
          <w:trHeight w:val="220"/>
        </w:trPr>
        <w:tc>
          <w:tcPr>
            <w:tcW w:w="4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74"/>
        </w:trPr>
        <w:tc>
          <w:tcPr>
            <w:tcW w:w="4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Software development costs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308,482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270,672</w:t>
            </w:r>
          </w:p>
        </w:tc>
      </w:tr>
      <w:tr>
        <w:trPr>
          <w:trHeight w:val="288"/>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Accumulated amortization</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(166,649)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(114,469)</w:t>
            </w:r>
          </w:p>
        </w:tc>
      </w:tr>
      <w:tr>
        <w:trPr>
          <w:trHeight w:val="245"/>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Software development costs, net of accumulated amortization</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141,833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156,203</w:t>
            </w:r>
          </w:p>
        </w:tc>
      </w:tr>
      <w:tr>
        <w:trPr>
          <w:trHeight w:val="20"/>
        </w:trPr>
        <w:tc>
          <w:tcPr>
            <w:tcW w:w="4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206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0">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Capitalized software development costs and amortization expense are as follows:</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13"/>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development costs capitalized </w:t>
            </w:r>
            <w:r>
              <w:rPr>
                <w:rFonts w:ascii="Times New Roman" w:cs="Times New Roman" w:eastAsia="Times New Roman" w:hAnsi="Times New Roman"/>
                <w:sz w:val="26"/>
                <w:szCs w:val="26"/>
                <w:color w:val="auto"/>
                <w:vertAlign w:val="superscript"/>
              </w:rPr>
              <w:t>(1)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31,046</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 related to capitalized software development costs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47,116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36,102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43" w:lineRule="exact"/>
        <w:rPr>
          <w:sz w:val="20"/>
          <w:szCs w:val="20"/>
          <w:color w:val="auto"/>
        </w:rPr>
      </w:pPr>
    </w:p>
    <w:p>
      <w:pPr>
        <w:ind w:left="370" w:hanging="370"/>
        <w:spacing w:after="0"/>
        <w:tabs>
          <w:tab w:leader="none" w:pos="37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development costs capitalized does not include acquired software development costs. See Note 4 – Acquisitions.</w:t>
      </w:r>
    </w:p>
    <w:p>
      <w:pPr>
        <w:spacing w:after="0" w:line="196" w:lineRule="exact"/>
        <w:rPr>
          <w:sz w:val="20"/>
          <w:szCs w:val="20"/>
          <w:color w:val="auto"/>
        </w:rPr>
      </w:pPr>
    </w:p>
    <w:p>
      <w:pPr>
        <w:ind w:left="10" w:right="1100"/>
        <w:spacing w:after="0" w:line="281" w:lineRule="auto"/>
        <w:rPr>
          <w:sz w:val="20"/>
          <w:szCs w:val="20"/>
          <w:color w:val="auto"/>
        </w:rPr>
      </w:pPr>
      <w:r>
        <w:rPr>
          <w:rFonts w:ascii="Times New Roman" w:cs="Times New Roman" w:eastAsia="Times New Roman" w:hAnsi="Times New Roman"/>
          <w:sz w:val="20"/>
          <w:szCs w:val="20"/>
          <w:color w:val="auto"/>
        </w:rPr>
        <w:t>Non-capitalized software costs and routine maintenance costs are expensed as incurred and are included in employee compensation and benefits and professional fees on the consolidated statements of income.</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estimated annual future amortization for software development costs through December 31, 2027 is as follows:</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9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88"/>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47,730</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36,648</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24,691</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18,722</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14,042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2063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206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24" w:lineRule="exact"/>
        <w:rPr>
          <w:sz w:val="20"/>
          <w:szCs w:val="20"/>
          <w:color w:val="auto"/>
        </w:rPr>
      </w:pPr>
    </w:p>
    <w:p>
      <w:pPr>
        <w:ind w:left="730" w:hanging="730"/>
        <w:spacing w:after="0"/>
        <w:tabs>
          <w:tab w:leader="none" w:pos="73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ectPr>
          <w:pgSz w:w="12060" w:h="15660" w:orient="portrait"/>
          <w:cols w:equalWidth="0" w:num="1">
            <w:col w:w="10450"/>
          </w:cols>
          <w:pgMar w:left="810" w:top="741" w:right="800" w:bottom="0" w:gutter="0" w:footer="0" w:header="0"/>
        </w:sectPr>
      </w:pP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Goodwill includes the following activity during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6654800" cy="581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5">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Balance at beginning of period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Goodwill recognized in connection with the NFI Acquisition</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Balance at end of period</w:t>
      </w:r>
    </w:p>
    <w:p>
      <w:pPr>
        <w:spacing w:after="0" w:line="2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4"/>
        </w:trPr>
        <w:tc>
          <w:tcPr>
            <w:tcW w:w="800" w:type="dxa"/>
            <w:vAlign w:val="bottom"/>
          </w:tcPr>
          <w:p>
            <w:pPr>
              <w:spacing w:after="0"/>
              <w:rPr>
                <w:sz w:val="23"/>
                <w:szCs w:val="2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r>
    </w:tbl>
    <w:p>
      <w:pPr>
        <w:spacing w:after="0" w:line="28" w:lineRule="exact"/>
        <w:rPr>
          <w:sz w:val="20"/>
          <w:szCs w:val="20"/>
          <w:color w:val="auto"/>
        </w:rPr>
      </w:pPr>
    </w:p>
    <w:p>
      <w:pPr>
        <w:ind w:left="360" w:hanging="307"/>
        <w:spacing w:after="0"/>
        <w:tabs>
          <w:tab w:leader="none" w:pos="3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2,780,259  $  2,694,797</w:t>
      </w:r>
    </w:p>
    <w:p>
      <w:pPr>
        <w:spacing w:after="0" w:line="55"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85,462</w:t>
      </w:r>
    </w:p>
    <w:p>
      <w:pPr>
        <w:spacing w:after="0" w:line="55" w:lineRule="exact"/>
        <w:rPr>
          <w:rFonts w:ascii="Times New Roman" w:cs="Times New Roman" w:eastAsia="Times New Roman" w:hAnsi="Times New Roman"/>
          <w:sz w:val="20"/>
          <w:szCs w:val="20"/>
          <w:color w:val="auto"/>
        </w:rPr>
      </w:pPr>
    </w:p>
    <w:p>
      <w:pPr>
        <w:ind w:left="360" w:hanging="307"/>
        <w:spacing w:after="0"/>
        <w:tabs>
          <w:tab w:leader="none" w:pos="3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2,780,259  $  2,780,259</w:t>
      </w:r>
    </w:p>
    <w:p>
      <w:pPr>
        <w:spacing w:after="0" w:line="707" w:lineRule="exact"/>
        <w:rPr>
          <w:sz w:val="20"/>
          <w:szCs w:val="20"/>
          <w:color w:val="auto"/>
        </w:rPr>
      </w:pPr>
    </w:p>
    <w:p>
      <w:pPr>
        <w:sectPr>
          <w:pgSz w:w="12060" w:h="15660" w:orient="portrait"/>
          <w:cols w:equalWidth="0" w:num="2">
            <w:col w:w="7570" w:space="320"/>
            <w:col w:w="2560"/>
          </w:cols>
          <w:pgMar w:left="810" w:top="741" w:right="800" w:bottom="0" w:gutter="0" w:footer="0" w:header="0"/>
          <w:type w:val="continuous"/>
        </w:sectPr>
      </w:pP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Intangible assets with an indefinite useful life consisted of the following as of December 31, 2022 and 2021:</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Licenses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168,800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168,800</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Tradename</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154,300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154,300</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323,100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323,100</w:t>
            </w: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206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7">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114</w:t>
      </w:r>
    </w:p>
    <w:p>
      <w:pPr>
        <w:sectPr>
          <w:pgSz w:w="12060" w:h="15660" w:orient="portrait"/>
          <w:cols w:equalWidth="0" w:num="1">
            <w:col w:w="10450"/>
          </w:cols>
          <w:pgMar w:left="810" w:top="741" w:right="800" w:bottom="0" w:gutter="0" w:footer="0" w:header="0"/>
          <w:type w:val="continuous"/>
        </w:sectPr>
      </w:pPr>
    </w:p>
    <w:bookmarkStart w:id="126" w:name="page127"/>
    <w:bookmarkEnd w:id="126"/>
    <w:p>
      <w:pPr>
        <w:ind w:left="10"/>
        <w:spacing w:after="0"/>
        <w:rPr>
          <w:sz w:val="20"/>
          <w:szCs w:val="20"/>
          <w:color w:val="auto"/>
        </w:rPr>
      </w:pPr>
      <w:r>
        <w:rPr>
          <w:rFonts w:ascii="Times New Roman" w:cs="Times New Roman" w:eastAsia="Times New Roman" w:hAnsi="Times New Roman"/>
          <w:sz w:val="20"/>
          <w:szCs w:val="20"/>
          <w:color w:val="auto"/>
        </w:rPr>
        <w:t>Intangible assets that are subject to amortization consisted of the following:</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3"/>
        </w:trPr>
        <w:tc>
          <w:tcPr>
            <w:tcW w:w="206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7"/>
        </w:trPr>
        <w:tc>
          <w:tcPr>
            <w:tcW w:w="20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4"/>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 Refinitiv Transaction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12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(328,737)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599,463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676,813</w:t>
            </w:r>
          </w:p>
        </w:tc>
      </w:tr>
      <w:tr>
        <w:trPr>
          <w:trHeight w:val="265"/>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 NFI Acquisition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13 years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101,285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89,598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101,285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97,389</w:t>
            </w:r>
          </w:p>
        </w:tc>
      </w:tr>
      <w:tr>
        <w:trPr>
          <w:trHeight w:val="28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Content and data</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7 years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(93,743)</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60,657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(71,686)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82,714</w:t>
            </w:r>
          </w:p>
        </w:tc>
      </w:tr>
      <w:tr>
        <w:trPr>
          <w:trHeight w:val="245"/>
        </w:trPr>
        <w:tc>
          <w:tcPr>
            <w:tcW w:w="2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1,183,885</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(434,167)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749,718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1,183,885</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(326,969)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856,916</w:t>
            </w: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-1059815</wp:posOffset>
            </wp:positionV>
            <wp:extent cx="6654800" cy="358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8">
                      <a:extLst>
                        <a:ext uri="{28A0092B-C50C-407E-A947-70E740481C1C}"/>
                      </a:extLst>
                    </a:blip>
                    <a:srcRect/>
                    <a:stretch>
                      <a:fillRect/>
                    </a:stretch>
                  </pic:blipFill>
                  <pic:spPr bwMode="auto">
                    <a:xfrm>
                      <a:off x="0" y="0"/>
                      <a:ext cx="6654800" cy="3587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-393065</wp:posOffset>
            </wp:positionV>
            <wp:extent cx="6654800" cy="2063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2082800</wp:posOffset>
            </wp:positionH>
            <wp:positionV relativeFrom="paragraph">
              <wp:posOffset>-43815</wp:posOffset>
            </wp:positionV>
            <wp:extent cx="455930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0">
                      <a:extLst>
                        <a:ext uri="{28A0092B-C50C-407E-A947-70E740481C1C}"/>
                      </a:extLst>
                    </a:blip>
                    <a:srcRect/>
                    <a:stretch>
                      <a:fillRect/>
                    </a:stretch>
                  </pic:blipFill>
                  <pic:spPr bwMode="auto">
                    <a:xfrm>
                      <a:off x="0" y="0"/>
                      <a:ext cx="4559300" cy="50800"/>
                    </a:xfrm>
                    <a:prstGeom prst="rect">
                      <a:avLst/>
                    </a:prstGeom>
                    <a:noFill/>
                  </pic:spPr>
                </pic:pic>
              </a:graphicData>
            </a:graphic>
          </wp:anchor>
        </w:drawing>
      </w:r>
    </w:p>
    <w:p>
      <w:pPr>
        <w:spacing w:after="0" w:line="188" w:lineRule="exact"/>
        <w:rPr>
          <w:sz w:val="20"/>
          <w:szCs w:val="20"/>
          <w:color w:val="auto"/>
        </w:rPr>
      </w:pPr>
    </w:p>
    <w:p>
      <w:pPr>
        <w:ind w:left="10" w:right="180"/>
        <w:spacing w:after="0" w:line="281" w:lineRule="auto"/>
        <w:rPr>
          <w:sz w:val="20"/>
          <w:szCs w:val="20"/>
          <w:color w:val="auto"/>
        </w:rPr>
      </w:pPr>
      <w:r>
        <w:rPr>
          <w:rFonts w:ascii="Times New Roman" w:cs="Times New Roman" w:eastAsia="Times New Roman" w:hAnsi="Times New Roman"/>
          <w:sz w:val="20"/>
          <w:szCs w:val="20"/>
          <w:color w:val="auto"/>
        </w:rPr>
        <w:t>Amortization expense for definite-lived intangible assets during the years ended December 31, 2022, 2021 and 2020 was $107.2 million, $103.3 million and $99.4 million, respectively.</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estimated annual future amortization for definite-lived intangible assets through December 31, 2027 is as follows:</w:t>
      </w:r>
    </w:p>
    <w:p>
      <w:pPr>
        <w:spacing w:after="0" w:line="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9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88"/>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107,198</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107,198</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101,684</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85,141</w:t>
            </w:r>
          </w:p>
        </w:tc>
      </w:tr>
      <w:tr>
        <w:trPr>
          <w:trHeight w:val="285"/>
        </w:trPr>
        <w:tc>
          <w:tcPr>
            <w:tcW w:w="9140" w:type="dxa"/>
            <w:vAlign w:val="bottom"/>
          </w:tcPr>
          <w:p>
            <w:pPr>
              <w:jc w:val="right"/>
              <w:ind w:right="8640"/>
              <w:spacing w:after="0"/>
              <w:rPr>
                <w:sz w:val="20"/>
                <w:szCs w:val="20"/>
                <w:color w:val="auto"/>
              </w:rPr>
            </w:pPr>
            <w:r>
              <w:rPr>
                <w:rFonts w:ascii="Times New Roman" w:cs="Times New Roman" w:eastAsia="Times New Roman" w:hAnsi="Times New Roman"/>
                <w:sz w:val="20"/>
                <w:szCs w:val="20"/>
                <w:color w:val="auto"/>
                <w:w w:val="94"/>
              </w:rPr>
              <w:t>2027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85,141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2063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206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24" w:lineRule="exact"/>
        <w:rPr>
          <w:sz w:val="20"/>
          <w:szCs w:val="20"/>
          <w:color w:val="auto"/>
        </w:rPr>
      </w:pPr>
    </w:p>
    <w:p>
      <w:pPr>
        <w:ind w:left="730" w:hanging="730"/>
        <w:spacing w:after="0"/>
        <w:tabs>
          <w:tab w:leader="none" w:pos="73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ind w:left="10" w:right="260"/>
        <w:spacing w:after="0" w:line="266" w:lineRule="auto"/>
        <w:rPr>
          <w:sz w:val="20"/>
          <w:szCs w:val="20"/>
          <w:color w:val="auto"/>
        </w:rPr>
      </w:pPr>
      <w:r>
        <w:rPr>
          <w:rFonts w:ascii="Times New Roman" w:cs="Times New Roman" w:eastAsia="Times New Roman" w:hAnsi="Times New Roman"/>
          <w:sz w:val="20"/>
          <w:szCs w:val="20"/>
          <w:color w:val="auto"/>
        </w:rPr>
        <w:t>The Company has operating leases for corporate offices and data centers with initial lease terms ranging from one to 10 years. The following is a summary of lease right-of-use assets and lease liabilities related to operating leases as of December 31, 2022 and 2021:</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20,496</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27,943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24,331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Activity related to the Company’s leases for the years ended December 31, 2022, 2021 and 2020 is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included as a component of occupancy expense on the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accompanying consolidated statements of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10,439</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liability</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12,060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6654800" cy="358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5">
                      <a:extLst>
                        <a:ext uri="{28A0092B-C50C-407E-A947-70E740481C1C}"/>
                      </a:extLst>
                    </a:blip>
                    <a:srcRect/>
                    <a:stretch>
                      <a:fillRect/>
                    </a:stretch>
                  </pic:blipFill>
                  <pic:spPr bwMode="auto">
                    <a:xfrm>
                      <a:off x="0" y="0"/>
                      <a:ext cx="6654800" cy="358775"/>
                    </a:xfrm>
                    <a:prstGeom prst="rect">
                      <a:avLst/>
                    </a:prstGeom>
                    <a:noFill/>
                  </pic:spPr>
                </pic:pic>
              </a:graphicData>
            </a:graphic>
          </wp:anchor>
        </w:drawing>
      </w:r>
    </w:p>
    <w:p>
      <w:pPr>
        <w:spacing w:after="0" w:line="2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At December 31, 2022 and 2021, the weighted average borrowing rate and weighted average remaining lease term are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17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32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borrowing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115</w:t>
      </w:r>
    </w:p>
    <w:p>
      <w:pPr>
        <w:sectPr>
          <w:pgSz w:w="12060" w:h="15660" w:orient="portrait"/>
          <w:cols w:equalWidth="0" w:num="1">
            <w:col w:w="10450"/>
          </w:cols>
          <w:pgMar w:left="810" w:top="748" w:right="800" w:bottom="0" w:gutter="0" w:footer="0" w:header="0"/>
          <w:type w:val="continuous"/>
        </w:sectPr>
      </w:pPr>
    </w:p>
    <w:bookmarkStart w:id="127" w:name="page128"/>
    <w:bookmarkEnd w:id="127"/>
    <w:p>
      <w:pPr>
        <w:ind w:left="10"/>
        <w:spacing w:after="0"/>
        <w:rPr>
          <w:sz w:val="20"/>
          <w:szCs w:val="20"/>
          <w:color w:val="auto"/>
        </w:rPr>
      </w:pPr>
      <w:r>
        <w:rPr>
          <w:rFonts w:ascii="Times New Roman" w:cs="Times New Roman" w:eastAsia="Times New Roman" w:hAnsi="Times New Roman"/>
          <w:sz w:val="20"/>
          <w:szCs w:val="20"/>
          <w:color w:val="auto"/>
        </w:rPr>
        <w:t>The following table presents the future minimum lease payments and the maturity of lease liabilities as of December 31, 2022:</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11,913</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8,124</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6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3,508</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2,833</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2,841</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152</w:t>
            </w:r>
          </w:p>
        </w:tc>
      </w:tr>
      <w:tr>
        <w:trPr>
          <w:trHeight w:val="262"/>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160" w:type="dxa"/>
            <w:vAlign w:val="bottom"/>
          </w:tcPr>
          <w:p>
            <w:pPr>
              <w:spacing w:after="0"/>
              <w:rPr>
                <w:sz w:val="22"/>
                <w:szCs w:val="22"/>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29,371</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w:t>
            </w:r>
          </w:p>
        </w:tc>
      </w:tr>
      <w:tr>
        <w:trPr>
          <w:trHeight w:val="24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27,943</w:t>
            </w:r>
          </w:p>
        </w:tc>
      </w:tr>
      <w:tr>
        <w:trPr>
          <w:trHeight w:val="20"/>
        </w:trPr>
        <w:tc>
          <w:tcPr>
            <w:tcW w:w="9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654800" cy="2063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2063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2063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1">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ind w:left="10" w:right="180"/>
        <w:spacing w:after="0" w:line="260" w:lineRule="auto"/>
        <w:rPr>
          <w:sz w:val="20"/>
          <w:szCs w:val="20"/>
          <w:color w:val="auto"/>
        </w:rPr>
      </w:pPr>
      <w:r>
        <w:rPr>
          <w:rFonts w:ascii="Times New Roman" w:cs="Times New Roman" w:eastAsia="Times New Roman" w:hAnsi="Times New Roman"/>
          <w:sz w:val="20"/>
          <w:szCs w:val="20"/>
          <w:color w:val="auto"/>
        </w:rPr>
        <w:t>As of December 31, 2022 and 2021, one U.S. lease was secured by a $0.5 million letter of credit issued under the Company’s Credit Facility (as defined in Note 17 – Commitments and Contingencies). As of December 31 2020, this lease was secured by a letter of credit in the amount of $1.2 million, which was guaranteed by Refinitiv and during the year ended December 31, 2021, was replaced with the letter of credit issued under the Company’s Credit Facility.</w:t>
      </w:r>
    </w:p>
    <w:p>
      <w:pPr>
        <w:spacing w:after="0" w:line="156" w:lineRule="exact"/>
        <w:rPr>
          <w:sz w:val="20"/>
          <w:szCs w:val="20"/>
          <w:color w:val="auto"/>
        </w:rPr>
      </w:pPr>
    </w:p>
    <w:p>
      <w:pPr>
        <w:ind w:left="730" w:hanging="730"/>
        <w:spacing w:after="0"/>
        <w:tabs>
          <w:tab w:leader="none" w:pos="73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4" w:lineRule="exact"/>
        <w:rPr>
          <w:sz w:val="20"/>
          <w:szCs w:val="20"/>
          <w:color w:val="auto"/>
        </w:rPr>
      </w:pPr>
    </w:p>
    <w:p>
      <w:pPr>
        <w:ind w:left="10" w:right="60"/>
        <w:spacing w:after="0" w:line="265" w:lineRule="auto"/>
        <w:rPr>
          <w:sz w:val="20"/>
          <w:szCs w:val="20"/>
          <w:color w:val="auto"/>
        </w:rPr>
      </w:pPr>
      <w:r>
        <w:rPr>
          <w:rFonts w:ascii="Times New Roman" w:cs="Times New Roman" w:eastAsia="Times New Roman" w:hAnsi="Times New Roman"/>
          <w:sz w:val="19"/>
          <w:szCs w:val="19"/>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74" w:lineRule="exact"/>
        <w:rPr>
          <w:sz w:val="20"/>
          <w:szCs w:val="20"/>
          <w:color w:val="auto"/>
        </w:rPr>
      </w:pPr>
    </w:p>
    <w:p>
      <w:pPr>
        <w:ind w:left="10" w:right="220"/>
        <w:spacing w:after="0" w:line="258" w:lineRule="auto"/>
        <w:rPr>
          <w:sz w:val="20"/>
          <w:szCs w:val="20"/>
          <w:color w:val="auto"/>
        </w:rPr>
      </w:pPr>
      <w:r>
        <w:rPr>
          <w:rFonts w:ascii="Times New Roman" w:cs="Times New Roman" w:eastAsia="Times New Roman" w:hAnsi="Times New Roman"/>
          <w:sz w:val="20"/>
          <w:szCs w:val="20"/>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64" w:lineRule="exact"/>
        <w:rPr>
          <w:sz w:val="20"/>
          <w:szCs w:val="20"/>
          <w:color w:val="auto"/>
        </w:rPr>
      </w:pPr>
    </w:p>
    <w:p>
      <w:pPr>
        <w:ind w:left="730" w:hanging="370"/>
        <w:spacing w:after="0"/>
        <w:tabs>
          <w:tab w:leader="none" w:pos="73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annual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30" w:right="320" w:hanging="370"/>
        <w:spacing w:after="0" w:line="281" w:lineRule="auto"/>
        <w:tabs>
          <w:tab w:leader="none" w:pos="73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or each historical data set until the end of the contract term.</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116</w:t>
      </w:r>
    </w:p>
    <w:p>
      <w:pPr>
        <w:sectPr>
          <w:pgSz w:w="12060" w:h="15660" w:orient="portrait"/>
          <w:cols w:equalWidth="0" w:num="1">
            <w:col w:w="10450"/>
          </w:cols>
          <w:pgMar w:left="810" w:top="748" w:right="800" w:bottom="0" w:gutter="0" w:footer="0" w:header="0"/>
          <w:type w:val="continuous"/>
        </w:sectPr>
      </w:pPr>
    </w:p>
    <w:bookmarkStart w:id="128" w:name="page129"/>
    <w:bookmarkEnd w:id="128"/>
    <w:p>
      <w:pPr>
        <w:ind w:left="730" w:right="80" w:hanging="370"/>
        <w:spacing w:after="0" w:line="266" w:lineRule="auto"/>
        <w:tabs>
          <w:tab w:leader="none" w:pos="73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155" w:lineRule="exact"/>
        <w:rPr>
          <w:sz w:val="20"/>
          <w:szCs w:val="20"/>
          <w:color w:val="auto"/>
        </w:rPr>
      </w:pPr>
    </w:p>
    <w:p>
      <w:pPr>
        <w:ind w:left="10" w:right="420"/>
        <w:spacing w:after="0" w:line="266" w:lineRule="auto"/>
        <w:rPr>
          <w:sz w:val="20"/>
          <w:szCs w:val="20"/>
          <w:color w:val="auto"/>
        </w:rPr>
      </w:pPr>
      <w:r>
        <w:rPr>
          <w:rFonts w:ascii="Times New Roman" w:cs="Times New Roman" w:eastAsia="Times New Roman" w:hAnsi="Times New Roman"/>
          <w:sz w:val="20"/>
          <w:szCs w:val="20"/>
          <w:color w:val="auto"/>
        </w:rPr>
        <w:t>Some revenues earned by the Company have fixed fee components, such as monthly minimums or fixed monthly fees, and variable components, such as transaction-based fees. The breakdown of revenues between fixed and variable revenues for the years ended December 31, 2022, 2021 and 2020 is as follows:</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274"/>
        </w:trPr>
        <w:tc>
          <w:tcPr>
            <w:tcW w:w="2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20" w:type="dxa"/>
            <w:vAlign w:val="bottom"/>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20" w:type="dxa"/>
            <w:vAlign w:val="bottom"/>
          </w:tcPr>
          <w:p>
            <w:pPr>
              <w:ind w:left="20"/>
              <w:spacing w:after="0" w:line="229" w:lineRule="exact"/>
              <w:rPr>
                <w:sz w:val="20"/>
                <w:szCs w:val="20"/>
                <w:color w:val="auto"/>
              </w:rPr>
            </w:pPr>
            <w:r>
              <w:rPr>
                <w:rFonts w:ascii="Times New Roman" w:cs="Times New Roman" w:eastAsia="Times New Roman" w:hAnsi="Times New Roman"/>
                <w:sz w:val="20"/>
                <w:szCs w:val="20"/>
                <w:color w:val="auto"/>
              </w:rPr>
              <w:t>Transaction fees and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803,465</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146,804</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690,592</w:t>
            </w: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155,762</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536,176</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145,412</w:t>
            </w:r>
          </w:p>
        </w:tc>
        <w:tc>
          <w:tcPr>
            <w:tcW w:w="0" w:type="dxa"/>
            <w:vAlign w:val="bottom"/>
          </w:tcPr>
          <w:p>
            <w:pPr>
              <w:spacing w:after="0"/>
              <w:rPr>
                <w:sz w:val="1"/>
                <w:szCs w:val="1"/>
                <w:color w:val="auto"/>
              </w:rPr>
            </w:pPr>
          </w:p>
        </w:tc>
      </w:tr>
      <w:tr>
        <w:trPr>
          <w:trHeight w:val="261"/>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commissions</w:t>
            </w:r>
          </w:p>
        </w:tc>
        <w:tc>
          <w:tcPr>
            <w:tcW w:w="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Subscription fees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164,049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140,673</w:t>
            </w:r>
          </w:p>
        </w:tc>
        <w:tc>
          <w:tcPr>
            <w:tcW w:w="0" w:type="dxa"/>
            <w:vAlign w:val="bottom"/>
          </w:tcPr>
          <w:p>
            <w:pPr>
              <w:spacing w:after="0"/>
              <w:rPr>
                <w:sz w:val="1"/>
                <w:szCs w:val="1"/>
                <w:color w:val="auto"/>
              </w:rPr>
            </w:pPr>
          </w:p>
        </w:tc>
      </w:tr>
      <w:tr>
        <w:trPr>
          <w:trHeight w:val="285"/>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Refinitiv market data fees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62,721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61,161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59,706</w:t>
            </w:r>
          </w:p>
        </w:tc>
        <w:tc>
          <w:tcPr>
            <w:tcW w:w="0" w:type="dxa"/>
            <w:vAlign w:val="bottom"/>
          </w:tcPr>
          <w:p>
            <w:pPr>
              <w:spacing w:after="0"/>
              <w:rPr>
                <w:sz w:val="1"/>
                <w:szCs w:val="1"/>
                <w:color w:val="auto"/>
              </w:rPr>
            </w:pPr>
          </w:p>
        </w:tc>
      </w:tr>
      <w:tr>
        <w:trPr>
          <w:trHeight w:val="288"/>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9,007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8,409</w:t>
            </w:r>
          </w:p>
        </w:tc>
        <w:tc>
          <w:tcPr>
            <w:tcW w:w="0" w:type="dxa"/>
            <w:vAlign w:val="bottom"/>
          </w:tcPr>
          <w:p>
            <w:pPr>
              <w:spacing w:after="0"/>
              <w:rPr>
                <w:sz w:val="1"/>
                <w:szCs w:val="1"/>
                <w:color w:val="auto"/>
              </w:rPr>
            </w:pPr>
          </w:p>
        </w:tc>
      </w:tr>
      <w:tr>
        <w:trPr>
          <w:trHeight w:val="245"/>
        </w:trPr>
        <w:tc>
          <w:tcPr>
            <w:tcW w:w="2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806,200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382,581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693,225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538,459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354,200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-1231265</wp:posOffset>
            </wp:positionV>
            <wp:extent cx="6654800" cy="1238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2">
                      <a:extLst>
                        <a:ext uri="{28A0092B-C50C-407E-A947-70E740481C1C}"/>
                      </a:extLst>
                    </a:blip>
                    <a:srcRect/>
                    <a:stretch>
                      <a:fillRect/>
                    </a:stretch>
                  </pic:blipFill>
                  <pic:spPr bwMode="auto">
                    <a:xfrm>
                      <a:off x="0" y="0"/>
                      <a:ext cx="6654800" cy="1238250"/>
                    </a:xfrm>
                    <a:prstGeom prst="rect">
                      <a:avLst/>
                    </a:prstGeom>
                    <a:noFill/>
                  </pic:spPr>
                </pic:pic>
              </a:graphicData>
            </a:graphic>
          </wp:anchor>
        </w:drawing>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14" w:lineRule="exact"/>
        <w:rPr>
          <w:sz w:val="20"/>
          <w:szCs w:val="20"/>
          <w:color w:val="auto"/>
        </w:rPr>
      </w:pPr>
    </w:p>
    <w:p>
      <w:pPr>
        <w:ind w:left="10" w:right="440"/>
        <w:spacing w:after="0" w:line="281" w:lineRule="auto"/>
        <w:rPr>
          <w:sz w:val="20"/>
          <w:szCs w:val="20"/>
          <w:color w:val="auto"/>
        </w:rPr>
      </w:pPr>
      <w:r>
        <w:rPr>
          <w:rFonts w:ascii="Times New Roman" w:cs="Times New Roman" w:eastAsia="Times New Roman" w:hAnsi="Times New Roman"/>
          <w:sz w:val="20"/>
          <w:szCs w:val="20"/>
          <w:color w:val="auto"/>
        </w:rPr>
        <w:t>The Company records deferred revenue when cash payments are received or due in advance of services to be performed. The revenue recognized and the remaining deferred revenue balances are shown below:</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9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24,930</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New billings</w:t>
            </w:r>
          </w:p>
        </w:tc>
        <w:tc>
          <w:tcPr>
            <w:tcW w:w="16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114,940</w:t>
            </w:r>
          </w:p>
        </w:tc>
      </w:tr>
      <w:tr>
        <w:trPr>
          <w:trHeight w:val="28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(116,951)</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exchange rate changes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4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22,827</w:t>
            </w:r>
          </w:p>
        </w:tc>
      </w:tr>
      <w:tr>
        <w:trPr>
          <w:trHeight w:val="20"/>
        </w:trPr>
        <w:tc>
          <w:tcPr>
            <w:tcW w:w="9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942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3">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pacing w:after="0" w:line="188"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the Company recognized $23.5 million in total revenue that was deferred as of December 31, 2021. During the year ended December 31, 2021, the Company recognized $23.0 million in total revenue that was deferred as of December 31, 2020.</w:t>
      </w:r>
    </w:p>
    <w:p>
      <w:pPr>
        <w:spacing w:after="0" w:line="148" w:lineRule="exact"/>
        <w:rPr>
          <w:sz w:val="20"/>
          <w:szCs w:val="20"/>
          <w:color w:val="auto"/>
        </w:rPr>
      </w:pPr>
    </w:p>
    <w:p>
      <w:pPr>
        <w:ind w:left="730" w:hanging="730"/>
        <w:spacing w:after="0"/>
        <w:tabs>
          <w:tab w:leader="none" w:pos="73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1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Continuing LLC Owners redeem or exchange their LLC Interests for shares of Class A common stock or Class B common stock, as applicable, or the Corporation purchases LLC Interests from Continuing LLC Owners.</w:t>
      </w:r>
    </w:p>
    <w:p>
      <w:pPr>
        <w:spacing w:after="0" w:line="164" w:lineRule="exact"/>
        <w:rPr>
          <w:sz w:val="20"/>
          <w:szCs w:val="20"/>
          <w:color w:val="auto"/>
        </w:rPr>
      </w:pPr>
    </w:p>
    <w:p>
      <w:pPr>
        <w:ind w:left="10" w:right="140"/>
        <w:spacing w:after="0" w:line="281" w:lineRule="auto"/>
        <w:rPr>
          <w:sz w:val="20"/>
          <w:szCs w:val="20"/>
          <w:color w:val="auto"/>
        </w:rPr>
      </w:pPr>
      <w:r>
        <w:rPr>
          <w:rFonts w:ascii="Times New Roman" w:cs="Times New Roman" w:eastAsia="Times New Roman" w:hAnsi="Times New Roman"/>
          <w:sz w:val="20"/>
          <w:szCs w:val="20"/>
          <w:color w:val="auto"/>
        </w:rPr>
        <w:t>The Company’s consolidated effective tax rate will also vary from period to period depending on changes in the mix of earnings, tax legislation and tax rates in various jurisdictions.</w:t>
      </w:r>
    </w:p>
    <w:p>
      <w:pPr>
        <w:spacing w:after="0" w:line="14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2022, total income before the provision for income taxes amounted to $437.1 million, consisting of $414.6 million in the United States and $22.5 million in foreign locations.</w:t>
      </w:r>
    </w:p>
    <w:p>
      <w:pPr>
        <w:sectPr>
          <w:pgSz w:w="12060" w:h="15660" w:orient="portrait"/>
          <w:cols w:equalWidth="0" w:num="1">
            <w:col w:w="10450"/>
          </w:cols>
          <w:pgMar w:left="81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117</w:t>
      </w:r>
    </w:p>
    <w:p>
      <w:pPr>
        <w:sectPr>
          <w:pgSz w:w="12060" w:h="15660" w:orient="portrait"/>
          <w:cols w:equalWidth="0" w:num="1">
            <w:col w:w="10450"/>
          </w:cols>
          <w:pgMar w:left="810" w:top="748" w:right="80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The provision for income taxes consists of the following:</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(16,529)</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 and Local</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5,261</w:t>
            </w:r>
          </w:p>
        </w:tc>
      </w:tr>
      <w:tr>
        <w:trPr>
          <w:trHeight w:val="288"/>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2,153</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24,657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(9,115)</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52,845</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 and local</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12,572</w:t>
            </w:r>
          </w:p>
        </w:tc>
      </w:tr>
      <w:tr>
        <w:trPr>
          <w:trHeight w:val="288"/>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65"/>
        </w:trPr>
        <w:tc>
          <w:tcPr>
            <w:tcW w:w="65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expense</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52,863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85,409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65,189</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77,520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96,875</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56,074</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654800" cy="206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-1659890</wp:posOffset>
            </wp:positionV>
            <wp:extent cx="6654800" cy="206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-1297940</wp:posOffset>
            </wp:positionV>
            <wp:extent cx="6654800" cy="206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654800" cy="206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654800" cy="2063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654800" cy="2190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9">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U.S. federal statutory tax rate to the effective rate is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65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20"/>
        </w:trPr>
        <w:tc>
          <w:tcPr>
            <w:tcW w:w="6560" w:type="dxa"/>
            <w:vAlign w:val="bottom"/>
          </w:tcPr>
          <w:p>
            <w:pPr>
              <w:spacing w:after="0"/>
              <w:rPr>
                <w:sz w:val="19"/>
                <w:szCs w:val="19"/>
                <w:color w:val="auto"/>
              </w:rPr>
            </w:pPr>
          </w:p>
        </w:tc>
        <w:tc>
          <w:tcPr>
            <w:tcW w:w="12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22"/>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Statutory U.S. federal income tax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benefit</w:t>
            </w: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5.3</w:t>
            </w:r>
          </w:p>
        </w:tc>
        <w:tc>
          <w:tcPr>
            <w:tcW w:w="130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rPr>
              <w:t>3.7</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5.0</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(0.2)</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w:t>
            </w: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(2.3)</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(3.4)</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adjustment</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(0.7)</w:t>
            </w: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(0.7)</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(0.9)</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Rate change</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(4.1)</w:t>
            </w:r>
          </w:p>
        </w:tc>
        <w:tc>
          <w:tcPr>
            <w:tcW w:w="130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rPr>
              <w:t>6.7</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w:t>
            </w: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rPr>
              <w:t>(2.5)</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(1.8)</w:t>
            </w:r>
          </w:p>
        </w:tc>
      </w:tr>
      <w:tr>
        <w:trPr>
          <w:trHeight w:val="288"/>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0.4</w:t>
            </w:r>
          </w:p>
        </w:tc>
        <w:tc>
          <w:tcPr>
            <w:tcW w:w="130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rPr>
              <w:t>0.5</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0.5</w:t>
            </w:r>
          </w:p>
        </w:tc>
      </w:tr>
      <w:tr>
        <w:trPr>
          <w:trHeight w:val="24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17.7 %</w:t>
            </w:r>
          </w:p>
        </w:tc>
        <w:tc>
          <w:tcPr>
            <w:tcW w:w="6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26.2 %</w:t>
            </w:r>
          </w:p>
        </w:tc>
        <w:tc>
          <w:tcPr>
            <w:tcW w:w="6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20.4 %</w:t>
            </w:r>
          </w:p>
        </w:tc>
      </w:tr>
      <w:tr>
        <w:trPr>
          <w:trHeight w:val="20"/>
        </w:trPr>
        <w:tc>
          <w:tcPr>
            <w:tcW w:w="6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654800" cy="1666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0">
                      <a:extLst>
                        <a:ext uri="{28A0092B-C50C-407E-A947-70E740481C1C}"/>
                      </a:extLst>
                    </a:blip>
                    <a:srcRect/>
                    <a:stretch>
                      <a:fillRect/>
                    </a:stretch>
                  </pic:blipFill>
                  <pic:spPr bwMode="auto">
                    <a:xfrm>
                      <a:off x="0" y="0"/>
                      <a:ext cx="6654800" cy="1666875"/>
                    </a:xfrm>
                    <a:prstGeom prst="rect">
                      <a:avLst/>
                    </a:prstGeom>
                    <a:noFill/>
                  </pic:spPr>
                </pic:pic>
              </a:graphicData>
            </a:graphic>
          </wp:anchor>
        </w:drawing>
      </w:r>
    </w:p>
    <w:p>
      <w:pPr>
        <w:spacing w:after="0" w:line="18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The effective tax rate for the years ended December 31, 2022 and 2021 differed from the U.S. federal statutory rate of 21.0% primarily due to the state and local taxes including the tax impact of state apportionment rates changes on total tax expense as a result of the remeasurement of the Company’s net tax deferred asset, the effect of non-controlling interests and the tax impact of the exercise of equity compensation. The effective tax rate for the year ended December 31, 2020 differed from the U.S. federal statutory rate of 21.0% primarily due to the effect of non-controlling interests and the tax impact of the exercise of equity compensation, partially offset by state, local and foreign taxes.</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118</w:t>
      </w:r>
    </w:p>
    <w:p>
      <w:pPr>
        <w:sectPr>
          <w:pgSz w:w="12060" w:h="15660" w:orient="portrait"/>
          <w:cols w:equalWidth="0" w:num="1">
            <w:col w:w="10440"/>
          </w:cols>
          <w:pgMar w:left="820" w:top="748" w:right="80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The components of the Company’s net deferred tax asset (liability)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566,524</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506,586</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operating losses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57,247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55,236</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Receivable Agreement - Interest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13,393</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Employee compensation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43,861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31,507</w:t>
            </w:r>
          </w:p>
        </w:tc>
        <w:tc>
          <w:tcPr>
            <w:tcW w:w="0" w:type="dxa"/>
            <w:vAlign w:val="bottom"/>
          </w:tcPr>
          <w:p>
            <w:pPr>
              <w:spacing w:after="0"/>
              <w:rPr>
                <w:sz w:val="1"/>
                <w:szCs w:val="1"/>
                <w:color w:val="auto"/>
              </w:rPr>
            </w:pPr>
          </w:p>
        </w:tc>
      </w:tr>
      <w:tr>
        <w:trPr>
          <w:trHeight w:val="285"/>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credits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8,947</w:t>
            </w:r>
          </w:p>
        </w:tc>
        <w:tc>
          <w:tcPr>
            <w:tcW w:w="0" w:type="dxa"/>
            <w:vAlign w:val="bottom"/>
          </w:tcPr>
          <w:p>
            <w:pPr>
              <w:spacing w:after="0"/>
              <w:rPr>
                <w:sz w:val="1"/>
                <w:szCs w:val="1"/>
                <w:color w:val="auto"/>
              </w:rPr>
            </w:pPr>
          </w:p>
        </w:tc>
      </w:tr>
      <w:tr>
        <w:trPr>
          <w:trHeight w:val="288"/>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5,569</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9,775</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 gross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698,104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625,444</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assets, net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698,104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624,703</w:t>
            </w:r>
          </w:p>
        </w:tc>
        <w:tc>
          <w:tcPr>
            <w:tcW w:w="0" w:type="dxa"/>
            <w:vAlign w:val="bottom"/>
          </w:tcPr>
          <w:p>
            <w:pPr>
              <w:spacing w:after="0"/>
              <w:rPr>
                <w:sz w:val="1"/>
                <w:szCs w:val="1"/>
                <w:color w:val="auto"/>
              </w:rPr>
            </w:pPr>
          </w:p>
        </w:tc>
      </w:tr>
      <w:tr>
        <w:trPr>
          <w:trHeight w:val="57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Goodwill and Intangibles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(29,913)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(26,744)</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(29,913)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(26,744)</w:t>
            </w:r>
          </w:p>
        </w:tc>
        <w:tc>
          <w:tcPr>
            <w:tcW w:w="0" w:type="dxa"/>
            <w:vAlign w:val="bottom"/>
          </w:tcPr>
          <w:p>
            <w:pPr>
              <w:spacing w:after="0"/>
              <w:rPr>
                <w:sz w:val="1"/>
                <w:szCs w:val="1"/>
                <w:color w:val="auto"/>
              </w:rPr>
            </w:pPr>
          </w:p>
        </w:tc>
      </w:tr>
      <w:tr>
        <w:trPr>
          <w:trHeight w:val="318"/>
        </w:trPr>
        <w:tc>
          <w:tcPr>
            <w:tcW w:w="7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net deferred tax asset (liability)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40" w:type="dxa"/>
            <w:vAlign w:val="bottom"/>
            <w:vMerge w:val="continue"/>
          </w:tcPr>
          <w:p>
            <w:pPr>
              <w:spacing w:after="0"/>
              <w:rPr>
                <w:sz w:val="21"/>
                <w:szCs w:val="21"/>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668,191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597,959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-2945765</wp:posOffset>
            </wp:positionV>
            <wp:extent cx="6654800" cy="2952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1">
                      <a:extLst>
                        <a:ext uri="{28A0092B-C50C-407E-A947-70E740481C1C}"/>
                      </a:extLst>
                    </a:blip>
                    <a:srcRect/>
                    <a:stretch>
                      <a:fillRect/>
                    </a:stretch>
                  </pic:blipFill>
                  <pic:spPr bwMode="auto">
                    <a:xfrm>
                      <a:off x="0" y="0"/>
                      <a:ext cx="6654800" cy="2952750"/>
                    </a:xfrm>
                    <a:prstGeom prst="rect">
                      <a:avLst/>
                    </a:prstGeom>
                    <a:noFill/>
                  </pic:spPr>
                </pic:pic>
              </a:graphicData>
            </a:graphic>
          </wp:anchor>
        </w:drawing>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Company expects to obtain an increase in its share of the tax basis of the assets of TWM LLC when LLC Interests are redeemed or exchanged by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 of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2022, the Company had tax effected U.S. federal net operating loss carryforwards for income tax purposes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$43.1 million, state and local net operating loss carryforwards of $9.9 million, and foreign net operating loss carryforwards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 million. If not utilized, the state and local net operating loss carryforwards will begin to expire in 2035. The U.S. federal net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carryforwards and foreign net operating loss carryforwards can be carried forward indefinitely.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Company’s uncertain tax positions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9140" w:type="dxa"/>
            <w:vAlign w:val="bottom"/>
          </w:tcPr>
          <w:p>
            <w:pPr>
              <w:spacing w:after="0"/>
              <w:rPr>
                <w:sz w:val="18"/>
                <w:szCs w:val="18"/>
                <w:color w:val="auto"/>
              </w:rPr>
            </w:pPr>
          </w:p>
        </w:tc>
        <w:tc>
          <w:tcPr>
            <w:tcW w:w="12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88"/>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as of January 1, 2022</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7,006</w:t>
            </w:r>
          </w:p>
        </w:tc>
      </w:tr>
      <w:tr>
        <w:trPr>
          <w:trHeight w:val="285"/>
        </w:trPr>
        <w:tc>
          <w:tcPr>
            <w:tcW w:w="9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Increase in current year tax positions</w:t>
            </w: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1,833</w:t>
            </w:r>
          </w:p>
        </w:tc>
      </w:tr>
      <w:tr>
        <w:trPr>
          <w:trHeight w:val="285"/>
        </w:trPr>
        <w:tc>
          <w:tcPr>
            <w:tcW w:w="9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Increase in prior year tax positions</w:t>
            </w: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1,109</w:t>
            </w:r>
          </w:p>
        </w:tc>
      </w:tr>
      <w:tr>
        <w:trPr>
          <w:trHeight w:val="285"/>
        </w:trPr>
        <w:tc>
          <w:tcPr>
            <w:tcW w:w="91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Decrease in prior year tax positions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r>
      <w:tr>
        <w:trPr>
          <w:trHeight w:val="288"/>
        </w:trPr>
        <w:tc>
          <w:tcPr>
            <w:tcW w:w="9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Settlements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as of December 31, 2022</w:t>
            </w:r>
          </w:p>
        </w:tc>
        <w:tc>
          <w:tcPr>
            <w:tcW w:w="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8,048</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654800" cy="2063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654800" cy="206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654800" cy="400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4">
                      <a:extLst>
                        <a:ext uri="{28A0092B-C50C-407E-A947-70E740481C1C}"/>
                      </a:extLst>
                    </a:blip>
                    <a:srcRect/>
                    <a:stretch>
                      <a:fillRect/>
                    </a:stretch>
                  </pic:blipFill>
                  <pic:spPr bwMode="auto">
                    <a:xfrm>
                      <a:off x="0" y="0"/>
                      <a:ext cx="6654800" cy="400050"/>
                    </a:xfrm>
                    <a:prstGeom prst="rect">
                      <a:avLst/>
                    </a:prstGeom>
                    <a:noFill/>
                  </pic:spPr>
                </pic:pic>
              </a:graphicData>
            </a:graphic>
          </wp:anchor>
        </w:drawing>
      </w:r>
    </w:p>
    <w:p>
      <w:pPr>
        <w:spacing w:after="0" w:line="18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2022 was $2.4 million and $0.2 million, respectively.</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119</w:t>
      </w:r>
    </w:p>
    <w:p>
      <w:pPr>
        <w:sectPr>
          <w:pgSz w:w="12060" w:h="15660" w:orient="portrait"/>
          <w:cols w:equalWidth="0" w:num="1">
            <w:col w:w="10440"/>
          </w:cols>
          <w:pgMar w:left="820" w:top="748" w:right="800" w:bottom="0" w:gutter="0" w:footer="0" w:header="0"/>
          <w:type w:val="continuous"/>
        </w:sectPr>
      </w:pPr>
    </w:p>
    <w:bookmarkStart w:id="131" w:name="page132"/>
    <w:bookmarkEnd w:id="131"/>
    <w:p>
      <w:pPr>
        <w:ind w:left="10"/>
        <w:spacing w:after="0" w:line="254" w:lineRule="auto"/>
        <w:rPr>
          <w:sz w:val="20"/>
          <w:szCs w:val="20"/>
          <w:color w:val="auto"/>
        </w:rPr>
      </w:pPr>
      <w:r>
        <w:rPr>
          <w:rFonts w:ascii="Times New Roman" w:cs="Times New Roman" w:eastAsia="Times New Roman" w:hAnsi="Times New Roman"/>
          <w:sz w:val="20"/>
          <w:szCs w:val="20"/>
          <w:color w:val="auto"/>
        </w:rPr>
        <w:t xml:space="preserve">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2015 and is appealing a tax assessment from an audit by the State of New Jersey for the tax years 2008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2011. As of both December 31, 2022 and 2021, the tax liability related to the Refinitiv Contribution is $2.7 million and is included within accounts payable, accrued expenses and other liabilities on the consolidated statement of financial condition. The Company is indemnified by Refinitiv for these tax liabilities that were assumed by the Company as a result of the Refinitiv Contribution. As of both December 31, 2022 and 2021, $2.7 million is included in other assets on the consolidated statement of financial condition related to this indemnification.</w:t>
      </w:r>
    </w:p>
    <w:p>
      <w:pPr>
        <w:spacing w:after="0" w:line="169"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audits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 Furthermore, the Company does not anticipate any material changes to net uncertain tax benefits within the next twelve months.</w:t>
      </w:r>
    </w:p>
    <w:p>
      <w:pPr>
        <w:spacing w:after="0" w:line="161" w:lineRule="exact"/>
        <w:rPr>
          <w:sz w:val="20"/>
          <w:szCs w:val="20"/>
          <w:color w:val="auto"/>
        </w:rPr>
      </w:pPr>
    </w:p>
    <w:p>
      <w:pPr>
        <w:ind w:left="730" w:hanging="730"/>
        <w:spacing w:after="0"/>
        <w:tabs>
          <w:tab w:leader="none" w:pos="73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Receivable Agreement</w:t>
      </w:r>
    </w:p>
    <w:p>
      <w:pPr>
        <w:spacing w:after="0" w:line="217"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71"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As of December 31, 2022 and 2021, the tax receivable agreement liability on the consolidated statements of financial condition totaled $425.7 million and $412.4 million, respectively. During the years ended December 31, 2022, 2021 and 2020, the Company recognized a tax receivable agreement liability adjustment of $13.7 million, $12.7 million and $11.4 million, respectively, in the consolidated statements of income.</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120</w:t>
      </w:r>
    </w:p>
    <w:p>
      <w:pPr>
        <w:sectPr>
          <w:pgSz w:w="12060" w:h="15660" w:orient="portrait"/>
          <w:cols w:equalWidth="0" w:num="1">
            <w:col w:w="10430"/>
          </w:cols>
          <w:pgMar w:left="810" w:top="748" w:right="820" w:bottom="0" w:gutter="0" w:footer="0" w:header="0"/>
          <w:type w:val="continuous"/>
        </w:sectPr>
      </w:pPr>
    </w:p>
    <w:bookmarkStart w:id="132" w:name="page133"/>
    <w:bookmarkEnd w:id="132"/>
    <w:p>
      <w:pPr>
        <w:ind w:left="10" w:right="7920" w:hanging="10"/>
        <w:spacing w:after="0" w:line="462" w:lineRule="auto"/>
        <w:tabs>
          <w:tab w:leader="none" w:pos="73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Common Stock</w:t>
      </w:r>
    </w:p>
    <w:p>
      <w:pPr>
        <w:spacing w:after="0" w:line="2" w:lineRule="exact"/>
        <w:rPr>
          <w:sz w:val="20"/>
          <w:szCs w:val="20"/>
          <w:color w:val="auto"/>
        </w:rPr>
      </w:pPr>
    </w:p>
    <w:p>
      <w:pPr>
        <w:ind w:left="10" w:right="24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Economic</w:t>
            </w:r>
          </w:p>
        </w:tc>
      </w:tr>
      <w:tr>
        <w:trPr>
          <w:trHeight w:val="217"/>
        </w:trPr>
        <w:tc>
          <w:tcPr>
            <w:tcW w:w="65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6"/>
                <w:szCs w:val="16"/>
                <w:b w:val="1"/>
                <w:bCs w:val="1"/>
                <w:color w:val="auto"/>
              </w:rPr>
              <w:t>Class of Common Stock</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Votes</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r>
      <w:tr>
        <w:trPr>
          <w:trHeight w:val="262"/>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A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B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Yes</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C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r>
        <w:trPr>
          <w:trHeight w:val="285"/>
        </w:trPr>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D common stock</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654800"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206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left="10" w:right="320"/>
        <w:spacing w:after="0" w:line="266" w:lineRule="auto"/>
        <w:rPr>
          <w:sz w:val="20"/>
          <w:szCs w:val="20"/>
          <w:color w:val="auto"/>
        </w:rPr>
      </w:pPr>
      <w:r>
        <w:rPr>
          <w:rFonts w:ascii="Times New Roman" w:cs="Times New Roman" w:eastAsia="Times New Roman" w:hAnsi="Times New Roman"/>
          <w:sz w:val="20"/>
          <w:szCs w:val="20"/>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55"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68"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0"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LLC Interests</w:t>
      </w:r>
    </w:p>
    <w:p>
      <w:pPr>
        <w:spacing w:after="0" w:line="21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64"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ectPr>
          <w:pgSz w:w="12060" w:h="15660" w:orient="portrait"/>
          <w:cols w:equalWidth="0" w:num="1">
            <w:col w:w="10450"/>
          </w:cols>
          <w:pgMar w:left="810" w:top="741" w:right="800" w:bottom="0" w:gutter="0" w:footer="0" w:header="0"/>
        </w:sectPr>
      </w:pPr>
    </w:p>
    <w:p>
      <w:pPr>
        <w:spacing w:after="0" w:line="34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121</w:t>
      </w:r>
    </w:p>
    <w:p>
      <w:pPr>
        <w:sectPr>
          <w:pgSz w:w="12060" w:h="15660" w:orient="portrait"/>
          <w:cols w:equalWidth="0" w:num="1">
            <w:col w:w="10450"/>
          </w:cols>
          <w:pgMar w:left="810" w:top="741" w:right="80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April 2020 Follow-On Offering</w:t>
      </w:r>
    </w:p>
    <w:p>
      <w:pPr>
        <w:spacing w:after="0" w:line="2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executive officers (and the corresponding shares of Class C common stock and/or Class D common stock held by such holders were cancelled) and (ii) 596,418 issued and outstanding shares of Class A common stock from certain executive officers (which shares of Class A common stock were cancelled), at a purchase price per interest and share equal to the public offering price per share of $50.25, less the underwriting discounts and commissions payable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Redemptions and Exchanges of LLC Interests</w:t>
      </w:r>
    </w:p>
    <w:p>
      <w:pPr>
        <w:spacing w:after="0" w:line="2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addition to the April 2020 follow-on offering transaction described above, 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February 4, 2021, the Company announced that its board of directors authorized a share repurchase program (the “2021 Share Repurchase Program”), primarily to offset annual dilution from stock-based compensation plans. The 2021 Share Repurchase Program authorized the purchase of up to $150.0 million of the Company’s Class A common stock at the Company’s discretion through the end of fiscal year 2023. The 2021 Share Repurchase Program was effected through regular open-market purchases (which included repurchase plans designed to comply with Rule 10b5-1). The amounts and timing of the repurchases were subject to general market conditions and the prevailing price and trading volumes of the Company’s Class A common stock. The 2021 Share Repurchase Program did not require the Company to acquire a specific number of shares and was able to be suspended, amended or discontinued at any time.</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The Company began buying back shares pursuant to the 2021 Share Repurchase Program during the second quarter of 2021. During the years ended December 31, 2022 and 2021, the Company acquired a total of 959,869 and 901,968 shares of Class A common stock, respectively, at an average price of $77.43 and $83.90, respectively, for purchases totaling $74.3 million and $75.7 million, respectively, pursuant to the 2021 Share Repurchase Program. As of December 31, 2022, no shares remained available for repurchase pursuant to the 2021 Share Repurchase Program.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5, 2022, the Company announced that its board of directors authorized a new share repurchase program (the “2022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Repurchase Program”), to continue to offset annual dilution from stock-based compensation plans, as well as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opportunistically repurchase the Company’s stock. The 2022 Share Repurchase Program authorizes the purchase of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$300.0 million of the Company’s Class A common stock at the Company’s discretion and has no termination date. The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 Repurchase Program can be effected through regular open-market purchases (which may include repurchase plans designed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comply with Rule 10b5-1), through privately negotiated transactions or through accelerated share repurchases, each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applicable securities laws and other restrictions. The amounts, timing and manner of the repurchases will be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general market conditions, the prevailing price and trading volumes of the Company’s Class A common stock and other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The 2022 Share Repurchase Program does not require the Company to acquire a specific number of shares and may be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suspended, amended or discontinued at any time. During the year ended December 31, 2022, the Company acquired a total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387,198 shares of Class A common stock, at an average price of $64.57, for purchases totaling $25.0 million pursuant to the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Repurchase Program.</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2022, a total of $275.0 million remained available for repurchase pursuant to the 2022 Share Repurchase Program.</w:t>
      </w:r>
    </w:p>
    <w:p>
      <w:pPr>
        <w:spacing w:after="0" w:line="16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For shares repurchased pursuant to the 2021 and 2022 Share Repurchase Programs, the excess of the repurchase price paid over the par value of the Class A common stock will be recorded as a reduction to retained earnings.</w:t>
      </w:r>
    </w:p>
    <w:p>
      <w:pPr>
        <w:sectPr>
          <w:pgSz w:w="12060" w:h="15660" w:orient="portrait"/>
          <w:cols w:equalWidth="0" w:num="1">
            <w:col w:w="10400"/>
          </w:cols>
          <w:pgMar w:left="820" w:top="741" w:right="84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122</w:t>
      </w:r>
    </w:p>
    <w:p>
      <w:pPr>
        <w:sectPr>
          <w:pgSz w:w="12060" w:h="15660" w:orient="portrait"/>
          <w:cols w:equalWidth="0" w:num="1">
            <w:col w:w="10400"/>
          </w:cols>
          <w:pgMar w:left="820" w:top="741" w:right="840" w:bottom="0" w:gutter="0" w:footer="0" w:header="0"/>
          <w:type w:val="continuous"/>
        </w:sectPr>
      </w:pPr>
    </w:p>
    <w:bookmarkStart w:id="134" w:name="page135"/>
    <w:bookmarkEnd w:id="134"/>
    <w:p>
      <w:pPr>
        <w:ind w:left="10"/>
        <w:spacing w:after="0"/>
        <w:rPr>
          <w:sz w:val="20"/>
          <w:szCs w:val="20"/>
          <w:color w:val="auto"/>
        </w:rPr>
      </w:pPr>
      <w:r>
        <w:rPr>
          <w:rFonts w:ascii="Times New Roman" w:cs="Times New Roman" w:eastAsia="Times New Roman" w:hAnsi="Times New Roman"/>
          <w:sz w:val="20"/>
          <w:szCs w:val="20"/>
          <w:b w:val="1"/>
          <w:bCs w:val="1"/>
          <w:color w:val="auto"/>
        </w:rPr>
        <w:t>Other Share Repurchases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During the years ended December 31, 2022, 2021 and 2020, the Company withheld 1,074,467, 983,072 and 1,509,321 shares,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respectively, of Class A common stock from employee stock option, PRSU and RSU awards, at an average price per share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$94.64, $72.25 and $50.47, respectively, and an aggregate value of $101.7 million, $71.0 million and $76.2 million, respectively,</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based on the price of the Class A common stock on the date the relevant withholding occurred.</w:t>
      </w:r>
    </w:p>
    <w:p>
      <w:pPr>
        <w:spacing w:after="0" w:line="190"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48" w:lineRule="exact"/>
        <w:rPr>
          <w:sz w:val="20"/>
          <w:szCs w:val="20"/>
          <w:color w:val="auto"/>
        </w:rPr>
      </w:pPr>
    </w:p>
    <w:p>
      <w:pPr>
        <w:ind w:left="730" w:hanging="730"/>
        <w:spacing w:after="0"/>
        <w:tabs>
          <w:tab w:leader="none" w:pos="73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Non-Controlling Interests</w:t>
      </w:r>
    </w:p>
    <w:p>
      <w:pPr>
        <w:spacing w:after="0" w:line="217" w:lineRule="exact"/>
        <w:rPr>
          <w:sz w:val="20"/>
          <w:szCs w:val="20"/>
          <w:color w:val="auto"/>
        </w:rPr>
      </w:pPr>
    </w:p>
    <w:p>
      <w:pPr>
        <w:ind w:left="10" w:right="120"/>
        <w:spacing w:after="0" w:line="272" w:lineRule="auto"/>
        <w:rPr>
          <w:sz w:val="20"/>
          <w:szCs w:val="20"/>
          <w:color w:val="auto"/>
        </w:rPr>
      </w:pPr>
      <w:r>
        <w:rPr>
          <w:rFonts w:ascii="Times New Roman" w:cs="Times New Roman" w:eastAsia="Times New Roman" w:hAnsi="Times New Roman"/>
          <w:sz w:val="19"/>
          <w:szCs w:val="19"/>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Tradeweb Markets LLC:</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54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71"/>
        </w:trPr>
        <w:tc>
          <w:tcPr>
            <w:tcW w:w="5240" w:type="dxa"/>
            <w:vAlign w:val="bottom"/>
          </w:tcPr>
          <w:p>
            <w:pPr>
              <w:spacing w:after="0"/>
              <w:rPr>
                <w:sz w:val="14"/>
                <w:szCs w:val="14"/>
                <w:color w:val="auto"/>
              </w:rPr>
            </w:pPr>
          </w:p>
        </w:tc>
        <w:tc>
          <w:tcPr>
            <w:tcW w:w="124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40" w:type="dxa"/>
            <w:vAlign w:val="bottom"/>
          </w:tcPr>
          <w:p>
            <w:pPr>
              <w:jc w:val="right"/>
              <w:ind w:right="15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4"/>
                <w:szCs w:val="14"/>
                <w:color w:val="auto"/>
              </w:rPr>
            </w:pPr>
          </w:p>
        </w:tc>
        <w:tc>
          <w:tcPr>
            <w:tcW w:w="1240" w:type="dxa"/>
            <w:vAlign w:val="bottom"/>
          </w:tcPr>
          <w:p>
            <w:pPr>
              <w:jc w:val="right"/>
              <w:ind w:right="375"/>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60" w:type="dxa"/>
            <w:vAlign w:val="bottom"/>
          </w:tcPr>
          <w:p>
            <w:pPr>
              <w:jc w:val="right"/>
              <w:ind w:right="17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r>
      <w:tr>
        <w:trPr>
          <w:trHeight w:val="214"/>
        </w:trPr>
        <w:tc>
          <w:tcPr>
            <w:tcW w:w="5240" w:type="dxa"/>
            <w:vAlign w:val="bottom"/>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Tradeweb Markets Inc.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207,679,798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203,220,013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86.9 %</w:t>
            </w: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non-controlling interests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26,343,881</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30,527,964</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13.1 %</w:t>
            </w: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LLC Interests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234,023,679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233,747,977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5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581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7">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188"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155" w:lineRule="exact"/>
        <w:rPr>
          <w:sz w:val="20"/>
          <w:szCs w:val="20"/>
          <w:color w:val="auto"/>
        </w:rPr>
      </w:pPr>
    </w:p>
    <w:p>
      <w:pPr>
        <w:ind w:left="10" w:right="4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impact on Tradeweb Market Inc.’s equity due to changes in the Corporation’s ownership interest in TWM LLC:</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 and Transfers (to) from the Non-</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Controlling Interests</w:t>
            </w:r>
          </w:p>
        </w:tc>
        <w:tc>
          <w:tcPr>
            <w:tcW w:w="300" w:type="dxa"/>
            <w:vAlign w:val="bottom"/>
          </w:tcPr>
          <w:p>
            <w:pPr>
              <w:spacing w:after="0"/>
              <w:rPr>
                <w:sz w:val="19"/>
                <w:szCs w:val="19"/>
                <w:color w:val="auto"/>
              </w:rPr>
            </w:pPr>
          </w:p>
        </w:tc>
        <w:tc>
          <w:tcPr>
            <w:tcW w:w="94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74"/>
        </w:trPr>
        <w:tc>
          <w:tcPr>
            <w:tcW w:w="65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166,296</w:t>
            </w:r>
          </w:p>
        </w:tc>
        <w:tc>
          <w:tcPr>
            <w:tcW w:w="0" w:type="dxa"/>
            <w:vAlign w:val="bottom"/>
          </w:tcPr>
          <w:p>
            <w:pPr>
              <w:spacing w:after="0"/>
              <w:rPr>
                <w:sz w:val="1"/>
                <w:szCs w:val="1"/>
                <w:color w:val="auto"/>
              </w:rPr>
            </w:pPr>
          </w:p>
        </w:tc>
      </w:tr>
      <w:tr>
        <w:trPr>
          <w:trHeight w:val="264"/>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Transfers (to) from non-controlling interests: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80" w:type="dxa"/>
            <w:vAlign w:val="bottom"/>
            <w:gridSpan w:val="2"/>
          </w:tcPr>
          <w:p>
            <w:pPr>
              <w:ind w:left="260"/>
              <w:spacing w:after="0" w:line="225" w:lineRule="exact"/>
              <w:rPr>
                <w:sz w:val="20"/>
                <w:szCs w:val="20"/>
                <w:color w:val="auto"/>
              </w:rPr>
            </w:pPr>
            <w:r>
              <w:rPr>
                <w:rFonts w:ascii="Times New Roman" w:cs="Times New Roman" w:eastAsia="Times New Roman" w:hAnsi="Times New Roman"/>
                <w:sz w:val="20"/>
                <w:szCs w:val="20"/>
                <w:color w:val="auto"/>
              </w:rPr>
              <w:t>Increase/(decrease) in Tradeweb Markets Inc.’s additional paid-in capital as</w:t>
            </w: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108,679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87,006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533,900</w:t>
            </w:r>
          </w:p>
        </w:tc>
        <w:tc>
          <w:tcPr>
            <w:tcW w:w="0" w:type="dxa"/>
            <w:vAlign w:val="bottom"/>
          </w:tcPr>
          <w:p>
            <w:pPr>
              <w:spacing w:after="0"/>
              <w:rPr>
                <w:sz w:val="1"/>
                <w:szCs w:val="1"/>
                <w:color w:val="auto"/>
              </w:rPr>
            </w:pPr>
          </w:p>
        </w:tc>
      </w:tr>
      <w:tr>
        <w:trPr>
          <w:trHeight w:val="264"/>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a result of ownership changes in TWM LLC</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Net transfers (to) from non-controlling interests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108,679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87,006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533,900</w:t>
            </w:r>
          </w:p>
        </w:tc>
        <w:tc>
          <w:tcPr>
            <w:tcW w:w="0" w:type="dxa"/>
            <w:vAlign w:val="bottom"/>
          </w:tcPr>
          <w:p>
            <w:pPr>
              <w:spacing w:after="0"/>
              <w:rPr>
                <w:sz w:val="1"/>
                <w:szCs w:val="1"/>
                <w:color w:val="auto"/>
              </w:rPr>
            </w:pPr>
          </w:p>
        </w:tc>
      </w:tr>
      <w:tr>
        <w:trPr>
          <w:trHeight w:val="181"/>
        </w:trPr>
        <w:tc>
          <w:tcPr>
            <w:tcW w:w="65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20"/>
                <w:szCs w:val="20"/>
                <w:color w:val="auto"/>
              </w:rPr>
              <w:t>Change from net income attributable to Tradeweb Markets Inc. and transfers</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418,017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313,834</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700,196</w:t>
            </w:r>
          </w:p>
        </w:tc>
        <w:tc>
          <w:tcPr>
            <w:tcW w:w="0" w:type="dxa"/>
            <w:vAlign w:val="bottom"/>
          </w:tcPr>
          <w:p>
            <w:pPr>
              <w:spacing w:after="0"/>
              <w:rPr>
                <w:sz w:val="1"/>
                <w:szCs w:val="1"/>
                <w:color w:val="auto"/>
              </w:rPr>
            </w:pPr>
          </w:p>
        </w:tc>
      </w:tr>
      <w:tr>
        <w:trPr>
          <w:trHeight w:val="244"/>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 from non-controlling interests</w:t>
            </w:r>
          </w:p>
        </w:tc>
        <w:tc>
          <w:tcPr>
            <w:tcW w:w="3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6654800" cy="1171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8">
                      <a:extLst>
                        <a:ext uri="{28A0092B-C50C-407E-A947-70E740481C1C}"/>
                      </a:extLst>
                    </a:blip>
                    <a:srcRect/>
                    <a:stretch>
                      <a:fillRect/>
                    </a:stretch>
                  </pic:blipFill>
                  <pic:spPr bwMode="auto">
                    <a:xfrm>
                      <a:off x="0" y="0"/>
                      <a:ext cx="6654800" cy="1171575"/>
                    </a:xfrm>
                    <a:prstGeom prst="rect">
                      <a:avLst/>
                    </a:prstGeom>
                    <a:noFill/>
                  </pic:spPr>
                </pic:pic>
              </a:graphicData>
            </a:graphic>
          </wp:anchor>
        </w:drawing>
      </w:r>
    </w:p>
    <w:p>
      <w:pPr>
        <w:spacing w:after="0" w:line="181" w:lineRule="exact"/>
        <w:rPr>
          <w:sz w:val="20"/>
          <w:szCs w:val="20"/>
          <w:color w:val="auto"/>
        </w:rPr>
      </w:pPr>
    </w:p>
    <w:p>
      <w:pPr>
        <w:ind w:left="730" w:hanging="730"/>
        <w:spacing w:after="0"/>
        <w:tabs>
          <w:tab w:leader="none" w:pos="73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 Plans</w:t>
      </w:r>
    </w:p>
    <w:p>
      <w:pPr>
        <w:spacing w:after="0" w:line="217"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20"/>
          <w:szCs w:val="20"/>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 time-based vesting conditions. Stock options have a maximum contractual term of 10 years.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123</w:t>
      </w:r>
    </w:p>
    <w:p>
      <w:pPr>
        <w:sectPr>
          <w:pgSz w:w="12060" w:h="15660" w:orient="portrait"/>
          <w:cols w:equalWidth="0" w:num="1">
            <w:col w:w="10450"/>
          </w:cols>
          <w:pgMar w:left="810" w:top="741" w:right="800" w:bottom="0" w:gutter="0" w:footer="0" w:header="0"/>
          <w:type w:val="continuous"/>
        </w:sectPr>
      </w:pPr>
    </w:p>
    <w:bookmarkStart w:id="135" w:name="page136"/>
    <w:bookmarkEnd w:id="135"/>
    <w:p>
      <w:pPr>
        <w:ind w:right="20"/>
        <w:spacing w:after="0" w:line="252" w:lineRule="auto"/>
        <w:rPr>
          <w:sz w:val="20"/>
          <w:szCs w:val="20"/>
          <w:color w:val="auto"/>
        </w:rPr>
      </w:pPr>
      <w:r>
        <w:rPr>
          <w:rFonts w:ascii="Times New Roman" w:cs="Times New Roman" w:eastAsia="Times New Roman" w:hAnsi="Times New Roman"/>
          <w:sz w:val="20"/>
          <w:szCs w:val="20"/>
          <w:color w:val="auto"/>
        </w:rPr>
        <w:t>On February 16, 2022, the Company announced that Mr. Olesky would retire as Chief Executive Officer (“CEO”) of the Company, effective December 31, 2022. As of the beginning of Mr. Olesky’s six month notice period under our 2019 Omnibus Equity Incentive Plan, there were (i) approximately $6.7 million in total unamortized stock-based compensation associated with equity awards previously granted to Mr. Olesky plus (ii) $5.0 million in unamortized stock-based compensation awards granted to Mr. Olesky during 2022 that were accelerated and amortized into expense over a revised estimated service period that ended on August 11, 2022, the date that such six month notice period ended. In addition, in December 2022, $5.5 million in stock-based compensation awards, relating to 2022 performance, were granted to Mr. Olesky and immediately recognized into expense upon grant. Of these amounts, $3.1 million represents regular amortization that would have been recognized through August 11, 2022 if Mr. Olesky had not announced his retirement and $14.1 million represents accelerated stock-based compensation (the “CEO Retirement Accelerated Stock-Based Compensation Expense”). Total amortization amounts disclosed were based on a 100% multiplier achieved for the 2022 performance-based restricted stock units and were adjusted, up by $0.7 million, based on the final performance multiplier achieved for the year ended December 31, 2022. During the year ended December 31, 2022, we incurred a total of $15.0 million in CEO Retirement Accelerated Stock-Based Compensation Expense and related payroll taxes which impacted the amounts disclosed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PRSUs (Equity-Settled)</w:t>
      </w: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PRSUs are promises to issue actual shares of Class A common stock which cliff vest on January 1 of the third calendar year from the calendar year of the date of grant. The fair value of the equity-settled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 Compensation expense for PRSUs that cliff vest is recognized on a straight-line basis over the vesting period for the entire award. The number of shares included in expense each period is based on management’s estimate of the probable final performance modifier for those grants, with such estimate updated each period until the performance modifier is finalized.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equity-settled PRSUs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Equity-Settled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Grant-Date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PRSUs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Equity-settled PRSUs outstanding at December 31, 2021</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2,655,598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34.20</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249,292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83.74</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(1,525,632)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21.06</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Performance adjustment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83.80</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Forfeitures and adjustments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(26,476)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67.76</w:t>
            </w:r>
          </w:p>
        </w:tc>
        <w:tc>
          <w:tcPr>
            <w:tcW w:w="0" w:type="dxa"/>
            <w:vAlign w:val="bottom"/>
          </w:tcPr>
          <w:p>
            <w:pPr>
              <w:spacing w:after="0"/>
              <w:rPr>
                <w:sz w:val="1"/>
                <w:szCs w:val="1"/>
                <w:color w:val="auto"/>
              </w:rPr>
            </w:pP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Equity-settled PRSUs outstanding at December 31, 2022</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1,422,421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58.78</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equity-settled PRSU awards: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Equity-settled PRSU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30,645</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27,809</w:t>
            </w:r>
          </w:p>
        </w:tc>
        <w:tc>
          <w:tcPr>
            <w:tcW w:w="0" w:type="dxa"/>
            <w:vAlign w:val="bottom"/>
          </w:tcPr>
          <w:p>
            <w:pPr>
              <w:spacing w:after="0"/>
              <w:rPr>
                <w:sz w:val="1"/>
                <w:szCs w:val="1"/>
                <w:color w:val="auto"/>
              </w:rPr>
            </w:pP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(34,711)</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-2442210</wp:posOffset>
            </wp:positionV>
            <wp:extent cx="6654800" cy="2063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-2080260</wp:posOffset>
            </wp:positionV>
            <wp:extent cx="6654800" cy="2063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-1718310</wp:posOffset>
            </wp:positionV>
            <wp:extent cx="6654800" cy="2063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-1369060</wp:posOffset>
            </wp:positionV>
            <wp:extent cx="81597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2">
                      <a:extLst>
                        <a:ext uri="{28A0092B-C50C-407E-A947-70E740481C1C}"/>
                      </a:extLst>
                    </a:blip>
                    <a:srcRect/>
                    <a:stretch>
                      <a:fillRect/>
                    </a:stretch>
                  </pic:blipFill>
                  <pic:spPr bwMode="auto">
                    <a:xfrm>
                      <a:off x="0" y="0"/>
                      <a:ext cx="815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3">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equity-settled PRSUs granted during the years ended December 31, 2021 and 2020 was $74.29 and $38.87, respectively.</w:t>
      </w:r>
    </w:p>
    <w:p>
      <w:pPr>
        <w:spacing w:after="0" w:line="141" w:lineRule="exact"/>
        <w:rPr>
          <w:sz w:val="20"/>
          <w:szCs w:val="20"/>
          <w:color w:val="auto"/>
        </w:rPr>
      </w:pPr>
    </w:p>
    <w:p>
      <w:pPr>
        <w:ind w:right="1240"/>
        <w:spacing w:after="0" w:line="281" w:lineRule="auto"/>
        <w:rPr>
          <w:sz w:val="20"/>
          <w:szCs w:val="20"/>
          <w:color w:val="auto"/>
        </w:rPr>
      </w:pPr>
      <w:r>
        <w:rPr>
          <w:rFonts w:ascii="Times New Roman" w:cs="Times New Roman" w:eastAsia="Times New Roman" w:hAnsi="Times New Roman"/>
          <w:sz w:val="20"/>
          <w:szCs w:val="20"/>
          <w:color w:val="auto"/>
        </w:rPr>
        <w:t>The total fair value of equity-settled PRSUs vested during the years ended December 31, 2022, 2021 and 2020 was $152.8 million, $67.4 million and $39.8 million, respectively.</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124</w:t>
      </w:r>
    </w:p>
    <w:p>
      <w:pPr>
        <w:sectPr>
          <w:pgSz w:w="12060" w:h="15660" w:orient="portrait"/>
          <w:cols w:equalWidth="0" w:num="1">
            <w:col w:w="10440"/>
          </w:cols>
          <w:pgMar w:left="820" w:top="748" w:right="80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p>
      <w:pPr>
        <w:spacing w:after="0" w:line="21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auto"/>
        </w:rPr>
        <w:t>Prior to the IPO, the Company granted the Special Option Award to management and other employees and granted additional options subsequent to the IPO in July 2019 and December 2019, in each case under the Option Plan (the “July 2019 Grants” and the “December 2019 Grants,” respectively). Each option award vests one half based solely on the passage of time and one half only if the Company achieves certain performance targets. The options have a four-year graded vesting schedule, with accelerated vesting for the time-based Special Option Award options originally scheduled to vest in years three and four that were accelerated upon completion of the IPO. The stock-based compensation expense recognition commenced upon the completion of the IPO.</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grant-date fair value of the time-based options related to the Special Option Award and the July 2019 Grants are amortized into expense over the requisite service period on a straight-line basis, with each tranche separately measured. The grant-date fair value of the time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December 2019 Grants are amortized into expense on a straight-line basis over the requisite service period for the entire award.</w:t>
      </w:r>
    </w:p>
    <w:p>
      <w:pPr>
        <w:spacing w:after="0" w:line="1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For the portion of all awards that require both future service and the achievement of Company performance-based conditions, the grant-date fair value for each tranche is separately amortized into expense over the requisite service period for the requisite performance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condition. If in a reporting period it is determined that the achievement of a performance target for a performance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based tranche is not probable, then no expense is recognized for that tranche and any expenses already recognized relating to that tranche in prior reporting periods are reversed in the current reporting period.</w:t>
      </w:r>
    </w:p>
    <w:p>
      <w:pPr>
        <w:spacing w:after="0" w:line="16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auto"/>
        </w:rPr>
        <w:t>The Company can elect to net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options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2021</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23.59</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Exercises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(1,049,475)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23.52</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Forfeitures and adjustments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Expired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outstanding at December 31, 2022</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2,365,813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23.62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Vested options outstanding at December 31, 2022 - all exercisable</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20.94</w:t>
            </w:r>
          </w:p>
        </w:tc>
        <w:tc>
          <w:tcPr>
            <w:tcW w:w="0" w:type="dxa"/>
            <w:vAlign w:val="bottom"/>
          </w:tcPr>
          <w:p>
            <w:pPr>
              <w:spacing w:after="0" w:line="20" w:lineRule="exact"/>
              <w:rPr>
                <w:sz w:val="1"/>
                <w:szCs w:val="1"/>
                <w:color w:val="auto"/>
              </w:rPr>
            </w:pPr>
          </w:p>
        </w:tc>
      </w:tr>
      <w:tr>
        <w:trPr>
          <w:trHeight w:val="260"/>
        </w:trPr>
        <w:tc>
          <w:tcPr>
            <w:tcW w:w="65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2,109,563</w:t>
            </w:r>
          </w:p>
        </w:tc>
        <w:tc>
          <w:tcPr>
            <w:tcW w:w="22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options awards: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Options compensation expense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6,118</w:t>
            </w:r>
          </w:p>
        </w:tc>
        <w:tc>
          <w:tcPr>
            <w:tcW w:w="0" w:type="dxa"/>
            <w:vAlign w:val="bottom"/>
          </w:tcPr>
          <w:p>
            <w:pPr>
              <w:spacing w:after="0"/>
              <w:rPr>
                <w:sz w:val="1"/>
                <w:szCs w:val="1"/>
                <w:color w:val="auto"/>
              </w:rPr>
            </w:pP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-2623185</wp:posOffset>
            </wp:positionV>
            <wp:extent cx="6654800" cy="129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4">
                      <a:extLst>
                        <a:ext uri="{28A0092B-C50C-407E-A947-70E740481C1C}"/>
                      </a:extLst>
                    </a:blip>
                    <a:srcRect/>
                    <a:stretch>
                      <a:fillRect/>
                    </a:stretch>
                  </pic:blipFill>
                  <pic:spPr bwMode="auto">
                    <a:xfrm>
                      <a:off x="0" y="0"/>
                      <a:ext cx="6654800" cy="12922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options granted during the years ended December 31, 2021 and 2020.</w:t>
      </w:r>
    </w:p>
    <w:p>
      <w:pPr>
        <w:spacing w:after="0" w:line="210"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The total intrinsic value of options exercised during the years ended December 31, 2022, 2021 and 2020 was $59.3 million, $333.8 million and $291.8 million, respectively.</w:t>
      </w:r>
    </w:p>
    <w:p>
      <w:pPr>
        <w:spacing w:after="0" w:line="14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The total intrinsic value of all options outstanding as of December 31, 2022 was $97.7 million. The weighted average remaining contractual life of all options outstanding as of December 31, 2022 was 6.0 years.</w:t>
      </w:r>
    </w:p>
    <w:p>
      <w:pPr>
        <w:spacing w:after="0" w:line="14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auto"/>
        </w:rPr>
        <w:t>The total intrinsic value of all vested options outstanding as of December 31, 2022 was $92.8 million, all of which are currently exercisable. The weighted average remaining contractual life of all vested options outstanding as of December 31, 2022 was 5.8 years.</w:t>
      </w:r>
    </w:p>
    <w:p>
      <w:pPr>
        <w:sectPr>
          <w:pgSz w:w="12060" w:h="15660" w:orient="portrait"/>
          <w:cols w:equalWidth="0" w:num="1">
            <w:col w:w="10440"/>
          </w:cols>
          <w:pgMar w:left="820" w:top="744" w:right="80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125</w:t>
      </w:r>
    </w:p>
    <w:p>
      <w:pPr>
        <w:sectPr>
          <w:pgSz w:w="12060" w:h="15660" w:orient="portrait"/>
          <w:cols w:equalWidth="0" w:num="1">
            <w:col w:w="10440"/>
          </w:cols>
          <w:pgMar w:left="820" w:top="744" w:right="80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auto"/>
        </w:rPr>
        <w:t>RSUs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Beginning in 2020, the Company expanded its RSU grants under the Omnibus Equity Plan to employees. Previously, RSU grants were limited to non-employee directors. RSUs are promises to issue shares of Class A common stock at the end of a vesting period. RSUs granted to employees generally vest one-third each year over a three-year period. RSUs granted to non-employee directors generally vest after one year. The grant-date fair value of RSUs are amortized into expense on a straight-line basis over the requisite service period for the entire award.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RSUs is presented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Grant-Date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RSUs outstanding at December 31, 2021</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683,764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58.28</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485,046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80.27</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(288,904)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55.43</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63.66</w:t>
            </w:r>
          </w:p>
        </w:tc>
        <w:tc>
          <w:tcPr>
            <w:tcW w:w="0" w:type="dxa"/>
            <w:vAlign w:val="bottom"/>
          </w:tcPr>
          <w:p>
            <w:pPr>
              <w:spacing w:after="0"/>
              <w:rPr>
                <w:sz w:val="1"/>
                <w:szCs w:val="1"/>
                <w:color w:val="auto"/>
              </w:rPr>
            </w:pPr>
          </w:p>
        </w:tc>
      </w:tr>
      <w:tr>
        <w:trPr>
          <w:trHeight w:val="24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RSUs outstanding at December 31, 2022</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864,663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71.47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RSU awards: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6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gridSpan w:val="4"/>
          </w:tcPr>
          <w:p>
            <w:pPr>
              <w:jc w:val="right"/>
              <w:ind w:right="68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RSU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33,902</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5,359</w:t>
            </w:r>
          </w:p>
        </w:tc>
        <w:tc>
          <w:tcPr>
            <w:tcW w:w="0" w:type="dxa"/>
            <w:vAlign w:val="bottom"/>
          </w:tcPr>
          <w:p>
            <w:pPr>
              <w:spacing w:after="0"/>
              <w:rPr>
                <w:sz w:val="1"/>
                <w:szCs w:val="1"/>
                <w:color w:val="auto"/>
              </w:rPr>
            </w:pPr>
          </w:p>
        </w:tc>
      </w:tr>
      <w:tr>
        <w:trPr>
          <w:trHeight w:val="285"/>
        </w:trPr>
        <w:tc>
          <w:tcPr>
            <w:tcW w:w="6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-2388235</wp:posOffset>
            </wp:positionV>
            <wp:extent cx="6654800" cy="942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6">
                      <a:extLst>
                        <a:ext uri="{28A0092B-C50C-407E-A947-70E740481C1C}"/>
                      </a:extLst>
                    </a:blip>
                    <a:srcRect/>
                    <a:stretch>
                      <a:fillRect/>
                    </a:stretch>
                  </pic:blipFill>
                  <pic:spPr bwMode="auto">
                    <a:xfrm>
                      <a:off x="0" y="0"/>
                      <a:ext cx="6654800" cy="9429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387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7">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RSUs granted during the years ended December 31, 2021 and 2020 was $75.09 and $38.91, respectively.</w:t>
      </w:r>
    </w:p>
    <w:p>
      <w:pPr>
        <w:spacing w:after="0" w:line="1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The total fair value of RSUs vested during the years ended December 31, 2022 and 2021 was $25.6 million and $12.5 million, respectively. There were no RSUs that vested during the year ended December 31, 2020.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Expense</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Company records stock-based compensation expense for employees and directors in the consolidated statements of income. A summary of the Company’s total stock-based compensation expense relating to its equity-settled PRSUs, options and RSUs, including the CEO Retirement Accelerated Stock-Based Compensation Expense,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39,286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654800" cy="2063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stock-based compensation expense above excludes $0.9 million of stock-based compensation expense capitalized to software development costs during the year ended December 31, 2022.</w:t>
      </w:r>
    </w:p>
    <w:p>
      <w:pPr>
        <w:spacing w:after="0" w:line="14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As of December 31, 2022, total unrecognized compensation expense related to unvested stock-based compensation arrangements and the expected recognition period are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Equity-Settled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7"/>
        </w:trPr>
        <w:tc>
          <w:tcPr>
            <w:tcW w:w="6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PRSUs</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6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unrecognized compensation cost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25,045</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30,023</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recognition period (in years)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654800"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ectPr>
          <w:pgSz w:w="12060" w:h="15660" w:orient="portrait"/>
          <w:cols w:equalWidth="0" w:num="1">
            <w:col w:w="10440"/>
          </w:cols>
          <w:pgMar w:left="820" w:top="744" w:right="800" w:bottom="0" w:gutter="0" w:footer="0" w:header="0"/>
        </w:sectPr>
      </w:pPr>
    </w:p>
    <w:p>
      <w:pPr>
        <w:spacing w:after="0" w:line="3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126</w:t>
      </w:r>
    </w:p>
    <w:p>
      <w:pPr>
        <w:sectPr>
          <w:pgSz w:w="12060" w:h="15660" w:orient="portrait"/>
          <w:cols w:equalWidth="0" w:num="1">
            <w:col w:w="10440"/>
          </w:cols>
          <w:pgMar w:left="820" w:top="744" w:right="800" w:bottom="0" w:gutter="0" w:footer="0" w:header="0"/>
          <w:type w:val="continuous"/>
        </w:sectPr>
      </w:pPr>
    </w:p>
    <w:bookmarkStart w:id="138" w:name="page139"/>
    <w:bookmarkEnd w:id="138"/>
    <w:p>
      <w:pPr>
        <w:ind w:left="730" w:hanging="730"/>
        <w:spacing w:after="0"/>
        <w:tabs>
          <w:tab w:leader="none" w:pos="73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Company enters into transactions with its affiliates from time to time which are considered to be related party transactions.</w:t>
      </w:r>
    </w:p>
    <w:p>
      <w:pPr>
        <w:spacing w:after="0" w:line="222"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auto"/>
        </w:rPr>
        <w:t>As of December 31, 2022 and 2021, the following balances with such affiliates were included in the consolidated statements of financial condition in the following line items: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6654800" cy="11112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0">
                      <a:extLst>
                        <a:ext uri="{28A0092B-C50C-407E-A947-70E740481C1C}"/>
                      </a:extLst>
                    </a:blip>
                    <a:srcRect/>
                    <a:stretch>
                      <a:fillRect/>
                    </a:stretch>
                  </pic:blipFill>
                  <pic:spPr bwMode="auto">
                    <a:xfrm>
                      <a:off x="0" y="0"/>
                      <a:ext cx="6654800" cy="1111250"/>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Receivable from affiliates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Other assets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Deferred revenue</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Payable to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26670</wp:posOffset>
                </wp:positionV>
                <wp:extent cx="161925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pt" to="124.5pt,2.1pt" o:allowincell="f" strokecolor="#000000" strokeweight="1pt"/>
            </w:pict>
          </mc:Fallback>
        </mc:AlternateContent>
      </w:r>
    </w:p>
    <w:p>
      <w:pPr>
        <w:spacing w:after="0" w:line="36"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26670</wp:posOffset>
                </wp:positionV>
                <wp:extent cx="7905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pt" to="59.2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26670</wp:posOffset>
                </wp:positionV>
                <wp:extent cx="7905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2.1pt" to="124.5pt,2.1pt" o:allowincell="f" strokecolor="#000000" strokeweight="1pt"/>
            </w:pict>
          </mc:Fallback>
        </mc:AlternateContent>
      </w:r>
    </w:p>
    <w:p>
      <w:pPr>
        <w:spacing w:after="0" w:line="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5" w:lineRule="exact"/>
        <w:rPr>
          <w:sz w:val="20"/>
          <w:szCs w:val="20"/>
          <w:color w:val="auto"/>
        </w:rPr>
      </w:pPr>
    </w:p>
    <w:p>
      <w:pPr>
        <w:spacing w:after="0"/>
        <w:tabs>
          <w:tab w:leader="none" w:pos="880" w:val="left"/>
          <w:tab w:leader="none" w:pos="1280" w:val="left"/>
          <w:tab w:leader="none" w:pos="20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70</w:t>
        <w:tab/>
        <w:t>$</w:t>
      </w:r>
      <w:r>
        <w:rPr>
          <w:sz w:val="20"/>
          <w:szCs w:val="20"/>
          <w:color w:val="auto"/>
        </w:rPr>
        <w:tab/>
      </w:r>
      <w:r>
        <w:rPr>
          <w:rFonts w:ascii="Times New Roman" w:cs="Times New Roman" w:eastAsia="Times New Roman" w:hAnsi="Times New Roman"/>
          <w:sz w:val="20"/>
          <w:szCs w:val="20"/>
          <w:color w:val="auto"/>
        </w:rPr>
        <w:t>277</w:t>
      </w:r>
    </w:p>
    <w:p>
      <w:pPr>
        <w:spacing w:after="0" w:line="55" w:lineRule="exact"/>
        <w:rPr>
          <w:sz w:val="20"/>
          <w:szCs w:val="20"/>
          <w:color w:val="auto"/>
        </w:rPr>
      </w:pPr>
    </w:p>
    <w:p>
      <w:pPr>
        <w:ind w:left="1960" w:hanging="957"/>
        <w:spacing w:after="0"/>
        <w:tabs>
          <w:tab w:leader="none" w:pos="19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3,313</w:t>
      </w:r>
    </w:p>
    <w:p>
      <w:pPr>
        <w:spacing w:after="0" w:line="6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2,983</w:t>
      </w:r>
      <w:r>
        <w:rPr>
          <w:rFonts w:ascii="Times New Roman" w:cs="Times New Roman" w:eastAsia="Times New Roman" w:hAnsi="Times New Roman"/>
          <w:sz w:val="19"/>
          <w:szCs w:val="19"/>
          <w:color w:val="auto"/>
        </w:rPr>
        <w:t>3,530</w:t>
      </w:r>
    </w:p>
    <w:p>
      <w:pPr>
        <w:spacing w:after="0" w:line="5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6,153</w:t>
      </w:r>
      <w:r>
        <w:rPr>
          <w:rFonts w:ascii="Times New Roman" w:cs="Times New Roman" w:eastAsia="Times New Roman" w:hAnsi="Times New Roman"/>
          <w:sz w:val="19"/>
          <w:szCs w:val="19"/>
          <w:color w:val="auto"/>
        </w:rPr>
        <w:t>7,767</w:t>
      </w:r>
    </w:p>
    <w:p>
      <w:pPr>
        <w:spacing w:after="0" w:line="5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5,076</w:t>
      </w:r>
      <w:r>
        <w:rPr>
          <w:rFonts w:ascii="Times New Roman" w:cs="Times New Roman" w:eastAsia="Times New Roman" w:hAnsi="Times New Roman"/>
          <w:sz w:val="19"/>
          <w:szCs w:val="19"/>
          <w:color w:val="auto"/>
        </w:rPr>
        <w:t>4,767</w:t>
      </w:r>
    </w:p>
    <w:p>
      <w:pPr>
        <w:spacing w:after="0" w:line="5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1,414</w:t>
      </w:r>
      <w:r>
        <w:rPr>
          <w:rFonts w:ascii="Times New Roman" w:cs="Times New Roman" w:eastAsia="Times New Roman" w:hAnsi="Times New Roman"/>
          <w:sz w:val="19"/>
          <w:szCs w:val="19"/>
          <w:color w:val="auto"/>
        </w:rPr>
        <w:t>4,860</w:t>
      </w:r>
    </w:p>
    <w:p>
      <w:pPr>
        <w:spacing w:after="0" w:line="200" w:lineRule="exact"/>
        <w:rPr>
          <w:sz w:val="20"/>
          <w:szCs w:val="20"/>
          <w:color w:val="auto"/>
        </w:rPr>
      </w:pPr>
    </w:p>
    <w:p>
      <w:pPr>
        <w:sectPr>
          <w:pgSz w:w="12060" w:h="15660" w:orient="portrait"/>
          <w:cols w:equalWidth="0" w:num="2">
            <w:col w:w="7230" w:space="720"/>
            <w:col w:w="2500"/>
          </w:cols>
          <w:pgMar w:left="810" w:top="741" w:right="800" w:bottom="0" w:gutter="0" w:footer="0" w:header="0"/>
          <w:type w:val="continuous"/>
        </w:sectPr>
      </w:pP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following balances with such affiliates were included in the consolidated statements of income in the following line items:</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83"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Subscription fees</w:t>
      </w:r>
    </w:p>
    <w:p>
      <w:pPr>
        <w:spacing w:after="0" w:line="36"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 xml:space="preserve">Refinitiv market data fees </w:t>
      </w:r>
      <w:r>
        <w:rPr>
          <w:rFonts w:ascii="Times New Roman" w:cs="Times New Roman" w:eastAsia="Times New Roman" w:hAnsi="Times New Roman"/>
          <w:sz w:val="26"/>
          <w:szCs w:val="26"/>
          <w:color w:val="auto"/>
          <w:vertAlign w:val="superscript"/>
        </w:rPr>
        <w:t>(1)</w:t>
      </w:r>
    </w:p>
    <w:p>
      <w:pPr>
        <w:spacing w:after="0" w:line="2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Other fees</w:t>
      </w:r>
    </w:p>
    <w:p>
      <w:pPr>
        <w:spacing w:after="0" w:line="1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6"/>
          <w:szCs w:val="26"/>
          <w:b w:val="1"/>
          <w:bCs w:val="1"/>
          <w:color w:val="auto"/>
          <w:vertAlign w:val="superscript"/>
        </w:rPr>
        <w:t>(2)</w:t>
      </w:r>
    </w:p>
    <w:p>
      <w:pPr>
        <w:spacing w:after="0" w:line="8"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9"/>
          <w:szCs w:val="19"/>
          <w:color w:val="auto"/>
        </w:rPr>
        <w:t>Employee compensation and benefits</w:t>
      </w:r>
    </w:p>
    <w:p>
      <w:pPr>
        <w:spacing w:after="0" w:line="4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Technology and communications</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General and administrative</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Professional fees</w:t>
      </w:r>
    </w:p>
    <w:p>
      <w:pPr>
        <w:spacing w:after="0" w:line="55"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20"/>
          <w:szCs w:val="20"/>
          <w:color w:val="auto"/>
        </w:rPr>
        <w:t>Occupancy</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4479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7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192.5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73"/>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59,706</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570"/>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2,960</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-1813560</wp:posOffset>
            </wp:positionV>
            <wp:extent cx="6654800" cy="1835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1">
                      <a:extLst>
                        <a:ext uri="{28A0092B-C50C-407E-A947-70E740481C1C}"/>
                      </a:extLst>
                    </a:blip>
                    <a:srcRect/>
                    <a:stretch>
                      <a:fillRect/>
                    </a:stretch>
                  </pic:blipFill>
                  <pic:spPr bwMode="auto">
                    <a:xfrm>
                      <a:off x="0" y="0"/>
                      <a:ext cx="6654800" cy="1835150"/>
                    </a:xfrm>
                    <a:prstGeom prst="rect">
                      <a:avLst/>
                    </a:prstGeom>
                    <a:noFill/>
                  </pic:spPr>
                </pic:pic>
              </a:graphicData>
            </a:graphic>
          </wp:anchor>
        </w:drawing>
      </w:r>
    </w:p>
    <w:p>
      <w:pPr>
        <w:spacing w:after="0" w:line="63" w:lineRule="exact"/>
        <w:rPr>
          <w:sz w:val="20"/>
          <w:szCs w:val="20"/>
          <w:color w:val="auto"/>
        </w:rPr>
      </w:pPr>
    </w:p>
    <w:p>
      <w:pPr>
        <w:sectPr>
          <w:pgSz w:w="12060" w:h="15660" w:orient="portrait"/>
          <w:cols w:equalWidth="0" w:num="2">
            <w:col w:w="5870" w:space="720"/>
            <w:col w:w="3860"/>
          </w:cols>
          <w:pgMar w:left="810" w:top="741" w:right="800" w:bottom="0" w:gutter="0" w:footer="0" w:header="0"/>
          <w:type w:val="continuous"/>
        </w:sectPr>
      </w:pPr>
    </w:p>
    <w:p>
      <w:pPr>
        <w:ind w:left="370" w:right="160" w:hanging="370"/>
        <w:spacing w:after="0" w:line="261" w:lineRule="auto"/>
        <w:tabs>
          <w:tab w:leader="none" w:pos="37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70" w:right="60" w:hanging="370"/>
        <w:spacing w:after="0" w:line="260" w:lineRule="auto"/>
        <w:tabs>
          <w:tab w:leader="none" w:pos="37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agreements with Refinitiv to provide the Company with certain real estate, payroll, benefits administration and other administrative services.</w:t>
      </w:r>
    </w:p>
    <w:p>
      <w:pPr>
        <w:spacing w:after="0" w:line="157"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2022 and 2021, $3.1 million and $1.6 million of previously accrued expenses payable to affiliates of Refinitiv were waived and the liabilities were reversed through an increase to additional paid-in capital.</w:t>
      </w:r>
    </w:p>
    <w:p>
      <w:pPr>
        <w:spacing w:after="0" w:line="141" w:lineRule="exact"/>
        <w:rPr>
          <w:sz w:val="20"/>
          <w:szCs w:val="20"/>
          <w:color w:val="auto"/>
        </w:rPr>
      </w:pPr>
    </w:p>
    <w:p>
      <w:pPr>
        <w:ind w:left="10" w:right="80"/>
        <w:spacing w:after="0" w:line="286" w:lineRule="auto"/>
        <w:rPr>
          <w:sz w:val="20"/>
          <w:szCs w:val="20"/>
          <w:color w:val="auto"/>
        </w:rPr>
      </w:pPr>
      <w:r>
        <w:rPr>
          <w:rFonts w:ascii="Times New Roman" w:cs="Times New Roman" w:eastAsia="Times New Roman" w:hAnsi="Times New Roman"/>
          <w:sz w:val="19"/>
          <w:szCs w:val="19"/>
          <w:color w:val="auto"/>
        </w:rPr>
        <w:t>The Company engaged Blackstone Advisory Partners L.P., an affiliate of Blackstone, to provide certain financial consulting services in connection with the April 2020 follow-on offering for fees of $0.5 million, included as a component of the additional paid-in capital balance on the consolidated statements of financial condition and which fees were reimbursed by the underwriters.</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127</w:t>
      </w:r>
    </w:p>
    <w:p>
      <w:pPr>
        <w:sectPr>
          <w:pgSz w:w="12060" w:h="15660" w:orient="portrait"/>
          <w:cols w:equalWidth="0" w:num="1">
            <w:col w:w="10450"/>
          </w:cols>
          <w:pgMar w:left="810" w:top="741" w:right="800" w:bottom="0" w:gutter="0" w:footer="0" w:header="0"/>
          <w:type w:val="continuous"/>
        </w:sectPr>
      </w:pPr>
    </w:p>
    <w:bookmarkStart w:id="139" w:name="page140"/>
    <w:bookmarkEnd w:id="139"/>
    <w:p>
      <w:pPr>
        <w:ind w:left="730" w:hanging="730"/>
        <w:spacing w:after="0"/>
        <w:tabs>
          <w:tab w:leader="none" w:pos="73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Measured at Fair Value</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Company’s financial instruments measured at fair value on the consolidated statements of financial condition as of</w:t>
      </w:r>
    </w:p>
    <w:p>
      <w:pPr>
        <w:spacing w:after="0" w:line="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2022 and 2021 have been categorized based upon the fair value hierarchy as follows:</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As of December 31, 2022</w:t>
      </w:r>
    </w:p>
    <w:p>
      <w:pPr>
        <w:spacing w:after="0" w:line="6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bl>
    <w:p>
      <w:pPr>
        <w:spacing w:after="0" w:line="10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14605</wp:posOffset>
            </wp:positionV>
            <wp:extent cx="6654800" cy="1485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2">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339" w:lineRule="exact"/>
        <w:rPr>
          <w:sz w:val="20"/>
          <w:szCs w:val="20"/>
          <w:color w:val="auto"/>
        </w:rPr>
      </w:pPr>
    </w:p>
    <w:p>
      <w:pPr>
        <w:sectPr>
          <w:pgSz w:w="12060" w:h="15660" w:orient="portrait"/>
          <w:cols w:equalWidth="0" w:num="2">
            <w:col w:w="4570" w:space="720"/>
            <w:col w:w="5160"/>
          </w:cols>
          <w:pgMar w:left="810" w:top="741" w:right="800" w:bottom="0" w:gutter="0" w:footer="0" w:header="0"/>
          <w:type w:val="continuous"/>
        </w:sectPr>
      </w:pPr>
    </w:p>
    <w:tbl>
      <w:tblPr>
        <w:tblLayout w:type="fixed"/>
        <w:tblInd w:w="10" w:type="dxa"/>
        <w:tblCellMar>
          <w:top w:w="0" w:type="dxa"/>
          <w:left w:w="0" w:type="dxa"/>
          <w:bottom w:w="0" w:type="dxa"/>
          <w:right w:w="0" w:type="dxa"/>
        </w:tblCellMar>
      </w:tblPr>
      <w:tr>
        <w:trPr>
          <w:trHeight w:val="260"/>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equivalents – Money market funds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1,106,916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1,106,916</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Receivable from affiliates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Foreign currency forward contracts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1,106,916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1,106,916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Payable to affiliates – Foreign currency forward contracts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60" w:type="dxa"/>
            <w:vAlign w:val="bottom"/>
          </w:tcPr>
          <w:p>
            <w:pPr>
              <w:spacing w:after="0"/>
              <w:rPr>
                <w:sz w:val="24"/>
                <w:szCs w:val="24"/>
                <w:color w:val="auto"/>
              </w:rPr>
            </w:pPr>
          </w:p>
        </w:tc>
        <w:tc>
          <w:tcPr>
            <w:tcW w:w="5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equivalents – Money market funds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654,553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654,553</w:t>
            </w: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Receivable from affiliates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Foreign currency forward contracts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654,553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657,572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Payable to affiliates – Foreign currency forward contracts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654800" cy="14859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3">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188" w:lineRule="exact"/>
        <w:rPr>
          <w:sz w:val="20"/>
          <w:szCs w:val="20"/>
          <w:color w:val="auto"/>
        </w:rPr>
      </w:pPr>
    </w:p>
    <w:p>
      <w:pPr>
        <w:jc w:val="both"/>
        <w:ind w:left="10" w:right="80"/>
        <w:spacing w:after="0" w:line="281" w:lineRule="auto"/>
        <w:rPr>
          <w:sz w:val="20"/>
          <w:szCs w:val="20"/>
          <w:color w:val="auto"/>
        </w:rPr>
      </w:pPr>
      <w:r>
        <w:rPr>
          <w:rFonts w:ascii="Times New Roman" w:cs="Times New Roman" w:eastAsia="Times New Roman" w:hAnsi="Times New Roman"/>
          <w:sz w:val="20"/>
          <w:szCs w:val="20"/>
          <w:color w:val="auto"/>
        </w:rPr>
        <w:t>The Company’s money market funds are classified within level 1 of the fair value hierarchy because they are valued using quoted market prices in active markets.</w:t>
      </w:r>
    </w:p>
    <w:p>
      <w:pPr>
        <w:spacing w:after="0" w:line="141" w:lineRule="exact"/>
        <w:rPr>
          <w:sz w:val="20"/>
          <w:szCs w:val="20"/>
          <w:color w:val="auto"/>
        </w:rPr>
      </w:pPr>
    </w:p>
    <w:p>
      <w:pPr>
        <w:ind w:left="10" w:right="40"/>
        <w:spacing w:after="0" w:line="269" w:lineRule="auto"/>
        <w:rPr>
          <w:sz w:val="20"/>
          <w:szCs w:val="20"/>
          <w:color w:val="auto"/>
        </w:rPr>
      </w:pPr>
      <w:r>
        <w:rPr>
          <w:rFonts w:ascii="Times New Roman" w:cs="Times New Roman" w:eastAsia="Times New Roman" w:hAnsi="Times New Roman"/>
          <w:sz w:val="19"/>
          <w:szCs w:val="19"/>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12 months. As of December 31,</w:t>
      </w:r>
    </w:p>
    <w:p>
      <w:pPr>
        <w:spacing w:after="0" w:line="1" w:lineRule="exact"/>
        <w:rPr>
          <w:sz w:val="20"/>
          <w:szCs w:val="20"/>
          <w:color w:val="auto"/>
        </w:rPr>
      </w:pPr>
    </w:p>
    <w:p>
      <w:pPr>
        <w:ind w:left="10" w:right="200"/>
        <w:spacing w:after="0" w:line="255" w:lineRule="auto"/>
        <w:rPr>
          <w:sz w:val="20"/>
          <w:szCs w:val="20"/>
          <w:color w:val="auto"/>
        </w:rPr>
      </w:pPr>
      <w:r>
        <w:rPr>
          <w:rFonts w:ascii="Times New Roman" w:cs="Times New Roman" w:eastAsia="Times New Roman" w:hAnsi="Times New Roman"/>
          <w:sz w:val="20"/>
          <w:szCs w:val="20"/>
          <w:color w:val="auto"/>
        </w:rPr>
        <w:t>2022 and 2021, the counterparty on each of the foreign currency forward contracts was an affiliate of Refinitiv and therefore the corresponding liabilities and receivables on such contracts were included in payable to affiliates and receivable from affiliates, respectively, on the accompanying consolidated statements of financial condition.</w:t>
      </w:r>
    </w:p>
    <w:p>
      <w:pPr>
        <w:spacing w:after="0" w:line="167"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aggregate U.S. dollar equivalent notional amount of the Company’s foreign currency forward contracts not designated as hedges for accounting purposes:</w:t>
      </w:r>
    </w:p>
    <w:p>
      <w:pPr>
        <w:spacing w:after="0" w:line="21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161925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522pt,2.1pt" o:allowincell="f" strokecolor="#000000" strokeweight="1pt"/>
            </w:pict>
          </mc:Fallback>
        </mc:AlternateContent>
      </w:r>
    </w:p>
    <w:p>
      <w:pPr>
        <w:spacing w:after="0" w:line="36" w:lineRule="exact"/>
        <w:rPr>
          <w:sz w:val="20"/>
          <w:szCs w:val="20"/>
          <w:color w:val="auto"/>
        </w:rPr>
      </w:pPr>
    </w:p>
    <w:p>
      <w:pPr>
        <w:ind w:left="8350"/>
        <w:spacing w:after="0"/>
        <w:tabs>
          <w:tab w:leader="none" w:pos="963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79057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456.7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26670</wp:posOffset>
                </wp:positionV>
                <wp:extent cx="7905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75pt,2.1pt" to="522pt,2.1pt" o:allowincell="f" strokecolor="#000000" strokeweight="1pt"/>
            </w:pict>
          </mc:Fallback>
        </mc:AlternateContent>
      </w:r>
    </w:p>
    <w:p>
      <w:pPr>
        <w:spacing w:after="0" w:line="96" w:lineRule="exact"/>
        <w:rPr>
          <w:sz w:val="20"/>
          <w:szCs w:val="20"/>
          <w:color w:val="auto"/>
        </w:rPr>
      </w:pPr>
    </w:p>
    <w:p>
      <w:pPr>
        <w:ind w:left="869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654800" cy="2063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14" w:lineRule="exact"/>
        <w:rPr>
          <w:sz w:val="20"/>
          <w:szCs w:val="20"/>
          <w:color w:val="auto"/>
        </w:rPr>
      </w:pPr>
    </w:p>
    <w:p>
      <w:pPr>
        <w:ind w:left="50"/>
        <w:spacing w:after="0"/>
        <w:tabs>
          <w:tab w:leader="none" w:pos="7930" w:val="left"/>
          <w:tab w:leader="none" w:pos="8390" w:val="left"/>
          <w:tab w:leader="none" w:pos="9230" w:val="left"/>
          <w:tab w:leader="none" w:pos="9690" w:val="left"/>
        </w:tabs>
        <w:rPr>
          <w:sz w:val="20"/>
          <w:szCs w:val="20"/>
          <w:color w:val="auto"/>
        </w:rPr>
      </w:pPr>
      <w:r>
        <w:rPr>
          <w:rFonts w:ascii="Times New Roman" w:cs="Times New Roman" w:eastAsia="Times New Roman" w:hAnsi="Times New Roman"/>
          <w:sz w:val="20"/>
          <w:szCs w:val="20"/>
          <w:color w:val="auto"/>
        </w:rPr>
        <w:t>Foreign currency forward contracts – Gross notional amount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162,845</w:t>
        <w:tab/>
        <w:t>$</w:t>
      </w:r>
      <w:r>
        <w:rPr>
          <w:sz w:val="20"/>
          <w:szCs w:val="20"/>
          <w:color w:val="auto"/>
        </w:rPr>
        <w:tab/>
      </w:r>
      <w:r>
        <w:rPr>
          <w:rFonts w:ascii="Times New Roman" w:cs="Times New Roman" w:eastAsia="Times New Roman" w:hAnsi="Times New Roman"/>
          <w:sz w:val="19"/>
          <w:szCs w:val="19"/>
          <w:color w:val="auto"/>
        </w:rPr>
        <w:t>146,202</w:t>
      </w:r>
    </w:p>
    <w:p>
      <w:pPr>
        <w:spacing w:after="0" w:line="302"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The Company’s foreign currency forward contracts are not designated as hedges for accounting purposes and changes in the fair value of these contracts during the period are recognized in the consolidated statements of income within general and administrative expenses.</w:t>
      </w:r>
    </w:p>
    <w:p>
      <w:pPr>
        <w:sectPr>
          <w:pgSz w:w="12060" w:h="15660" w:orient="portrait"/>
          <w:cols w:equalWidth="0" w:num="1">
            <w:col w:w="10450"/>
          </w:cols>
          <w:pgMar w:left="810" w:top="74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128</w:t>
      </w:r>
    </w:p>
    <w:p>
      <w:pPr>
        <w:sectPr>
          <w:pgSz w:w="12060" w:h="15660" w:orient="portrait"/>
          <w:cols w:equalWidth="0" w:num="1">
            <w:col w:w="10450"/>
          </w:cols>
          <w:pgMar w:left="810" w:top="741" w:right="800" w:bottom="0" w:gutter="0" w:footer="0" w:header="0"/>
          <w:type w:val="continuous"/>
        </w:sectPr>
      </w:pPr>
    </w:p>
    <w:bookmarkStart w:id="140" w:name="page141"/>
    <w:bookmarkEnd w:id="140"/>
    <w:p>
      <w:pPr>
        <w:ind w:right="140"/>
        <w:spacing w:after="0" w:line="281" w:lineRule="auto"/>
        <w:rPr>
          <w:sz w:val="20"/>
          <w:szCs w:val="20"/>
          <w:color w:val="auto"/>
        </w:rPr>
      </w:pPr>
      <w:r>
        <w:rPr>
          <w:rFonts w:ascii="Times New Roman" w:cs="Times New Roman" w:eastAsia="Times New Roman" w:hAnsi="Times New Roman"/>
          <w:sz w:val="20"/>
          <w:szCs w:val="20"/>
          <w:color w:val="auto"/>
        </w:rPr>
        <w:t>The total realized and unrealized gains (losses) on foreign currency forward contracts recorded within general and administrative expenses in the consolidated statements of income are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6"/>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forward contracts not designated in accounting hedge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relationship</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-337185</wp:posOffset>
            </wp:positionV>
            <wp:extent cx="6654800" cy="358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5">
                      <a:extLst>
                        <a:ext uri="{28A0092B-C50C-407E-A947-70E740481C1C}"/>
                      </a:extLst>
                    </a:blip>
                    <a:srcRect/>
                    <a:stretch>
                      <a:fillRect/>
                    </a:stretch>
                  </pic:blipFill>
                  <pic:spPr bwMode="auto">
                    <a:xfrm>
                      <a:off x="0" y="0"/>
                      <a:ext cx="6654800" cy="3587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Not Measured at Fair Value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financial instruments not measured at fair value on the consolidated statements of financial condition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and 2021 have been categorized based upon the fair value hierarchy as follows:</w:t>
      </w:r>
    </w:p>
    <w:p>
      <w:pPr>
        <w:sectPr>
          <w:pgSz w:w="12060" w:h="15660" w:orient="portrait"/>
          <w:cols w:equalWidth="0" w:num="1">
            <w:col w:w="10440"/>
          </w:cols>
          <w:pgMar w:left="820" w:top="74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right="1140"/>
        <w:spacing w:after="0" w:line="297" w:lineRule="auto"/>
        <w:rPr>
          <w:sz w:val="20"/>
          <w:szCs w:val="20"/>
          <w:color w:val="auto"/>
        </w:rPr>
      </w:pPr>
      <w:r>
        <w:rPr>
          <w:rFonts w:ascii="Times New Roman" w:cs="Times New Roman" w:eastAsia="Times New Roman" w:hAnsi="Times New Roman"/>
          <w:sz w:val="20"/>
          <w:szCs w:val="20"/>
          <w:color w:val="auto"/>
        </w:rPr>
        <w:t xml:space="preserve">As of December 31, 2022 </w:t>
      </w:r>
      <w:r>
        <w:rPr>
          <w:rFonts w:ascii="Times New Roman" w:cs="Times New Roman" w:eastAsia="Times New Roman" w:hAnsi="Times New Roman"/>
          <w:sz w:val="20"/>
          <w:szCs w:val="20"/>
          <w:b w:val="1"/>
          <w:bCs w:val="1"/>
          <w:i w:val="1"/>
          <w:iCs w:val="1"/>
          <w:color w:val="auto"/>
        </w:rPr>
        <w:t>Assets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Fair Value</w:t>
            </w:r>
          </w:p>
        </w:tc>
      </w:tr>
      <w:tr>
        <w:trPr>
          <w:trHeight w:val="319"/>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-1905</wp:posOffset>
            </wp:positionV>
            <wp:extent cx="6654800" cy="25304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6">
                      <a:extLst>
                        <a:ext uri="{28A0092B-C50C-407E-A947-70E740481C1C}"/>
                      </a:extLst>
                    </a:blip>
                    <a:srcRect/>
                    <a:stretch>
                      <a:fillRect/>
                    </a:stretch>
                  </pic:blipFill>
                  <pic:spPr bwMode="auto">
                    <a:xfrm>
                      <a:off x="0" y="0"/>
                      <a:ext cx="6654800" cy="2530475"/>
                    </a:xfrm>
                    <a:prstGeom prst="rect">
                      <a:avLst/>
                    </a:prstGeom>
                    <a:noFill/>
                  </pic:spPr>
                </pic:pic>
              </a:graphicData>
            </a:graphic>
          </wp:anchor>
        </w:drawing>
      </w:r>
    </w:p>
    <w:p>
      <w:pPr>
        <w:spacing w:after="0" w:line="313" w:lineRule="exact"/>
        <w:rPr>
          <w:sz w:val="20"/>
          <w:szCs w:val="20"/>
          <w:color w:val="auto"/>
        </w:rPr>
      </w:pPr>
    </w:p>
    <w:p>
      <w:pPr>
        <w:sectPr>
          <w:pgSz w:w="12060" w:h="15660" w:orient="portrait"/>
          <w:cols w:equalWidth="0" w:num="2">
            <w:col w:w="3240" w:space="720"/>
            <w:col w:w="6480"/>
          </w:cols>
          <w:pgMar w:left="820" w:top="748" w:right="800" w:bottom="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151,313</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11,632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11,632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11,632</w:t>
            </w:r>
          </w:p>
        </w:tc>
        <w:tc>
          <w:tcPr>
            <w:tcW w:w="0" w:type="dxa"/>
            <w:vAlign w:val="bottom"/>
          </w:tcPr>
          <w:p>
            <w:pPr>
              <w:spacing w:after="0"/>
              <w:rPr>
                <w:sz w:val="1"/>
                <w:szCs w:val="1"/>
                <w:color w:val="auto"/>
              </w:rPr>
            </w:pPr>
          </w:p>
        </w:tc>
      </w:t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clearing organizations</w:t>
            </w: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23,906</w:t>
            </w: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Accounts receivable</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142,676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142,676</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0" w:type="dxa"/>
            <w:vAlign w:val="bottom"/>
          </w:tcPr>
          <w:p>
            <w:pPr>
              <w:spacing w:after="0"/>
              <w:rPr>
                <w:sz w:val="1"/>
                <w:szCs w:val="1"/>
                <w:color w:val="auto"/>
              </w:rPr>
            </w:pPr>
          </w:p>
        </w:tc>
      </w:tr>
      <w:tr>
        <w:trPr>
          <w:trHeight w:val="26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331,933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175,219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154,308</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331,933</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60" w:type="dxa"/>
            <w:vAlign w:val="bottom"/>
            <w:vMerge w:val="restart"/>
          </w:tcPr>
          <w:p>
            <w:pPr>
              <w:spacing w:after="0"/>
              <w:rPr>
                <w:sz w:val="17"/>
                <w:szCs w:val="17"/>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0" w:type="dxa"/>
            <w:vAlign w:val="bottom"/>
          </w:tcPr>
          <w:p>
            <w:pPr>
              <w:spacing w:after="0"/>
              <w:rPr>
                <w:sz w:val="1"/>
                <w:szCs w:val="1"/>
                <w:color w:val="auto"/>
              </w:rPr>
            </w:pPr>
          </w:p>
        </w:tc>
      </w:tr>
      <w:tr>
        <w:trPr>
          <w:trHeight w:val="268"/>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318,495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318,495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318,495</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clearing organizations</w:t>
            </w: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20,523</w:t>
            </w:r>
          </w:p>
        </w:tc>
        <w:tc>
          <w:tcPr>
            <w:tcW w:w="0" w:type="dxa"/>
            <w:vAlign w:val="bottom"/>
          </w:tcPr>
          <w:p>
            <w:pPr>
              <w:spacing w:after="0"/>
              <w:rPr>
                <w:sz w:val="1"/>
                <w:szCs w:val="1"/>
                <w:color w:val="auto"/>
              </w:rPr>
            </w:pPr>
          </w:p>
        </w:tc>
      </w:tr>
      <w:tr>
        <w:trPr>
          <w:trHeight w:val="28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Accounts receivable</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129,937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129,937</w:t>
            </w: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2,392</w:t>
            </w:r>
          </w:p>
        </w:tc>
        <w:tc>
          <w:tcPr>
            <w:tcW w:w="0" w:type="dxa"/>
            <w:vAlign w:val="bottom"/>
          </w:tcPr>
          <w:p>
            <w:pPr>
              <w:spacing w:after="0"/>
              <w:rPr>
                <w:sz w:val="1"/>
                <w:szCs w:val="1"/>
                <w:color w:val="auto"/>
              </w:rPr>
            </w:pPr>
          </w:p>
        </w:tc>
      </w:tr>
      <w:tr>
        <w:trPr>
          <w:trHeight w:val="26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471,347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129,937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471,347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4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organizations</w:t>
            </w: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-2364740</wp:posOffset>
            </wp:positionV>
            <wp:extent cx="6654800" cy="2371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7">
                      <a:extLst>
                        <a:ext uri="{28A0092B-C50C-407E-A947-70E740481C1C}"/>
                      </a:extLst>
                    </a:blip>
                    <a:srcRect/>
                    <a:stretch>
                      <a:fillRect/>
                    </a:stretch>
                  </pic:blipFill>
                  <pic:spPr bwMode="auto">
                    <a:xfrm>
                      <a:off x="0" y="0"/>
                      <a:ext cx="6654800" cy="2371725"/>
                    </a:xfrm>
                    <a:prstGeom prst="rect">
                      <a:avLst/>
                    </a:prstGeom>
                    <a:noFill/>
                  </pic:spPr>
                </pic:pic>
              </a:graphicData>
            </a:graphic>
          </wp:anchor>
        </w:drawing>
      </w:r>
    </w:p>
    <w:p>
      <w:pPr>
        <w:sectPr>
          <w:pgSz w:w="12060" w:h="15660" w:orient="portrait"/>
          <w:cols w:equalWidth="0" w:num="1">
            <w:col w:w="10440"/>
          </w:cols>
          <w:pgMar w:left="820" w:top="74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129</w:t>
      </w:r>
    </w:p>
    <w:p>
      <w:pPr>
        <w:sectPr>
          <w:pgSz w:w="12060" w:h="15660" w:orient="portrait"/>
          <w:cols w:equalWidth="0" w:num="1">
            <w:col w:w="10440"/>
          </w:cols>
          <w:pgMar w:left="820" w:top="748" w:right="800" w:bottom="0" w:gutter="0" w:footer="0" w:header="0"/>
          <w:type w:val="continuous"/>
        </w:sectPr>
      </w:pPr>
    </w:p>
    <w:bookmarkStart w:id="141" w:name="page142"/>
    <w:bookmarkEnd w:id="141"/>
    <w:p>
      <w:pPr>
        <w:ind w:left="10" w:right="220"/>
        <w:spacing w:after="0" w:line="258" w:lineRule="auto"/>
        <w:rPr>
          <w:sz w:val="20"/>
          <w:szCs w:val="20"/>
          <w:color w:val="auto"/>
        </w:rPr>
      </w:pPr>
      <w:r>
        <w:rPr>
          <w:rFonts w:ascii="Times New Roman" w:cs="Times New Roman" w:eastAsia="Times New Roman" w:hAnsi="Times New Roman"/>
          <w:sz w:val="20"/>
          <w:szCs w:val="20"/>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Non-recurring Fair Value Measurements</w:t>
      </w:r>
    </w:p>
    <w:p>
      <w:pPr>
        <w:spacing w:after="0" w:line="214" w:lineRule="exact"/>
        <w:rPr>
          <w:sz w:val="20"/>
          <w:szCs w:val="20"/>
          <w:color w:val="auto"/>
        </w:rPr>
      </w:pPr>
    </w:p>
    <w:p>
      <w:pPr>
        <w:ind w:left="10" w:right="420"/>
        <w:spacing w:after="0" w:line="281" w:lineRule="auto"/>
        <w:rPr>
          <w:sz w:val="20"/>
          <w:szCs w:val="20"/>
          <w:color w:val="auto"/>
        </w:rPr>
      </w:pPr>
      <w:r>
        <w:rPr>
          <w:rFonts w:ascii="Times New Roman" w:cs="Times New Roman" w:eastAsia="Times New Roman" w:hAnsi="Times New Roman"/>
          <w:sz w:val="20"/>
          <w:szCs w:val="20"/>
          <w:color w:val="auto"/>
        </w:rPr>
        <w:t>The Company measures certain assets and liabilities, such as assets acquired in a business combination, at fair value as of the acquisition date. See Note 4 – Acquisitions for further details regarding these non-recurring fair value measurements.</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Without Readily Determinable Fair Values</w:t>
      </w:r>
    </w:p>
    <w:p>
      <w:pPr>
        <w:spacing w:after="0" w:line="214"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Included in other assets on the consolidated statements of financial condition are equity investments without readily determinable fair values of $20.0 million and $21.1 million as of December 31, 2022 and 2021, respectively.</w:t>
      </w:r>
    </w:p>
    <w:p>
      <w:pPr>
        <w:spacing w:after="0" w:line="141"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2022, the Company recognized losses totaling $1.0 million, included in income (loss) from investments in the consolidated statements of income, related to the write-off of an investment that was determined to be uncollectible.</w:t>
      </w:r>
    </w:p>
    <w:p>
      <w:pPr>
        <w:spacing w:after="0" w:line="148" w:lineRule="exact"/>
        <w:rPr>
          <w:sz w:val="20"/>
          <w:szCs w:val="20"/>
          <w:color w:val="auto"/>
        </w:rPr>
      </w:pPr>
    </w:p>
    <w:p>
      <w:pPr>
        <w:ind w:left="730" w:hanging="730"/>
        <w:spacing w:after="0"/>
        <w:tabs>
          <w:tab w:leader="none" w:pos="73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Risk</w:t>
      </w:r>
    </w:p>
    <w:p>
      <w:pPr>
        <w:spacing w:after="0" w:line="217"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73"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63"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14"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Account balances are pooled based on the following risk characteristics:</w:t>
      </w:r>
    </w:p>
    <w:p>
      <w:pPr>
        <w:spacing w:after="0" w:line="30" w:lineRule="exact"/>
        <w:rPr>
          <w:sz w:val="20"/>
          <w:szCs w:val="20"/>
          <w:color w:val="auto"/>
        </w:rPr>
      </w:pPr>
    </w:p>
    <w:p>
      <w:pPr>
        <w:ind w:left="730" w:hanging="370"/>
        <w:spacing w:after="0"/>
        <w:tabs>
          <w:tab w:leader="none" w:pos="73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location</w:t>
      </w:r>
    </w:p>
    <w:p>
      <w:pPr>
        <w:spacing w:after="0" w:line="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fee type (billing type)</w:t>
      </w:r>
    </w:p>
    <w:p>
      <w:pPr>
        <w:spacing w:after="0" w:line="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entity</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Write-Offs</w:t>
      </w:r>
    </w:p>
    <w:p>
      <w:pPr>
        <w:spacing w:after="0" w:line="214"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ectPr>
          <w:pgSz w:w="12060" w:h="15660" w:orient="portrait"/>
          <w:cols w:equalWidth="0" w:num="1">
            <w:col w:w="10430"/>
          </w:cols>
          <w:pgMar w:left="810" w:top="748" w:right="820" w:bottom="0" w:gutter="0" w:footer="0" w:header="0"/>
        </w:sectPr>
      </w:pPr>
    </w:p>
    <w:p>
      <w:pPr>
        <w:spacing w:after="0" w:line="22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130</w:t>
      </w:r>
    </w:p>
    <w:p>
      <w:pPr>
        <w:sectPr>
          <w:pgSz w:w="12060" w:h="15660" w:orient="portrait"/>
          <w:cols w:equalWidth="0" w:num="1">
            <w:col w:w="10430"/>
          </w:cols>
          <w:pgMar w:left="810" w:top="748" w:right="820" w:bottom="0" w:gutter="0" w:footer="0" w:header="0"/>
          <w:type w:val="continuous"/>
        </w:sectPr>
      </w:pPr>
    </w:p>
    <w:bookmarkStart w:id="142" w:name="page143"/>
    <w:bookmarkEnd w:id="142"/>
    <w:p>
      <w:pPr>
        <w:ind w:left="10" w:right="80"/>
        <w:spacing w:after="0" w:line="258" w:lineRule="auto"/>
        <w:rPr>
          <w:sz w:val="20"/>
          <w:szCs w:val="20"/>
          <w:color w:val="auto"/>
        </w:rPr>
      </w:pPr>
      <w:r>
        <w:rPr>
          <w:rFonts w:ascii="Times New Roman" w:cs="Times New Roman" w:eastAsia="Times New Roman" w:hAnsi="Times New Roman"/>
          <w:sz w:val="20"/>
          <w:szCs w:val="20"/>
          <w:color w:val="auto"/>
        </w:rPr>
        <w:t>As of December 31, 2022 and 2021, the Company maintained an allowance for credit losses with regard to these receivables of $0.1 million and $0.3 million, respectively. For the year ended December 31, 2022, recoveries resulted in a reversal of credit loss expense of $14,000. For the years ended December 31, 2021 and 2020 the Company recognized a credit loss expense of $13,000 and $105,000, respectively. These costs are included in general and administrative expenses in the consolidated statements of income.</w:t>
      </w:r>
    </w:p>
    <w:p>
      <w:pPr>
        <w:spacing w:after="0" w:line="157" w:lineRule="exact"/>
        <w:rPr>
          <w:sz w:val="20"/>
          <w:szCs w:val="20"/>
          <w:color w:val="auto"/>
        </w:rPr>
      </w:pPr>
    </w:p>
    <w:p>
      <w:pPr>
        <w:ind w:left="730" w:hanging="730"/>
        <w:spacing w:after="0"/>
        <w:tabs>
          <w:tab w:leader="none" w:pos="73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17"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164" w:lineRule="exact"/>
        <w:rPr>
          <w:sz w:val="20"/>
          <w:szCs w:val="20"/>
          <w:color w:val="auto"/>
        </w:rPr>
      </w:pPr>
    </w:p>
    <w:p>
      <w:pPr>
        <w:ind w:left="10" w:right="30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4"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 2022. The parties have requested oral argument on the appeal, which request is currently pending, and no date for oral argument has yet been set. The Company intends to vigorously defend the District Court’s decision on appeal and assert its meritorious defenses to the allegations.</w:t>
      </w:r>
    </w:p>
    <w:p>
      <w:pPr>
        <w:spacing w:after="0" w:line="173" w:lineRule="exact"/>
        <w:rPr>
          <w:sz w:val="20"/>
          <w:szCs w:val="20"/>
          <w:color w:val="auto"/>
        </w:rPr>
      </w:pPr>
    </w:p>
    <w:p>
      <w:pPr>
        <w:ind w:left="10" w:right="380"/>
        <w:spacing w:after="0" w:line="281" w:lineRule="auto"/>
        <w:rPr>
          <w:sz w:val="20"/>
          <w:szCs w:val="20"/>
          <w:color w:val="auto"/>
        </w:rPr>
      </w:pPr>
      <w:r>
        <w:rPr>
          <w:rFonts w:ascii="Times New Roman" w:cs="Times New Roman" w:eastAsia="Times New Roman" w:hAnsi="Times New Roman"/>
          <w:sz w:val="20"/>
          <w:szCs w:val="20"/>
          <w:color w:val="auto"/>
        </w:rPr>
        <w:t>Additionally, the Company was dismissed from a class action relating to an interest rate swaps matter in 2017, but that matter continues against the remaining defendant financial institutions.</w:t>
      </w:r>
    </w:p>
    <w:p>
      <w:pPr>
        <w:spacing w:after="0" w:line="141" w:lineRule="exact"/>
        <w:rPr>
          <w:sz w:val="20"/>
          <w:szCs w:val="20"/>
          <w:color w:val="auto"/>
        </w:rPr>
      </w:pPr>
    </w:p>
    <w:p>
      <w:pPr>
        <w:ind w:left="10" w:right="80"/>
        <w:spacing w:after="0" w:line="275" w:lineRule="auto"/>
        <w:rPr>
          <w:sz w:val="20"/>
          <w:szCs w:val="20"/>
          <w:color w:val="auto"/>
        </w:rPr>
      </w:pPr>
      <w:r>
        <w:rPr>
          <w:rFonts w:ascii="Times New Roman" w:cs="Times New Roman" w:eastAsia="Times New Roman" w:hAnsi="Times New Roman"/>
          <w:sz w:val="19"/>
          <w:szCs w:val="19"/>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17" w:lineRule="exact"/>
        <w:rPr>
          <w:sz w:val="20"/>
          <w:szCs w:val="20"/>
          <w:color w:val="auto"/>
        </w:rPr>
      </w:pPr>
    </w:p>
    <w:p>
      <w:pPr>
        <w:ind w:left="10" w:right="60"/>
        <w:spacing w:after="0" w:line="260" w:lineRule="auto"/>
        <w:rPr>
          <w:sz w:val="20"/>
          <w:szCs w:val="20"/>
          <w:color w:val="auto"/>
        </w:rPr>
      </w:pPr>
      <w:r>
        <w:rPr>
          <w:rFonts w:ascii="Times New Roman" w:cs="Times New Roman" w:eastAsia="Times New Roman" w:hAnsi="Times New Roman"/>
          <w:sz w:val="20"/>
          <w:szCs w:val="20"/>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63"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70"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auto"/>
        </w:rPr>
        <w:t>As of both December 31, 2022 and 2021, there were $0.5 million in letters of credit issued under the Revolving Credit Facility and no borrowings outstanding.</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131</w:t>
      </w:r>
    </w:p>
    <w:p>
      <w:pPr>
        <w:sectPr>
          <w:pgSz w:w="12060" w:h="15660" w:orient="portrait"/>
          <w:cols w:equalWidth="0" w:num="1">
            <w:col w:w="10430"/>
          </w:cols>
          <w:pgMar w:left="810" w:top="748" w:right="820" w:bottom="0" w:gutter="0" w:footer="0" w:header="0"/>
          <w:type w:val="continuous"/>
        </w:sectPr>
      </w:pPr>
    </w:p>
    <w:bookmarkStart w:id="143" w:name="page144"/>
    <w:bookmarkEnd w:id="143"/>
    <w:p>
      <w:pPr>
        <w:ind w:left="730" w:hanging="730"/>
        <w:spacing w:after="0"/>
        <w:tabs>
          <w:tab w:leader="none" w:pos="73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calculations of basic and diluted earnings per share of Class A and Class B common stock for</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00" w:type="dxa"/>
            <w:vAlign w:val="bottom"/>
            <w:gridSpan w:val="7"/>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Numerator:</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166,296</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540" w:type="dxa"/>
            <w:vAlign w:val="bottom"/>
            <w:gridSpan w:val="4"/>
          </w:tcPr>
          <w:p>
            <w:pPr>
              <w:spacing w:after="0" w:line="205" w:lineRule="exact"/>
              <w:rPr>
                <w:sz w:val="20"/>
                <w:szCs w:val="20"/>
                <w:color w:val="auto"/>
              </w:rPr>
            </w:pPr>
            <w:r>
              <w:rPr>
                <w:rFonts w:ascii="Times New Roman" w:cs="Times New Roman" w:eastAsia="Times New Roman" w:hAnsi="Times New Roman"/>
                <w:sz w:val="20"/>
                <w:szCs w:val="20"/>
                <w:color w:val="auto"/>
              </w:rPr>
              <w:t>Less: Distributed and undistributed earnings allocated to unvested RSUs and</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540" w:type="dxa"/>
            <w:vAlign w:val="bottom"/>
            <w:gridSpan w:val="4"/>
          </w:tcPr>
          <w:p>
            <w:pPr>
              <w:spacing w:after="0" w:line="263" w:lineRule="exact"/>
              <w:rPr>
                <w:sz w:val="20"/>
                <w:szCs w:val="20"/>
                <w:color w:val="auto"/>
              </w:rPr>
            </w:pPr>
            <w:r>
              <w:rPr>
                <w:rFonts w:ascii="Times New Roman" w:cs="Times New Roman" w:eastAsia="Times New Roman" w:hAnsi="Times New Roman"/>
                <w:sz w:val="20"/>
                <w:szCs w:val="20"/>
                <w:color w:val="auto"/>
              </w:rPr>
              <w:t xml:space="preserve">unsettled vested PRSUs </w:t>
            </w:r>
            <w:r>
              <w:rPr>
                <w:rFonts w:ascii="Times New Roman" w:cs="Times New Roman" w:eastAsia="Times New Roman" w:hAnsi="Times New Roman"/>
                <w:sz w:val="26"/>
                <w:szCs w:val="26"/>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540" w:type="dxa"/>
            <w:vAlign w:val="bottom"/>
            <w:gridSpan w:val="4"/>
          </w:tcPr>
          <w:p>
            <w:pPr>
              <w:spacing w:after="0" w:line="182" w:lineRule="exact"/>
              <w:rPr>
                <w:sz w:val="20"/>
                <w:szCs w:val="20"/>
                <w:color w:val="auto"/>
              </w:rPr>
            </w:pPr>
            <w:r>
              <w:rPr>
                <w:rFonts w:ascii="Times New Roman" w:cs="Times New Roman" w:eastAsia="Times New Roman" w:hAnsi="Times New Roman"/>
                <w:sz w:val="20"/>
                <w:szCs w:val="20"/>
                <w:color w:val="auto"/>
              </w:rPr>
              <w:t>Net income attributable to outstanding shares of Class A and Class B common</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309,094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226,828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166,296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stock - Basic and 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Denominator:</w:t>
            </w:r>
          </w:p>
        </w:tc>
        <w:tc>
          <w:tcPr>
            <w:tcW w:w="542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1120" w:type="dxa"/>
            <w:vAlign w:val="bottom"/>
            <w:tcBorders>
              <w:bottom w:val="single" w:sz="8" w:color="auto"/>
            </w:tcBorders>
            <w:gridSpan w:val="2"/>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540" w:type="dxa"/>
            <w:vAlign w:val="bottom"/>
            <w:gridSpan w:val="4"/>
          </w:tcPr>
          <w:p>
            <w:pPr>
              <w:spacing w:after="0" w:line="229"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205,576,637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201,419,081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w w:val="97"/>
              </w:rPr>
              <w:t>180,409,462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6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Dilutive effect of PRSUs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770,726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2,067,558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2,472,801</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6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Dilutive effect of options</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1,810,956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3,473,549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5,179,109</w:t>
            </w: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65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Dilutive effect of RSUs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294,652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161,660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540" w:type="dxa"/>
            <w:vAlign w:val="bottom"/>
            <w:gridSpan w:val="4"/>
          </w:tcPr>
          <w:p>
            <w:pPr>
              <w:spacing w:after="0" w:line="182"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208,400,040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207,254,840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w w:val="97"/>
              </w:rPr>
              <w:t>188,223,032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0" w:type="dxa"/>
            <w:vAlign w:val="bottom"/>
          </w:tcPr>
          <w:p>
            <w:pPr>
              <w:spacing w:after="0"/>
              <w:rPr>
                <w:sz w:val="24"/>
                <w:szCs w:val="2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4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Earnings per share - Diluted</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540" w:type="dxa"/>
            <w:vAlign w:val="bottom"/>
            <w:gridSpan w:val="4"/>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0.88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-3021965</wp:posOffset>
            </wp:positionV>
            <wp:extent cx="6667500" cy="30416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8">
                      <a:extLst>
                        <a:ext uri="{28A0092B-C50C-407E-A947-70E740481C1C}"/>
                      </a:extLst>
                    </a:blip>
                    <a:srcRect/>
                    <a:stretch>
                      <a:fillRect/>
                    </a:stretch>
                  </pic:blipFill>
                  <pic:spPr bwMode="auto">
                    <a:xfrm>
                      <a:off x="0" y="0"/>
                      <a:ext cx="6667500" cy="3041650"/>
                    </a:xfrm>
                    <a:prstGeom prst="rect">
                      <a:avLst/>
                    </a:prstGeom>
                    <a:noFill/>
                  </pic:spPr>
                </pic:pic>
              </a:graphicData>
            </a:graphic>
          </wp:anchor>
        </w:drawing>
      </w:r>
    </w:p>
    <w:p>
      <w:pPr>
        <w:ind w:left="370" w:hanging="370"/>
        <w:spacing w:after="0" w:line="266" w:lineRule="auto"/>
        <w:tabs>
          <w:tab w:leader="none" w:pos="37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there was a total of 193,441 weighted average unvested RSUs and unsettled vested PRSUs that were considered a participating security for purposes of calculating earnings per share in accordance with the two-class method. There were none during the years ended December 31, 2021 and 2020.</w:t>
      </w:r>
    </w:p>
    <w:p>
      <w:pPr>
        <w:spacing w:after="0" w:line="152"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and RSUs are evaluated under the treasury stock method.</w:t>
      </w:r>
    </w:p>
    <w:p>
      <w:pPr>
        <w:spacing w:after="0" w:line="163"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16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16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20"/>
        </w:trPr>
        <w:tc>
          <w:tcPr>
            <w:tcW w:w="16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4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Anti</w:t>
            </w:r>
            <w:r>
              <w:rPr>
                <w:rFonts w:ascii="Times New Roman" w:cs="Times New Roman" w:eastAsia="Times New Roman" w:hAnsi="Times New Roman"/>
                <w:sz w:val="20"/>
                <w:szCs w:val="20"/>
                <w:b w:val="1"/>
                <w:bCs w:val="1"/>
                <w:color w:val="auto"/>
                <w:w w:val="99"/>
              </w:rPr>
              <w:t>-</w:t>
            </w:r>
            <w:r>
              <w:rPr>
                <w:rFonts w:ascii="Times New Roman" w:cs="Times New Roman" w:eastAsia="Times New Roman" w:hAnsi="Times New Roman"/>
                <w:sz w:val="20"/>
                <w:szCs w:val="20"/>
                <w:color w:val="auto"/>
                <w:w w:val="99"/>
              </w:rPr>
              <w:t>dilutive Shares:</w:t>
            </w:r>
          </w:p>
        </w:tc>
        <w:tc>
          <w:tcPr>
            <w:tcW w:w="48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08"/>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Equity-settled PRSUs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264,376</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RSUs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19,551</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w:t>
            </w:r>
          </w:p>
        </w:tc>
      </w:tr>
      <w:tr>
        <w:trPr>
          <w:trHeight w:val="28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Interests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28,830,686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30,699,577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45,828,289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-921385</wp:posOffset>
            </wp:positionV>
            <wp:extent cx="6680200" cy="9556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9">
                      <a:extLst>
                        <a:ext uri="{28A0092B-C50C-407E-A947-70E740481C1C}"/>
                      </a:extLst>
                    </a:blip>
                    <a:srcRect/>
                    <a:stretch>
                      <a:fillRect/>
                    </a:stretch>
                  </pic:blipFill>
                  <pic:spPr bwMode="auto">
                    <a:xfrm>
                      <a:off x="0" y="0"/>
                      <a:ext cx="6680200" cy="955675"/>
                    </a:xfrm>
                    <a:prstGeom prst="rect">
                      <a:avLst/>
                    </a:prstGeom>
                    <a:noFill/>
                  </pic:spPr>
                </pic:pic>
              </a:graphicData>
            </a:graphic>
          </wp:anchor>
        </w:drawing>
      </w:r>
    </w:p>
    <w:p>
      <w:pPr>
        <w:spacing w:after="0" w:line="231" w:lineRule="exact"/>
        <w:rPr>
          <w:sz w:val="20"/>
          <w:szCs w:val="20"/>
          <w:color w:val="auto"/>
        </w:rPr>
      </w:pPr>
    </w:p>
    <w:p>
      <w:pPr>
        <w:jc w:val="both"/>
        <w:ind w:left="10" w:right="540"/>
        <w:spacing w:after="0" w:line="266"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132</w:t>
      </w:r>
    </w:p>
    <w:p>
      <w:pPr>
        <w:sectPr>
          <w:pgSz w:w="12060" w:h="15660" w:orient="portrait"/>
          <w:cols w:equalWidth="0" w:num="1">
            <w:col w:w="10450"/>
          </w:cols>
          <w:pgMar w:left="810" w:top="741" w:right="800" w:bottom="0" w:gutter="0" w:footer="0" w:header="0"/>
          <w:type w:val="continuous"/>
        </w:sectPr>
      </w:pPr>
    </w:p>
    <w:bookmarkStart w:id="144" w:name="page145"/>
    <w:bookmarkEnd w:id="144"/>
    <w:p>
      <w:pPr>
        <w:ind w:left="730" w:hanging="730"/>
        <w:spacing w:after="0"/>
        <w:tabs>
          <w:tab w:leader="none" w:pos="73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Capital Requirements</w:t>
      </w:r>
    </w:p>
    <w:p>
      <w:pPr>
        <w:spacing w:after="0" w:line="217" w:lineRule="exact"/>
        <w:rPr>
          <w:sz w:val="20"/>
          <w:szCs w:val="20"/>
          <w:color w:val="auto"/>
        </w:rPr>
      </w:pPr>
    </w:p>
    <w:p>
      <w:pPr>
        <w:jc w:val="both"/>
        <w:ind w:left="10" w:right="20"/>
        <w:spacing w:after="0" w:line="286" w:lineRule="auto"/>
        <w:rPr>
          <w:sz w:val="20"/>
          <w:szCs w:val="20"/>
          <w:color w:val="auto"/>
        </w:rPr>
      </w:pPr>
      <w:r>
        <w:rPr>
          <w:rFonts w:ascii="Times New Roman" w:cs="Times New Roman" w:eastAsia="Times New Roman" w:hAnsi="Times New Roman"/>
          <w:sz w:val="19"/>
          <w:szCs w:val="19"/>
          <w:color w:val="auto"/>
        </w:rPr>
        <w:t>TWL, DW, TWD and EA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w:t>
      </w:r>
    </w:p>
    <w:p>
      <w:pPr>
        <w:spacing w:after="0" w:line="139"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auto"/>
        </w:rPr>
        <w:t>At December 31, 2022 and 2021, the regulatory capital requirements and regulatory capital for TWL, DW, TWD, TEL, TWJ, TWEU, TESL, EA and TESBV are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TWL</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DW</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TWD</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TEL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TWJ</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TWEU</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TESL</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TESBV</w:t>
            </w: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Regulatory Capital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59,904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1,677</w:t>
            </w:r>
          </w:p>
        </w:tc>
        <w:tc>
          <w:tcPr>
            <w:tcW w:w="0" w:type="dxa"/>
            <w:vAlign w:val="bottom"/>
          </w:tcPr>
          <w:p>
            <w:pPr>
              <w:spacing w:after="0"/>
              <w:rPr>
                <w:sz w:val="1"/>
                <w:szCs w:val="1"/>
                <w:color w:val="auto"/>
              </w:rPr>
            </w:pPr>
          </w:p>
        </w:tc>
      </w:tr>
      <w:tr>
        <w:trPr>
          <w:trHeight w:val="204"/>
        </w:trPr>
        <w:tc>
          <w:tcPr>
            <w:tcW w:w="24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Regulatory Capital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3,669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3,574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32,589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1,695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4,517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20"/>
                <w:szCs w:val="20"/>
                <w:color w:val="auto"/>
              </w:rPr>
              <w:t>801</w:t>
            </w:r>
          </w:p>
        </w:tc>
        <w:tc>
          <w:tcPr>
            <w:tcW w:w="0" w:type="dxa"/>
            <w:vAlign w:val="bottom"/>
          </w:tcPr>
          <w:p>
            <w:pPr>
              <w:spacing w:after="0"/>
              <w:rPr>
                <w:sz w:val="1"/>
                <w:szCs w:val="1"/>
                <w:color w:val="auto"/>
              </w:rPr>
            </w:pPr>
          </w:p>
        </w:tc>
      </w:tr>
      <w:tr>
        <w:trPr>
          <w:trHeight w:val="264"/>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Requirement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Excess Regulatory Capital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43,319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27,315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876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TWL</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DW</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TWD</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TEL</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TWJ</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TWEU</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TESL</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32"/>
                <w:szCs w:val="32"/>
                <w:b w:val="1"/>
                <w:bCs w:val="1"/>
                <w:color w:val="auto"/>
                <w:vertAlign w:val="subscript"/>
              </w:rPr>
              <w:t>EA</w:t>
            </w:r>
            <w:r>
              <w:rPr>
                <w:rFonts w:ascii="Times New Roman" w:cs="Times New Roman" w:eastAsia="Times New Roman" w:hAnsi="Times New Roman"/>
                <w:sz w:val="10"/>
                <w:szCs w:val="10"/>
                <w:b w:val="1"/>
                <w:bCs w:val="1"/>
                <w:color w:val="auto"/>
              </w:rPr>
              <w:t xml:space="preserve"> (1)</w:t>
            </w: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Regulatory Capital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61,379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84,636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212,572</w:t>
            </w:r>
          </w:p>
        </w:tc>
        <w:tc>
          <w:tcPr>
            <w:tcW w:w="0" w:type="dxa"/>
            <w:vAlign w:val="bottom"/>
          </w:tcPr>
          <w:p>
            <w:pPr>
              <w:spacing w:after="0"/>
              <w:rPr>
                <w:sz w:val="1"/>
                <w:szCs w:val="1"/>
                <w:color w:val="auto"/>
              </w:rPr>
            </w:pPr>
          </w:p>
        </w:tc>
      </w:tr>
      <w:tr>
        <w:trPr>
          <w:trHeight w:val="204"/>
        </w:trPr>
        <w:tc>
          <w:tcPr>
            <w:tcW w:w="24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Regulatory Capital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2,931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36,136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3,272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64"/>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Requirement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Excess Regulatory Capital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22,132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48,500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212,494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-1878965</wp:posOffset>
            </wp:positionV>
            <wp:extent cx="6654800" cy="2063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-1402715</wp:posOffset>
            </wp:positionV>
            <wp:extent cx="6654800" cy="2190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1">
                      <a:extLst>
                        <a:ext uri="{28A0092B-C50C-407E-A947-70E740481C1C}"/>
                      </a:extLst>
                    </a:blip>
                    <a:srcRect/>
                    <a:stretch>
                      <a:fillRect/>
                    </a:stretch>
                  </pic:blipFill>
                  <pic:spPr bwMode="auto">
                    <a:xfrm>
                      <a:off x="0" y="0"/>
                      <a:ext cx="6654800" cy="2190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-688340</wp:posOffset>
            </wp:positionV>
            <wp:extent cx="6654800" cy="2063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3">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ind w:left="370" w:hanging="370"/>
        <w:spacing w:after="0"/>
        <w:tabs>
          <w:tab w:leader="none" w:pos="37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2022, EA merged with and into DW with DW being the surviving entity.</w:t>
      </w:r>
    </w:p>
    <w:p>
      <w:pPr>
        <w:spacing w:after="0" w:line="196"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auto"/>
        </w:rPr>
        <w:t>As SEFs, TW SEF and DW SEF are required to maintain adequate financial resources and liquid financial assets in accordance with CFTC regulations. The required and maintained financial resources and liquid financial assets at December 31, 2022 and 2021 are as follows:</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TW SEF</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DW SEF</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TW SEF</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DW SEF</w:t>
            </w:r>
          </w:p>
        </w:tc>
        <w:tc>
          <w:tcPr>
            <w:tcW w:w="0" w:type="dxa"/>
            <w:vAlign w:val="bottom"/>
          </w:tcPr>
          <w:p>
            <w:pPr>
              <w:spacing w:after="0"/>
              <w:rPr>
                <w:sz w:val="1"/>
                <w:szCs w:val="1"/>
                <w:color w:val="auto"/>
              </w:rPr>
            </w:pPr>
          </w:p>
        </w:tc>
      </w:tr>
      <w:tr>
        <w:trPr>
          <w:trHeight w:val="274"/>
        </w:trPr>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right"/>
              <w:ind w:right="66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Financial Resources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15,999</w:t>
            </w:r>
          </w:p>
        </w:tc>
        <w:tc>
          <w:tcPr>
            <w:tcW w:w="0" w:type="dxa"/>
            <w:vAlign w:val="bottom"/>
          </w:tcPr>
          <w:p>
            <w:pPr>
              <w:spacing w:after="0"/>
              <w:rPr>
                <w:sz w:val="1"/>
                <w:szCs w:val="1"/>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Required Financial Resources</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6,770</w:t>
            </w: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Excess Financial Resources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18,337</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6,634</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19,063</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9,229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Liquid Financial Assets</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40" w:type="dxa"/>
            <w:vAlign w:val="bottom"/>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10,014</w:t>
            </w:r>
          </w:p>
        </w:tc>
        <w:tc>
          <w:tcPr>
            <w:tcW w:w="0" w:type="dxa"/>
            <w:vAlign w:val="bottom"/>
          </w:tcPr>
          <w:p>
            <w:pPr>
              <w:spacing w:after="0"/>
              <w:rPr>
                <w:sz w:val="1"/>
                <w:szCs w:val="1"/>
                <w:color w:val="auto"/>
              </w:rPr>
            </w:pPr>
          </w:p>
        </w:tc>
      </w:tr>
      <w:tr>
        <w:trPr>
          <w:trHeight w:val="28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Required Liquid Financial Assets</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1,693</w:t>
            </w: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Excess Liquid Financial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8,321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206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206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2190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6">
                      <a:extLst>
                        <a:ext uri="{28A0092B-C50C-407E-A947-70E740481C1C}"/>
                      </a:extLst>
                    </a:blip>
                    <a:srcRect/>
                    <a:stretch>
                      <a:fillRect/>
                    </a:stretch>
                  </pic:blipFill>
                  <pic:spPr bwMode="auto">
                    <a:xfrm>
                      <a:off x="0" y="0"/>
                      <a:ext cx="6654800" cy="2190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654800" cy="2190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7">
                      <a:extLst>
                        <a:ext uri="{28A0092B-C50C-407E-A947-70E740481C1C}"/>
                      </a:extLst>
                    </a:blip>
                    <a:srcRect/>
                    <a:stretch>
                      <a:fillRect/>
                    </a:stretch>
                  </pic:blipFill>
                  <pic:spPr bwMode="auto">
                    <a:xfrm>
                      <a:off x="0" y="0"/>
                      <a:ext cx="6654800" cy="219075"/>
                    </a:xfrm>
                    <a:prstGeom prst="rect">
                      <a:avLst/>
                    </a:prstGeom>
                    <a:noFill/>
                  </pic:spPr>
                </pic:pic>
              </a:graphicData>
            </a:graphic>
          </wp:anchor>
        </w:drawing>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133</w:t>
      </w:r>
    </w:p>
    <w:p>
      <w:pPr>
        <w:sectPr>
          <w:pgSz w:w="12060" w:h="15660" w:orient="portrait"/>
          <w:cols w:equalWidth="0" w:num="1">
            <w:col w:w="10450"/>
          </w:cols>
          <w:pgMar w:left="810" w:top="741" w:right="800" w:bottom="0" w:gutter="0" w:footer="0" w:header="0"/>
          <w:type w:val="continuous"/>
        </w:sectPr>
      </w:pPr>
    </w:p>
    <w:bookmarkStart w:id="145" w:name="page146"/>
    <w:bookmarkEnd w:id="145"/>
    <w:p>
      <w:pPr>
        <w:ind w:left="730" w:hanging="730"/>
        <w:spacing w:after="0"/>
        <w:tabs>
          <w:tab w:leader="none" w:pos="73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and Geographic Information</w:t>
      </w:r>
    </w:p>
    <w:p>
      <w:pPr>
        <w:spacing w:after="0" w:line="217" w:lineRule="exact"/>
        <w:rPr>
          <w:sz w:val="20"/>
          <w:szCs w:val="20"/>
          <w:color w:val="auto"/>
        </w:rPr>
      </w:pPr>
    </w:p>
    <w:p>
      <w:pPr>
        <w:ind w:left="10" w:right="340"/>
        <w:spacing w:after="0" w:line="266" w:lineRule="auto"/>
        <w:rPr>
          <w:sz w:val="20"/>
          <w:szCs w:val="20"/>
          <w:color w:val="auto"/>
        </w:rPr>
      </w:pPr>
      <w:r>
        <w:rPr>
          <w:rFonts w:ascii="Times New Roman" w:cs="Times New Roman" w:eastAsia="Times New Roman" w:hAnsi="Times New Roman"/>
          <w:sz w:val="20"/>
          <w:szCs w:val="20"/>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Information regarding revenue by client sector is as follows:</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09"/>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Institutional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719,211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668,812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554,330</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Wholesale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254,927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185,456</w:t>
            </w:r>
          </w:p>
        </w:tc>
      </w:tr>
      <w:tr>
        <w:trPr>
          <w:trHeight w:val="285"/>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Retail</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76,352</w:t>
            </w:r>
          </w:p>
        </w:tc>
      </w:tr>
      <w:tr>
        <w:trPr>
          <w:trHeight w:val="288"/>
        </w:trPr>
        <w:tc>
          <w:tcPr>
            <w:tcW w:w="6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Market Data</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85,913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76,521</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892,659</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776,208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717,619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629,304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263,355</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654800" cy="14859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8">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188"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20"/>
          <w:szCs w:val="20"/>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revenue by geographic area:</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4"/>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0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760,642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570,064</w:t>
            </w: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428,139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403,224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322,595</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1,188,781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1,076,447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892,659</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9">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provides information on the attribution of long-lived assets by geographic area:</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2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74"/>
        </w:trPr>
        <w:tc>
          <w:tcPr>
            <w:tcW w:w="7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09"/>
        </w:trPr>
        <w:tc>
          <w:tcPr>
            <w:tcW w:w="7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4,044,230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4,152,186</w:t>
            </w:r>
          </w:p>
        </w:tc>
      </w:tr>
      <w:tr>
        <w:trPr>
          <w:trHeight w:val="288"/>
        </w:trPr>
        <w:tc>
          <w:tcPr>
            <w:tcW w:w="7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13,026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15,848</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4,057,256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4,168,034</w:t>
            </w:r>
          </w:p>
        </w:tc>
      </w:tr>
      <w:tr>
        <w:trPr>
          <w:trHeight w:val="20"/>
        </w:trPr>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0">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ectPr>
          <w:pgSz w:w="12060" w:h="15660" w:orient="portrait"/>
          <w:cols w:equalWidth="0" w:num="1">
            <w:col w:w="10450"/>
          </w:cols>
          <w:pgMar w:left="81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134</w:t>
      </w:r>
    </w:p>
    <w:p>
      <w:pPr>
        <w:sectPr>
          <w:pgSz w:w="12060" w:h="15660" w:orient="portrait"/>
          <w:cols w:equalWidth="0" w:num="1">
            <w:col w:w="10450"/>
          </w:cols>
          <w:pgMar w:left="810" w:top="741" w:right="800" w:bottom="0" w:gutter="0" w:footer="0" w:header="0"/>
          <w:type w:val="continuous"/>
        </w:sectPr>
      </w:pPr>
    </w:p>
    <w:bookmarkStart w:id="146" w:name="page147"/>
    <w:bookmarkEnd w:id="146"/>
    <w:p>
      <w:pPr>
        <w:ind w:left="730" w:hanging="730"/>
        <w:spacing w:after="0"/>
        <w:tabs>
          <w:tab w:leader="none" w:pos="73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17"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On February 2, 2023, the board of directors of Tradeweb Markets Inc. declared a cash dividend of $0.09 per share of Class A common stock and Class B common stock for the first quarter of 2023. This dividend will be payable on March 15, 2023 to stockholders of record as of March 1, 2023.</w:t>
      </w:r>
    </w:p>
    <w:p>
      <w:pPr>
        <w:spacing w:after="0" w:line="155"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On February 2, 2023, Tradeweb Markets Inc., as the sole manager, approved a distribution by TWM LLC to its equityholders, including Tradeweb Markets Inc., in an aggregate amount of $20.3 million, as adjusted by required state and local tax withholdings that will be determined prior to the record date of March 1, 2023, payable on March 13, 2023.</w:t>
      </w:r>
    </w:p>
    <w:p>
      <w:pPr>
        <w:sectPr>
          <w:pgSz w:w="12060" w:h="15660" w:orient="portrait"/>
          <w:cols w:equalWidth="0" w:num="1">
            <w:col w:w="10090"/>
          </w:cols>
          <w:pgMar w:left="810" w:top="7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49"/>
        <w:spacing w:after="0"/>
        <w:rPr>
          <w:sz w:val="20"/>
          <w:szCs w:val="20"/>
          <w:color w:val="auto"/>
        </w:rPr>
      </w:pPr>
      <w:r>
        <w:rPr>
          <w:rFonts w:ascii="Times New Roman" w:cs="Times New Roman" w:eastAsia="Times New Roman" w:hAnsi="Times New Roman"/>
          <w:sz w:val="20"/>
          <w:szCs w:val="20"/>
          <w:color w:val="auto"/>
        </w:rPr>
        <w:t>135</w:t>
      </w:r>
    </w:p>
    <w:p>
      <w:pPr>
        <w:sectPr>
          <w:pgSz w:w="12060" w:h="15660" w:orient="portrait"/>
          <w:cols w:equalWidth="0" w:num="1">
            <w:col w:w="10090"/>
          </w:cols>
          <w:pgMar w:left="810" w:top="741" w:right="1160" w:bottom="0" w:gutter="0" w:footer="0" w:header="0"/>
          <w:type w:val="continuous"/>
        </w:sectPr>
      </w:pPr>
    </w:p>
    <w:bookmarkStart w:id="147" w:name="page148"/>
    <w:bookmarkEnd w:id="147"/>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management has evaluated, under the supervision of our Chief Executive Officer (“CEO”) and Chief Financial Officer (“CFO”), the effectiveness of our disclosure controls and procedures, as defined in Rule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15(e) of the Exchange Act,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Based on that evaluation, our CEO and CFO have concluded that our disclosure controls and procedures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1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us as defined in Rule 13a-15(f) or 15d-15(f) under the Exchange Act.</w:t>
      </w:r>
    </w:p>
    <w:p>
      <w:pPr>
        <w:spacing w:after="0" w:line="14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jc w:val="both"/>
        <w:ind w:right="580"/>
        <w:spacing w:after="0" w:line="286" w:lineRule="auto"/>
        <w:rPr>
          <w:sz w:val="20"/>
          <w:szCs w:val="20"/>
          <w:color w:val="auto"/>
        </w:rPr>
      </w:pPr>
      <w:r>
        <w:rPr>
          <w:rFonts w:ascii="Times New Roman" w:cs="Times New Roman" w:eastAsia="Times New Roman" w:hAnsi="Times New Roman"/>
          <w:sz w:val="19"/>
          <w:szCs w:val="19"/>
          <w:color w:val="auto"/>
        </w:rPr>
        <w:t>Our management, under the supervision and with the participation of our CEO and CFO, evaluated the effectiveness of our internal control over financial reporting as of December 31, 2022 using criteria established in Internal Control – Integrated Framework (2013) issued by the Committee of Sponsoring Organizations of the Treadway Commission (COSO).</w:t>
      </w:r>
    </w:p>
    <w:p>
      <w:pPr>
        <w:spacing w:after="0" w:line="1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Management, including our CEO and CFO, based on its assessment and those criteria, has concluded that our internal control over financial reporting was effective as of December 31, 2022.</w:t>
      </w:r>
    </w:p>
    <w:p>
      <w:pPr>
        <w:spacing w:after="0" w:line="14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2022 has been audited by Deloitte &amp; Touche LLP, an independent registered public accounting firm, as stated in their report which appears 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1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There were no changes to our internal control over financial reporting during the quarter ended December 31, 2022 that have materially affected, or that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On February 21, 2023, Tradeweb Markets LLC, a subsidiary of the Company, entered into a new employment agreement with William Hult in connection with his appointment as Chief Executive Officer of the Company effective as of January 1, 2023 (the “Agreement”), which Agreement amends and restates his existing employment agreement in its entirety. The key terms of the Agreement are generally described below. This description is meant to be a summary and not a full description of all of the terms of the Agreement, which are incorporated herein by reference. A copy of the Agreement is attached as Exhibit 10.30 to this Annual Report on Form 10-K.</w:t>
      </w:r>
    </w:p>
    <w:p>
      <w:pPr>
        <w:sectPr>
          <w:pgSz w:w="12060" w:h="15660" w:orient="portrait"/>
          <w:cols w:equalWidth="0" w:num="1">
            <w:col w:w="10420"/>
          </w:cols>
          <w:pgMar w:left="820" w:top="741" w:right="820" w:bottom="0" w:gutter="0" w:footer="0" w:header="0"/>
        </w:sect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136</w:t>
      </w:r>
    </w:p>
    <w:p>
      <w:pPr>
        <w:sectPr>
          <w:pgSz w:w="12060" w:h="15660" w:orient="portrait"/>
          <w:cols w:equalWidth="0" w:num="1">
            <w:col w:w="10420"/>
          </w:cols>
          <w:pgMar w:left="820" w:top="741" w:right="820" w:bottom="0" w:gutter="0" w:footer="0" w:header="0"/>
          <w:type w:val="continuous"/>
        </w:sectPr>
      </w:pPr>
    </w:p>
    <w:bookmarkStart w:id="148" w:name="page149"/>
    <w:bookmarkEnd w:id="148"/>
    <w:p>
      <w:pPr>
        <w:ind w:left="10" w:right="100"/>
        <w:spacing w:after="0" w:line="254" w:lineRule="auto"/>
        <w:rPr>
          <w:sz w:val="20"/>
          <w:szCs w:val="20"/>
          <w:color w:val="auto"/>
        </w:rPr>
      </w:pPr>
      <w:r>
        <w:rPr>
          <w:rFonts w:ascii="Times New Roman" w:cs="Times New Roman" w:eastAsia="Times New Roman" w:hAnsi="Times New Roman"/>
          <w:sz w:val="20"/>
          <w:szCs w:val="20"/>
          <w:color w:val="auto"/>
        </w:rPr>
        <w:t>The Agreement provides for an initial three-year term, with automatic annual renewals unless either party provides 90 days prior notice of termination. Pursuant to the Agreement, Mr. Hult is entitled to an annual base salary of $750,000 and is eligible for an annual cash bonus with a target bonus opportunity equal to 300% of his annual base salary subject to his employment on the last date of the calendar year, each effective as of January 1, 2023. The annual bonus will be based upon Company performance and other criteria for such fiscal year as determined by the board of directors of the Company (the “Board”) or the Compensation Committee of the Board in consultation with Mr. Hult. In addition, Mr. Hult will be entitled to: (1) participate in health and other group insurance and other employee benefit plans and programs of the Company, and (2) reimbursement in an amount up to $30,000 for fees and expenses incurred in connection with the negotiation of the Agreement, net of withholding taxes.</w:t>
      </w:r>
    </w:p>
    <w:p>
      <w:pPr>
        <w:spacing w:after="0" w:line="173"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19"/>
          <w:szCs w:val="19"/>
          <w:color w:val="auto"/>
        </w:rPr>
        <w:t>Pursuant to the Agreement, Mr. Hult is entitled to the following if he is terminated without Cause or as a result of a Company nonrenewal of the Agreement, or if he resigns for Good Reason (as such terms are defined in the Agreement) (each, a “Qualifying Termination”): (1) cash severance equal to two times the sum of (A) his base salary at the rate in effect immediately prior to the date of termination and (B) the average annual bonus earned by Mr. Hult for the two calendar years ending immediately prior to the year of termination, payable in equal installments on the Company’s regular payroll dates during the 24-month period following the date of termination (such period, the “Severance Period”) (this (A) and (B), the “Severance Amount”), (2) a prorated bonus for the year of termination based on the actual performance of the Company for the full year (the “Prorated Bonus”), (3) any earned but unpaid annual bonus for the prior completed fiscal year of the Company (the “Earned Bonus”) and</w:t>
      </w:r>
    </w:p>
    <w:p>
      <w:pPr>
        <w:spacing w:after="0" w:line="3" w:lineRule="exact"/>
        <w:rPr>
          <w:sz w:val="20"/>
          <w:szCs w:val="20"/>
          <w:color w:val="auto"/>
        </w:rPr>
      </w:pPr>
    </w:p>
    <w:p>
      <w:pPr>
        <w:ind w:left="10" w:right="260" w:hanging="10"/>
        <w:spacing w:after="0" w:line="260" w:lineRule="auto"/>
        <w:tabs>
          <w:tab w:leader="none" w:pos="29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for a portion of the cost of COBRA premiums for continued health benefits for Mr. Hult and his dependents for the Severance Period (“Medical Benefit Continuation”).</w:t>
      </w:r>
    </w:p>
    <w:p>
      <w:pPr>
        <w:spacing w:after="0" w:line="162"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In addition, if a Qualifying Termination occurs during the three-month period preceding or the twelve-month period following the date of a Change in Control (as defined in the Tradeweb Markets Inc. 2019 Omnibus Equity Incentive Plan (the “Omnibus Equity Plan”)), Mr. Hult will be entitled to the following, in lieu of the amounts set forth in the immediately preceding sentence: (1) cash severance equal to two and one-half times the sum of (A) his base salary at the rate in effect immediately prior to the date of termination and (B) the average annual bonus earned by Mr. Hult for the two calendar years ending immediately prior to the year of termination, payable in equal installments on the Company’s regular payroll dates during the 30-month period following the date of termination (such period, the “CIC Severance Period”) (this (A) and (B), the “CIC Severance Amount”), (2) the Prorated Bonus, (3) the Earned Bonus and (4) reimbursement for a portion of the cost of COBRA premiums for continued health benefits for Mr. Hult and his dependents for the CIC Severance Period (the “CIC Medical Benefit Continuation”).</w:t>
      </w:r>
    </w:p>
    <w:p>
      <w:pPr>
        <w:spacing w:after="0" w:line="169"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Agreement, which includes covenants of nondisclosure of confidential information, noncompetition, nonsolicitation, and nondisparagement. If any of the payments or benefits provided to Mr. Hult pursuant to the Agreement or otherwise would constitute “parachute payments” within the meaning of Section 280G of the Internal Revenue Code and be subject to excise tax, such amounts will be subject to a “net best” excise tax adjustment.</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 addition, Mr. Hult will be eligible for equity awards in the ordinary course under the Omnibus Equity Plan, which typically</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occur annually in March. The equity awards to be granted to Mr. Hult in March of 2023 under the Omnibus Equity Plan will</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include (1) restricted stock units that vest based on continuous service (“RSUs”) based on a value of $3,000,000, (2) performance-</w:t>
      </w:r>
    </w:p>
    <w:p>
      <w:pPr>
        <w:spacing w:after="0" w:line="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vesting restricted stock units that vest based on achievement of Company financial goals (“PRSUs”) based on a value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$3,000,000, and (3) a new form of performance-vesting restricted stock units that will vest based on the Company’s total</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shareholder return over a three-year performance period, beginning on January 1, 2023 (the “PSUs”) based on a value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$3,000,000. In connection with the Agreement, the Compensation Committee has agreed that, for Mr. Hult, his future equity</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awards, including his 2023 grants, will provide for the following: (1) on a Qualifying Termination event, (A) Mr. Hult will be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entitled to retain a pro-rated portion of his PSU and PRSU award, notwithstanding his termination and regardless of when the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termination occurs during the performance period, which award will continue to settle on the scheduled settlement date, and (B)</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his RSUs which vest solely based on continuous service will fully vest and will continue to settle on the scheduled settlement</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date, and (2) on his retirement, his PSUs will fully vest and will continue to settle on the scheduled settlement date.</w:t>
      </w:r>
    </w:p>
    <w:p>
      <w:pPr>
        <w:sectPr>
          <w:pgSz w:w="12060" w:h="15660" w:orient="portrait"/>
          <w:cols w:equalWidth="0" w:num="1">
            <w:col w:w="10430"/>
          </w:cols>
          <w:pgMar w:left="810" w:top="7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137</w:t>
      </w:r>
    </w:p>
    <w:p>
      <w:pPr>
        <w:sectPr>
          <w:pgSz w:w="12060" w:h="15660" w:orient="portrait"/>
          <w:cols w:equalWidth="0" w:num="1">
            <w:col w:w="10430"/>
          </w:cols>
          <w:pgMar w:left="810" w:top="748" w:right="820" w:bottom="0" w:gutter="0" w:footer="0" w:header="0"/>
          <w:type w:val="continuous"/>
        </w:sectPr>
      </w:pPr>
    </w:p>
    <w:bookmarkStart w:id="149" w:name="page150"/>
    <w:bookmarkEnd w:id="149"/>
    <w:p>
      <w:pPr>
        <w:spacing w:after="0" w:line="254" w:lineRule="auto"/>
        <w:rPr>
          <w:sz w:val="20"/>
          <w:szCs w:val="20"/>
          <w:color w:val="auto"/>
        </w:rPr>
      </w:pPr>
      <w:r>
        <w:rPr>
          <w:rFonts w:ascii="Times New Roman" w:cs="Times New Roman" w:eastAsia="Times New Roman" w:hAnsi="Times New Roman"/>
          <w:sz w:val="20"/>
          <w:szCs w:val="20"/>
          <w:color w:val="auto"/>
        </w:rPr>
        <w:t>As disclosed by the Company on the Current Report on Form 8-K filed by the Company on July 13, 2022, Thomas Pluta was appointed as President of the Company effective as of January 1, 2023. It has been determined that in his position as President, Mr. Pluta will be entitled to an annual base salary of $700,000 and will be eligible for an annual cash bonus as determined each year by the Compensation Committee in consultation with the Chief Executive Officer. Mr. Pluta will also be eligible for equity awards in the ordinary course under the Omnibus Equity Plan. In consideration of his transition and forfeiture of compensation from his prior employer, his service in 2022, and his new position as President, it has been determined that, in March of 2023, Mr. Pluta will receive grants of RSUs based on a value of $2,050,000 and PRSUs based on a value of $2,050,000. In addition, in March of 2023, Mr. Pluta, along with certain other executives, is expected to receive a one-time award of PSUs which, for Mr. Pluta, is expected to be based on a value of $2,600,000.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48"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SECURITIES OWNERSHIP OF CERTAIN BENEFICIAL OWNERS AND MANAGEMENT AND RELATED STOCKHOLDER MATTERS.</w:t>
      </w:r>
    </w:p>
    <w:p>
      <w:pPr>
        <w:spacing w:after="0" w:line="13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2023 Annual Meeting of Stockholders and is incorporated herein by reference. We will file such definitive proxy statement with the SEC pursuant to Regulation 14A within 120 days after the fiscal year ended December 31, 2022.</w:t>
      </w:r>
    </w:p>
    <w:p>
      <w:pPr>
        <w:sectPr>
          <w:pgSz w:w="12060" w:h="15660" w:orient="portrait"/>
          <w:cols w:equalWidth="0" w:num="1">
            <w:col w:w="10400"/>
          </w:cols>
          <w:pgMar w:left="820" w:top="74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060" w:h="15660" w:orient="portrait"/>
          <w:cols w:equalWidth="0" w:num="1">
            <w:col w:w="10400"/>
          </w:cols>
          <w:pgMar w:left="820" w:top="748" w:right="840" w:bottom="0" w:gutter="0" w:footer="0" w:header="0"/>
          <w:type w:val="continuous"/>
        </w:sectPr>
      </w:pPr>
    </w:p>
    <w:bookmarkStart w:id="150" w:name="page151"/>
    <w:bookmarkEnd w:id="150"/>
    <w:p>
      <w:pPr>
        <w:ind w:left="48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21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The financial statements are set forth under Part II, Item 8. – “Financial Statements and Supplementary Data” of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1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filed or furnished as a part of this Annual Report on Form 10-K:</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25"/>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60" w:type="dxa"/>
            <w:vAlign w:val="bottom"/>
            <w:tcBorders>
              <w:top w:val="single" w:sz="8" w:color="auto"/>
              <w:bottom w:val="single" w:sz="8" w:color="auto"/>
            </w:tcBorders>
            <w:gridSpan w:val="16"/>
          </w:tcPr>
          <w:p>
            <w:pPr>
              <w:spacing w:after="0" w:line="198" w:lineRule="exact"/>
              <w:rPr>
                <w:sz w:val="20"/>
                <w:szCs w:val="20"/>
                <w:color w:val="auto"/>
              </w:rPr>
            </w:pPr>
            <w:r>
              <w:rPr>
                <w:rFonts w:ascii="Times New Roman" w:cs="Times New Roman" w:eastAsia="Times New Roman" w:hAnsi="Times New Roman"/>
                <w:sz w:val="20"/>
                <w:szCs w:val="20"/>
                <w:color w:val="auto"/>
              </w:rPr>
              <w:t>Amended and Restated Certificate of Incorporation of Tradeweb Markets Inc. (incorporated by reference to</w:t>
            </w:r>
          </w:p>
        </w:tc>
        <w:tc>
          <w:tcPr>
            <w:tcW w:w="400" w:type="dxa"/>
            <w:vAlign w:val="bottom"/>
            <w:tcBorders>
              <w:top w:val="single" w:sz="8" w:color="auto"/>
            </w:tcBorders>
            <w:gridSpan w:val="1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80" w:type="dxa"/>
            <w:vAlign w:val="bottom"/>
            <w:tcBorders>
              <w:bottom w:val="single" w:sz="8" w:color="auto"/>
            </w:tcBorders>
            <w:gridSpan w:val="12"/>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3.1 to the Company’s Current Report on Form 8-K filed on April 9, 2019 (File No. 001-38860)).</w:t>
            </w:r>
          </w:p>
        </w:tc>
        <w:tc>
          <w:tcPr>
            <w:tcW w:w="680" w:type="dxa"/>
            <w:vAlign w:val="bottom"/>
            <w:gridSpan w:val="1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5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Amended and Restated Bylaws of Tradeweb Markets Inc. (incorporated by reference to Exhibit 3.2 to the</w:t>
            </w:r>
          </w:p>
        </w:tc>
        <w:tc>
          <w:tcPr>
            <w:tcW w:w="560" w:type="dxa"/>
            <w:vAlign w:val="bottom"/>
            <w:gridSpan w:val="1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40" w:type="dxa"/>
            <w:vAlign w:val="bottom"/>
            <w:tcBorders>
              <w:bottom w:val="single" w:sz="8" w:color="auto"/>
            </w:tcBorders>
            <w:gridSpan w:val="6"/>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Current Report on Form 8-K filed on April 9, 2019 (File No. 001-38860)).</w:t>
            </w:r>
          </w:p>
        </w:tc>
        <w:tc>
          <w:tcPr>
            <w:tcW w:w="212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8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20"/>
                <w:szCs w:val="20"/>
                <w:color w:val="auto"/>
              </w:rPr>
              <w:t>Specimen Common Stock Certificate of Tradeweb Markets Inc. (incorporated by reference to Exhibit 4.1 to the</w:t>
            </w: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4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Registration Statement on Form S-1 (File No. 333-230115)).</w:t>
            </w:r>
          </w:p>
        </w:tc>
        <w:tc>
          <w:tcPr>
            <w:tcW w:w="322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6"/>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w:t>
            </w:r>
          </w:p>
        </w:tc>
        <w:tc>
          <w:tcPr>
            <w:tcW w:w="106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auto"/>
            </w:tcBorders>
            <w:gridSpan w:val="21"/>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4.2 to the Company’s Annual Report on Form 10-K/A filed on March 4,</w:t>
            </w:r>
          </w:p>
        </w:tc>
        <w:tc>
          <w:tcPr>
            <w:tcW w:w="20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2020 (File No. 001-38860)).</w:t>
            </w:r>
          </w:p>
        </w:tc>
        <w:tc>
          <w:tcPr>
            <w:tcW w:w="6740" w:type="dxa"/>
            <w:vAlign w:val="bottom"/>
            <w:gridSpan w:val="2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rPr>
              <w:t>Stockholders Agreement, dated as of April 8, 2019, by and among Tradeweb Markets Inc., Refinitiv US PME</w:t>
            </w:r>
          </w:p>
        </w:tc>
        <w:tc>
          <w:tcPr>
            <w:tcW w:w="22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60" w:type="dxa"/>
            <w:vAlign w:val="bottom"/>
            <w:tcBorders>
              <w:bottom w:val="single" w:sz="8" w:color="auto"/>
            </w:tcBorders>
            <w:gridSpan w:val="28"/>
          </w:tcPr>
          <w:p>
            <w:pPr>
              <w:spacing w:after="0" w:line="220" w:lineRule="exact"/>
              <w:rPr>
                <w:sz w:val="20"/>
                <w:szCs w:val="20"/>
                <w:color w:val="auto"/>
              </w:rPr>
            </w:pPr>
            <w:r>
              <w:rPr>
                <w:rFonts w:ascii="Times New Roman" w:cs="Times New Roman" w:eastAsia="Times New Roman" w:hAnsi="Times New Roman"/>
                <w:sz w:val="20"/>
                <w:szCs w:val="20"/>
                <w:color w:val="auto"/>
              </w:rPr>
              <w:t>LLC and Refinitiv Parent Limited (incorporated by reference to Exhibit 10.1 to the Company’s Quarterly Report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auto"/>
                <w:w w:val="99"/>
              </w:rPr>
              <w:t>on Form 10-Q filed on May 20, 2019 (File No. 001-38860)).</w:t>
            </w:r>
          </w:p>
        </w:tc>
        <w:tc>
          <w:tcPr>
            <w:tcW w:w="4200" w:type="dxa"/>
            <w:vAlign w:val="bottom"/>
            <w:gridSpan w:val="2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0"/>
                <w:szCs w:val="20"/>
                <w:color w:val="auto"/>
              </w:rPr>
              <w:t>Registration Rights Agreement, dated as of April 8, 2019, by and among Tradeweb Markets Inc., the Refinitiv</w:t>
            </w:r>
          </w:p>
        </w:tc>
        <w:tc>
          <w:tcPr>
            <w:tcW w:w="18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00" w:type="dxa"/>
            <w:vAlign w:val="bottom"/>
            <w:tcBorders>
              <w:bottom w:val="single" w:sz="8" w:color="auto"/>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rPr>
              <w:t>Holders (as defined therein), the Bank Holders (as defined therein) and the other holders of Registrable</w:t>
            </w:r>
          </w:p>
        </w:tc>
        <w:tc>
          <w:tcPr>
            <w:tcW w:w="76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80" w:type="dxa"/>
            <w:vAlign w:val="bottom"/>
            <w:tcBorders>
              <w:bottom w:val="single" w:sz="8" w:color="auto"/>
            </w:tcBorders>
            <w:gridSpan w:val="22"/>
          </w:tcPr>
          <w:p>
            <w:pPr>
              <w:spacing w:after="0" w:line="220" w:lineRule="exact"/>
              <w:rPr>
                <w:sz w:val="20"/>
                <w:szCs w:val="20"/>
                <w:color w:val="auto"/>
              </w:rPr>
            </w:pPr>
            <w:r>
              <w:rPr>
                <w:rFonts w:ascii="Times New Roman" w:cs="Times New Roman" w:eastAsia="Times New Roman" w:hAnsi="Times New Roman"/>
                <w:sz w:val="20"/>
                <w:szCs w:val="20"/>
                <w:color w:val="auto"/>
              </w:rPr>
              <w:t>Securities (as defined therein) party thereto from time to time (incorporated by reference to Exhibit 10.2 to the</w:t>
            </w:r>
          </w:p>
        </w:tc>
        <w:tc>
          <w:tcPr>
            <w:tcW w:w="18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auto"/>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Quarterly Report on Form 10-Q filed on May 20, 2019 (File No. 001-38860)).</w:t>
            </w:r>
          </w:p>
        </w:tc>
        <w:tc>
          <w:tcPr>
            <w:tcW w:w="182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0"/>
                <w:szCs w:val="20"/>
                <w:color w:val="auto"/>
              </w:rPr>
              <w:t>Fifth Amended and Restated LLC Agreement of Tradeweb Markets LLC (incorporated by reference to Exhibit</w:t>
            </w:r>
          </w:p>
        </w:tc>
        <w:tc>
          <w:tcPr>
            <w:tcW w:w="14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40" w:type="dxa"/>
            <w:vAlign w:val="bottom"/>
            <w:tcBorders>
              <w:bottom w:val="single" w:sz="8" w:color="auto"/>
            </w:tcBorders>
            <w:gridSpan w:val="9"/>
          </w:tcPr>
          <w:p>
            <w:pPr>
              <w:spacing w:after="0" w:line="220" w:lineRule="exact"/>
              <w:rPr>
                <w:sz w:val="20"/>
                <w:szCs w:val="20"/>
                <w:color w:val="auto"/>
              </w:rPr>
            </w:pPr>
            <w:r>
              <w:rPr>
                <w:rFonts w:ascii="Times New Roman" w:cs="Times New Roman" w:eastAsia="Times New Roman" w:hAnsi="Times New Roman"/>
                <w:sz w:val="20"/>
                <w:szCs w:val="20"/>
                <w:color w:val="auto"/>
                <w:w w:val="99"/>
              </w:rPr>
              <w:t>10.</w:t>
            </w:r>
            <w:r>
              <w:rPr>
                <w:rFonts w:ascii="Times New Roman" w:cs="Times New Roman" w:eastAsia="Times New Roman" w:hAnsi="Times New Roman"/>
                <w:sz w:val="20"/>
                <w:szCs w:val="20"/>
                <w:u w:val="single" w:color="auto"/>
                <w:color w:val="auto"/>
                <w:w w:val="99"/>
              </w:rPr>
              <w:t>3</w:t>
            </w:r>
            <w:r>
              <w:rPr>
                <w:rFonts w:ascii="Times New Roman" w:cs="Times New Roman" w:eastAsia="Times New Roman" w:hAnsi="Times New Roman"/>
                <w:sz w:val="20"/>
                <w:szCs w:val="20"/>
                <w:color w:val="auto"/>
                <w:w w:val="99"/>
              </w:rPr>
              <w:t xml:space="preserve"> to the Company’s Quarterly Report on Form 10-Q filed on May 20, 2019 (File No. 001-38860)).</w:t>
            </w:r>
          </w:p>
        </w:tc>
        <w:tc>
          <w:tcPr>
            <w:tcW w:w="92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6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rPr>
              <w:t>Tax Receivable Agreement, dated as of April 8, 2019, by and among Tradeweb Markets Inc., Tradeweb Markets</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40" w:type="dxa"/>
            <w:vAlign w:val="bottom"/>
            <w:tcBorders>
              <w:bottom w:val="single" w:sz="8" w:color="auto"/>
            </w:tcBorders>
            <w:gridSpan w:val="24"/>
          </w:tcPr>
          <w:p>
            <w:pPr>
              <w:spacing w:after="0" w:line="220" w:lineRule="exact"/>
              <w:rPr>
                <w:sz w:val="20"/>
                <w:szCs w:val="20"/>
                <w:color w:val="auto"/>
              </w:rPr>
            </w:pPr>
            <w:r>
              <w:rPr>
                <w:rFonts w:ascii="Times New Roman" w:cs="Times New Roman" w:eastAsia="Times New Roman" w:hAnsi="Times New Roman"/>
                <w:sz w:val="20"/>
                <w:szCs w:val="20"/>
                <w:color w:val="auto"/>
              </w:rPr>
              <w:t>LLC and the members of Tradeweb Markets LLC from time to time party thereto (incorporated by reference to</w:t>
            </w:r>
          </w:p>
        </w:tc>
        <w:tc>
          <w:tcPr>
            <w:tcW w:w="1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auto"/>
            </w:tcBorders>
            <w:gridSpan w:val="18"/>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10.4 to the Company’s Quarterly Report on Form 10-Q filed on May 20, 2019 (File No. 001-38860)).</w:t>
            </w:r>
          </w:p>
        </w:tc>
        <w:tc>
          <w:tcPr>
            <w:tcW w:w="28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Restrictive Covenant Agreement, dated as of April 8, 2019, by and among the Refinitiv Entities (as defined</w:t>
            </w:r>
          </w:p>
        </w:tc>
        <w:tc>
          <w:tcPr>
            <w:tcW w:w="420" w:type="dxa"/>
            <w:vAlign w:val="bottom"/>
            <w:gridSpan w:val="1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60" w:type="dxa"/>
            <w:vAlign w:val="bottom"/>
            <w:tcBorders>
              <w:bottom w:val="single" w:sz="8" w:color="auto"/>
            </w:tcBorders>
            <w:gridSpan w:val="21"/>
          </w:tcPr>
          <w:p>
            <w:pPr>
              <w:spacing w:after="0" w:line="220" w:lineRule="exact"/>
              <w:rPr>
                <w:sz w:val="20"/>
                <w:szCs w:val="20"/>
                <w:color w:val="auto"/>
              </w:rPr>
            </w:pPr>
            <w:r>
              <w:rPr>
                <w:rFonts w:ascii="Times New Roman" w:cs="Times New Roman" w:eastAsia="Times New Roman" w:hAnsi="Times New Roman"/>
                <w:sz w:val="20"/>
                <w:szCs w:val="20"/>
                <w:color w:val="auto"/>
              </w:rPr>
              <w:t>therein), Tradeweb Markets LLC and Tradeweb Markets Inc. (incorporated by reference to Exhibit 10.5 to the</w:t>
            </w:r>
          </w:p>
        </w:tc>
        <w:tc>
          <w:tcPr>
            <w:tcW w:w="20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auto"/>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Quarterly Report on Form 10-Q filed on May 20, 2019 (File No. 001-38860)).</w:t>
            </w:r>
          </w:p>
        </w:tc>
        <w:tc>
          <w:tcPr>
            <w:tcW w:w="182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2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rPr>
              <w:t>Credit Agreement, dated as of April 8, 2019, by and among Tradeweb Markets LLC, as borrower, the lenders</w:t>
            </w:r>
          </w:p>
        </w:tc>
        <w:tc>
          <w:tcPr>
            <w:tcW w:w="24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20" w:type="dxa"/>
            <w:vAlign w:val="bottom"/>
            <w:tcBorders>
              <w:bottom w:val="single" w:sz="8" w:color="auto"/>
            </w:tcBorders>
            <w:gridSpan w:val="19"/>
          </w:tcPr>
          <w:p>
            <w:pPr>
              <w:spacing w:after="0" w:line="220" w:lineRule="exact"/>
              <w:rPr>
                <w:sz w:val="20"/>
                <w:szCs w:val="20"/>
                <w:color w:val="auto"/>
              </w:rPr>
            </w:pPr>
            <w:r>
              <w:rPr>
                <w:rFonts w:ascii="Times New Roman" w:cs="Times New Roman" w:eastAsia="Times New Roman" w:hAnsi="Times New Roman"/>
                <w:sz w:val="20"/>
                <w:szCs w:val="20"/>
                <w:color w:val="auto"/>
              </w:rPr>
              <w:t>party thereto and Citibank, N.A., as administrative agent, collateral agent, issuing bank and swing line lender,</w:t>
            </w:r>
          </w:p>
        </w:tc>
        <w:tc>
          <w:tcPr>
            <w:tcW w:w="24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20" w:type="dxa"/>
            <w:vAlign w:val="bottom"/>
            <w:tcBorders>
              <w:bottom w:val="single" w:sz="8" w:color="auto"/>
            </w:tcBorders>
            <w:gridSpan w:val="11"/>
          </w:tcPr>
          <w:p>
            <w:pPr>
              <w:spacing w:after="0" w:line="220" w:lineRule="exact"/>
              <w:rPr>
                <w:sz w:val="20"/>
                <w:szCs w:val="20"/>
                <w:color w:val="auto"/>
              </w:rPr>
            </w:pPr>
            <w:r>
              <w:rPr>
                <w:rFonts w:ascii="Times New Roman" w:cs="Times New Roman" w:eastAsia="Times New Roman" w:hAnsi="Times New Roman"/>
                <w:sz w:val="20"/>
                <w:szCs w:val="20"/>
                <w:color w:val="auto"/>
              </w:rPr>
              <w:t>Citigroup Global Markets Inc., JPMorgan Chase Bank, N.A., Morgan Stanley Senior Funding, Inc. and</w:t>
            </w:r>
          </w:p>
        </w:tc>
        <w:tc>
          <w:tcPr>
            <w:tcW w:w="74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80" w:type="dxa"/>
            <w:vAlign w:val="bottom"/>
            <w:tcBorders>
              <w:bottom w:val="single" w:sz="8" w:color="auto"/>
            </w:tcBorders>
            <w:gridSpan w:val="14"/>
          </w:tcPr>
          <w:p>
            <w:pPr>
              <w:spacing w:after="0" w:line="220" w:lineRule="exact"/>
              <w:rPr>
                <w:sz w:val="20"/>
                <w:szCs w:val="20"/>
                <w:color w:val="auto"/>
              </w:rPr>
            </w:pPr>
            <w:r>
              <w:rPr>
                <w:rFonts w:ascii="Times New Roman" w:cs="Times New Roman" w:eastAsia="Times New Roman" w:hAnsi="Times New Roman"/>
                <w:sz w:val="20"/>
                <w:szCs w:val="20"/>
                <w:color w:val="auto"/>
              </w:rPr>
              <w:t>Goldman Sachs Bank USA, as joint lead arrangers and joint bookrunners, JPMorgan Chase Bank, N.A., as</w:t>
            </w:r>
          </w:p>
        </w:tc>
        <w:tc>
          <w:tcPr>
            <w:tcW w:w="48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60" w:type="dxa"/>
            <w:vAlign w:val="bottom"/>
            <w:tcBorders>
              <w:bottom w:val="single" w:sz="8" w:color="auto"/>
            </w:tcBorders>
            <w:gridSpan w:val="25"/>
          </w:tcPr>
          <w:p>
            <w:pPr>
              <w:spacing w:after="0" w:line="220" w:lineRule="exact"/>
              <w:rPr>
                <w:sz w:val="20"/>
                <w:szCs w:val="20"/>
                <w:color w:val="auto"/>
              </w:rPr>
            </w:pPr>
            <w:r>
              <w:rPr>
                <w:rFonts w:ascii="Times New Roman" w:cs="Times New Roman" w:eastAsia="Times New Roman" w:hAnsi="Times New Roman"/>
                <w:sz w:val="20"/>
                <w:szCs w:val="20"/>
                <w:color w:val="auto"/>
              </w:rPr>
              <w:t>syndication agent, and Morgan Stanley Senior Funding, Inc. and Goldman Sachs Bank USA, as documentation</w:t>
            </w:r>
          </w:p>
        </w:tc>
        <w:tc>
          <w:tcPr>
            <w:tcW w:w="1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20" w:type="dxa"/>
            <w:vAlign w:val="bottom"/>
            <w:tcBorders>
              <w:bottom w:val="single" w:sz="8" w:color="auto"/>
            </w:tcBorders>
            <w:gridSpan w:val="17"/>
          </w:tcPr>
          <w:p>
            <w:pPr>
              <w:spacing w:after="0" w:line="220" w:lineRule="exact"/>
              <w:rPr>
                <w:sz w:val="20"/>
                <w:szCs w:val="20"/>
                <w:color w:val="auto"/>
              </w:rPr>
            </w:pPr>
            <w:r>
              <w:rPr>
                <w:rFonts w:ascii="Times New Roman" w:cs="Times New Roman" w:eastAsia="Times New Roman" w:hAnsi="Times New Roman"/>
                <w:sz w:val="20"/>
                <w:szCs w:val="20"/>
                <w:color w:val="auto"/>
              </w:rPr>
              <w:t>agents (incorporated by reference to Exhibit 10.6 to the Company’s Quarterly Report on Form 10-Q filed on</w:t>
            </w:r>
          </w:p>
        </w:tc>
        <w:tc>
          <w:tcPr>
            <w:tcW w:w="34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w w:val="99"/>
              </w:rPr>
              <w:t>May 20, 2019 (File No. 001-38860)).</w:t>
            </w:r>
          </w:p>
        </w:tc>
        <w:tc>
          <w:tcPr>
            <w:tcW w:w="6060" w:type="dxa"/>
            <w:vAlign w:val="bottom"/>
            <w:gridSpan w:val="2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4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rPr>
              <w:t>Amendment No.1, dated as of November 7, 2019, among Tradeweb Markets LLC and each lender party thereto,</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00" w:type="dxa"/>
            <w:vAlign w:val="bottom"/>
            <w:tcBorders>
              <w:bottom w:val="single" w:sz="8" w:color="auto"/>
            </w:tcBorders>
            <w:gridSpan w:val="13"/>
          </w:tcPr>
          <w:p>
            <w:pPr>
              <w:spacing w:after="0" w:line="220" w:lineRule="exact"/>
              <w:rPr>
                <w:sz w:val="20"/>
                <w:szCs w:val="20"/>
                <w:color w:val="auto"/>
              </w:rPr>
            </w:pPr>
            <w:r>
              <w:rPr>
                <w:rFonts w:ascii="Times New Roman" w:cs="Times New Roman" w:eastAsia="Times New Roman" w:hAnsi="Times New Roman"/>
                <w:sz w:val="20"/>
                <w:szCs w:val="20"/>
                <w:color w:val="auto"/>
              </w:rPr>
              <w:t>relating to Credit Agreement, dated as of April 8, 2019, among Tradeweb Markets LLC, the lenders party</w:t>
            </w:r>
          </w:p>
        </w:tc>
        <w:tc>
          <w:tcPr>
            <w:tcW w:w="560" w:type="dxa"/>
            <w:vAlign w:val="bottom"/>
            <w:gridSpan w:val="1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20" w:type="dxa"/>
            <w:vAlign w:val="bottom"/>
            <w:tcBorders>
              <w:bottom w:val="single" w:sz="8" w:color="auto"/>
            </w:tcBorders>
            <w:gridSpan w:val="11"/>
          </w:tcPr>
          <w:p>
            <w:pPr>
              <w:spacing w:after="0" w:line="220" w:lineRule="exact"/>
              <w:rPr>
                <w:sz w:val="20"/>
                <w:szCs w:val="20"/>
                <w:color w:val="auto"/>
              </w:rPr>
            </w:pPr>
            <w:r>
              <w:rPr>
                <w:rFonts w:ascii="Times New Roman" w:cs="Times New Roman" w:eastAsia="Times New Roman" w:hAnsi="Times New Roman"/>
                <w:sz w:val="20"/>
                <w:szCs w:val="20"/>
                <w:color w:val="auto"/>
              </w:rPr>
              <w:t>thereto and Citibank, N.A., as administrative agent, collateral agent, issuing bank and swing line lender</w:t>
            </w:r>
          </w:p>
        </w:tc>
        <w:tc>
          <w:tcPr>
            <w:tcW w:w="74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60" w:type="dxa"/>
            <w:vAlign w:val="bottom"/>
            <w:tcBorders>
              <w:bottom w:val="single" w:sz="8" w:color="auto"/>
            </w:tcBorders>
            <w:gridSpan w:val="28"/>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Company’s Quarterly Report on Form 10-Q filed on November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8, 2019 (File No. 001-38860)).</w:t>
            </w:r>
          </w:p>
        </w:tc>
        <w:tc>
          <w:tcPr>
            <w:tcW w:w="6580" w:type="dxa"/>
            <w:vAlign w:val="bottom"/>
            <w:gridSpan w:val="2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2060" w:h="15660" w:orient="portrait"/>
          <w:cols w:equalWidth="0" w:num="1">
            <w:col w:w="10440"/>
          </w:cols>
          <w:pgMar w:left="820" w:top="74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139</w:t>
      </w:r>
    </w:p>
    <w:p>
      <w:pPr>
        <w:sectPr>
          <w:pgSz w:w="12060" w:h="15660" w:orient="portrait"/>
          <w:cols w:equalWidth="0" w:num="1">
            <w:col w:w="10440"/>
          </w:cols>
          <w:pgMar w:left="820" w:top="741" w:right="80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80" w:type="dxa"/>
            <w:vAlign w:val="bottom"/>
            <w:gridSpan w:val="32"/>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60" w:type="dxa"/>
            <w:vAlign w:val="bottom"/>
            <w:tcBorders>
              <w:top w:val="single" w:sz="8" w:color="auto"/>
              <w:bottom w:val="single" w:sz="8" w:color="auto"/>
            </w:tcBorders>
            <w:gridSpan w:val="23"/>
          </w:tcPr>
          <w:p>
            <w:pPr>
              <w:spacing w:after="0" w:line="198" w:lineRule="exact"/>
              <w:rPr>
                <w:sz w:val="20"/>
                <w:szCs w:val="20"/>
                <w:color w:val="auto"/>
              </w:rPr>
            </w:pPr>
            <w:r>
              <w:rPr>
                <w:rFonts w:ascii="Times New Roman" w:cs="Times New Roman" w:eastAsia="Times New Roman" w:hAnsi="Times New Roman"/>
                <w:sz w:val="20"/>
                <w:szCs w:val="20"/>
                <w:color w:val="auto"/>
              </w:rPr>
              <w:t>Security Agreement, dated as of April 8, 2019, among the grantors identified therein and Citibank, N.A., as</w:t>
            </w:r>
          </w:p>
        </w:tc>
        <w:tc>
          <w:tcPr>
            <w:tcW w:w="380" w:type="dxa"/>
            <w:vAlign w:val="bottom"/>
            <w:tcBorders>
              <w:top w:val="single" w:sz="8" w:color="auto"/>
            </w:tcBorders>
            <w:gridSpan w:val="13"/>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auto"/>
            </w:tcBorders>
            <w:gridSpan w:val="26"/>
          </w:tcPr>
          <w:p>
            <w:pPr>
              <w:spacing w:after="0" w:line="220" w:lineRule="exact"/>
              <w:rPr>
                <w:sz w:val="20"/>
                <w:szCs w:val="20"/>
                <w:color w:val="auto"/>
              </w:rPr>
            </w:pPr>
            <w:r>
              <w:rPr>
                <w:rFonts w:ascii="Times New Roman" w:cs="Times New Roman" w:eastAsia="Times New Roman" w:hAnsi="Times New Roman"/>
                <w:sz w:val="20"/>
                <w:szCs w:val="20"/>
                <w:color w:val="auto"/>
              </w:rPr>
              <w:t>collateral agent (incorporated by reference to Exhibit 10.7 to the Company’s Quarterly Report on Form 10-Q</w:t>
            </w:r>
          </w:p>
        </w:tc>
        <w:tc>
          <w:tcPr>
            <w:tcW w:w="260" w:type="dxa"/>
            <w:vAlign w:val="bottom"/>
            <w:gridSpan w:val="10"/>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filed on May 20, 2019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10.8†</w:t>
            </w:r>
          </w:p>
        </w:tc>
        <w:tc>
          <w:tcPr>
            <w:tcW w:w="900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20"/>
                <w:szCs w:val="20"/>
                <w:color w:val="auto"/>
              </w:rPr>
              <w:t>Employment Agreement by and between Lee Olesky and Tradeweb Markets LLC (incorporated by reference to</w:t>
            </w:r>
          </w:p>
        </w:tc>
        <w:tc>
          <w:tcPr>
            <w:tcW w:w="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80" w:type="dxa"/>
            <w:vAlign w:val="bottom"/>
            <w:tcBorders>
              <w:bottom w:val="single" w:sz="8" w:color="auto"/>
            </w:tcBorders>
            <w:gridSpan w:val="11"/>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10.8 to the Company’s Registration Statement on Form S-1 (File No. 333-230115)).</w:t>
            </w:r>
          </w:p>
        </w:tc>
        <w:tc>
          <w:tcPr>
            <w:tcW w:w="1660" w:type="dxa"/>
            <w:vAlign w:val="bottom"/>
            <w:gridSpan w:val="25"/>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894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rPr>
              <w:t>Employment Agreement by and between William Hult and Tradeweb Markets LLC (incorporated by reference</w:t>
            </w:r>
          </w:p>
        </w:tc>
        <w:tc>
          <w:tcPr>
            <w:tcW w:w="100" w:type="dxa"/>
            <w:vAlign w:val="bottom"/>
            <w:gridSpan w:val="5"/>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580" w:type="dxa"/>
            <w:vAlign w:val="bottom"/>
            <w:tcBorders>
              <w:bottom w:val="single" w:sz="8" w:color="auto"/>
            </w:tcBorders>
            <w:gridSpan w:val="13"/>
          </w:tcPr>
          <w:p>
            <w:pPr>
              <w:spacing w:after="0" w:line="220" w:lineRule="exact"/>
              <w:rPr>
                <w:sz w:val="20"/>
                <w:szCs w:val="20"/>
                <w:color w:val="auto"/>
              </w:rPr>
            </w:pPr>
            <w:r>
              <w:rPr>
                <w:rFonts w:ascii="Times New Roman" w:cs="Times New Roman" w:eastAsia="Times New Roman" w:hAnsi="Times New Roman"/>
                <w:sz w:val="20"/>
                <w:szCs w:val="20"/>
                <w:color w:val="auto"/>
                <w:w w:val="99"/>
              </w:rPr>
              <w:t>to Exhibit 10.9 to the Company’s Registration Statement on Form S-1 (File No. 333-230115)).</w:t>
            </w:r>
          </w:p>
        </w:tc>
        <w:tc>
          <w:tcPr>
            <w:tcW w:w="1460" w:type="dxa"/>
            <w:vAlign w:val="bottom"/>
            <w:gridSpan w:val="2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880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0"/>
                <w:szCs w:val="20"/>
                <w:color w:val="auto"/>
              </w:rPr>
              <w:t>Amended and Restated Tradeweb Markets Inc. 2018 Share Option Plan (incorporated by reference to Exhibit</w:t>
            </w:r>
          </w:p>
        </w:tc>
        <w:tc>
          <w:tcPr>
            <w:tcW w:w="240" w:type="dxa"/>
            <w:vAlign w:val="bottom"/>
            <w:gridSpan w:val="9"/>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40" w:type="dxa"/>
            <w:vAlign w:val="bottom"/>
            <w:tcBorders>
              <w:bottom w:val="single" w:sz="8" w:color="auto"/>
            </w:tcBorders>
            <w:gridSpan w:val="14"/>
          </w:tcPr>
          <w:p>
            <w:pPr>
              <w:spacing w:after="0" w:line="220" w:lineRule="exact"/>
              <w:rPr>
                <w:sz w:val="20"/>
                <w:szCs w:val="20"/>
                <w:color w:val="auto"/>
              </w:rPr>
            </w:pPr>
            <w:r>
              <w:rPr>
                <w:rFonts w:ascii="Times New Roman" w:cs="Times New Roman" w:eastAsia="Times New Roman" w:hAnsi="Times New Roman"/>
                <w:sz w:val="20"/>
                <w:szCs w:val="20"/>
                <w:color w:val="auto"/>
                <w:w w:val="99"/>
              </w:rPr>
              <w:t>10.</w:t>
            </w:r>
            <w:r>
              <w:rPr>
                <w:rFonts w:ascii="Times New Roman" w:cs="Times New Roman" w:eastAsia="Times New Roman" w:hAnsi="Times New Roman"/>
                <w:sz w:val="20"/>
                <w:szCs w:val="20"/>
                <w:u w:val="single" w:color="auto"/>
                <w:color w:val="auto"/>
                <w:w w:val="99"/>
              </w:rPr>
              <w:t>8</w:t>
            </w:r>
            <w:r>
              <w:rPr>
                <w:rFonts w:ascii="Times New Roman" w:cs="Times New Roman" w:eastAsia="Times New Roman" w:hAnsi="Times New Roman"/>
                <w:sz w:val="20"/>
                <w:szCs w:val="20"/>
                <w:color w:val="auto"/>
                <w:w w:val="99"/>
              </w:rPr>
              <w:t xml:space="preserve"> to the Company’s Quarterly Report on Form 10-Q filed on May 20, 2019 (File No. 001-38860)).</w:t>
            </w:r>
          </w:p>
        </w:tc>
        <w:tc>
          <w:tcPr>
            <w:tcW w:w="900" w:type="dxa"/>
            <w:vAlign w:val="bottom"/>
            <w:gridSpan w:val="2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882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20"/>
                <w:szCs w:val="20"/>
                <w:color w:val="auto"/>
              </w:rPr>
              <w:t>Form of Option Agreement under the Amended and Restated Tradeweb Markets Inc. 2018 Share Option Plan</w:t>
            </w:r>
          </w:p>
        </w:tc>
        <w:tc>
          <w:tcPr>
            <w:tcW w:w="220" w:type="dxa"/>
            <w:vAlign w:val="bottom"/>
            <w:gridSpan w:val="8"/>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10.11 to the Company’s Registration Statement on Form S-1 (File No.</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333-230115)).</w:t>
            </w:r>
          </w:p>
        </w:tc>
        <w:tc>
          <w:tcPr>
            <w:tcW w:w="1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85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20"/>
                <w:szCs w:val="20"/>
                <w:color w:val="auto"/>
              </w:rPr>
              <w:t>Amended &amp; Restated Tradeweb Markets Inc. PRSU Plan (incorporated by reference to Exhibit 10.9 to the</w:t>
            </w:r>
          </w:p>
        </w:tc>
        <w:tc>
          <w:tcPr>
            <w:tcW w:w="480" w:type="dxa"/>
            <w:vAlign w:val="bottom"/>
            <w:gridSpan w:val="15"/>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auto"/>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Quarterly Report on Form 10-Q filed on May 20, 2019 (File No. 001-38860)).</w:t>
            </w:r>
          </w:p>
        </w:tc>
        <w:tc>
          <w:tcPr>
            <w:tcW w:w="1800" w:type="dxa"/>
            <w:vAlign w:val="bottom"/>
            <w:gridSpan w:val="26"/>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10.13†</w:t>
            </w:r>
          </w:p>
        </w:tc>
        <w:tc>
          <w:tcPr>
            <w:tcW w:w="9020" w:type="dxa"/>
            <w:vAlign w:val="bottom"/>
            <w:tcBorders>
              <w:bottom w:val="single" w:sz="8" w:color="auto"/>
            </w:tcBorders>
            <w:gridSpan w:val="35"/>
          </w:tcPr>
          <w:p>
            <w:pPr>
              <w:spacing w:after="0"/>
              <w:rPr>
                <w:sz w:val="20"/>
                <w:szCs w:val="20"/>
                <w:color w:val="auto"/>
              </w:rPr>
            </w:pPr>
            <w:r>
              <w:rPr>
                <w:rFonts w:ascii="Times New Roman" w:cs="Times New Roman" w:eastAsia="Times New Roman" w:hAnsi="Times New Roman"/>
                <w:sz w:val="20"/>
                <w:szCs w:val="20"/>
                <w:color w:val="auto"/>
              </w:rPr>
              <w:t>Form of PRSU Agreement under the Amended &amp; Restated Tradeweb Markets Inc. PRSU Plan (incorporated by</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80" w:type="dxa"/>
            <w:vAlign w:val="bottom"/>
            <w:tcBorders>
              <w:bottom w:val="single" w:sz="8" w:color="auto"/>
            </w:tcBorders>
            <w:gridSpan w:val="18"/>
          </w:tcPr>
          <w:p>
            <w:pPr>
              <w:spacing w:after="0" w:line="220" w:lineRule="exact"/>
              <w:rPr>
                <w:sz w:val="20"/>
                <w:szCs w:val="20"/>
                <w:color w:val="auto"/>
              </w:rPr>
            </w:pPr>
            <w:r>
              <w:rPr>
                <w:rFonts w:ascii="Times New Roman" w:cs="Times New Roman" w:eastAsia="Times New Roman" w:hAnsi="Times New Roman"/>
                <w:sz w:val="20"/>
                <w:szCs w:val="20"/>
                <w:color w:val="auto"/>
                <w:w w:val="99"/>
              </w:rPr>
              <w:t>reference to Exhibit 10.13 to the Company’s Registration Statement on Form S-1 (File No. 333-230115)).</w:t>
            </w:r>
          </w:p>
        </w:tc>
        <w:tc>
          <w:tcPr>
            <w:tcW w:w="560" w:type="dxa"/>
            <w:vAlign w:val="bottom"/>
            <w:gridSpan w:val="18"/>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10.14†</w:t>
            </w:r>
          </w:p>
        </w:tc>
        <w:tc>
          <w:tcPr>
            <w:tcW w:w="832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PRSU Award Agreement (Form of PRSU</w:t>
            </w:r>
          </w:p>
        </w:tc>
        <w:tc>
          <w:tcPr>
            <w:tcW w:w="720" w:type="dxa"/>
            <w:vAlign w:val="bottom"/>
            <w:gridSpan w:val="19"/>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auto"/>
            </w:tcBorders>
            <w:gridSpan w:val="36"/>
          </w:tcPr>
          <w:p>
            <w:pPr>
              <w:spacing w:after="0" w:line="220" w:lineRule="exact"/>
              <w:rPr>
                <w:sz w:val="20"/>
                <w:szCs w:val="20"/>
                <w:color w:val="auto"/>
              </w:rPr>
            </w:pPr>
            <w:r>
              <w:rPr>
                <w:rFonts w:ascii="Times New Roman" w:cs="Times New Roman" w:eastAsia="Times New Roman" w:hAnsi="Times New Roman"/>
                <w:sz w:val="20"/>
                <w:szCs w:val="20"/>
                <w:color w:val="auto"/>
              </w:rPr>
              <w:t>Agreement for Messrs. Olesky and Hult) (incorporated by reference to Exhibit 10.3 to the Company’s Quarterly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832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PRSU Award Agreement (Form of PRSU</w:t>
            </w:r>
          </w:p>
        </w:tc>
        <w:tc>
          <w:tcPr>
            <w:tcW w:w="720" w:type="dxa"/>
            <w:vAlign w:val="bottom"/>
            <w:gridSpan w:val="19"/>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20" w:type="dxa"/>
            <w:vAlign w:val="bottom"/>
            <w:tcBorders>
              <w:bottom w:val="single" w:sz="8" w:color="auto"/>
            </w:tcBorders>
            <w:gridSpan w:val="35"/>
          </w:tcPr>
          <w:p>
            <w:pPr>
              <w:spacing w:after="0" w:line="220" w:lineRule="exact"/>
              <w:rPr>
                <w:sz w:val="20"/>
                <w:szCs w:val="20"/>
                <w:color w:val="auto"/>
              </w:rPr>
            </w:pPr>
            <w:r>
              <w:rPr>
                <w:rFonts w:ascii="Times New Roman" w:cs="Times New Roman" w:eastAsia="Times New Roman" w:hAnsi="Times New Roman"/>
                <w:sz w:val="20"/>
                <w:szCs w:val="20"/>
                <w:color w:val="auto"/>
              </w:rPr>
              <w:t>Agreement for other Executive Officers) (incorporated by reference to Exhibit 10.4 to the Company’s Quarterly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896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(incorporated by reference to Exhibit 10.10 to the</w:t>
            </w:r>
          </w:p>
        </w:tc>
        <w:tc>
          <w:tcPr>
            <w:tcW w:w="80" w:type="dxa"/>
            <w:vAlign w:val="bottom"/>
            <w:gridSpan w:val="4"/>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auto"/>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w w:val="99"/>
              </w:rPr>
              <w:t>Company’s Quarterly Report on Form 10-Q filed on May 20, 2019 (File No. 001-38860)).</w:t>
            </w:r>
          </w:p>
        </w:tc>
        <w:tc>
          <w:tcPr>
            <w:tcW w:w="1800" w:type="dxa"/>
            <w:vAlign w:val="bottom"/>
            <w:gridSpan w:val="26"/>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852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0"/>
                <w:szCs w:val="20"/>
                <w:color w:val="auto"/>
              </w:rPr>
              <w:t>Form of Director RSU Agreement under the Tradeweb Markets Inc. 2019 Omnibus Equity Incentive Plan</w:t>
            </w:r>
          </w:p>
        </w:tc>
        <w:tc>
          <w:tcPr>
            <w:tcW w:w="520" w:type="dxa"/>
            <w:vAlign w:val="bottom"/>
            <w:gridSpan w:val="17"/>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980" w:type="dxa"/>
            <w:vAlign w:val="bottom"/>
            <w:tcBorders>
              <w:bottom w:val="single" w:sz="8" w:color="auto"/>
            </w:tcBorders>
            <w:gridSpan w:val="33"/>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10.11 to the Company’s Quarterly Report on Form 10-Q filed on May 20,</w:t>
            </w:r>
          </w:p>
        </w:tc>
        <w:tc>
          <w:tcPr>
            <w:tcW w:w="6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w w:val="99"/>
              </w:rPr>
              <w:t>2019 (File No. 001-38860)).</w:t>
            </w:r>
          </w:p>
        </w:tc>
        <w:tc>
          <w:tcPr>
            <w:tcW w:w="6760" w:type="dxa"/>
            <w:vAlign w:val="bottom"/>
            <w:gridSpan w:val="3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900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Restricted Stock Unit Award Agreement (Form of</w:t>
            </w:r>
          </w:p>
        </w:tc>
        <w:tc>
          <w:tcPr>
            <w:tcW w:w="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60" w:type="dxa"/>
            <w:vAlign w:val="bottom"/>
            <w:tcBorders>
              <w:bottom w:val="single" w:sz="8" w:color="auto"/>
            </w:tcBorders>
            <w:gridSpan w:val="23"/>
          </w:tcPr>
          <w:p>
            <w:pPr>
              <w:spacing w:after="0" w:line="220" w:lineRule="exact"/>
              <w:rPr>
                <w:sz w:val="20"/>
                <w:szCs w:val="20"/>
                <w:color w:val="auto"/>
              </w:rPr>
            </w:pPr>
            <w:r>
              <w:rPr>
                <w:rFonts w:ascii="Times New Roman" w:cs="Times New Roman" w:eastAsia="Times New Roman" w:hAnsi="Times New Roman"/>
                <w:sz w:val="20"/>
                <w:szCs w:val="20"/>
                <w:color w:val="auto"/>
              </w:rPr>
              <w:t>RSU Agreement for Messrs. Olesky and Hult) (incorporated by reference to Exhibit 10.1 to the Company’s</w:t>
            </w:r>
          </w:p>
        </w:tc>
        <w:tc>
          <w:tcPr>
            <w:tcW w:w="380" w:type="dxa"/>
            <w:vAlign w:val="bottom"/>
            <w:gridSpan w:val="13"/>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Quarterly 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40" w:type="dxa"/>
            <w:vAlign w:val="bottom"/>
            <w:gridSpan w:val="4"/>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Restricted Stock Unit Award Agreement (Form of</w:t>
            </w:r>
          </w:p>
        </w:tc>
        <w:tc>
          <w:tcPr>
            <w:tcW w:w="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40" w:type="dxa"/>
            <w:vAlign w:val="bottom"/>
            <w:tcBorders>
              <w:bottom w:val="single" w:sz="8" w:color="auto"/>
            </w:tcBorders>
            <w:gridSpan w:val="22"/>
          </w:tcPr>
          <w:p>
            <w:pPr>
              <w:spacing w:after="0" w:line="220" w:lineRule="exact"/>
              <w:rPr>
                <w:sz w:val="20"/>
                <w:szCs w:val="20"/>
                <w:color w:val="auto"/>
              </w:rPr>
            </w:pPr>
            <w:r>
              <w:rPr>
                <w:rFonts w:ascii="Times New Roman" w:cs="Times New Roman" w:eastAsia="Times New Roman" w:hAnsi="Times New Roman"/>
                <w:sz w:val="20"/>
                <w:szCs w:val="20"/>
                <w:color w:val="auto"/>
              </w:rPr>
              <w:t>RSU Agreement for other Executive Officers) (incorporated by reference to Exhibit 10.2 to the Company’s</w:t>
            </w:r>
          </w:p>
        </w:tc>
        <w:tc>
          <w:tcPr>
            <w:tcW w:w="400" w:type="dxa"/>
            <w:vAlign w:val="bottom"/>
            <w:gridSpan w:val="14"/>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Quarterly Report on Form 10-Q filed on May 12, 2020 (File No. 001-38860)).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40" w:type="dxa"/>
            <w:vAlign w:val="bottom"/>
            <w:gridSpan w:val="4"/>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898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10.16 to the Company’s Registration</w:t>
            </w:r>
          </w:p>
        </w:tc>
        <w:tc>
          <w:tcPr>
            <w:tcW w:w="6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auto"/>
                <w:w w:val="99"/>
              </w:rPr>
              <w:t>Statement on Form S-1 (File No. 333-230115)).</w:t>
            </w:r>
          </w:p>
        </w:tc>
        <w:tc>
          <w:tcPr>
            <w:tcW w:w="5200" w:type="dxa"/>
            <w:vAlign w:val="bottom"/>
            <w:gridSpan w:val="31"/>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0"/>
                <w:szCs w:val="20"/>
                <w:color w:val="auto"/>
              </w:rPr>
              <w:t>Second Amended &amp; Restated Market Data Agreement, dated November 1, 2018, by and between Tradeweb</w:t>
            </w:r>
          </w:p>
        </w:tc>
        <w:tc>
          <w:tcPr>
            <w:tcW w:w="360" w:type="dxa"/>
            <w:vAlign w:val="bottom"/>
            <w:gridSpan w:val="12"/>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tcBorders>
              <w:bottom w:val="single" w:sz="8" w:color="auto"/>
            </w:tcBorders>
            <w:gridSpan w:val="36"/>
          </w:tcPr>
          <w:p>
            <w:pPr>
              <w:spacing w:after="0" w:line="220" w:lineRule="exact"/>
              <w:rPr>
                <w:sz w:val="20"/>
                <w:szCs w:val="20"/>
                <w:color w:val="auto"/>
              </w:rPr>
            </w:pPr>
            <w:r>
              <w:rPr>
                <w:rFonts w:ascii="Times New Roman" w:cs="Times New Roman" w:eastAsia="Times New Roman" w:hAnsi="Times New Roman"/>
                <w:sz w:val="20"/>
                <w:szCs w:val="20"/>
                <w:color w:val="auto"/>
              </w:rPr>
              <w:t>Markets LLC, Thomson Reuters (Markets) LLC and Thomson Reuters (GRC) Inc. (incorporated by reference to</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tcBorders>
              <w:bottom w:val="single" w:sz="8" w:color="auto"/>
            </w:tcBorders>
            <w:gridSpan w:val="12"/>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10.14 to the Company’s Registration Statement on Form S-1 (File No. 333-230115)).</w:t>
            </w:r>
          </w:p>
        </w:tc>
        <w:tc>
          <w:tcPr>
            <w:tcW w:w="1560" w:type="dxa"/>
            <w:vAlign w:val="bottom"/>
            <w:gridSpan w:val="24"/>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10.22†</w:t>
            </w:r>
          </w:p>
        </w:tc>
        <w:tc>
          <w:tcPr>
            <w:tcW w:w="894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20"/>
                <w:szCs w:val="20"/>
                <w:color w:val="auto"/>
              </w:rPr>
              <w:t>Employment Offer Letter by and between Sara Furber and Tradeweb Markets LLC. (incorporated by reference</w:t>
            </w:r>
          </w:p>
        </w:tc>
        <w:tc>
          <w:tcPr>
            <w:tcW w:w="100" w:type="dxa"/>
            <w:vAlign w:val="bottom"/>
            <w:gridSpan w:val="5"/>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to Exhibit 10.22 to the Company’s Quarterly Report on Form 10-Q filed on October 29, 2021 (File No.</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001-38860)).</w:t>
            </w:r>
          </w:p>
        </w:tc>
        <w:tc>
          <w:tcPr>
            <w:tcW w:w="1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5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0"/>
                <w:szCs w:val="20"/>
                <w:color w:val="auto"/>
              </w:rPr>
              <w:t>Amendment to Second Amended &amp; Restated Market Data Agreement, dated July 24, 2020, by and among</w:t>
            </w:r>
          </w:p>
        </w:tc>
        <w:tc>
          <w:tcPr>
            <w:tcW w:w="500" w:type="dxa"/>
            <w:vAlign w:val="bottom"/>
            <w:gridSpan w:val="16"/>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20" w:type="dxa"/>
            <w:vAlign w:val="bottom"/>
            <w:tcBorders>
              <w:bottom w:val="single" w:sz="8" w:color="auto"/>
            </w:tcBorders>
            <w:gridSpan w:val="15"/>
          </w:tcPr>
          <w:p>
            <w:pPr>
              <w:spacing w:after="0" w:line="220" w:lineRule="exact"/>
              <w:rPr>
                <w:sz w:val="20"/>
                <w:szCs w:val="20"/>
                <w:color w:val="auto"/>
              </w:rPr>
            </w:pPr>
            <w:r>
              <w:rPr>
                <w:rFonts w:ascii="Times New Roman" w:cs="Times New Roman" w:eastAsia="Times New Roman" w:hAnsi="Times New Roman"/>
                <w:sz w:val="20"/>
                <w:szCs w:val="20"/>
                <w:color w:val="auto"/>
              </w:rPr>
              <w:t>Tradeweb Markets LLC, Refinitiv US LLC (f/k/a Thomson Reuters (Markets) LLC) and Refinitiv US</w:t>
            </w:r>
          </w:p>
        </w:tc>
        <w:tc>
          <w:tcPr>
            <w:tcW w:w="820" w:type="dxa"/>
            <w:vAlign w:val="bottom"/>
            <w:gridSpan w:val="21"/>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Organization LLC (f/k/a Thomson Reuters (GRC) 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gridSpan w:val="6"/>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4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20"/>
                <w:szCs w:val="20"/>
                <w:color w:val="auto"/>
                <w:w w:val="99"/>
              </w:rPr>
              <w:t>Second Amendment to the Second Amended &amp; Restated Market Data Agreement, dated March 26, 2021, by and</w:t>
            </w:r>
          </w:p>
        </w:tc>
        <w:tc>
          <w:tcPr>
            <w:tcW w:w="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auto"/>
            </w:tcBorders>
            <w:gridSpan w:val="27"/>
          </w:tcPr>
          <w:p>
            <w:pPr>
              <w:spacing w:after="0" w:line="220" w:lineRule="exact"/>
              <w:rPr>
                <w:sz w:val="20"/>
                <w:szCs w:val="20"/>
                <w:color w:val="auto"/>
              </w:rPr>
            </w:pPr>
            <w:r>
              <w:rPr>
                <w:rFonts w:ascii="Times New Roman" w:cs="Times New Roman" w:eastAsia="Times New Roman" w:hAnsi="Times New Roman"/>
                <w:sz w:val="20"/>
                <w:szCs w:val="20"/>
                <w:color w:val="auto"/>
              </w:rPr>
              <w:t>among Tradeweb Markets LLC, Refinitiv US LLC (f/k/a Thomson Reuters (Markets) LLC) and Refinitiv US</w:t>
            </w:r>
          </w:p>
        </w:tc>
        <w:tc>
          <w:tcPr>
            <w:tcW w:w="240" w:type="dxa"/>
            <w:vAlign w:val="bottom"/>
            <w:gridSpan w:val="9"/>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Organization LLC (f/k/a Thomson Reuters (GRC) 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gridSpan w:val="6"/>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00" w:type="dxa"/>
            <w:vAlign w:val="bottom"/>
            <w:gridSpan w:val="2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4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20"/>
                <w:szCs w:val="20"/>
                <w:color w:val="auto"/>
              </w:rPr>
              <w:t>Third Amendment to the Second Amended &amp; Restated Market Data Agreement, dated April 21, 2021, by and</w:t>
            </w:r>
          </w:p>
        </w:tc>
        <w:tc>
          <w:tcPr>
            <w:tcW w:w="200" w:type="dxa"/>
            <w:vAlign w:val="bottom"/>
            <w:gridSpan w:val="7"/>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auto"/>
            </w:tcBorders>
            <w:gridSpan w:val="27"/>
          </w:tcPr>
          <w:p>
            <w:pPr>
              <w:spacing w:after="0" w:line="220" w:lineRule="exact"/>
              <w:rPr>
                <w:sz w:val="20"/>
                <w:szCs w:val="20"/>
                <w:color w:val="auto"/>
              </w:rPr>
            </w:pPr>
            <w:r>
              <w:rPr>
                <w:rFonts w:ascii="Times New Roman" w:cs="Times New Roman" w:eastAsia="Times New Roman" w:hAnsi="Times New Roman"/>
                <w:sz w:val="20"/>
                <w:szCs w:val="20"/>
                <w:color w:val="auto"/>
              </w:rPr>
              <w:t>among Tradeweb Markets LLC, Refinitiv US LLC (f/k/a Thomson Reuters (Markets) LLC) and Refinitiv US</w:t>
            </w:r>
          </w:p>
        </w:tc>
        <w:tc>
          <w:tcPr>
            <w:tcW w:w="240" w:type="dxa"/>
            <w:vAlign w:val="bottom"/>
            <w:gridSpan w:val="9"/>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Organization LLC (f/k/a Thomson Reuters (GRC) 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gridSpan w:val="6"/>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00" w:type="dxa"/>
            <w:vAlign w:val="bottom"/>
            <w:gridSpan w:val="2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2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20"/>
                <w:szCs w:val="20"/>
                <w:color w:val="auto"/>
              </w:rPr>
              <w:t>Fourth Amendment to the Second Amended &amp; Restated Market Data Agreement, dated September 9, 2021, by</w:t>
            </w:r>
          </w:p>
        </w:tc>
        <w:tc>
          <w:tcPr>
            <w:tcW w:w="120" w:type="dxa"/>
            <w:vAlign w:val="bottom"/>
            <w:gridSpan w:val="6"/>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tcBorders>
              <w:bottom w:val="single" w:sz="8" w:color="auto"/>
            </w:tcBorders>
            <w:gridSpan w:val="29"/>
          </w:tcPr>
          <w:p>
            <w:pPr>
              <w:spacing w:after="0" w:line="220" w:lineRule="exact"/>
              <w:rPr>
                <w:sz w:val="20"/>
                <w:szCs w:val="20"/>
                <w:color w:val="auto"/>
              </w:rPr>
            </w:pPr>
            <w:r>
              <w:rPr>
                <w:rFonts w:ascii="Times New Roman" w:cs="Times New Roman" w:eastAsia="Times New Roman" w:hAnsi="Times New Roman"/>
                <w:sz w:val="20"/>
                <w:szCs w:val="20"/>
                <w:color w:val="auto"/>
              </w:rPr>
              <w:t>and among Tradeweb Markets LLC, Refinitiv US LLC (f/k/a Thomson Reuters (Markets) LLC) and Refinitiv</w:t>
            </w:r>
          </w:p>
        </w:tc>
        <w:tc>
          <w:tcPr>
            <w:tcW w:w="200" w:type="dxa"/>
            <w:vAlign w:val="bottom"/>
            <w:gridSpan w:val="7"/>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40" w:type="dxa"/>
            <w:vAlign w:val="bottom"/>
            <w:gridSpan w:val="36"/>
          </w:tcPr>
          <w:p>
            <w:pPr>
              <w:spacing w:after="0" w:line="220" w:lineRule="exact"/>
              <w:rPr>
                <w:sz w:val="20"/>
                <w:szCs w:val="20"/>
                <w:color w:val="auto"/>
              </w:rPr>
            </w:pPr>
            <w:r>
              <w:rPr>
                <w:rFonts w:ascii="Times New Roman" w:cs="Times New Roman" w:eastAsia="Times New Roman" w:hAnsi="Times New Roman"/>
                <w:sz w:val="20"/>
                <w:szCs w:val="20"/>
                <w:color w:val="auto"/>
              </w:rPr>
              <w:t>US Organization LLC (f/k/a Thomson Reuters (GRC) 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0" w:orient="portrait"/>
          <w:cols w:equalWidth="0" w:num="1">
            <w:col w:w="10440"/>
          </w:cols>
          <w:pgMar w:left="820" w:top="823" w:right="800" w:bottom="0" w:gutter="0" w:footer="0" w:header="0"/>
        </w:sectPr>
      </w:pP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140</w:t>
      </w:r>
    </w:p>
    <w:p>
      <w:pPr>
        <w:sectPr>
          <w:pgSz w:w="12060" w:h="15660" w:orient="portrait"/>
          <w:cols w:equalWidth="0" w:num="1">
            <w:col w:w="10440"/>
          </w:cols>
          <w:pgMar w:left="820" w:top="823" w:right="800" w:bottom="0" w:gutter="0" w:footer="0" w:header="0"/>
          <w:type w:val="continuous"/>
        </w:sectPr>
      </w:pPr>
    </w:p>
    <w:bookmarkStart w:id="152" w:name="page153"/>
    <w:bookmarkEnd w:id="152"/>
    <w:tbl>
      <w:tblPr>
        <w:tblLayout w:type="fixed"/>
        <w:tblInd w:w="10" w:type="dxa"/>
        <w:tblCellMar>
          <w:top w:w="0" w:type="dxa"/>
          <w:left w:w="0" w:type="dxa"/>
          <w:bottom w:w="0" w:type="dxa"/>
          <w:right w:w="0" w:type="dxa"/>
        </w:tblCellMar>
      </w:tblPr>
      <w:tr>
        <w:trPr>
          <w:trHeight w:val="217"/>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20" w:type="dxa"/>
            <w:vAlign w:val="bottom"/>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840" w:type="dxa"/>
            <w:vAlign w:val="bottom"/>
            <w:tcBorders>
              <w:top w:val="single" w:sz="8" w:color="auto"/>
              <w:bottom w:val="single" w:sz="8" w:color="auto"/>
            </w:tcBorders>
            <w:gridSpan w:val="10"/>
          </w:tcPr>
          <w:p>
            <w:pPr>
              <w:spacing w:after="0" w:line="198" w:lineRule="exact"/>
              <w:rPr>
                <w:sz w:val="20"/>
                <w:szCs w:val="20"/>
                <w:color w:val="auto"/>
              </w:rPr>
            </w:pPr>
            <w:r>
              <w:rPr>
                <w:rFonts w:ascii="Times New Roman" w:cs="Times New Roman" w:eastAsia="Times New Roman" w:hAnsi="Times New Roman"/>
                <w:sz w:val="20"/>
                <w:szCs w:val="20"/>
                <w:color w:val="auto"/>
              </w:rPr>
              <w:t>Fifth Amendment to the Second Amended &amp; Restated Market Data Agreement, dated August 1, 2021, by and</w:t>
            </w:r>
          </w:p>
        </w:tc>
        <w:tc>
          <w:tcPr>
            <w:tcW w:w="160" w:type="dxa"/>
            <w:vAlign w:val="bottom"/>
            <w:tcBorders>
              <w:top w:val="single" w:sz="8" w:color="auto"/>
            </w:tcBorders>
            <w:gridSpan w:val="5"/>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auto"/>
            </w:tcBorders>
            <w:gridSpan w:val="9"/>
          </w:tcPr>
          <w:p>
            <w:pPr>
              <w:spacing w:after="0" w:line="220" w:lineRule="exact"/>
              <w:rPr>
                <w:sz w:val="20"/>
                <w:szCs w:val="20"/>
                <w:color w:val="auto"/>
              </w:rPr>
            </w:pPr>
            <w:r>
              <w:rPr>
                <w:rFonts w:ascii="Times New Roman" w:cs="Times New Roman" w:eastAsia="Times New Roman" w:hAnsi="Times New Roman"/>
                <w:sz w:val="20"/>
                <w:szCs w:val="20"/>
                <w:color w:val="auto"/>
              </w:rPr>
              <w:t>among Tradeweb Markets LLC, Refinitiv US LLC (f/k/a Thomson Reuters (Markets) LLC) and Refinitiv US</w:t>
            </w:r>
          </w:p>
        </w:tc>
        <w:tc>
          <w:tcPr>
            <w:tcW w:w="20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Organization LLC (f/k/a Thomson Reuters (GRC) Inc.)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rPr>
              <w:t>Sixth Amendment to the Second Amended &amp; Restated Market Data Agreement, dated September 13, 2022, by</w:t>
            </w:r>
          </w:p>
        </w:tc>
        <w:tc>
          <w:tcPr>
            <w:tcW w:w="10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tcBorders>
              <w:bottom w:val="single" w:sz="8" w:color="auto"/>
            </w:tcBorders>
            <w:gridSpan w:val="10"/>
          </w:tcPr>
          <w:p>
            <w:pPr>
              <w:spacing w:after="0" w:line="220" w:lineRule="exact"/>
              <w:rPr>
                <w:sz w:val="20"/>
                <w:szCs w:val="20"/>
                <w:color w:val="auto"/>
              </w:rPr>
            </w:pPr>
            <w:r>
              <w:rPr>
                <w:rFonts w:ascii="Times New Roman" w:cs="Times New Roman" w:eastAsia="Times New Roman" w:hAnsi="Times New Roman"/>
                <w:sz w:val="20"/>
                <w:szCs w:val="20"/>
                <w:color w:val="auto"/>
              </w:rPr>
              <w:t>and among Tradeweb Markets LLC, Refinitiv US LLC (f/k/a Thomson Reuters (Markets) LLC) and Refinitiv</w:t>
            </w:r>
          </w:p>
        </w:tc>
        <w:tc>
          <w:tcPr>
            <w:tcW w:w="16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US Organization LLC (f/k/a Thomson Reuters (GRC) Inc.)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Amended and Restated Fourth Amendment to the Second Amended &amp; Restated Market Data Agreement, dated</w:t>
            </w:r>
          </w:p>
        </w:tc>
        <w:tc>
          <w:tcPr>
            <w:tcW w:w="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tcBorders>
              <w:bottom w:val="single" w:sz="8" w:color="auto"/>
            </w:tcBorders>
            <w:gridSpan w:val="15"/>
          </w:tcPr>
          <w:p>
            <w:pPr>
              <w:spacing w:after="0" w:line="220" w:lineRule="exact"/>
              <w:rPr>
                <w:sz w:val="20"/>
                <w:szCs w:val="20"/>
                <w:color w:val="auto"/>
              </w:rPr>
            </w:pPr>
            <w:r>
              <w:rPr>
                <w:rFonts w:ascii="Times New Roman" w:cs="Times New Roman" w:eastAsia="Times New Roman" w:hAnsi="Times New Roman"/>
                <w:sz w:val="20"/>
                <w:szCs w:val="20"/>
                <w:color w:val="auto"/>
              </w:rPr>
              <w:t>February 1, 2023, by and among Tradeweb Markets LLC, Refinitiv US LLC (f/k/a Thomson Reuters (Markets)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40" w:type="dxa"/>
            <w:vAlign w:val="bottom"/>
            <w:tcBorders>
              <w:bottom w:val="single" w:sz="8" w:color="auto"/>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9"/>
              </w:rPr>
              <w:t>LLC) and Refinitiv US Organization LLC (f/k/a Thomson Reuters (GRC) Inc.)</w:t>
            </w:r>
          </w:p>
        </w:tc>
        <w:tc>
          <w:tcPr>
            <w:tcW w:w="26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10.30*†</w:t>
            </w:r>
          </w:p>
        </w:tc>
        <w:tc>
          <w:tcPr>
            <w:tcW w:w="88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0"/>
                <w:szCs w:val="20"/>
                <w:color w:val="auto"/>
              </w:rPr>
              <w:t>Amended and Restated Employment Agreement, dated as of February 21, 2023, by and between William Hult</w:t>
            </w:r>
          </w:p>
        </w:tc>
        <w:tc>
          <w:tcPr>
            <w:tcW w:w="120" w:type="dxa"/>
            <w:vAlign w:val="bottom"/>
            <w:gridSpan w:val="4"/>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and Tradeweb Markets LLC.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90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Tradeweb Markets Inc. 2019 Omnibus Equity Incentive Plan Performance Stock Unit Award Agreement (Form</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of PSU Agreement for Mr. Hult).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List of Subsidiaries of Tradeweb Markets Inc.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Consent of Deloitte &amp; Touche LLP.</w:t>
            </w:r>
          </w:p>
        </w:tc>
        <w:tc>
          <w:tcPr>
            <w:tcW w:w="5320" w:type="dxa"/>
            <w:vAlign w:val="bottom"/>
            <w:gridSpan w:val="11"/>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4600" w:type="dxa"/>
            <w:vAlign w:val="bottom"/>
            <w:tcBorders>
              <w:left w:val="single" w:sz="8" w:color="auto"/>
            </w:tcBorders>
            <w:gridSpan w:val="5"/>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w w:val="99"/>
              </w:rPr>
              <w:t>Certification of Chief Executive Officer pursuant to Rule 13a-14(a) or 15d-14(a) of the Securities Exchange Act</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of 1934, as amended, as adopted pursuant to Section 302 of the Sarbanes-Oxley Act of 2002.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4600" w:type="dxa"/>
            <w:vAlign w:val="bottom"/>
            <w:tcBorders>
              <w:left w:val="single" w:sz="8" w:color="auto"/>
            </w:tcBorders>
            <w:gridSpan w:val="5"/>
            <w:shd w:val="clear" w:color="auto" w:fill="000000"/>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14(a) or 15d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14(a) of the Securities Exchange Act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of 1934, as amended, as adopted pursuant to Section 302 of the Sarbanes-Oxley Act of 2002.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4600" w:type="dxa"/>
            <w:vAlign w:val="bottom"/>
            <w:tcBorders>
              <w:left w:val="single" w:sz="8" w:color="auto"/>
            </w:tcBorders>
            <w:gridSpan w:val="5"/>
            <w:shd w:val="clear" w:color="auto" w:fill="000000"/>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 to Section 906</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of the Sarbanes-Oxley Act of 2002.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20"/>
                <w:szCs w:val="20"/>
                <w:color w:val="auto"/>
              </w:rPr>
              <w:t>Certification of Chief Financial Officer pursuant to 18 U.S.C. Section 1350, as adopted pursuant to Section 906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auto"/>
              </w:rPr>
              <w:t>of the Sarbanes-Oxley Act of 2002.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101.CAL*</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101.DEF*</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101.LAB*</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101.PRE*</w:t>
            </w: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72" w:lineRule="exact"/>
        <w:rPr>
          <w:sz w:val="20"/>
          <w:szCs w:val="20"/>
          <w:color w:val="auto"/>
        </w:rPr>
      </w:pPr>
    </w:p>
    <w:p>
      <w:pPr>
        <w:ind w:left="370" w:hanging="370"/>
        <w:spacing w:after="0"/>
        <w:tabs>
          <w:tab w:leader="none" w:pos="37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10" w:lineRule="exact"/>
        <w:rPr>
          <w:sz w:val="20"/>
          <w:szCs w:val="20"/>
          <w:color w:val="auto"/>
        </w:rPr>
      </w:pPr>
    </w:p>
    <w:p>
      <w:pPr>
        <w:ind w:left="10"/>
        <w:spacing w:after="0"/>
        <w:tabs>
          <w:tab w:leader="none" w:pos="35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Furnished herewith.</w:t>
      </w:r>
    </w:p>
    <w:p>
      <w:pPr>
        <w:spacing w:after="0" w:line="210" w:lineRule="exact"/>
        <w:rPr>
          <w:sz w:val="20"/>
          <w:szCs w:val="20"/>
          <w:color w:val="auto"/>
        </w:rPr>
      </w:pPr>
    </w:p>
    <w:p>
      <w:pPr>
        <w:ind w:left="370" w:hanging="370"/>
        <w:spacing w:after="0"/>
        <w:tabs>
          <w:tab w:leader="none" w:pos="37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or arrangement.</w:t>
      </w:r>
    </w:p>
    <w:p>
      <w:pPr>
        <w:spacing w:after="0" w:line="210" w:lineRule="exact"/>
        <w:rPr>
          <w:sz w:val="20"/>
          <w:szCs w:val="20"/>
          <w:color w:val="auto"/>
        </w:rPr>
      </w:pPr>
    </w:p>
    <w:p>
      <w:pPr>
        <w:ind w:left="370" w:right="400" w:hanging="370"/>
        <w:spacing w:after="0" w:line="281" w:lineRule="auto"/>
        <w:tabs>
          <w:tab w:leader="none" w:pos="37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and separately filed with the SEC pursuant to a request for confidential treatment which has been granted by the SEC.</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Portions of this exhibit have been redacted in compliance with Regulation S-K Item 601(b)(10).</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ectPr>
          <w:pgSz w:w="12060" w:h="15660" w:orient="portrait"/>
          <w:cols w:equalWidth="0" w:num="1">
            <w:col w:w="10450"/>
          </w:cols>
          <w:pgMar w:left="810" w:top="82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141</w:t>
      </w:r>
    </w:p>
    <w:p>
      <w:pPr>
        <w:sectPr>
          <w:pgSz w:w="12060" w:h="15660" w:orient="portrait"/>
          <w:cols w:equalWidth="0" w:num="1">
            <w:col w:w="10450"/>
          </w:cols>
          <w:pgMar w:left="810" w:top="823" w:right="800" w:bottom="0" w:gutter="0" w:footer="0" w:header="0"/>
          <w:type w:val="continuous"/>
        </w:sectPr>
      </w:pPr>
    </w:p>
    <w:bookmarkStart w:id="153" w:name="page154"/>
    <w:bookmarkEnd w:id="153"/>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264"/>
        </w:trPr>
        <w:tc>
          <w:tcPr>
            <w:tcW w:w="5300" w:type="dxa"/>
            <w:vAlign w:val="bottom"/>
          </w:tcPr>
          <w:p>
            <w:pPr>
              <w:spacing w:after="0"/>
              <w:rPr>
                <w:sz w:val="22"/>
                <w:szCs w:val="22"/>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TRADEWEB MARKETS INC.</w:t>
            </w:r>
          </w:p>
        </w:tc>
      </w:tr>
      <w:tr>
        <w:trPr>
          <w:trHeight w:val="71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February 24, 2023</w:t>
            </w:r>
          </w:p>
        </w:tc>
        <w:tc>
          <w:tcPr>
            <w:tcW w:w="4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 William Hult</w:t>
            </w:r>
          </w:p>
        </w:tc>
      </w:tr>
      <w:tr>
        <w:trPr>
          <w:trHeight w:val="260"/>
        </w:trPr>
        <w:tc>
          <w:tcPr>
            <w:tcW w:w="530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4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William Hult</w:t>
            </w:r>
          </w:p>
        </w:tc>
      </w:tr>
      <w:tr>
        <w:trPr>
          <w:trHeight w:val="281"/>
        </w:trPr>
        <w:tc>
          <w:tcPr>
            <w:tcW w:w="5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2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this report has been signed below by the following persons on behalf of the registrant and in the capacities and on the dates indicated.</w:t>
      </w:r>
    </w:p>
    <w:p>
      <w:pPr>
        <w:ind w:left="1360"/>
        <w:spacing w:after="0"/>
        <w:tabs>
          <w:tab w:leader="none" w:pos="5900" w:val="left"/>
          <w:tab w:leader="none" w:pos="932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Title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45085</wp:posOffset>
                </wp:positionV>
                <wp:extent cx="227647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55pt" to="178.7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2336800</wp:posOffset>
                </wp:positionH>
                <wp:positionV relativeFrom="paragraph">
                  <wp:posOffset>45085</wp:posOffset>
                </wp:positionV>
                <wp:extent cx="309562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5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pt,3.55pt" to="427.7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5499100</wp:posOffset>
                </wp:positionH>
                <wp:positionV relativeFrom="paragraph">
                  <wp:posOffset>45085</wp:posOffset>
                </wp:positionV>
                <wp:extent cx="112395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pt,3.55pt" to="521.5pt,3.55pt" o:allowincell="f" strokecolor="#000000" strokeweight="1pt"/>
            </w:pict>
          </mc:Fallback>
        </mc:AlternateContent>
      </w:r>
    </w:p>
    <w:p>
      <w:pPr>
        <w:sectPr>
          <w:pgSz w:w="12060" w:h="15660" w:orient="portrait"/>
          <w:cols w:equalWidth="0" w:num="1">
            <w:col w:w="10600"/>
          </w:cols>
          <w:pgMar w:left="820" w:top="741" w:right="640" w:bottom="0" w:gutter="0" w:footer="0" w:header="0"/>
        </w:sectPr>
      </w:pPr>
    </w:p>
    <w:p>
      <w:pPr>
        <w:spacing w:after="0" w:line="3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/s/ William Hult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126365</wp:posOffset>
                </wp:positionV>
                <wp:extent cx="227647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95pt" to="178.75pt,9.95pt" o:allowincell="f" strokecolor="#000000" strokeweight="1pt"/>
            </w:pict>
          </mc:Fallback>
        </mc:AlternateConten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William Hult</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 Sara Furber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Sara Furber</w:t>
      </w:r>
    </w:p>
    <w:p>
      <w:pPr>
        <w:spacing w:after="0" w:line="2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/s/ Jacques Aigrain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Jacques Aigrain</w:t>
      </w:r>
    </w:p>
    <w:p>
      <w:pPr>
        <w:spacing w:after="0" w:line="2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 Balbir Bakhshi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Balbir Bakhshi</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 Steven Berns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Steven Berns</w:t>
      </w:r>
    </w:p>
    <w:p>
      <w:pPr>
        <w:spacing w:after="0" w:line="2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 John G. Finley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John G. Finley</w:t>
      </w: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/s/ Scott C. Ganeles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Scott C. Ganeles</w:t>
      </w: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/s/ Paula B. Madoff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Paula B. Madoff</w:t>
      </w:r>
    </w:p>
    <w:p>
      <w:pPr>
        <w:spacing w:after="0" w:line="2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 Lee Olesky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Lee Olesky</w:t>
      </w:r>
    </w:p>
    <w:p>
      <w:pPr>
        <w:spacing w:after="0" w:line="2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/s/ Thomas Pluta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Thomas Pluta</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 Murray Roos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Murray Roos</w:t>
      </w:r>
    </w:p>
    <w:p>
      <w:pPr>
        <w:spacing w:after="0" w:line="2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 Rana Yared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2764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78.75pt,2.15pt" o:allowincell="f" strokecolor="#000000" strokeweight="1pt"/>
            </w:pict>
          </mc:Fallback>
        </mc:AlternateConten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Rana Yared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 and</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26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 and</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145"/>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8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r>
        <w:trPr>
          <w:trHeight w:val="70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February 24, 2023</w:t>
            </w:r>
          </w:p>
        </w:tc>
        <w:tc>
          <w:tcPr>
            <w:tcW w:w="0" w:type="dxa"/>
            <w:vAlign w:val="bottom"/>
          </w:tcPr>
          <w:p>
            <w:pPr>
              <w:spacing w:after="0"/>
              <w:rPr>
                <w:sz w:val="1"/>
                <w:szCs w:val="1"/>
                <w:color w:val="auto"/>
              </w:rPr>
            </w:pPr>
          </w:p>
        </w:tc>
      </w:tr>
    </w:tbl>
    <w:p>
      <w:pPr>
        <w:spacing w:after="0" w:line="369" w:lineRule="exact"/>
        <w:rPr>
          <w:sz w:val="20"/>
          <w:szCs w:val="20"/>
          <w:color w:val="auto"/>
        </w:rPr>
      </w:pPr>
    </w:p>
    <w:p>
      <w:pPr>
        <w:sectPr>
          <w:pgSz w:w="12060" w:h="15660" w:orient="portrait"/>
          <w:cols w:equalWidth="0" w:num="2">
            <w:col w:w="3020" w:space="720"/>
            <w:col w:w="6860"/>
          </w:cols>
          <w:pgMar w:left="820" w:top="741"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142</w:t>
      </w:r>
    </w:p>
    <w:p>
      <w:pPr>
        <w:sectPr>
          <w:pgSz w:w="12060" w:h="15660" w:orient="portrait"/>
          <w:cols w:equalWidth="0" w:num="1">
            <w:col w:w="10600"/>
          </w:cols>
          <w:pgMar w:left="820" w:top="741" w:right="640" w:bottom="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760"/>
        <w:spacing w:after="0"/>
        <w:rPr>
          <w:sz w:val="20"/>
          <w:szCs w:val="20"/>
          <w:color w:val="auto"/>
        </w:rPr>
      </w:pPr>
      <w:r>
        <w:rPr>
          <w:rFonts w:ascii="Arial" w:cs="Arial" w:eastAsia="Arial" w:hAnsi="Arial"/>
          <w:sz w:val="20"/>
          <w:szCs w:val="20"/>
          <w:color w:val="0C5F9C"/>
        </w:rPr>
        <w:t>INVESTOR RELATIONS</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22"/>
          <w:szCs w:val="22"/>
          <w:color w:val="0C5F9C"/>
        </w:rPr>
        <w:t>CONTACTS</w:t>
      </w:r>
    </w:p>
    <w:p>
      <w:pPr>
        <w:spacing w:after="0" w:line="283" w:lineRule="exact"/>
        <w:rPr>
          <w:sz w:val="20"/>
          <w:szCs w:val="20"/>
          <w:color w:val="auto"/>
        </w:rPr>
      </w:pPr>
    </w:p>
    <w:p>
      <w:pPr>
        <w:ind w:left="1760"/>
        <w:spacing w:after="0"/>
        <w:rPr>
          <w:sz w:val="20"/>
          <w:szCs w:val="20"/>
          <w:color w:val="auto"/>
        </w:rPr>
      </w:pPr>
      <w:r>
        <w:rPr>
          <w:rFonts w:ascii="Arial" w:cs="Arial" w:eastAsia="Arial" w:hAnsi="Arial"/>
          <w:sz w:val="18"/>
          <w:szCs w:val="18"/>
          <w:color w:val="12213B"/>
        </w:rPr>
        <w:t>Ashley Serrao</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Head of Treasury, FP&amp;A &amp;</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Investor Relations</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Ashley.Serrao@tradeweb.com</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+1 646 430 6027</w:t>
      </w:r>
    </w:p>
    <w:p>
      <w:pPr>
        <w:spacing w:after="0" w:line="135" w:lineRule="exact"/>
        <w:rPr>
          <w:sz w:val="20"/>
          <w:szCs w:val="20"/>
          <w:color w:val="auto"/>
        </w:rPr>
      </w:pPr>
    </w:p>
    <w:p>
      <w:pPr>
        <w:ind w:left="1760"/>
        <w:spacing w:after="0"/>
        <w:rPr>
          <w:sz w:val="20"/>
          <w:szCs w:val="20"/>
          <w:color w:val="auto"/>
        </w:rPr>
      </w:pPr>
      <w:r>
        <w:rPr>
          <w:rFonts w:ascii="Arial" w:cs="Arial" w:eastAsia="Arial" w:hAnsi="Arial"/>
          <w:sz w:val="18"/>
          <w:szCs w:val="18"/>
          <w:color w:val="12213B"/>
        </w:rPr>
        <w:t>Sameer Murukutla</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Director, Investor Relations</w:t>
      </w:r>
    </w:p>
    <w:p>
      <w:pPr>
        <w:spacing w:after="0" w:line="28" w:lineRule="exact"/>
        <w:rPr>
          <w:sz w:val="20"/>
          <w:szCs w:val="20"/>
          <w:color w:val="auto"/>
        </w:rPr>
      </w:pPr>
    </w:p>
    <w:p>
      <w:pPr>
        <w:ind w:left="1760"/>
        <w:spacing w:after="0"/>
        <w:rPr>
          <w:sz w:val="20"/>
          <w:szCs w:val="20"/>
          <w:color w:val="auto"/>
        </w:rPr>
      </w:pPr>
      <w:r>
        <w:rPr>
          <w:rFonts w:ascii="Arial" w:cs="Arial" w:eastAsia="Arial" w:hAnsi="Arial"/>
          <w:sz w:val="14"/>
          <w:szCs w:val="14"/>
          <w:color w:val="12213B"/>
        </w:rPr>
        <w:t>Sameer.Murukutla@tradeweb.com</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+1 646 767 4864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22"/>
          <w:szCs w:val="22"/>
          <w:color w:val="0C5F9C"/>
        </w:rPr>
        <w:t>CORPORATE</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22"/>
          <w:szCs w:val="22"/>
          <w:color w:val="0C5F9C"/>
        </w:rPr>
        <w:t>HEADQUARTERS</w:t>
      </w:r>
    </w:p>
    <w:p>
      <w:pPr>
        <w:spacing w:after="0" w:line="283" w:lineRule="exact"/>
        <w:rPr>
          <w:sz w:val="20"/>
          <w:szCs w:val="20"/>
          <w:color w:val="auto"/>
        </w:rPr>
      </w:pPr>
    </w:p>
    <w:p>
      <w:pPr>
        <w:ind w:left="1760"/>
        <w:spacing w:after="0"/>
        <w:rPr>
          <w:sz w:val="20"/>
          <w:szCs w:val="20"/>
          <w:color w:val="auto"/>
        </w:rPr>
      </w:pPr>
      <w:r>
        <w:rPr>
          <w:rFonts w:ascii="Arial" w:cs="Arial" w:eastAsia="Arial" w:hAnsi="Arial"/>
          <w:sz w:val="18"/>
          <w:szCs w:val="18"/>
          <w:color w:val="12213B"/>
        </w:rPr>
        <w:t>Tradeweb Markets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0C5F9C"/>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-497205</wp:posOffset>
            </wp:positionV>
            <wp:extent cx="5171440"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1">
                      <a:extLst>
                        <a:ext uri="{28A0092B-C50C-407E-A947-70E740481C1C}"/>
                      </a:extLst>
                    </a:blip>
                    <a:srcRect/>
                    <a:stretch>
                      <a:fillRect/>
                    </a:stretch>
                  </pic:blipFill>
                  <pic:spPr bwMode="auto">
                    <a:xfrm>
                      <a:off x="0" y="0"/>
                      <a:ext cx="5171440" cy="127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0C5F9C"/>
        </w:rPr>
        <w:t>AND REGISTRAR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12213B"/>
        </w:rPr>
        <w:t>American Stock Transfer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2213B"/>
        </w:rPr>
        <w:t>Trust Company, LLC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0C5F9C"/>
        </w:rPr>
        <w:t>ANNUAL MEETING</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0C5F9C"/>
        </w:rPr>
        <w:t>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12213B"/>
        </w:rPr>
        <w:t>Date: Monday, May 15, 2023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12213B"/>
        </w:rPr>
        <w:t>Time: 12:00 PM (Eastern Time)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12213B"/>
        </w:rPr>
        <w:t>Virtual Meeting: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12213B"/>
        </w:rPr>
        <w:t>www.virtualshareholdermeeting.com/TW2023</w:t>
      </w:r>
    </w:p>
    <w:p>
      <w:pPr>
        <w:spacing w:after="0" w:line="1156" w:lineRule="exact"/>
        <w:rPr>
          <w:sz w:val="20"/>
          <w:szCs w:val="20"/>
          <w:color w:val="auto"/>
        </w:rPr>
      </w:pPr>
    </w:p>
    <w:p>
      <w:pPr>
        <w:sectPr>
          <w:pgSz w:w="12060" w:h="15660" w:orient="portrait"/>
          <w:cols w:equalWidth="0" w:num="2">
            <w:col w:w="5120" w:space="720"/>
            <w:col w:w="3340"/>
          </w:cols>
          <w:pgMar w:left="1440" w:top="1440" w:right="1440" w:bottom="1440" w:gutter="0" w:footer="0" w:header="0"/>
        </w:sectPr>
      </w:pPr>
    </w:p>
    <w:p>
      <w:pPr>
        <w:ind w:left="1760"/>
        <w:spacing w:after="0"/>
        <w:rPr>
          <w:sz w:val="20"/>
          <w:szCs w:val="20"/>
          <w:color w:val="auto"/>
        </w:rPr>
      </w:pPr>
      <w:r>
        <w:rPr>
          <w:rFonts w:ascii="Arial" w:cs="Arial" w:eastAsia="Arial" w:hAnsi="Arial"/>
          <w:sz w:val="13"/>
          <w:szCs w:val="13"/>
          <w:color w:val="12213B"/>
        </w:rPr>
        <w:t>1177 Avenue of the Americas</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New York, NY 10036</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6"/>
          <w:szCs w:val="16"/>
          <w:color w:val="12213B"/>
        </w:rPr>
        <w:t>+1 646 430 6000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375285</wp:posOffset>
            </wp:positionV>
            <wp:extent cx="1047115" cy="4902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2">
                      <a:extLst>
                        <a:ext uri="{28A0092B-C50C-407E-A947-70E740481C1C}"/>
                      </a:extLst>
                    </a:blip>
                    <a:srcRect/>
                    <a:stretch>
                      <a:fillRect/>
                    </a:stretch>
                  </pic:blipFill>
                  <pic:spPr bwMode="auto">
                    <a:xfrm>
                      <a:off x="0" y="0"/>
                      <a:ext cx="1047115" cy="490220"/>
                    </a:xfrm>
                    <a:prstGeom prst="rect">
                      <a:avLst/>
                    </a:prstGeom>
                    <a:noFill/>
                  </pic:spPr>
                </pic:pic>
              </a:graphicData>
            </a:graphic>
          </wp:anchor>
        </w:drawing>
      </w:r>
    </w:p>
    <w:p>
      <w:pPr>
        <w:sectPr>
          <w:pgSz w:w="12060" w:h="15660" w:orient="portrait"/>
          <w:cols w:equalWidth="0" w:num="1">
            <w:col w:w="9180"/>
          </w:cols>
          <w:pgMar w:left="1440" w:top="1440" w:right="1440" w:bottom="1440" w:gutter="0" w:footer="0" w:header="0"/>
          <w:type w:val="continuous"/>
        </w:sectPr>
      </w:pPr>
    </w:p>
    <w:bookmarkStart w:id="155" w:name="page156"/>
    <w:bookmarkEnd w:id="155"/>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400050</wp:posOffset>
            </wp:positionH>
            <wp:positionV relativeFrom="page">
              <wp:posOffset>350520</wp:posOffset>
            </wp:positionV>
            <wp:extent cx="2042795" cy="544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3">
                      <a:extLst>
                        <a:ext uri="{28A0092B-C50C-407E-A947-70E740481C1C}"/>
                      </a:extLst>
                    </a:blip>
                    <a:srcRect/>
                    <a:stretch>
                      <a:fillRect/>
                    </a:stretch>
                  </pic:blipFill>
                  <pic:spPr bwMode="auto">
                    <a:xfrm>
                      <a:off x="0" y="0"/>
                      <a:ext cx="2042795" cy="544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12213B"/>
        </w:rPr>
        <w:t>WWW.TRADEWEB.COM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130810</wp:posOffset>
            </wp:positionV>
            <wp:extent cx="7658100" cy="8547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4">
                      <a:extLst>
                        <a:ext uri="{28A0092B-C50C-407E-A947-70E740481C1C}"/>
                      </a:extLst>
                    </a:blip>
                    <a:srcRect/>
                    <a:stretch>
                      <a:fillRect/>
                    </a:stretch>
                  </pic:blipFill>
                  <pic:spPr bwMode="auto">
                    <a:xfrm>
                      <a:off x="0" y="0"/>
                      <a:ext cx="7658100" cy="8547735"/>
                    </a:xfrm>
                    <a:prstGeom prst="rect">
                      <a:avLst/>
                    </a:prstGeom>
                    <a:noFill/>
                  </pic:spPr>
                </pic:pic>
              </a:graphicData>
            </a:graphic>
          </wp:anchor>
        </w:drawing>
      </w:r>
    </w:p>
    <w:sectPr>
      <w:pgSz w:w="12060" w:h="15660" w:orient="portrait"/>
      <w:cols w:equalWidth="0" w:num="1">
        <w:col w:w="9380"/>
      </w:cols>
      <w:pgMar w:left="1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2"/>
    </w:lvl>
  </w:abstractNum>
  <w:abstractNum w:abstractNumId="2">
    <w:nsid w:val="749ABB43"/>
    <w:multiLevelType w:val="hybridMultilevel"/>
    <w:lvl w:ilvl="0">
      <w:lvlJc w:val="left"/>
      <w:lvlText w:val="%1"/>
      <w:numFmt w:val="decimal"/>
      <w:start w:val="3"/>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endash "/>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Roman"/>
      <w:start w:val="7"/>
    </w:lvl>
  </w:abstractNum>
  <w:abstractNum w:abstractNumId="21">
    <w:nsid w:val="15B5AF5C"/>
    <w:multiLevelType w:val="hybridMultilevel"/>
    <w:lvl w:ilvl="0">
      <w:lvlJc w:val="left"/>
      <w:lvlText w:val="%1"/>
      <w:numFmt w:val="upperLetter"/>
      <w:start w:val="37"/>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lowerRoman"/>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lowerLetter"/>
      <w:start w:val="2"/>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lvl w:ilvl="1">
      <w:lvlJc w:val="left"/>
      <w:lvlText w:val="◦"/>
      <w:numFmt w:val="bullet"/>
      <w:start w:val="1"/>
    </w:lvl>
  </w:abstractNum>
  <w:abstractNum w:abstractNumId="55">
    <w:nsid w:val="BF72B14"/>
    <w:multiLevelType w:val="hybridMultilevel"/>
    <w:lvl w:ilvl="0">
      <w:lvlJc w:val="left"/>
      <w:lvlText w:val="•"/>
      <w:numFmt w:val="bullet"/>
      <w:start w:val="1"/>
    </w:lvl>
    <w:lvl w:ilvl="1">
      <w:lvlJc w:val="left"/>
      <w:lvlText w:val="◦"/>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decimal"/>
      <w:start w:val="2"/>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3"/>
    </w:lvl>
  </w:abstractNum>
  <w:abstractNum w:abstractNumId="65">
    <w:nsid w:val="6A5EE64"/>
    <w:multiLevelType w:val="hybridMultilevel"/>
    <w:lvl w:ilvl="0">
      <w:lvlJc w:val="left"/>
      <w:lvlText w:val="%1."/>
      <w:numFmt w:val="decimal"/>
      <w:start w:val="4"/>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6"/>
    </w:lvl>
  </w:abstractNum>
  <w:abstractNum w:abstractNumId="70">
    <w:nsid w:val="100F59DC"/>
    <w:multiLevelType w:val="hybridMultilevel"/>
    <w:lvl w:ilvl="0">
      <w:lvlJc w:val="left"/>
      <w:lvlText w:val="$"/>
      <w:numFmt w:val="bullet"/>
      <w:start w:val="1"/>
    </w:lvl>
    <w:lvl w:ilvl="1">
      <w:lvlJc w:val="left"/>
      <w:lvlText w:val="\emdash "/>
      <w:numFmt w:val="bullet"/>
      <w:start w:val="1"/>
    </w:lvl>
  </w:abstractNum>
  <w:abstractNum w:abstractNumId="71">
    <w:nsid w:val="7FB7E0AA"/>
    <w:multiLevelType w:val="hybridMultilevel"/>
    <w:lvl w:ilvl="0">
      <w:lvlJc w:val="left"/>
      <w:lvlText w:val="%1."/>
      <w:numFmt w:val="decimal"/>
      <w:start w:val="7"/>
    </w:lvl>
  </w:abstractNum>
  <w:abstractNum w:abstractNumId="72">
    <w:nsid w:val="6EB5BD4"/>
    <w:multiLevelType w:val="hybridMultilevel"/>
    <w:lvl w:ilvl="0">
      <w:lvlJc w:val="left"/>
      <w:lvlText w:val="%1."/>
      <w:numFmt w:val="decimal"/>
      <w:start w:val="8"/>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9"/>
    </w:lvl>
  </w:abstractNum>
  <w:abstractNum w:abstractNumId="76">
    <w:nsid w:val="76272110"/>
    <w:multiLevelType w:val="hybridMultilevel"/>
    <w:lvl w:ilvl="0">
      <w:lvlJc w:val="left"/>
      <w:lvlText w:val="%1."/>
      <w:numFmt w:val="decimal"/>
      <w:start w:val="10"/>
    </w:lvl>
  </w:abstractNum>
  <w:abstractNum w:abstractNumId="77">
    <w:nsid w:val="4C04A8AF"/>
    <w:multiLevelType w:val="hybridMultilevel"/>
    <w:lvl w:ilvl="0">
      <w:lvlJc w:val="left"/>
      <w:lvlText w:val="%1."/>
      <w:numFmt w:val="decimal"/>
      <w:start w:val="11"/>
    </w:lvl>
  </w:abstractNum>
  <w:abstractNum w:abstractNumId="78">
    <w:nsid w:val="1716703B"/>
    <w:multiLevelType w:val="hybridMultilevel"/>
    <w:lvl w:ilvl="0">
      <w:lvlJc w:val="left"/>
      <w:lvlText w:val="%1."/>
      <w:numFmt w:val="decimal"/>
      <w:start w:val="12"/>
    </w:lvl>
  </w:abstractNum>
  <w:abstractNum w:abstractNumId="79">
    <w:nsid w:val="14E17E33"/>
    <w:multiLevelType w:val="hybridMultilevel"/>
    <w:lvl w:ilvl="0">
      <w:lvlJc w:val="left"/>
      <w:lvlText w:val="%1."/>
      <w:numFmt w:val="decimal"/>
      <w:start w:val="13"/>
    </w:lvl>
  </w:abstractNum>
  <w:abstractNum w:abstractNumId="80">
    <w:nsid w:val="3222E7CD"/>
    <w:multiLevelType w:val="hybridMultilevel"/>
    <w:lvl w:ilvl="0">
      <w:lvlJc w:val="left"/>
      <w:lvlText w:val="%1."/>
      <w:numFmt w:val="decimal"/>
      <w:start w:val="14"/>
    </w:lvl>
  </w:abstractNum>
  <w:abstractNum w:abstractNumId="81">
    <w:nsid w:val="74DE0EE3"/>
    <w:multiLevelType w:val="hybridMultilevel"/>
    <w:lvl w:ilvl="0">
      <w:lvlJc w:val="left"/>
      <w:lvlText w:val="6"/>
      <w:numFmt w:val="bullet"/>
      <w:start w:val="1"/>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1."/>
      <w:numFmt w:val="decimal"/>
      <w:start w:val="15"/>
    </w:lvl>
  </w:abstractNum>
  <w:abstractNum w:abstractNumId="84">
    <w:nsid w:val="46B7D447"/>
    <w:multiLevelType w:val="hybridMultilevel"/>
    <w:lvl w:ilvl="0">
      <w:lvlJc w:val="left"/>
      <w:lvlText w:val="%1."/>
      <w:numFmt w:val="decimal"/>
      <w:start w:val="16"/>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1."/>
      <w:numFmt w:val="decimal"/>
      <w:start w:val="17"/>
    </w:lvl>
  </w:abstractNum>
  <w:abstractNum w:abstractNumId="87">
    <w:nsid w:val="57FC4FBB"/>
    <w:multiLevelType w:val="hybridMultilevel"/>
    <w:lvl w:ilvl="0">
      <w:lvlJc w:val="left"/>
      <w:lvlText w:val="%1."/>
      <w:numFmt w:val="decimal"/>
      <w:start w:val="18"/>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19"/>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decimal"/>
      <w:start w:val="20"/>
    </w:lvl>
  </w:abstractNum>
  <w:abstractNum w:abstractNumId="92">
    <w:nsid w:val="7F01579B"/>
    <w:multiLevelType w:val="hybridMultilevel"/>
    <w:lvl w:ilvl="0">
      <w:lvlJc w:val="left"/>
      <w:lvlText w:val="%1."/>
      <w:numFmt w:val="decimal"/>
      <w:start w:val="21"/>
    </w:lvl>
  </w:abstractNum>
  <w:abstractNum w:abstractNumId="93">
    <w:nsid w:val="49DA307D"/>
    <w:multiLevelType w:val="hybridMultilevel"/>
    <w:lvl w:ilvl="0">
      <w:lvlJc w:val="left"/>
      <w:lvlText w:val="(%1)"/>
      <w:numFmt w:val="decimal"/>
      <w:start w:val="4"/>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2023-03-23T17:43:16Z</dcterms:created>
  <dcterms:modified xsi:type="dcterms:W3CDTF">2023-03-23T17:43:16Z</dcterms:modified>
</cp:coreProperties>
</file>