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98"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As confidentially submitted to the Securities and Exchange Commission on November 13, 2018</w:t>
      </w:r>
    </w:p>
    <w:p>
      <w:pPr>
        <w:spacing w:after="0" w:line="4" w:lineRule="exact"/>
        <w:rPr>
          <w:sz w:val="24"/>
          <w:szCs w:val="24"/>
          <w:color w:val="auto"/>
        </w:rPr>
      </w:pPr>
    </w:p>
    <w:p>
      <w:pPr>
        <w:ind w:left="8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22225</wp:posOffset>
            </wp:positionV>
            <wp:extent cx="61804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2540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81915</wp:posOffset>
            </wp:positionV>
            <wp:extent cx="618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UNITED STATES</w:t>
      </w:r>
    </w:p>
    <w:p>
      <w:pPr>
        <w:jc w:val="center"/>
        <w:ind w:right="-439"/>
        <w:spacing w:after="0" w:line="235"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73025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1"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FORM S-1</w:t>
      </w:r>
    </w:p>
    <w:p>
      <w:pPr>
        <w:spacing w:after="0" w:line="41"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REGISTRATION STATEMENT</w:t>
      </w:r>
    </w:p>
    <w:p>
      <w:pPr>
        <w:jc w:val="center"/>
        <w:ind w:right="-459"/>
        <w:spacing w:after="0" w:line="221" w:lineRule="auto"/>
        <w:rPr>
          <w:sz w:val="20"/>
          <w:szCs w:val="20"/>
          <w:color w:val="auto"/>
        </w:rPr>
      </w:pPr>
      <w:r>
        <w:rPr>
          <w:rFonts w:ascii="Arial" w:cs="Arial" w:eastAsia="Arial" w:hAnsi="Arial"/>
          <w:sz w:val="18"/>
          <w:szCs w:val="18"/>
          <w:b w:val="1"/>
          <w:bCs w:val="1"/>
          <w:color w:val="auto"/>
        </w:rPr>
        <w:t>UNDER</w:t>
      </w:r>
    </w:p>
    <w:p>
      <w:pPr>
        <w:jc w:val="center"/>
        <w:ind w:right="-49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99060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0" w:lineRule="exact"/>
        <w:rPr>
          <w:sz w:val="24"/>
          <w:szCs w:val="24"/>
          <w:color w:val="auto"/>
        </w:rPr>
      </w:pPr>
    </w:p>
    <w:p>
      <w:pPr>
        <w:ind w:left="3740"/>
        <w:spacing w:after="0"/>
        <w:rPr>
          <w:sz w:val="20"/>
          <w:szCs w:val="20"/>
          <w:color w:val="auto"/>
        </w:rPr>
      </w:pPr>
      <w:r>
        <w:rPr>
          <w:rFonts w:ascii="Arial" w:cs="Arial" w:eastAsia="Arial" w:hAnsi="Arial"/>
          <w:sz w:val="32"/>
          <w:szCs w:val="32"/>
          <w:b w:val="1"/>
          <w:bCs w:val="1"/>
          <w:color w:val="auto"/>
        </w:rPr>
        <w:t>Tradeweb Markets Inc.</w:t>
      </w:r>
    </w:p>
    <w:p>
      <w:pPr>
        <w:spacing w:after="0" w:line="17" w:lineRule="exact"/>
        <w:rPr>
          <w:sz w:val="24"/>
          <w:szCs w:val="24"/>
          <w:color w:val="auto"/>
        </w:rPr>
      </w:pPr>
    </w:p>
    <w:p>
      <w:pPr>
        <w:ind w:left="386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81915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184"/>
        </w:trPr>
        <w:tc>
          <w:tcPr>
            <w:tcW w:w="2640" w:type="dxa"/>
            <w:vAlign w:val="bottom"/>
          </w:tcPr>
          <w:p>
            <w:pPr>
              <w:jc w:val="center"/>
              <w:ind w:right="725"/>
              <w:spacing w:after="0"/>
              <w:rPr>
                <w:sz w:val="20"/>
                <w:szCs w:val="20"/>
                <w:color w:val="auto"/>
              </w:rPr>
            </w:pPr>
            <w:r>
              <w:rPr>
                <w:rFonts w:ascii="Arial" w:cs="Arial" w:eastAsia="Arial" w:hAnsi="Arial"/>
                <w:sz w:val="16"/>
                <w:szCs w:val="16"/>
                <w:b w:val="1"/>
                <w:bCs w:val="1"/>
                <w:color w:val="auto"/>
                <w:w w:val="91"/>
              </w:rPr>
              <w:t>Delaware</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89"/>
              </w:rPr>
              <w:t>6200</w:t>
            </w:r>
          </w:p>
        </w:tc>
        <w:tc>
          <w:tcPr>
            <w:tcW w:w="2800" w:type="dxa"/>
            <w:vAlign w:val="bottom"/>
          </w:tcPr>
          <w:p>
            <w:pPr>
              <w:jc w:val="right"/>
              <w:ind w:right="584"/>
              <w:spacing w:after="0"/>
              <w:rPr>
                <w:sz w:val="20"/>
                <w:szCs w:val="20"/>
                <w:color w:val="auto"/>
              </w:rPr>
            </w:pPr>
            <w:r>
              <w:rPr>
                <w:rFonts w:ascii="Arial" w:cs="Arial" w:eastAsia="Arial" w:hAnsi="Arial"/>
                <w:sz w:val="16"/>
                <w:szCs w:val="16"/>
                <w:b w:val="1"/>
                <w:bCs w:val="1"/>
                <w:color w:val="auto"/>
              </w:rPr>
              <w:t>83-2456358</w:t>
            </w:r>
          </w:p>
        </w:tc>
      </w:tr>
      <w:tr>
        <w:trPr>
          <w:trHeight w:val="176"/>
        </w:trPr>
        <w:tc>
          <w:tcPr>
            <w:tcW w:w="2640" w:type="dxa"/>
            <w:vAlign w:val="bottom"/>
          </w:tcPr>
          <w:p>
            <w:pPr>
              <w:jc w:val="center"/>
              <w:ind w:right="725"/>
              <w:spacing w:after="0"/>
              <w:rPr>
                <w:sz w:val="20"/>
                <w:szCs w:val="20"/>
                <w:color w:val="auto"/>
              </w:rPr>
            </w:pPr>
            <w:r>
              <w:rPr>
                <w:rFonts w:ascii="Arial" w:cs="Arial" w:eastAsia="Arial" w:hAnsi="Arial"/>
                <w:sz w:val="14"/>
                <w:szCs w:val="14"/>
                <w:color w:val="auto"/>
                <w:w w:val="95"/>
              </w:rPr>
              <w:t>(State or other jurisdiction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(Primary Standard Industrial</w:t>
            </w:r>
          </w:p>
        </w:tc>
        <w:tc>
          <w:tcPr>
            <w:tcW w:w="2800" w:type="dxa"/>
            <w:vAlign w:val="bottom"/>
          </w:tcPr>
          <w:p>
            <w:pPr>
              <w:jc w:val="center"/>
              <w:ind w:left="624"/>
              <w:spacing w:after="0"/>
              <w:rPr>
                <w:sz w:val="20"/>
                <w:szCs w:val="20"/>
                <w:color w:val="auto"/>
              </w:rPr>
            </w:pPr>
            <w:r>
              <w:rPr>
                <w:rFonts w:ascii="Arial" w:cs="Arial" w:eastAsia="Arial" w:hAnsi="Arial"/>
                <w:sz w:val="14"/>
                <w:szCs w:val="14"/>
                <w:color w:val="auto"/>
                <w:w w:val="97"/>
              </w:rPr>
              <w:t>(I.R.S. Employer Identification No.)</w:t>
            </w:r>
          </w:p>
        </w:tc>
      </w:tr>
      <w:tr>
        <w:trPr>
          <w:trHeight w:val="182"/>
        </w:trPr>
        <w:tc>
          <w:tcPr>
            <w:tcW w:w="2640" w:type="dxa"/>
            <w:vAlign w:val="bottom"/>
          </w:tcPr>
          <w:p>
            <w:pPr>
              <w:jc w:val="center"/>
              <w:ind w:right="685"/>
              <w:spacing w:after="0"/>
              <w:rPr>
                <w:sz w:val="20"/>
                <w:szCs w:val="20"/>
                <w:color w:val="auto"/>
              </w:rPr>
            </w:pPr>
            <w:r>
              <w:rPr>
                <w:rFonts w:ascii="Arial" w:cs="Arial" w:eastAsia="Arial" w:hAnsi="Arial"/>
                <w:sz w:val="14"/>
                <w:szCs w:val="14"/>
                <w:color w:val="auto"/>
                <w:w w:val="95"/>
              </w:rPr>
              <w:t>of incorporation or organization)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800" w:type="dxa"/>
            <w:vAlign w:val="bottom"/>
          </w:tcPr>
          <w:p>
            <w:pPr>
              <w:spacing w:after="0"/>
              <w:rPr>
                <w:sz w:val="15"/>
                <w:szCs w:val="15"/>
                <w:color w:val="auto"/>
              </w:rPr>
            </w:pPr>
          </w:p>
        </w:tc>
      </w:tr>
    </w:tbl>
    <w:p>
      <w:pPr>
        <w:spacing w:after="0" w:line="116"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1177 Avenue of the Americas</w:t>
      </w:r>
    </w:p>
    <w:p>
      <w:pPr>
        <w:ind w:left="4400"/>
        <w:spacing w:after="0" w:line="211" w:lineRule="auto"/>
        <w:rPr>
          <w:sz w:val="20"/>
          <w:szCs w:val="20"/>
          <w:color w:val="auto"/>
        </w:rPr>
      </w:pPr>
      <w:r>
        <w:rPr>
          <w:rFonts w:ascii="Arial" w:cs="Arial" w:eastAsia="Arial" w:hAnsi="Arial"/>
          <w:sz w:val="16"/>
          <w:szCs w:val="16"/>
          <w:b w:val="1"/>
          <w:bCs w:val="1"/>
          <w:color w:val="auto"/>
        </w:rPr>
        <w:t>New York, New York 10036</w:t>
      </w:r>
    </w:p>
    <w:p>
      <w:pPr>
        <w:ind w:left="4860"/>
        <w:spacing w:after="0" w:line="197" w:lineRule="auto"/>
        <w:rPr>
          <w:sz w:val="20"/>
          <w:szCs w:val="20"/>
          <w:color w:val="auto"/>
        </w:rPr>
      </w:pPr>
      <w:r>
        <w:rPr>
          <w:rFonts w:ascii="Arial" w:cs="Arial" w:eastAsia="Arial" w:hAnsi="Arial"/>
          <w:sz w:val="16"/>
          <w:szCs w:val="16"/>
          <w:b w:val="1"/>
          <w:bCs w:val="1"/>
          <w:color w:val="auto"/>
        </w:rPr>
        <w:t>(646) 430-6000</w:t>
      </w:r>
    </w:p>
    <w:p>
      <w:pPr>
        <w:ind w:left="202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73660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3"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Lee Olesky</w:t>
      </w:r>
    </w:p>
    <w:p>
      <w:pPr>
        <w:jc w:val="center"/>
        <w:ind w:right="-459"/>
        <w:spacing w:after="0" w:line="211" w:lineRule="auto"/>
        <w:rPr>
          <w:sz w:val="20"/>
          <w:szCs w:val="20"/>
          <w:color w:val="auto"/>
        </w:rPr>
      </w:pPr>
      <w:r>
        <w:rPr>
          <w:rFonts w:ascii="Arial" w:cs="Arial" w:eastAsia="Arial" w:hAnsi="Arial"/>
          <w:sz w:val="16"/>
          <w:szCs w:val="16"/>
          <w:b w:val="1"/>
          <w:bCs w:val="1"/>
          <w:color w:val="auto"/>
        </w:rPr>
        <w:t>Chief Executive Officer</w:t>
      </w:r>
    </w:p>
    <w:p>
      <w:pPr>
        <w:jc w:val="center"/>
        <w:ind w:right="-459"/>
        <w:spacing w:after="0" w:line="211" w:lineRule="auto"/>
        <w:rPr>
          <w:sz w:val="20"/>
          <w:szCs w:val="20"/>
          <w:color w:val="auto"/>
        </w:rPr>
      </w:pPr>
      <w:r>
        <w:rPr>
          <w:rFonts w:ascii="Arial" w:cs="Arial" w:eastAsia="Arial" w:hAnsi="Arial"/>
          <w:sz w:val="16"/>
          <w:szCs w:val="16"/>
          <w:b w:val="1"/>
          <w:bCs w:val="1"/>
          <w:color w:val="auto"/>
        </w:rPr>
        <w:t>1177 Avenue of the Americas</w:t>
      </w:r>
    </w:p>
    <w:p>
      <w:pPr>
        <w:jc w:val="center"/>
        <w:ind w:right="-459"/>
        <w:spacing w:after="0" w:line="211" w:lineRule="auto"/>
        <w:rPr>
          <w:sz w:val="20"/>
          <w:szCs w:val="20"/>
          <w:color w:val="auto"/>
        </w:rPr>
      </w:pPr>
      <w:r>
        <w:rPr>
          <w:rFonts w:ascii="Arial" w:cs="Arial" w:eastAsia="Arial" w:hAnsi="Arial"/>
          <w:sz w:val="16"/>
          <w:szCs w:val="16"/>
          <w:b w:val="1"/>
          <w:bCs w:val="1"/>
          <w:color w:val="auto"/>
        </w:rPr>
        <w:t>New York, New York 10036</w:t>
      </w:r>
    </w:p>
    <w:p>
      <w:pPr>
        <w:jc w:val="center"/>
        <w:ind w:right="-499"/>
        <w:spacing w:after="0" w:line="198" w:lineRule="auto"/>
        <w:rPr>
          <w:sz w:val="20"/>
          <w:szCs w:val="20"/>
          <w:color w:val="auto"/>
        </w:rPr>
      </w:pPr>
      <w:r>
        <w:rPr>
          <w:rFonts w:ascii="Arial" w:cs="Arial" w:eastAsia="Arial" w:hAnsi="Arial"/>
          <w:sz w:val="16"/>
          <w:szCs w:val="16"/>
          <w:b w:val="1"/>
          <w:bCs w:val="1"/>
          <w:color w:val="auto"/>
        </w:rPr>
        <w:t>(646) 430-6000</w:t>
      </w:r>
    </w:p>
    <w:p>
      <w:pPr>
        <w:ind w:left="248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81915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0"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4080" w:type="dxa"/>
            <w:vAlign w:val="bottom"/>
          </w:tcPr>
          <w:p>
            <w:pPr>
              <w:ind w:left="260"/>
              <w:spacing w:after="0"/>
              <w:rPr>
                <w:sz w:val="20"/>
                <w:szCs w:val="20"/>
                <w:color w:val="auto"/>
              </w:rPr>
            </w:pPr>
            <w:r>
              <w:rPr>
                <w:rFonts w:ascii="Arial" w:cs="Arial" w:eastAsia="Arial" w:hAnsi="Arial"/>
                <w:sz w:val="16"/>
                <w:szCs w:val="16"/>
                <w:b w:val="1"/>
                <w:bCs w:val="1"/>
                <w:color w:val="auto"/>
              </w:rPr>
              <w:t>Copies to:</w:t>
            </w:r>
          </w:p>
        </w:tc>
      </w:tr>
      <w:tr>
        <w:trPr>
          <w:trHeight w:val="182"/>
        </w:trPr>
        <w:tc>
          <w:tcPr>
            <w:tcW w:w="352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w w:val="90"/>
              </w:rPr>
              <w:t>Steven G. Scheinfeld, Esq.</w:t>
            </w:r>
          </w:p>
        </w:tc>
        <w:tc>
          <w:tcPr>
            <w:tcW w:w="4080" w:type="dxa"/>
            <w:vAlign w:val="bottom"/>
          </w:tcPr>
          <w:p>
            <w:pPr>
              <w:jc w:val="center"/>
              <w:ind w:left="1999"/>
              <w:spacing w:after="0" w:line="181" w:lineRule="exact"/>
              <w:rPr>
                <w:sz w:val="20"/>
                <w:szCs w:val="20"/>
                <w:color w:val="auto"/>
              </w:rPr>
            </w:pPr>
            <w:r>
              <w:rPr>
                <w:rFonts w:ascii="Arial" w:cs="Arial" w:eastAsia="Arial" w:hAnsi="Arial"/>
                <w:sz w:val="16"/>
                <w:szCs w:val="16"/>
                <w:b w:val="1"/>
                <w:bCs w:val="1"/>
                <w:color w:val="auto"/>
                <w:w w:val="92"/>
              </w:rPr>
              <w:t>Michael Kaplan, Esq.</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4"/>
              </w:rPr>
              <w:t>Andrew B. Barkan, Esq.</w:t>
            </w:r>
          </w:p>
        </w:tc>
        <w:tc>
          <w:tcPr>
            <w:tcW w:w="4080" w:type="dxa"/>
            <w:vAlign w:val="bottom"/>
          </w:tcPr>
          <w:p>
            <w:pPr>
              <w:jc w:val="center"/>
              <w:ind w:left="1979"/>
              <w:spacing w:after="0" w:line="162" w:lineRule="exact"/>
              <w:rPr>
                <w:sz w:val="20"/>
                <w:szCs w:val="20"/>
                <w:color w:val="auto"/>
              </w:rPr>
            </w:pPr>
            <w:r>
              <w:rPr>
                <w:rFonts w:ascii="Arial" w:cs="Arial" w:eastAsia="Arial" w:hAnsi="Arial"/>
                <w:sz w:val="16"/>
                <w:szCs w:val="16"/>
                <w:b w:val="1"/>
                <w:bCs w:val="1"/>
                <w:color w:val="auto"/>
                <w:w w:val="91"/>
              </w:rPr>
              <w:t>Shane Tintle, Esq.</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5"/>
              </w:rPr>
              <w:t>Fried, Frank, Harris, Shriver &amp; Jacobson LLP</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96"/>
              </w:rPr>
              <w:t>Davis Polk &amp; Wardwell LLP</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One New York Plaza</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89"/>
              </w:rPr>
              <w:t>450 Lexington Avenue</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3"/>
              </w:rPr>
              <w:t>New York, New York 10004</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94"/>
              </w:rPr>
              <w:t>New York, NY 10017</w:t>
            </w:r>
          </w:p>
        </w:tc>
      </w:tr>
      <w:tr>
        <w:trPr>
          <w:trHeight w:val="210"/>
        </w:trPr>
        <w:tc>
          <w:tcPr>
            <w:tcW w:w="3520" w:type="dxa"/>
            <w:vAlign w:val="bottom"/>
          </w:tcPr>
          <w:p>
            <w:pPr>
              <w:jc w:val="center"/>
              <w:ind w:right="179"/>
              <w:spacing w:after="0"/>
              <w:rPr>
                <w:sz w:val="20"/>
                <w:szCs w:val="20"/>
                <w:color w:val="auto"/>
              </w:rPr>
            </w:pPr>
            <w:r>
              <w:rPr>
                <w:rFonts w:ascii="Arial" w:cs="Arial" w:eastAsia="Arial" w:hAnsi="Arial"/>
                <w:sz w:val="16"/>
                <w:szCs w:val="16"/>
                <w:b w:val="1"/>
                <w:bCs w:val="1"/>
                <w:color w:val="auto"/>
                <w:w w:val="93"/>
              </w:rPr>
              <w:t>(212) 859-8000</w:t>
            </w:r>
          </w:p>
        </w:tc>
        <w:tc>
          <w:tcPr>
            <w:tcW w:w="408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63500</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6" w:lineRule="exact"/>
        <w:rPr>
          <w:sz w:val="24"/>
          <w:szCs w:val="24"/>
          <w:color w:val="auto"/>
        </w:rPr>
      </w:pPr>
    </w:p>
    <w:p>
      <w:pPr>
        <w:ind w:left="86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1" w:lineRule="exact"/>
        <w:rPr>
          <w:sz w:val="24"/>
          <w:szCs w:val="24"/>
          <w:color w:val="auto"/>
        </w:rPr>
      </w:pPr>
    </w:p>
    <w:p>
      <w:pPr>
        <w:ind w:left="500" w:right="280" w:firstLine="360"/>
        <w:spacing w:after="0" w:line="15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ind w:left="500" w:right="160" w:firstLine="360"/>
        <w:spacing w:after="0" w:line="15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20" w:firstLine="360"/>
        <w:spacing w:after="0" w:line="15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20" w:firstLine="3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500" w:firstLine="36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1400" w:type="dxa"/>
            <w:vAlign w:val="bottom"/>
          </w:tcPr>
          <w:p>
            <w:pPr>
              <w:spacing w:after="0"/>
              <w:rPr>
                <w:sz w:val="20"/>
                <w:szCs w:val="20"/>
                <w:color w:val="auto"/>
              </w:rPr>
            </w:pPr>
            <w:r>
              <w:rPr>
                <w:rFonts w:ascii="Arial" w:cs="Arial" w:eastAsia="Arial" w:hAnsi="Arial"/>
                <w:sz w:val="14"/>
                <w:szCs w:val="14"/>
                <w:color w:val="auto"/>
                <w:w w:val="99"/>
              </w:rPr>
              <w:t>Large accelerated filer</w:t>
            </w:r>
          </w:p>
        </w:tc>
        <w:tc>
          <w:tcPr>
            <w:tcW w:w="18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58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2"/>
        </w:trPr>
        <w:tc>
          <w:tcPr>
            <w:tcW w:w="1400" w:type="dxa"/>
            <w:vAlign w:val="bottom"/>
          </w:tcPr>
          <w:p>
            <w:pPr>
              <w:spacing w:after="0"/>
              <w:rPr>
                <w:sz w:val="20"/>
                <w:szCs w:val="20"/>
                <w:color w:val="auto"/>
              </w:rPr>
            </w:pPr>
            <w:r>
              <w:rPr>
                <w:rFonts w:ascii="Arial" w:cs="Arial" w:eastAsia="Arial" w:hAnsi="Arial"/>
                <w:sz w:val="14"/>
                <w:szCs w:val="14"/>
                <w:color w:val="auto"/>
              </w:rPr>
              <w:t>Non-accelerated filer</w:t>
            </w:r>
          </w:p>
        </w:tc>
        <w:tc>
          <w:tcPr>
            <w:tcW w:w="18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58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340" w:type="dxa"/>
            <w:vAlign w:val="bottom"/>
          </w:tcPr>
          <w:p>
            <w:pPr>
              <w:ind w:left="158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07" w:lineRule="exact"/>
        <w:rPr>
          <w:sz w:val="24"/>
          <w:szCs w:val="24"/>
          <w:color w:val="auto"/>
        </w:rPr>
      </w:pPr>
    </w:p>
    <w:p>
      <w:pPr>
        <w:ind w:left="500" w:right="360" w:firstLine="36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49530</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CALCULATION OF REGISTRATION FEE</w:t>
      </w:r>
    </w:p>
    <w:p>
      <w:pPr>
        <w:spacing w:after="0" w:line="26"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5080" w:type="dxa"/>
            <w:vAlign w:val="bottom"/>
            <w:tcBorders>
              <w:top w:val="single" w:sz="8" w:color="auto"/>
              <w:bottom w:val="single" w:sz="8" w:color="auto"/>
            </w:tcBorders>
          </w:tcPr>
          <w:p>
            <w:pPr>
              <w:spacing w:after="0"/>
              <w:rPr>
                <w:sz w:val="3"/>
                <w:szCs w:val="3"/>
                <w:color w:val="auto"/>
              </w:rPr>
            </w:pPr>
          </w:p>
        </w:tc>
        <w:tc>
          <w:tcPr>
            <w:tcW w:w="350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r>
      <w:tr>
        <w:trPr>
          <w:trHeight w:val="119"/>
        </w:trPr>
        <w:tc>
          <w:tcPr>
            <w:tcW w:w="5080" w:type="dxa"/>
            <w:vAlign w:val="bottom"/>
          </w:tcPr>
          <w:p>
            <w:pPr>
              <w:spacing w:after="0"/>
              <w:rPr>
                <w:sz w:val="10"/>
                <w:szCs w:val="10"/>
                <w:color w:val="auto"/>
              </w:rPr>
            </w:pPr>
          </w:p>
        </w:tc>
        <w:tc>
          <w:tcPr>
            <w:tcW w:w="3500" w:type="dxa"/>
            <w:vAlign w:val="bottom"/>
          </w:tcPr>
          <w:p>
            <w:pPr>
              <w:jc w:val="center"/>
              <w:ind w:left="1935"/>
              <w:spacing w:after="0" w:line="119" w:lineRule="exact"/>
              <w:rPr>
                <w:sz w:val="20"/>
                <w:szCs w:val="20"/>
                <w:color w:val="auto"/>
              </w:rPr>
            </w:pPr>
            <w:r>
              <w:rPr>
                <w:rFonts w:ascii="Arial" w:cs="Arial" w:eastAsia="Arial" w:hAnsi="Arial"/>
                <w:sz w:val="13"/>
                <w:szCs w:val="13"/>
                <w:b w:val="1"/>
                <w:bCs w:val="1"/>
                <w:color w:val="auto"/>
              </w:rPr>
              <w:t>Proposed Maximum</w:t>
            </w:r>
          </w:p>
        </w:tc>
        <w:tc>
          <w:tcPr>
            <w:tcW w:w="1140" w:type="dxa"/>
            <w:vAlign w:val="bottom"/>
          </w:tcPr>
          <w:p>
            <w:pPr>
              <w:spacing w:after="0"/>
              <w:rPr>
                <w:sz w:val="10"/>
                <w:szCs w:val="10"/>
                <w:color w:val="auto"/>
              </w:rPr>
            </w:pPr>
          </w:p>
        </w:tc>
      </w:tr>
      <w:tr>
        <w:trPr>
          <w:trHeight w:val="144"/>
        </w:trPr>
        <w:tc>
          <w:tcPr>
            <w:tcW w:w="5080" w:type="dxa"/>
            <w:vAlign w:val="bottom"/>
          </w:tcPr>
          <w:p>
            <w:pPr>
              <w:spacing w:after="0"/>
              <w:rPr>
                <w:sz w:val="12"/>
                <w:szCs w:val="12"/>
                <w:color w:val="auto"/>
              </w:rPr>
            </w:pPr>
          </w:p>
        </w:tc>
        <w:tc>
          <w:tcPr>
            <w:tcW w:w="3500" w:type="dxa"/>
            <w:vAlign w:val="bottom"/>
          </w:tcPr>
          <w:p>
            <w:pPr>
              <w:jc w:val="center"/>
              <w:ind w:left="1935"/>
              <w:spacing w:after="0" w:line="145" w:lineRule="exact"/>
              <w:rPr>
                <w:sz w:val="20"/>
                <w:szCs w:val="20"/>
                <w:color w:val="auto"/>
              </w:rPr>
            </w:pPr>
            <w:r>
              <w:rPr>
                <w:rFonts w:ascii="Arial" w:cs="Arial" w:eastAsia="Arial" w:hAnsi="Arial"/>
                <w:sz w:val="14"/>
                <w:szCs w:val="14"/>
                <w:b w:val="1"/>
                <w:bCs w:val="1"/>
                <w:color w:val="auto"/>
                <w:w w:val="92"/>
              </w:rPr>
              <w:t>Aggregate Offering</w:t>
            </w:r>
          </w:p>
        </w:tc>
        <w:tc>
          <w:tcPr>
            <w:tcW w:w="114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w w:val="94"/>
              </w:rPr>
              <w:t>Amount of</w:t>
            </w:r>
          </w:p>
        </w:tc>
      </w:tr>
      <w:tr>
        <w:trPr>
          <w:trHeight w:val="216"/>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500" w:type="dxa"/>
            <w:vAlign w:val="bottom"/>
            <w:tcBorders>
              <w:bottom w:val="single" w:sz="8" w:color="auto"/>
            </w:tcBorders>
          </w:tcPr>
          <w:p>
            <w:pPr>
              <w:jc w:val="center"/>
              <w:ind w:left="1975"/>
              <w:spacing w:after="0" w:line="216" w:lineRule="exact"/>
              <w:rPr>
                <w:sz w:val="20"/>
                <w:szCs w:val="20"/>
                <w:color w:val="auto"/>
              </w:rPr>
            </w:pPr>
            <w:r>
              <w:rPr>
                <w:rFonts w:ascii="Arial" w:cs="Arial" w:eastAsia="Arial" w:hAnsi="Arial"/>
                <w:sz w:val="25"/>
                <w:szCs w:val="25"/>
                <w:b w:val="1"/>
                <w:bCs w:val="1"/>
                <w:color w:val="auto"/>
                <w:w w:val="88"/>
                <w:vertAlign w:val="subscript"/>
              </w:rPr>
              <w:t>Price</w:t>
            </w:r>
            <w:r>
              <w:rPr>
                <w:rFonts w:ascii="Arial" w:cs="Arial" w:eastAsia="Arial" w:hAnsi="Arial"/>
                <w:sz w:val="10"/>
                <w:szCs w:val="10"/>
                <w:b w:val="1"/>
                <w:bCs w:val="1"/>
                <w:color w:val="auto"/>
                <w:w w:val="88"/>
              </w:rPr>
              <w:t>(1)(2)</w:t>
            </w:r>
          </w:p>
        </w:tc>
        <w:tc>
          <w:tcPr>
            <w:tcW w:w="11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1"/>
              </w:rPr>
              <w:t>Registration Fee</w:t>
            </w:r>
          </w:p>
        </w:tc>
      </w:tr>
      <w:tr>
        <w:trPr>
          <w:trHeight w:val="169"/>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Class A common stock, par value $0.01 per share</w:t>
            </w:r>
          </w:p>
        </w:tc>
        <w:tc>
          <w:tcPr>
            <w:tcW w:w="350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7"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under the Securities Act of 1933, as amended.</w:t>
      </w:r>
    </w:p>
    <w:p>
      <w:pPr>
        <w:spacing w:after="0" w:line="28" w:lineRule="exact"/>
        <w:rPr>
          <w:rFonts w:ascii="Arial" w:cs="Arial" w:eastAsia="Arial" w:hAnsi="Arial"/>
          <w:sz w:val="14"/>
          <w:szCs w:val="14"/>
          <w:color w:val="auto"/>
        </w:rPr>
      </w:pPr>
    </w:p>
    <w:p>
      <w:pPr>
        <w:ind w:left="860" w:right="40" w:hanging="366"/>
        <w:spacing w:after="0" w:line="253" w:lineRule="auto"/>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Class A common stock that may be purchased by the underwriters upon the exercise of their option to purchase additional shares of Class A common stock.</w:t>
      </w:r>
    </w:p>
    <w:p>
      <w:pPr>
        <w:spacing w:after="0" w:line="48" w:lineRule="exact"/>
        <w:rPr>
          <w:sz w:val="24"/>
          <w:szCs w:val="24"/>
          <w:color w:val="auto"/>
        </w:rPr>
      </w:pPr>
    </w:p>
    <w:p>
      <w:pPr>
        <w:ind w:left="500" w:right="60" w:firstLine="360"/>
        <w:spacing w:after="0" w:line="22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59690</wp:posOffset>
            </wp:positionV>
            <wp:extent cx="6180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102235</wp:posOffset>
            </wp:positionV>
            <wp:extent cx="618045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045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363855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306" w:lineRule="exact"/>
        <w:rPr>
          <w:sz w:val="20"/>
          <w:szCs w:val="20"/>
          <w:color w:val="auto"/>
        </w:rPr>
      </w:pPr>
    </w:p>
    <w:p>
      <w:pPr>
        <w:jc w:val="both"/>
        <w:ind w:left="1140" w:right="480"/>
        <w:spacing w:after="0" w:line="263" w:lineRule="auto"/>
        <w:rPr>
          <w:sz w:val="20"/>
          <w:szCs w:val="20"/>
          <w:color w:val="auto"/>
        </w:rPr>
      </w:pPr>
      <w:r>
        <w:rPr>
          <w:rFonts w:ascii="Arial" w:cs="Arial" w:eastAsia="Arial" w:hAnsi="Arial"/>
          <w:sz w:val="14"/>
          <w:szCs w:val="14"/>
          <w:b w:val="1"/>
          <w:bCs w:val="1"/>
          <w:color w:val="FC0014"/>
        </w:rPr>
        <w:t>The information in this preliminary prospectus is not complete and may be changed. We may not sell these securities until the registration statement filed with the Securities and Exchange Commission is effective. This preliminary prospectus is not an offer to sell, and it is not soliciting an offer to buy, these securities in any state where the offer or sale is not permitted.</w:t>
      </w:r>
    </w:p>
    <w:p>
      <w:pPr>
        <w:spacing w:after="0" w:line="154"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Arial" w:cs="Arial" w:eastAsia="Arial" w:hAnsi="Arial"/>
                <w:sz w:val="18"/>
                <w:szCs w:val="18"/>
                <w:b w:val="1"/>
                <w:bCs w:val="1"/>
                <w:color w:val="FC0014"/>
              </w:rPr>
              <w:t>Subject to completion, dated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FC0014"/>
              </w:rPr>
              <w:t>, 2018</w:t>
            </w:r>
          </w:p>
        </w:tc>
      </w:tr>
    </w:tbl>
    <w:p>
      <w:pPr>
        <w:ind w:left="114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48895</wp:posOffset>
            </wp:positionV>
            <wp:extent cx="186880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00"/>
        <w:spacing w:after="0"/>
        <w:rPr>
          <w:sz w:val="20"/>
          <w:szCs w:val="20"/>
          <w:color w:val="auto"/>
        </w:rPr>
      </w:pPr>
      <w:r>
        <w:rPr>
          <w:rFonts w:ascii="Arial" w:cs="Arial" w:eastAsia="Arial" w:hAnsi="Arial"/>
          <w:sz w:val="25"/>
          <w:szCs w:val="25"/>
          <w:b w:val="1"/>
          <w:bCs w:val="1"/>
          <w:color w:val="auto"/>
        </w:rPr>
        <w:t>Shares</w:t>
      </w:r>
    </w:p>
    <w:p>
      <w:pPr>
        <w:spacing w:after="0" w:line="91"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Tradeweb Markets Inc.</w:t>
      </w:r>
    </w:p>
    <w:p>
      <w:pPr>
        <w:spacing w:after="0" w:line="91"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Class A Common Stock</w:t>
      </w:r>
    </w:p>
    <w:p>
      <w:pPr>
        <w:spacing w:after="0" w:line="104" w:lineRule="exact"/>
        <w:rPr>
          <w:sz w:val="20"/>
          <w:szCs w:val="20"/>
          <w:color w:val="auto"/>
        </w:rPr>
      </w:pPr>
    </w:p>
    <w:p>
      <w:pPr>
        <w:ind w:left="1500"/>
        <w:spacing w:after="0"/>
        <w:tabs>
          <w:tab w:leader="none" w:pos="6660" w:val="left"/>
        </w:tabs>
        <w:rPr>
          <w:sz w:val="20"/>
          <w:szCs w:val="20"/>
          <w:color w:val="auto"/>
        </w:rPr>
      </w:pPr>
      <w:r>
        <w:rPr>
          <w:rFonts w:ascii="Arial" w:cs="Arial" w:eastAsia="Arial" w:hAnsi="Arial"/>
          <w:sz w:val="16"/>
          <w:szCs w:val="16"/>
          <w:color w:val="auto"/>
        </w:rPr>
        <w:t>This is the initial public offering of Tradeweb Markets Inc. We are selling</w:t>
      </w:r>
      <w:r>
        <w:rPr>
          <w:sz w:val="20"/>
          <w:szCs w:val="20"/>
          <w:color w:val="auto"/>
        </w:rPr>
        <w:tab/>
      </w:r>
      <w:r>
        <w:rPr>
          <w:rFonts w:ascii="Arial" w:cs="Arial" w:eastAsia="Arial" w:hAnsi="Arial"/>
          <w:sz w:val="14"/>
          <w:szCs w:val="14"/>
          <w:color w:val="auto"/>
        </w:rPr>
        <w:t>shares of our Class A common stock.</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is expected to</w:t>
      </w:r>
    </w:p>
    <w:p>
      <w:pPr>
        <w:spacing w:after="0" w:line="6" w:lineRule="exact"/>
        <w:rPr>
          <w:sz w:val="20"/>
          <w:szCs w:val="20"/>
          <w:color w:val="auto"/>
        </w:rPr>
      </w:pPr>
    </w:p>
    <w:p>
      <w:pPr>
        <w:ind w:left="1140" w:right="1160"/>
        <w:spacing w:after="0" w:line="239" w:lineRule="auto"/>
        <w:rPr>
          <w:sz w:val="20"/>
          <w:szCs w:val="20"/>
          <w:color w:val="auto"/>
        </w:rPr>
      </w:pPr>
      <w:r>
        <w:rPr>
          <w:rFonts w:ascii="Arial" w:cs="Arial" w:eastAsia="Arial" w:hAnsi="Arial"/>
          <w:sz w:val="16"/>
          <w:szCs w:val="16"/>
          <w:color w:val="auto"/>
        </w:rPr>
        <w:t>be between $ and $ per share of our Class A common stock. We intend to apply to list our Class A common stock on the under the symbol “TW.”</w:t>
      </w:r>
    </w:p>
    <w:p>
      <w:pPr>
        <w:spacing w:after="0" w:line="25" w:lineRule="exact"/>
        <w:rPr>
          <w:sz w:val="20"/>
          <w:szCs w:val="20"/>
          <w:color w:val="auto"/>
        </w:rPr>
      </w:pPr>
    </w:p>
    <w:p>
      <w:pPr>
        <w:ind w:left="1140" w:right="1380" w:firstLine="360"/>
        <w:spacing w:after="0" w:line="258" w:lineRule="auto"/>
        <w:rPr>
          <w:sz w:val="20"/>
          <w:szCs w:val="20"/>
          <w:color w:val="auto"/>
        </w:rPr>
      </w:pPr>
      <w:r>
        <w:rPr>
          <w:rFonts w:ascii="Arial" w:cs="Arial" w:eastAsia="Arial" w:hAnsi="Arial"/>
          <w:sz w:val="16"/>
          <w:szCs w:val="16"/>
          <w:color w:val="auto"/>
        </w:rPr>
        <w:t>The underwriters have an option for a period of 30 days from the date of this prospectus to purchase up to a maximum of additional shares of Class A common stock.</w:t>
      </w:r>
    </w:p>
    <w:p>
      <w:pPr>
        <w:spacing w:after="0" w:line="9" w:lineRule="exact"/>
        <w:rPr>
          <w:sz w:val="20"/>
          <w:szCs w:val="20"/>
          <w:color w:val="auto"/>
        </w:rPr>
      </w:pPr>
    </w:p>
    <w:p>
      <w:pPr>
        <w:ind w:left="1140" w:right="560" w:firstLine="360"/>
        <w:spacing w:after="0" w:line="238" w:lineRule="auto"/>
        <w:rPr>
          <w:sz w:val="20"/>
          <w:szCs w:val="20"/>
          <w:color w:val="auto"/>
        </w:rPr>
      </w:pPr>
      <w:r>
        <w:rPr>
          <w:rFonts w:ascii="Arial" w:cs="Arial" w:eastAsia="Arial" w:hAnsi="Arial"/>
          <w:sz w:val="16"/>
          <w:szCs w:val="16"/>
          <w:color w:val="auto"/>
        </w:rPr>
        <w:t>We will use the net proceeds that we receive from this offering to purchase issued and outstanding common membership units, which we refer to as “LLC Interests,” in Tradeweb Markets LLC, which we refer to as “TWM LLC,” from certain existing owners of TWM LLC. There is no public market for the LLC Interests. The purchase price for the LLC Interests will be equal to the public offering price of our Class A common stock, less the underwriting discounts and commissions referred to below.</w:t>
      </w:r>
    </w:p>
    <w:p>
      <w:pPr>
        <w:spacing w:after="0" w:line="26" w:lineRule="exact"/>
        <w:rPr>
          <w:sz w:val="20"/>
          <w:szCs w:val="20"/>
          <w:color w:val="auto"/>
        </w:rPr>
      </w:pPr>
    </w:p>
    <w:p>
      <w:pPr>
        <w:ind w:left="1140" w:right="500" w:firstLine="360"/>
        <w:spacing w:after="0" w:line="271" w:lineRule="auto"/>
        <w:rPr>
          <w:sz w:val="20"/>
          <w:szCs w:val="20"/>
          <w:color w:val="auto"/>
        </w:rPr>
      </w:pPr>
      <w:r>
        <w:rPr>
          <w:rFonts w:ascii="Arial" w:cs="Arial" w:eastAsia="Arial" w:hAnsi="Arial"/>
          <w:sz w:val="14"/>
          <w:szCs w:val="14"/>
          <w:color w:val="auto"/>
        </w:rPr>
        <w:t>We will have four classes of authorized common stock after this offering: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will not have any of the economic rights (including the rights to dividends and distributions upon liquidation) provided to holders of Class A common stock and Class B common stock. Upon completion of this offering, all of our Class B common stock will be held by the Refinitiv Direct Owners (as defined below), all of our Class D common stock will be held by the Continuing LLC Owners (as defined below) on a one-to-one basis with the number of LLC Interests they own, and there will be no outstanding shares of our Class C common stock.</w:t>
      </w:r>
    </w:p>
    <w:p>
      <w:pPr>
        <w:spacing w:after="0" w:line="4" w:lineRule="exact"/>
        <w:rPr>
          <w:sz w:val="20"/>
          <w:szCs w:val="20"/>
          <w:color w:val="auto"/>
        </w:rPr>
      </w:pPr>
    </w:p>
    <w:p>
      <w:pPr>
        <w:jc w:val="both"/>
        <w:ind w:left="1140" w:right="500" w:firstLine="360"/>
        <w:spacing w:after="0" w:line="248" w:lineRule="auto"/>
        <w:rPr>
          <w:sz w:val="20"/>
          <w:szCs w:val="20"/>
          <w:color w:val="auto"/>
        </w:rPr>
      </w:pPr>
      <w:r>
        <w:rPr>
          <w:rFonts w:ascii="Arial" w:cs="Arial" w:eastAsia="Arial" w:hAnsi="Arial"/>
          <w:sz w:val="15"/>
          <w:szCs w:val="15"/>
          <w:color w:val="auto"/>
        </w:rPr>
        <w:t>Immediately following this offering, the holders of our Class A common stock issued in this offering collectively will hold % of the economic interests in us and % of the combined voting power in us, the Refinitiv LLC Owners (as defined below) and the Refinitiv Direct Owners, through their ownership of Class B common stock and Class D common stock, collectively will hold % of the economic interests in us and % of the combined voting power in us, and the Other LLC Owners (as defined below), through their ownership of Class D common stock, collectively will hold no economic interest in us and the remaining % of the combined voting</w:t>
      </w:r>
    </w:p>
    <w:p>
      <w:pPr>
        <w:ind w:left="1140" w:right="660"/>
        <w:spacing w:after="0" w:line="654" w:lineRule="auto"/>
        <w:rPr>
          <w:sz w:val="20"/>
          <w:szCs w:val="20"/>
          <w:color w:val="auto"/>
        </w:rPr>
      </w:pPr>
      <w:r>
        <w:rPr>
          <w:rFonts w:ascii="Arial" w:cs="Arial" w:eastAsia="Arial" w:hAnsi="Arial"/>
          <w:sz w:val="14"/>
          <w:szCs w:val="14"/>
          <w:color w:val="auto"/>
        </w:rPr>
        <w:t>power in us. We will be a holding company, and upon completion of this offering and the application of proceeds therefrom, our principal asset will be the LLC Interests we acquire from certain of the Other LLC Owners and the LLC Interests we receive from the Refinitiv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140" w:right="560"/>
        <w:spacing w:after="0" w:line="253" w:lineRule="auto"/>
        <w:rPr>
          <w:sz w:val="20"/>
          <w:szCs w:val="20"/>
          <w:color w:val="auto"/>
        </w:rPr>
      </w:pPr>
      <w:r>
        <w:rPr>
          <w:rFonts w:ascii="Arial" w:cs="Arial" w:eastAsia="Arial" w:hAnsi="Arial"/>
          <w:sz w:val="15"/>
          <w:szCs w:val="15"/>
          <w:color w:val="auto"/>
        </w:rPr>
        <w:t>Direct Owners in exchange for shares of Class B common stock issued by us, representing an aggregate % economic interest in TWM LLC. The remaining % economic interest in TWM LLC will be owned by the Continuing LLC Owners through their ownership of</w:t>
      </w:r>
    </w:p>
    <w:p>
      <w:pPr>
        <w:spacing w:after="0" w:line="1" w:lineRule="exact"/>
        <w:rPr>
          <w:sz w:val="20"/>
          <w:szCs w:val="20"/>
          <w:color w:val="auto"/>
        </w:rPr>
      </w:pPr>
    </w:p>
    <w:p>
      <w:pPr>
        <w:ind w:left="1140" w:right="740"/>
        <w:spacing w:after="0" w:line="239" w:lineRule="auto"/>
        <w:rPr>
          <w:sz w:val="20"/>
          <w:szCs w:val="20"/>
          <w:color w:val="auto"/>
        </w:rPr>
      </w:pPr>
      <w:r>
        <w:rPr>
          <w:rFonts w:ascii="Arial" w:cs="Arial" w:eastAsia="Arial" w:hAnsi="Arial"/>
          <w:sz w:val="16"/>
          <w:szCs w:val="16"/>
          <w:color w:val="auto"/>
        </w:rPr>
        <w:t>LLC Interests. We will be the sole manager of TWM LLC, we will operate and control all of the business and affairs of TWM LLC, and through TWM LLC and its subsidiaries, we will conduct our business.</w:t>
      </w:r>
    </w:p>
    <w:p>
      <w:pPr>
        <w:spacing w:after="0" w:line="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After the completion of this offering, we expect to be a “controlled company” within the meaning of the corporate governance</w:t>
      </w:r>
    </w:p>
    <w:p>
      <w:pPr>
        <w:spacing w:after="0" w:line="6" w:lineRule="exact"/>
        <w:rPr>
          <w:sz w:val="20"/>
          <w:szCs w:val="20"/>
          <w:color w:val="auto"/>
        </w:rPr>
      </w:pPr>
    </w:p>
    <w:p>
      <w:pPr>
        <w:ind w:left="1140"/>
        <w:spacing w:after="0"/>
        <w:tabs>
          <w:tab w:leader="none" w:pos="2300" w:val="left"/>
        </w:tabs>
        <w:rPr>
          <w:sz w:val="20"/>
          <w:szCs w:val="20"/>
          <w:color w:val="auto"/>
        </w:rPr>
      </w:pPr>
      <w:r>
        <w:rPr>
          <w:rFonts w:ascii="Arial" w:cs="Arial" w:eastAsia="Arial" w:hAnsi="Arial"/>
          <w:sz w:val="16"/>
          <w:szCs w:val="16"/>
          <w:color w:val="auto"/>
        </w:rPr>
        <w:t>standards of</w:t>
      </w:r>
      <w:r>
        <w:rPr>
          <w:sz w:val="20"/>
          <w:szCs w:val="20"/>
          <w:color w:val="auto"/>
        </w:rPr>
        <w:tab/>
      </w:r>
      <w:r>
        <w:rPr>
          <w:rFonts w:ascii="Arial" w:cs="Arial" w:eastAsia="Arial" w:hAnsi="Arial"/>
          <w:sz w:val="14"/>
          <w:szCs w:val="14"/>
          <w:color w:val="auto"/>
        </w:rPr>
        <w:t>.</w:t>
      </w:r>
    </w:p>
    <w:p>
      <w:pPr>
        <w:spacing w:after="0" w:line="32" w:lineRule="exact"/>
        <w:rPr>
          <w:sz w:val="20"/>
          <w:szCs w:val="20"/>
          <w:color w:val="auto"/>
        </w:rPr>
      </w:pPr>
    </w:p>
    <w:p>
      <w:pPr>
        <w:ind w:left="1140" w:right="680" w:firstLine="360"/>
        <w:spacing w:after="0" w:line="243"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and will be subject to reduced reporting requirements. This prospectus complies with the requirements that apply to an issuer that is an emerging growth company.</w:t>
      </w:r>
    </w:p>
    <w:p>
      <w:pPr>
        <w:spacing w:after="0" w:line="72" w:lineRule="exact"/>
        <w:rPr>
          <w:sz w:val="20"/>
          <w:szCs w:val="20"/>
          <w:color w:val="auto"/>
        </w:rPr>
      </w:pPr>
    </w:p>
    <w:p>
      <w:pPr>
        <w:ind w:left="1140" w:right="880" w:firstLine="360"/>
        <w:spacing w:after="0" w:line="224"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Class A common stock involves risks. See “Risk Factors” beginning on page </w:t>
      </w:r>
      <w:hyperlink w:anchor="page29">
        <w:r>
          <w:rPr>
            <w:rFonts w:ascii="Arial" w:cs="Arial" w:eastAsia="Arial" w:hAnsi="Arial"/>
            <w:sz w:val="16"/>
            <w:szCs w:val="16"/>
            <w:b w:val="1"/>
            <w:bCs w:val="1"/>
            <w:u w:val="single" w:color="auto"/>
            <w:color w:val="0000EE"/>
          </w:rPr>
          <w:t>23</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to read about factors you should consider before buying shares of our Class A common stock.</w:t>
      </w:r>
    </w:p>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182"/>
        </w:trPr>
        <w:tc>
          <w:tcPr>
            <w:tcW w:w="676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760" w:type="dxa"/>
            <w:vAlign w:val="bottom"/>
          </w:tcPr>
          <w:p>
            <w:pPr>
              <w:jc w:val="right"/>
              <w:ind w:right="141"/>
              <w:spacing w:after="0"/>
              <w:rPr>
                <w:sz w:val="20"/>
                <w:szCs w:val="20"/>
                <w:color w:val="auto"/>
              </w:rPr>
            </w:pPr>
            <w:r>
              <w:rPr>
                <w:rFonts w:ascii="Arial" w:cs="Arial" w:eastAsia="Arial" w:hAnsi="Arial"/>
                <w:sz w:val="14"/>
                <w:szCs w:val="14"/>
                <w:b w:val="1"/>
                <w:bCs w:val="1"/>
                <w:color w:val="auto"/>
              </w:rPr>
              <w:t>Total</w:t>
            </w:r>
          </w:p>
        </w:tc>
      </w:tr>
      <w:tr>
        <w:trPr>
          <w:trHeight w:val="196"/>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Price to public</w:t>
            </w:r>
          </w:p>
        </w:tc>
        <w:tc>
          <w:tcPr>
            <w:tcW w:w="6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r>
      <w:tr>
        <w:trPr>
          <w:trHeight w:val="216"/>
        </w:trPr>
        <w:tc>
          <w:tcPr>
            <w:tcW w:w="6760" w:type="dxa"/>
            <w:vAlign w:val="bottom"/>
          </w:tcPr>
          <w:p>
            <w:pPr>
              <w:spacing w:after="0" w:line="216"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5"/>
                <w:szCs w:val="25"/>
                <w:color w:val="auto"/>
                <w:vertAlign w:val="superscript"/>
              </w:rPr>
              <w:t>(1)</w:t>
            </w:r>
          </w:p>
        </w:tc>
        <w:tc>
          <w:tcPr>
            <w:tcW w:w="64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ind w:right="421"/>
              <w:spacing w:after="0"/>
              <w:rPr>
                <w:sz w:val="20"/>
                <w:szCs w:val="20"/>
                <w:color w:val="auto"/>
              </w:rPr>
            </w:pPr>
            <w:r>
              <w:rPr>
                <w:rFonts w:ascii="Arial" w:cs="Arial" w:eastAsia="Arial" w:hAnsi="Arial"/>
                <w:sz w:val="16"/>
                <w:szCs w:val="16"/>
                <w:color w:val="auto"/>
              </w:rPr>
              <w:t>$</w:t>
            </w: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Tradeweb Markets Inc.</w:t>
            </w:r>
          </w:p>
        </w:tc>
        <w:tc>
          <w:tcPr>
            <w:tcW w:w="6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-401955</wp:posOffset>
            </wp:positionV>
            <wp:extent cx="4834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102870</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4" w:lineRule="exact"/>
        <w:rPr>
          <w:sz w:val="20"/>
          <w:szCs w:val="20"/>
          <w:color w:val="auto"/>
        </w:rPr>
      </w:pPr>
    </w:p>
    <w:p>
      <w:pPr>
        <w:ind w:left="1500" w:hanging="358"/>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“Underwriting (Conflicts of Interest)” for additional information regarding underwriting compensation.</w:t>
      </w:r>
    </w:p>
    <w:p>
      <w:pPr>
        <w:spacing w:after="0" w:line="59" w:lineRule="exact"/>
        <w:rPr>
          <w:sz w:val="20"/>
          <w:szCs w:val="20"/>
          <w:color w:val="auto"/>
        </w:rPr>
      </w:pPr>
    </w:p>
    <w:tbl>
      <w:tblPr>
        <w:tblLayout w:type="fixed"/>
        <w:tblInd w:w="1500" w:type="dxa"/>
        <w:tblCellMar>
          <w:top w:w="0" w:type="dxa"/>
          <w:left w:w="0" w:type="dxa"/>
          <w:bottom w:w="0" w:type="dxa"/>
          <w:right w:w="0" w:type="dxa"/>
        </w:tblCellMar>
      </w:tblPr>
      <w:tr>
        <w:trPr>
          <w:trHeight w:val="206"/>
        </w:trPr>
        <w:tc>
          <w:tcPr>
            <w:tcW w:w="5240" w:type="dxa"/>
            <w:vAlign w:val="bottom"/>
          </w:tcPr>
          <w:p>
            <w:pPr>
              <w:spacing w:after="0"/>
              <w:rPr>
                <w:sz w:val="20"/>
                <w:szCs w:val="20"/>
                <w:color w:val="auto"/>
              </w:rPr>
            </w:pPr>
            <w:r>
              <w:rPr>
                <w:rFonts w:ascii="Arial" w:cs="Arial" w:eastAsia="Arial" w:hAnsi="Arial"/>
                <w:sz w:val="16"/>
                <w:szCs w:val="16"/>
                <w:color w:val="auto"/>
              </w:rPr>
              <w:t>Delivery of the shares of Class A common stock will be made on or about</w:t>
            </w:r>
          </w:p>
        </w:tc>
        <w:tc>
          <w:tcPr>
            <w:tcW w:w="880" w:type="dxa"/>
            <w:vAlign w:val="bottom"/>
          </w:tcPr>
          <w:p>
            <w:pPr>
              <w:jc w:val="right"/>
              <w:spacing w:after="0"/>
              <w:rPr>
                <w:sz w:val="20"/>
                <w:szCs w:val="20"/>
                <w:color w:val="auto"/>
              </w:rPr>
            </w:pPr>
            <w:r>
              <w:rPr>
                <w:rFonts w:ascii="Arial" w:cs="Arial" w:eastAsia="Arial" w:hAnsi="Arial"/>
                <w:sz w:val="16"/>
                <w:szCs w:val="16"/>
                <w:color w:val="auto"/>
              </w:rPr>
              <w:t>, 2019.</w:t>
            </w:r>
          </w:p>
        </w:tc>
      </w:tr>
    </w:tbl>
    <w:p>
      <w:pPr>
        <w:spacing w:after="0" w:line="23" w:lineRule="exact"/>
        <w:rPr>
          <w:sz w:val="20"/>
          <w:szCs w:val="20"/>
          <w:color w:val="auto"/>
        </w:rPr>
      </w:pPr>
    </w:p>
    <w:p>
      <w:pPr>
        <w:ind w:left="1140" w:right="740" w:firstLine="360"/>
        <w:spacing w:after="0" w:line="258" w:lineRule="auto"/>
        <w:rPr>
          <w:sz w:val="20"/>
          <w:szCs w:val="20"/>
          <w:color w:val="auto"/>
        </w:rPr>
      </w:pPr>
      <w:r>
        <w:rPr>
          <w:rFonts w:ascii="Arial" w:cs="Arial" w:eastAsia="Arial" w:hAnsi="Arial"/>
          <w:sz w:val="16"/>
          <w:szCs w:val="16"/>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520" w:type="dxa"/>
            <w:vAlign w:val="bottom"/>
          </w:tcPr>
          <w:p>
            <w:pPr>
              <w:ind w:left="1140"/>
              <w:spacing w:after="0"/>
              <w:rPr>
                <w:sz w:val="20"/>
                <w:szCs w:val="20"/>
                <w:color w:val="auto"/>
              </w:rPr>
            </w:pPr>
            <w:r>
              <w:rPr>
                <w:rFonts w:ascii="Arial" w:cs="Arial" w:eastAsia="Arial" w:hAnsi="Arial"/>
                <w:sz w:val="25"/>
                <w:szCs w:val="25"/>
                <w:b w:val="1"/>
                <w:bCs w:val="1"/>
                <w:color w:val="auto"/>
              </w:rPr>
              <w:t>Citigroup</w:t>
            </w:r>
          </w:p>
        </w:tc>
        <w:tc>
          <w:tcPr>
            <w:tcW w:w="3700" w:type="dxa"/>
            <w:vAlign w:val="bottom"/>
          </w:tcPr>
          <w:p>
            <w:pPr>
              <w:ind w:left="320"/>
              <w:spacing w:after="0"/>
              <w:rPr>
                <w:sz w:val="20"/>
                <w:szCs w:val="20"/>
                <w:color w:val="auto"/>
              </w:rPr>
            </w:pPr>
            <w:r>
              <w:rPr>
                <w:rFonts w:ascii="Arial" w:cs="Arial" w:eastAsia="Arial" w:hAnsi="Arial"/>
                <w:sz w:val="25"/>
                <w:szCs w:val="25"/>
                <w:b w:val="1"/>
                <w:bCs w:val="1"/>
                <w:color w:val="auto"/>
              </w:rPr>
              <w:t>Goldman Sachs &amp; Co. LLC</w:t>
            </w:r>
          </w:p>
        </w:tc>
        <w:tc>
          <w:tcPr>
            <w:tcW w:w="1920" w:type="dxa"/>
            <w:vAlign w:val="bottom"/>
          </w:tcPr>
          <w:p>
            <w:pPr>
              <w:jc w:val="right"/>
              <w:ind w:right="237"/>
              <w:spacing w:after="0"/>
              <w:rPr>
                <w:sz w:val="20"/>
                <w:szCs w:val="20"/>
                <w:color w:val="auto"/>
              </w:rPr>
            </w:pPr>
            <w:r>
              <w:rPr>
                <w:rFonts w:ascii="Arial" w:cs="Arial" w:eastAsia="Arial" w:hAnsi="Arial"/>
                <w:sz w:val="25"/>
                <w:szCs w:val="25"/>
                <w:b w:val="1"/>
                <w:bCs w:val="1"/>
                <w:color w:val="auto"/>
              </w:rPr>
              <w:t>J.P. Morgan</w:t>
            </w:r>
          </w:p>
        </w:tc>
        <w:tc>
          <w:tcPr>
            <w:tcW w:w="2580" w:type="dxa"/>
            <w:vAlign w:val="bottom"/>
          </w:tcPr>
          <w:p>
            <w:pPr>
              <w:ind w:left="360"/>
              <w:spacing w:after="0"/>
              <w:rPr>
                <w:sz w:val="20"/>
                <w:szCs w:val="20"/>
                <w:color w:val="auto"/>
              </w:rPr>
            </w:pPr>
            <w:r>
              <w:rPr>
                <w:rFonts w:ascii="Arial" w:cs="Arial" w:eastAsia="Arial" w:hAnsi="Arial"/>
                <w:sz w:val="25"/>
                <w:szCs w:val="25"/>
                <w:b w:val="1"/>
                <w:bCs w:val="1"/>
                <w:color w:val="auto"/>
              </w:rPr>
              <w:t>Morgan Stanley</w:t>
            </w:r>
          </w:p>
        </w:tc>
      </w:tr>
      <w:tr>
        <w:trPr>
          <w:trHeight w:val="458"/>
        </w:trPr>
        <w:tc>
          <w:tcPr>
            <w:tcW w:w="2520" w:type="dxa"/>
            <w:vAlign w:val="bottom"/>
          </w:tcPr>
          <w:p>
            <w:pPr>
              <w:spacing w:after="0"/>
              <w:rPr>
                <w:sz w:val="24"/>
                <w:szCs w:val="24"/>
                <w:color w:val="auto"/>
              </w:rPr>
            </w:pPr>
          </w:p>
        </w:tc>
        <w:tc>
          <w:tcPr>
            <w:tcW w:w="3700" w:type="dxa"/>
            <w:vAlign w:val="bottom"/>
          </w:tcPr>
          <w:p>
            <w:pPr>
              <w:ind w:left="1560"/>
              <w:spacing w:after="0"/>
              <w:rPr>
                <w:sz w:val="20"/>
                <w:szCs w:val="20"/>
                <w:color w:val="auto"/>
              </w:rPr>
            </w:pPr>
            <w:r>
              <w:rPr>
                <w:rFonts w:ascii="Arial" w:cs="Arial" w:eastAsia="Arial" w:hAnsi="Arial"/>
                <w:sz w:val="16"/>
                <w:szCs w:val="16"/>
                <w:color w:val="auto"/>
              </w:rPr>
              <w:t>The date of this prospectus is</w:t>
            </w:r>
          </w:p>
        </w:tc>
        <w:tc>
          <w:tcPr>
            <w:tcW w:w="1920" w:type="dxa"/>
            <w:vAlign w:val="bottom"/>
          </w:tcPr>
          <w:p>
            <w:pPr>
              <w:jc w:val="right"/>
              <w:ind w:right="737"/>
              <w:spacing w:after="0"/>
              <w:rPr>
                <w:sz w:val="20"/>
                <w:szCs w:val="20"/>
                <w:color w:val="auto"/>
              </w:rPr>
            </w:pPr>
            <w:r>
              <w:rPr>
                <w:rFonts w:ascii="Arial" w:cs="Arial" w:eastAsia="Arial" w:hAnsi="Arial"/>
                <w:sz w:val="16"/>
                <w:szCs w:val="16"/>
                <w:color w:val="auto"/>
              </w:rPr>
              <w:t>, 2019.</w:t>
            </w:r>
          </w:p>
        </w:tc>
        <w:tc>
          <w:tcPr>
            <w:tcW w:w="2580" w:type="dxa"/>
            <w:vAlign w:val="bottom"/>
          </w:tcPr>
          <w:p>
            <w:pPr>
              <w:spacing w:after="0"/>
              <w:rPr>
                <w:sz w:val="24"/>
                <w:szCs w:val="24"/>
                <w:color w:val="auto"/>
              </w:rPr>
            </w:pPr>
          </w:p>
        </w:tc>
      </w:tr>
      <w:tr>
        <w:trPr>
          <w:trHeight w:val="391"/>
        </w:trPr>
        <w:tc>
          <w:tcPr>
            <w:tcW w:w="25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6790055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09"/>
        </w:trPr>
        <w:tc>
          <w:tcPr>
            <w:tcW w:w="2660" w:type="dxa"/>
            <w:vAlign w:val="bottom"/>
            <w:gridSpan w:val="13"/>
            <w:shd w:val="clear" w:color="auto" w:fill="CCEEFF"/>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MARKET AND INDUSTRY DATA</w:t>
              </w:r>
            </w:hyperlink>
          </w:p>
        </w:tc>
        <w:tc>
          <w:tcPr>
            <w:tcW w:w="5020" w:type="dxa"/>
            <w:vAlign w:val="bottom"/>
            <w:gridSpan w:val="16"/>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68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CERTAIN TRADEMARKS, TRADE NAMES AND SERVICE MARKS</w:t>
              </w:r>
            </w:hyperlink>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jc w:val="right"/>
              <w:ind w:right="14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80" w:type="dxa"/>
            <w:vAlign w:val="bottom"/>
            <w:gridSpan w:val="29"/>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BASIS OF PRESENTATION</w:t>
              </w:r>
            </w:hyperlink>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USE OF NON-GAAP FINANCIAL MEASURES</w:t>
              </w:r>
            </w:hyperlink>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5"/>
          </w:tcPr>
          <w:p>
            <w:pPr>
              <w:jc w:val="right"/>
              <w:ind w:right="140"/>
              <w:spacing w:after="0"/>
              <w:rPr>
                <w:rFonts w:ascii="Arial" w:cs="Arial" w:eastAsia="Arial" w:hAnsi="Arial"/>
                <w:sz w:val="18"/>
                <w:szCs w:val="18"/>
                <w:color w:val="0000EE"/>
              </w:rPr>
            </w:pPr>
            <w:hyperlink w:anchor="page5">
              <w:r>
                <w:rPr>
                  <w:rFonts w:ascii="Arial" w:cs="Arial" w:eastAsia="Arial" w:hAnsi="Arial"/>
                  <w:sz w:val="18"/>
                  <w:szCs w:val="18"/>
                  <w:color w:val="0000EE"/>
                </w:rPr>
                <w:t>iv</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100" w:type="dxa"/>
            <w:vAlign w:val="bottom"/>
            <w:gridSpan w:val="9"/>
            <w:shd w:val="clear" w:color="auto" w:fill="CCEEFF"/>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PROSPECTUS SUMMARY</w:t>
              </w:r>
            </w:hyperlink>
          </w:p>
        </w:tc>
        <w:tc>
          <w:tcPr>
            <w:tcW w:w="5580" w:type="dxa"/>
            <w:vAlign w:val="bottom"/>
            <w:gridSpan w:val="20"/>
            <w:shd w:val="clear" w:color="auto" w:fill="CCEEFF"/>
          </w:tcPr>
          <w:p>
            <w:pPr>
              <w:spacing w:after="0"/>
              <w:rPr>
                <w:sz w:val="19"/>
                <w:szCs w:val="19"/>
                <w:color w:val="auto"/>
              </w:rPr>
            </w:pPr>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100" w:type="dxa"/>
            <w:vAlign w:val="bottom"/>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5580" w:type="dxa"/>
            <w:vAlign w:val="bottom"/>
            <w:gridSpan w:val="20"/>
          </w:tcPr>
          <w:p>
            <w:pPr>
              <w:spacing w:after="0"/>
              <w:rPr>
                <w:sz w:val="19"/>
                <w:szCs w:val="19"/>
                <w:color w:val="auto"/>
              </w:rPr>
            </w:pPr>
          </w:p>
        </w:tc>
        <w:tc>
          <w:tcPr>
            <w:tcW w:w="540" w:type="dxa"/>
            <w:vAlign w:val="bottom"/>
            <w:gridSpan w:val="8"/>
          </w:tcPr>
          <w:p>
            <w:pPr>
              <w:jc w:val="right"/>
              <w:ind w:right="140"/>
              <w:spacing w:after="0"/>
              <w:rPr>
                <w:rFonts w:ascii="Arial" w:cs="Arial" w:eastAsia="Arial" w:hAnsi="Arial"/>
                <w:sz w:val="18"/>
                <w:szCs w:val="18"/>
                <w:color w:val="0000EE"/>
              </w:rPr>
            </w:pPr>
            <w:hyperlink w:anchor="page29">
              <w:r>
                <w:rPr>
                  <w:rFonts w:ascii="Arial" w:cs="Arial" w:eastAsia="Arial" w:hAnsi="Arial"/>
                  <w:sz w:val="18"/>
                  <w:szCs w:val="18"/>
                  <w:color w:val="0000EE"/>
                </w:rPr>
                <w:t>23</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800" w:type="dxa"/>
            <w:vAlign w:val="bottom"/>
            <w:gridSpan w:val="23"/>
            <w:shd w:val="clear" w:color="auto" w:fill="CCEEFF"/>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CAUTIONARY NOTE REGARDING FORWARD-LOOKING STATEMENTS</w:t>
              </w:r>
            </w:hyperlink>
          </w:p>
        </w:tc>
        <w:tc>
          <w:tcPr>
            <w:tcW w:w="1880" w:type="dxa"/>
            <w:vAlign w:val="bottom"/>
            <w:gridSpan w:val="6"/>
            <w:shd w:val="clear" w:color="auto" w:fill="CCEEFF"/>
          </w:tcPr>
          <w:p>
            <w:pPr>
              <w:spacing w:after="0"/>
              <w:rPr>
                <w:sz w:val="19"/>
                <w:szCs w:val="19"/>
                <w:color w:val="auto"/>
              </w:rPr>
            </w:pPr>
          </w:p>
        </w:tc>
        <w:tc>
          <w:tcPr>
            <w:tcW w:w="220" w:type="dxa"/>
            <w:vAlign w:val="bottom"/>
            <w:gridSpan w:val="3"/>
            <w:shd w:val="clear" w:color="auto" w:fill="CCEEFF"/>
          </w:tcPr>
          <w:p>
            <w:pPr>
              <w:spacing w:after="0"/>
              <w:rPr>
                <w:sz w:val="19"/>
                <w:szCs w:val="19"/>
                <w:color w:val="auto"/>
              </w:rPr>
            </w:pPr>
          </w:p>
        </w:tc>
        <w:tc>
          <w:tcPr>
            <w:tcW w:w="320" w:type="dxa"/>
            <w:vAlign w:val="bottom"/>
            <w:gridSpan w:val="5"/>
            <w:shd w:val="clear" w:color="auto" w:fill="CCEEFF"/>
          </w:tcPr>
          <w:p>
            <w:pPr>
              <w:jc w:val="right"/>
              <w:ind w:right="140"/>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54</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800" w:type="dxa"/>
            <w:vAlign w:val="bottom"/>
            <w:gridSpan w:val="2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THE REORGANIZATION TRANSACTIONS</w:t>
              </w:r>
            </w:hyperlink>
          </w:p>
        </w:tc>
        <w:tc>
          <w:tcPr>
            <w:tcW w:w="1880" w:type="dxa"/>
            <w:vAlign w:val="bottom"/>
            <w:gridSpan w:val="6"/>
          </w:tcPr>
          <w:p>
            <w:pPr>
              <w:spacing w:after="0"/>
              <w:rPr>
                <w:sz w:val="19"/>
                <w:szCs w:val="19"/>
                <w:color w:val="auto"/>
              </w:rPr>
            </w:pPr>
          </w:p>
        </w:tc>
        <w:tc>
          <w:tcPr>
            <w:tcW w:w="220" w:type="dxa"/>
            <w:vAlign w:val="bottom"/>
            <w:gridSpan w:val="3"/>
          </w:tcPr>
          <w:p>
            <w:pPr>
              <w:spacing w:after="0"/>
              <w:rPr>
                <w:sz w:val="19"/>
                <w:szCs w:val="19"/>
                <w:color w:val="auto"/>
              </w:rPr>
            </w:pPr>
          </w:p>
        </w:tc>
        <w:tc>
          <w:tcPr>
            <w:tcW w:w="320" w:type="dxa"/>
            <w:vAlign w:val="bottom"/>
            <w:gridSpan w:val="5"/>
          </w:tcPr>
          <w:p>
            <w:pPr>
              <w:jc w:val="right"/>
              <w:ind w:right="140"/>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56</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29"/>
            <w:shd w:val="clear" w:color="auto" w:fill="CCEEFF"/>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USE OF PROCEEDS</w:t>
              </w:r>
            </w:hyperlink>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66">
              <w:r>
                <w:rPr>
                  <w:rFonts w:ascii="Arial" w:cs="Arial" w:eastAsia="Arial" w:hAnsi="Arial"/>
                  <w:sz w:val="18"/>
                  <w:szCs w:val="18"/>
                  <w:color w:val="0000EE"/>
                </w:rPr>
                <w:t>60</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DIVIDEND POLICY</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67">
              <w:r>
                <w:rPr>
                  <w:rFonts w:ascii="Arial" w:cs="Arial" w:eastAsia="Arial" w:hAnsi="Arial"/>
                  <w:sz w:val="18"/>
                  <w:szCs w:val="18"/>
                  <w:color w:val="0000EE"/>
                </w:rPr>
                <w:t>61</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29"/>
            <w:shd w:val="clear" w:color="auto" w:fill="CCEEFF"/>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CAPITALIZATION</w:t>
              </w:r>
            </w:hyperlink>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68">
              <w:r>
                <w:rPr>
                  <w:rFonts w:ascii="Arial" w:cs="Arial" w:eastAsia="Arial" w:hAnsi="Arial"/>
                  <w:sz w:val="18"/>
                  <w:szCs w:val="18"/>
                  <w:color w:val="0000EE"/>
                </w:rPr>
                <w:t>62</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460" w:type="dxa"/>
            <w:vAlign w:val="bottom"/>
            <w:gridSpan w:val="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DILUTION</w:t>
              </w:r>
            </w:hyperlink>
          </w:p>
        </w:tc>
        <w:tc>
          <w:tcPr>
            <w:tcW w:w="6220" w:type="dxa"/>
            <w:vAlign w:val="bottom"/>
            <w:gridSpan w:val="23"/>
          </w:tcPr>
          <w:p>
            <w:pPr>
              <w:spacing w:after="0"/>
              <w:rPr>
                <w:sz w:val="19"/>
                <w:szCs w:val="19"/>
                <w:color w:val="auto"/>
              </w:rPr>
            </w:pPr>
          </w:p>
        </w:tc>
        <w:tc>
          <w:tcPr>
            <w:tcW w:w="220" w:type="dxa"/>
            <w:vAlign w:val="bottom"/>
            <w:gridSpan w:val="3"/>
          </w:tcPr>
          <w:p>
            <w:pPr>
              <w:spacing w:after="0"/>
              <w:rPr>
                <w:sz w:val="19"/>
                <w:szCs w:val="19"/>
                <w:color w:val="auto"/>
              </w:rPr>
            </w:pPr>
          </w:p>
        </w:tc>
        <w:tc>
          <w:tcPr>
            <w:tcW w:w="320" w:type="dxa"/>
            <w:vAlign w:val="bottom"/>
            <w:gridSpan w:val="5"/>
          </w:tcPr>
          <w:p>
            <w:pPr>
              <w:jc w:val="right"/>
              <w:ind w:right="140"/>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64</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6040" w:type="dxa"/>
            <w:vAlign w:val="bottom"/>
            <w:gridSpan w:val="26"/>
            <w:shd w:val="clear" w:color="auto" w:fill="CCEEFF"/>
          </w:tcPr>
          <w:p>
            <w:pPr>
              <w:spacing w:after="0"/>
              <w:rPr>
                <w:rFonts w:ascii="Arial" w:cs="Arial" w:eastAsia="Arial" w:hAnsi="Arial"/>
                <w:sz w:val="18"/>
                <w:szCs w:val="18"/>
                <w:color w:val="0000EE"/>
                <w:w w:val="97"/>
              </w:rPr>
            </w:pPr>
            <w:hyperlink w:anchor="page73">
              <w:r>
                <w:rPr>
                  <w:rFonts w:ascii="Arial" w:cs="Arial" w:eastAsia="Arial" w:hAnsi="Arial"/>
                  <w:sz w:val="18"/>
                  <w:szCs w:val="18"/>
                  <w:color w:val="0000EE"/>
                  <w:w w:val="97"/>
                </w:rPr>
                <w:t>SELECTED HISTORICAL CONSOLIDATED FINANCIAL AND OTHER DATA</w:t>
              </w:r>
            </w:hyperlink>
          </w:p>
        </w:tc>
        <w:tc>
          <w:tcPr>
            <w:tcW w:w="1640" w:type="dxa"/>
            <w:vAlign w:val="bottom"/>
            <w:gridSpan w:val="3"/>
            <w:shd w:val="clear" w:color="auto" w:fill="CCEEFF"/>
          </w:tcPr>
          <w:p>
            <w:pPr>
              <w:spacing w:after="0"/>
              <w:rPr>
                <w:sz w:val="19"/>
                <w:szCs w:val="19"/>
                <w:color w:val="auto"/>
              </w:rPr>
            </w:pPr>
          </w:p>
        </w:tc>
        <w:tc>
          <w:tcPr>
            <w:tcW w:w="220" w:type="dxa"/>
            <w:vAlign w:val="bottom"/>
            <w:gridSpan w:val="3"/>
            <w:shd w:val="clear" w:color="auto" w:fill="CCEEFF"/>
          </w:tcPr>
          <w:p>
            <w:pPr>
              <w:spacing w:after="0"/>
              <w:rPr>
                <w:sz w:val="19"/>
                <w:szCs w:val="19"/>
                <w:color w:val="auto"/>
              </w:rPr>
            </w:pPr>
          </w:p>
        </w:tc>
        <w:tc>
          <w:tcPr>
            <w:tcW w:w="320" w:type="dxa"/>
            <w:vAlign w:val="bottom"/>
            <w:gridSpan w:val="5"/>
            <w:shd w:val="clear" w:color="auto" w:fill="CCEEFF"/>
          </w:tcPr>
          <w:p>
            <w:pPr>
              <w:jc w:val="right"/>
              <w:ind w:right="140"/>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67</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040" w:type="dxa"/>
            <w:vAlign w:val="bottom"/>
            <w:gridSpan w:val="2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UNAUDITED PRO FORMA CONSOLIDATED FINANCIAL INFORMATION</w:t>
              </w:r>
            </w:hyperlink>
          </w:p>
        </w:tc>
        <w:tc>
          <w:tcPr>
            <w:tcW w:w="1640" w:type="dxa"/>
            <w:vAlign w:val="bottom"/>
            <w:gridSpan w:val="3"/>
          </w:tcPr>
          <w:p>
            <w:pPr>
              <w:spacing w:after="0"/>
              <w:rPr>
                <w:sz w:val="19"/>
                <w:szCs w:val="19"/>
                <w:color w:val="auto"/>
              </w:rPr>
            </w:pPr>
          </w:p>
        </w:tc>
        <w:tc>
          <w:tcPr>
            <w:tcW w:w="220" w:type="dxa"/>
            <w:vAlign w:val="bottom"/>
            <w:gridSpan w:val="3"/>
          </w:tcPr>
          <w:p>
            <w:pPr>
              <w:spacing w:after="0"/>
              <w:rPr>
                <w:sz w:val="19"/>
                <w:szCs w:val="19"/>
                <w:color w:val="auto"/>
              </w:rPr>
            </w:pPr>
          </w:p>
        </w:tc>
        <w:tc>
          <w:tcPr>
            <w:tcW w:w="320" w:type="dxa"/>
            <w:vAlign w:val="bottom"/>
            <w:gridSpan w:val="5"/>
          </w:tcPr>
          <w:p>
            <w:pPr>
              <w:jc w:val="right"/>
              <w:ind w:right="140"/>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6700" w:type="dxa"/>
            <w:vAlign w:val="bottom"/>
            <w:tcBorders>
              <w:bottom w:val="single" w:sz="8" w:color="0000EE"/>
            </w:tcBorders>
            <w:gridSpan w:val="27"/>
            <w:shd w:val="clear" w:color="auto" w:fill="CCEEFF"/>
          </w:tcPr>
          <w:p>
            <w:pPr>
              <w:spacing w:after="0"/>
              <w:rPr>
                <w:rFonts w:ascii="Arial" w:cs="Arial" w:eastAsia="Arial" w:hAnsi="Arial"/>
                <w:sz w:val="18"/>
                <w:szCs w:val="18"/>
                <w:color w:val="0000EE"/>
                <w:w w:val="98"/>
              </w:rPr>
            </w:pPr>
            <w:hyperlink w:anchor="page82">
              <w:r>
                <w:rPr>
                  <w:rFonts w:ascii="Arial" w:cs="Arial" w:eastAsia="Arial" w:hAnsi="Arial"/>
                  <w:sz w:val="18"/>
                  <w:szCs w:val="18"/>
                  <w:color w:val="0000EE"/>
                  <w:w w:val="98"/>
                </w:rPr>
                <w:t>MANAGEMENT’S DISCUSSION AND ANALYSIS OF FINANCIAL CONDITION AND</w:t>
              </w:r>
            </w:hyperlink>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2200" w:type="dxa"/>
            <w:vAlign w:val="bottom"/>
            <w:gridSpan w:val="10"/>
            <w:shd w:val="clear" w:color="auto" w:fill="CCEEFF"/>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RESULTS OF OPERATIONS</w:t>
              </w:r>
            </w:hyperlink>
          </w:p>
        </w:tc>
        <w:tc>
          <w:tcPr>
            <w:tcW w:w="5300" w:type="dxa"/>
            <w:vAlign w:val="bottom"/>
            <w:gridSpan w:val="18"/>
            <w:shd w:val="clear" w:color="auto" w:fill="CCEEFF"/>
          </w:tcPr>
          <w:p>
            <w:pPr>
              <w:spacing w:after="0"/>
              <w:rPr>
                <w:sz w:val="17"/>
                <w:szCs w:val="17"/>
                <w:color w:val="auto"/>
              </w:rPr>
            </w:pPr>
          </w:p>
        </w:tc>
        <w:tc>
          <w:tcPr>
            <w:tcW w:w="220" w:type="dxa"/>
            <w:vAlign w:val="bottom"/>
            <w:gridSpan w:val="3"/>
            <w:shd w:val="clear" w:color="auto" w:fill="CCEEFF"/>
          </w:tcPr>
          <w:p>
            <w:pPr>
              <w:spacing w:after="0"/>
              <w:rPr>
                <w:sz w:val="17"/>
                <w:szCs w:val="17"/>
                <w:color w:val="auto"/>
              </w:rPr>
            </w:pPr>
          </w:p>
        </w:tc>
        <w:tc>
          <w:tcPr>
            <w:tcW w:w="320" w:type="dxa"/>
            <w:vAlign w:val="bottom"/>
            <w:gridSpan w:val="5"/>
            <w:shd w:val="clear" w:color="auto" w:fill="CCEEFF"/>
          </w:tcPr>
          <w:p>
            <w:pPr>
              <w:jc w:val="right"/>
              <w:ind w:right="140"/>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76</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BUSINESS</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03">
              <w:r>
                <w:rPr>
                  <w:rFonts w:ascii="Arial" w:cs="Arial" w:eastAsia="Arial" w:hAnsi="Arial"/>
                  <w:sz w:val="18"/>
                  <w:szCs w:val="18"/>
                  <w:color w:val="0000EE"/>
                </w:rPr>
                <w:t>97</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29"/>
            <w:shd w:val="clear" w:color="auto" w:fill="CCEEFF"/>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MANAGEMENT</w:t>
              </w:r>
            </w:hyperlink>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124">
              <w:r>
                <w:rPr>
                  <w:rFonts w:ascii="Arial" w:cs="Arial" w:eastAsia="Arial" w:hAnsi="Arial"/>
                  <w:sz w:val="18"/>
                  <w:szCs w:val="18"/>
                  <w:color w:val="0000EE"/>
                </w:rPr>
                <w:t>118</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EXECUTIVE COMPENSATION</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29">
              <w:r>
                <w:rPr>
                  <w:rFonts w:ascii="Arial" w:cs="Arial" w:eastAsia="Arial" w:hAnsi="Arial"/>
                  <w:sz w:val="18"/>
                  <w:szCs w:val="18"/>
                  <w:color w:val="0000EE"/>
                </w:rPr>
                <w:t>123</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29"/>
            <w:shd w:val="clear" w:color="auto" w:fill="CCEEFF"/>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PRINCIPAL STOCKHOLDERS</w:t>
              </w:r>
            </w:hyperlink>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145">
              <w:r>
                <w:rPr>
                  <w:rFonts w:ascii="Arial" w:cs="Arial" w:eastAsia="Arial" w:hAnsi="Arial"/>
                  <w:sz w:val="18"/>
                  <w:szCs w:val="18"/>
                  <w:color w:val="0000EE"/>
                </w:rPr>
                <w:t>139</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CERTAIN RELATIONSHIPS AND RELATED PARTY TRANSACTIONS</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46">
              <w:r>
                <w:rPr>
                  <w:rFonts w:ascii="Arial" w:cs="Arial" w:eastAsia="Arial" w:hAnsi="Arial"/>
                  <w:sz w:val="18"/>
                  <w:szCs w:val="18"/>
                  <w:color w:val="0000EE"/>
                </w:rPr>
                <w:t>140</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880" w:type="dxa"/>
            <w:vAlign w:val="bottom"/>
            <w:gridSpan w:val="14"/>
            <w:shd w:val="clear" w:color="auto" w:fill="CCEEFF"/>
          </w:tcPr>
          <w:p>
            <w:pPr>
              <w:spacing w:after="0"/>
              <w:rPr>
                <w:rFonts w:ascii="Arial" w:cs="Arial" w:eastAsia="Arial" w:hAnsi="Arial"/>
                <w:sz w:val="18"/>
                <w:szCs w:val="18"/>
                <w:color w:val="0000EE"/>
                <w:w w:val="95"/>
              </w:rPr>
            </w:pPr>
            <w:hyperlink w:anchor="page152">
              <w:r>
                <w:rPr>
                  <w:rFonts w:ascii="Arial" w:cs="Arial" w:eastAsia="Arial" w:hAnsi="Arial"/>
                  <w:sz w:val="18"/>
                  <w:szCs w:val="18"/>
                  <w:color w:val="0000EE"/>
                  <w:w w:val="95"/>
                </w:rPr>
                <w:t>DESCRIPTION OF CAPITAL STOCK</w:t>
              </w:r>
            </w:hyperlink>
          </w:p>
        </w:tc>
        <w:tc>
          <w:tcPr>
            <w:tcW w:w="4800" w:type="dxa"/>
            <w:vAlign w:val="bottom"/>
            <w:gridSpan w:val="15"/>
            <w:shd w:val="clear" w:color="auto" w:fill="CCEEFF"/>
          </w:tcPr>
          <w:p>
            <w:pPr>
              <w:spacing w:after="0"/>
              <w:rPr>
                <w:sz w:val="19"/>
                <w:szCs w:val="19"/>
                <w:color w:val="auto"/>
              </w:rPr>
            </w:pPr>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152">
              <w:r>
                <w:rPr>
                  <w:rFonts w:ascii="Arial" w:cs="Arial" w:eastAsia="Arial" w:hAnsi="Arial"/>
                  <w:sz w:val="18"/>
                  <w:szCs w:val="18"/>
                  <w:color w:val="0000EE"/>
                </w:rPr>
                <w:t>146</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SHARES ELIGIBLE FOR FUTURE SALE</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62">
              <w:r>
                <w:rPr>
                  <w:rFonts w:ascii="Arial" w:cs="Arial" w:eastAsia="Arial" w:hAnsi="Arial"/>
                  <w:sz w:val="18"/>
                  <w:szCs w:val="18"/>
                  <w:color w:val="0000EE"/>
                </w:rPr>
                <w:t>156</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80" w:type="dxa"/>
            <w:vAlign w:val="bottom"/>
            <w:gridSpan w:val="29"/>
            <w:shd w:val="clear" w:color="auto" w:fill="CCEEFF"/>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MATERIAL U.S. FEDERAL TAX CONSIDERATIONS FOR NON-U.S. HOLDERS OF OUR</w:t>
              </w:r>
            </w:hyperlink>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720" w:type="dxa"/>
            <w:vAlign w:val="bottom"/>
            <w:tcBorders>
              <w:top w:val="single" w:sz="8" w:color="0000EE"/>
            </w:tcBorders>
            <w:gridSpan w:val="27"/>
            <w:shd w:val="clear" w:color="auto" w:fill="CCEEFF"/>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COMMON STOCK</w:t>
              </w:r>
            </w:hyperlink>
          </w:p>
        </w:tc>
        <w:tc>
          <w:tcPr>
            <w:tcW w:w="7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8"/>
            <w:shd w:val="clear" w:color="auto" w:fill="CCEEFF"/>
          </w:tcPr>
          <w:p>
            <w:pPr>
              <w:jc w:val="right"/>
              <w:ind w:right="140"/>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159</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29"/>
        </w:trPr>
        <w:tc>
          <w:tcPr>
            <w:tcW w:w="7680" w:type="dxa"/>
            <w:vAlign w:val="bottom"/>
            <w:gridSpan w:val="29"/>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UNDERWRITING (CONFLICTS OF INTEREST)</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69">
              <w:r>
                <w:rPr>
                  <w:rFonts w:ascii="Arial" w:cs="Arial" w:eastAsia="Arial" w:hAnsi="Arial"/>
                  <w:sz w:val="18"/>
                  <w:szCs w:val="18"/>
                  <w:color w:val="0000EE"/>
                </w:rPr>
                <w:t>163</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9"/>
        </w:trPr>
        <w:tc>
          <w:tcPr>
            <w:tcW w:w="7680" w:type="dxa"/>
            <w:vAlign w:val="bottom"/>
            <w:gridSpan w:val="29"/>
            <w:shd w:val="clear" w:color="auto" w:fill="CCEEFF"/>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LEGAL MATTERS</w:t>
              </w:r>
            </w:hyperlink>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176">
              <w:r>
                <w:rPr>
                  <w:rFonts w:ascii="Arial" w:cs="Arial" w:eastAsia="Arial" w:hAnsi="Arial"/>
                  <w:sz w:val="18"/>
                  <w:szCs w:val="18"/>
                  <w:color w:val="0000EE"/>
                </w:rPr>
                <w:t>170</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CHANGE IN INDEPENDENT REGISTERED PUBLIC ACCOUNTING FIRM</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76">
              <w:r>
                <w:rPr>
                  <w:rFonts w:ascii="Arial" w:cs="Arial" w:eastAsia="Arial" w:hAnsi="Arial"/>
                  <w:sz w:val="18"/>
                  <w:szCs w:val="18"/>
                  <w:color w:val="0000EE"/>
                </w:rPr>
                <w:t>170</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80" w:type="dxa"/>
            <w:vAlign w:val="bottom"/>
            <w:gridSpan w:val="2"/>
            <w:shd w:val="clear" w:color="auto" w:fill="CCEEFF"/>
          </w:tcPr>
          <w:p>
            <w:pPr>
              <w:spacing w:after="0"/>
              <w:rPr>
                <w:rFonts w:ascii="Arial" w:cs="Arial" w:eastAsia="Arial" w:hAnsi="Arial"/>
                <w:sz w:val="18"/>
                <w:szCs w:val="18"/>
                <w:color w:val="0000EE"/>
                <w:w w:val="90"/>
              </w:rPr>
            </w:pPr>
            <w:hyperlink w:anchor="page176">
              <w:r>
                <w:rPr>
                  <w:rFonts w:ascii="Arial" w:cs="Arial" w:eastAsia="Arial" w:hAnsi="Arial"/>
                  <w:sz w:val="18"/>
                  <w:szCs w:val="18"/>
                  <w:color w:val="0000EE"/>
                  <w:w w:val="90"/>
                </w:rPr>
                <w:t>EXPERTS</w:t>
              </w:r>
            </w:hyperlink>
          </w:p>
        </w:tc>
        <w:tc>
          <w:tcPr>
            <w:tcW w:w="6900" w:type="dxa"/>
            <w:vAlign w:val="bottom"/>
            <w:gridSpan w:val="27"/>
            <w:shd w:val="clear" w:color="auto" w:fill="CCEEFF"/>
          </w:tcPr>
          <w:p>
            <w:pPr>
              <w:spacing w:after="0"/>
              <w:rPr>
                <w:sz w:val="19"/>
                <w:szCs w:val="19"/>
                <w:color w:val="auto"/>
              </w:rPr>
            </w:pPr>
          </w:p>
        </w:tc>
        <w:tc>
          <w:tcPr>
            <w:tcW w:w="540" w:type="dxa"/>
            <w:vAlign w:val="bottom"/>
            <w:gridSpan w:val="8"/>
            <w:shd w:val="clear" w:color="auto" w:fill="CCEEFF"/>
          </w:tcPr>
          <w:p>
            <w:pPr>
              <w:jc w:val="right"/>
              <w:ind w:right="140"/>
              <w:spacing w:after="0"/>
              <w:rPr>
                <w:rFonts w:ascii="Arial" w:cs="Arial" w:eastAsia="Arial" w:hAnsi="Arial"/>
                <w:sz w:val="18"/>
                <w:szCs w:val="18"/>
                <w:color w:val="0000EE"/>
              </w:rPr>
            </w:pPr>
            <w:hyperlink w:anchor="page176">
              <w:r>
                <w:rPr>
                  <w:rFonts w:ascii="Arial" w:cs="Arial" w:eastAsia="Arial" w:hAnsi="Arial"/>
                  <w:sz w:val="18"/>
                  <w:szCs w:val="18"/>
                  <w:color w:val="0000EE"/>
                </w:rPr>
                <w:t>170</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29"/>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WHERE YOU CAN FIND MORE INFORMATION</w:t>
              </w:r>
            </w:hyperlink>
          </w:p>
        </w:tc>
        <w:tc>
          <w:tcPr>
            <w:tcW w:w="540" w:type="dxa"/>
            <w:vAlign w:val="bottom"/>
            <w:gridSpan w:val="8"/>
          </w:tcPr>
          <w:p>
            <w:pPr>
              <w:jc w:val="right"/>
              <w:ind w:right="140"/>
              <w:spacing w:after="0"/>
              <w:rPr>
                <w:rFonts w:ascii="Arial" w:cs="Arial" w:eastAsia="Arial" w:hAnsi="Arial"/>
                <w:sz w:val="18"/>
                <w:szCs w:val="18"/>
                <w:color w:val="0000EE"/>
              </w:rPr>
            </w:pPr>
            <w:hyperlink w:anchor="page177">
              <w:r>
                <w:rPr>
                  <w:rFonts w:ascii="Arial" w:cs="Arial" w:eastAsia="Arial" w:hAnsi="Arial"/>
                  <w:sz w:val="18"/>
                  <w:szCs w:val="18"/>
                  <w:color w:val="0000EE"/>
                </w:rPr>
                <w:t>171</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29"/>
            <w:shd w:val="clear" w:color="auto" w:fill="CCEEFF"/>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INDEX TO FINANCIAL STATEMENTS</w:t>
              </w:r>
            </w:hyperlink>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6"/>
            <w:shd w:val="clear" w:color="auto" w:fill="CCEEFF"/>
          </w:tcPr>
          <w:p>
            <w:pPr>
              <w:jc w:val="right"/>
              <w:ind w:right="140"/>
              <w:spacing w:after="0"/>
              <w:rPr>
                <w:rFonts w:ascii="Arial" w:cs="Arial" w:eastAsia="Arial" w:hAnsi="Arial"/>
                <w:sz w:val="18"/>
                <w:szCs w:val="18"/>
                <w:color w:val="0000EE"/>
                <w:w w:val="81"/>
              </w:rPr>
            </w:pPr>
            <w:hyperlink w:anchor="page178">
              <w:r>
                <w:rPr>
                  <w:rFonts w:ascii="Arial" w:cs="Arial" w:eastAsia="Arial" w:hAnsi="Arial"/>
                  <w:sz w:val="18"/>
                  <w:szCs w:val="18"/>
                  <w:color w:val="0000EE"/>
                  <w:w w:val="81"/>
                </w:rPr>
                <w:t>F-1</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-5228590</wp:posOffset>
            </wp:positionV>
            <wp:extent cx="48691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6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Neither we nor the underwriters have authorized anyone to provide you with any information other than that included in this prospectus or in any free writing prospectus prepared by or on behalf of us. We do not take any responsibility for, and can provide no assurance as to the reliability of, any information that others may give you. Offers to sell, and solicitations of offers to buy, shares of our Class A common stock are being made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operating results, and prospects may have changed since such date.</w:t>
      </w:r>
    </w:p>
    <w:p>
      <w:pPr>
        <w:spacing w:after="0" w:line="8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Class A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5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MARKET AND INDUSTRY DATA</w:t>
      </w:r>
    </w:p>
    <w:p>
      <w:pPr>
        <w:spacing w:after="0" w:line="108"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color w:val="auto"/>
        </w:rPr>
        <w:t>This prospectus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w:t>
      </w:r>
    </w:p>
    <w:p>
      <w:pPr>
        <w:spacing w:after="0" w:line="49"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In presenting this information, we have made certain assumptions that we believe to be reasonable based on such data and other similar sources and on our knowledge of, and our experience to date in, the markets in which we operate. Market share data is subject to change and may be limited by the availability of raw data, the voluntary nature of the data gathering process and other limitations inherent in any statistical survey of market shares. Accordingly, you are cautioned not to place undue reliance on such market share data or any other such estimates. While we believe such information is reliable, neither we nor the underwriters can guarantee the accuracy or completeness of this information, and neither we nor the underwriters have independently verified any third-party information and data from our internal research has not been verified by any independent source. While we believe the estimated market and industry data included in this prospectus are generally reliable, such information, which is derived in part from management’s estimates and beliefs, is inherently uncertain and imprecise.</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CERTAIN TRADEMARKS, TRADE NAMES AND SERVICE MARKS</w:t>
      </w:r>
    </w:p>
    <w:p>
      <w:pPr>
        <w:spacing w:after="0" w:line="108" w:lineRule="exact"/>
        <w:rPr>
          <w:sz w:val="20"/>
          <w:szCs w:val="20"/>
          <w:color w:val="auto"/>
        </w:rPr>
      </w:pPr>
    </w:p>
    <w:p>
      <w:pPr>
        <w:ind w:left="1260" w:right="659" w:firstLine="360"/>
        <w:spacing w:after="0" w:line="241" w:lineRule="auto"/>
        <w:rPr>
          <w:sz w:val="20"/>
          <w:szCs w:val="20"/>
          <w:color w:val="auto"/>
        </w:rPr>
      </w:pPr>
      <w:r>
        <w:rPr>
          <w:rFonts w:ascii="Arial" w:cs="Arial" w:eastAsia="Arial" w:hAnsi="Arial"/>
          <w:sz w:val="18"/>
          <w:szCs w:val="18"/>
          <w:color w:val="auto"/>
        </w:rPr>
        <w:t xml:space="preserve">This prospectus includes trademarks and service marks owned by us.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5"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In connection with the closing of this offering, we will effect certain organizational transactions. Unless otherwise stated or the context otherwise requires, all information in this prospectus reflects the completion of the organizational transactions and this offering, which we refer to collectively as the “Reorganization Transactions.” See “The Reorganization Transactions” for a description of the Reorganization Transactions and a diagram depicting our organizational structure after giving effect to the Reorganization Transactions, including this offering.</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198" w:lineRule="exact"/>
        <w:rPr>
          <w:sz w:val="20"/>
          <w:szCs w:val="20"/>
          <w:color w:val="auto"/>
        </w:rPr>
      </w:pPr>
    </w:p>
    <w:p>
      <w:pPr>
        <w:ind w:left="1980" w:right="699" w:hanging="352"/>
        <w:spacing w:after="0" w:line="293" w:lineRule="auto"/>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“Tradeweb” </w:t>
      </w:r>
      <w:r>
        <w:rPr>
          <w:rFonts w:ascii="Arial" w:cs="Arial" w:eastAsia="Arial" w:hAnsi="Arial"/>
          <w:sz w:val="16"/>
          <w:szCs w:val="16"/>
          <w:color w:val="auto"/>
        </w:rPr>
        <w:t>and similar references refer: (i) on or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Reorganization Transactions, including this offering, to Tradeweb Markets LLC, which we refer to as “TWM LLC,” and, unless otherwise stated or the context otherwise requires, all of its subsidiaries and any predecessor entities, and (ii) following the completion of the Reorganization Transactions, including this offering, to Tradeweb Markets Inc., and, unless otherwise stated or the context otherwise requires, TWM LLC and all of its subsidiaries and any predecessor entities.</w:t>
      </w:r>
    </w:p>
    <w:p>
      <w:pPr>
        <w:spacing w:after="0" w:line="123" w:lineRule="exact"/>
        <w:rPr>
          <w:rFonts w:ascii="Arial" w:cs="Arial" w:eastAsia="Arial" w:hAnsi="Arial"/>
          <w:sz w:val="16"/>
          <w:szCs w:val="16"/>
          <w:color w:val="auto"/>
        </w:rPr>
      </w:pPr>
    </w:p>
    <w:p>
      <w:pPr>
        <w:ind w:left="1980" w:right="719" w:hanging="352"/>
        <w:spacing w:after="0" w:line="273"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“Bank Stockholders” </w:t>
      </w:r>
      <w:r>
        <w:rPr>
          <w:rFonts w:ascii="Arial" w:cs="Arial" w:eastAsia="Arial" w:hAnsi="Arial"/>
          <w:sz w:val="17"/>
          <w:szCs w:val="17"/>
          <w:color w:val="auto"/>
        </w:rPr>
        <w:t>refer collectively to entities affiliated with the following customers: Barclays</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Inc., Citigroup Global Markets Inc., Credit Suisse Securities (USA) LLC, Deutsche Bank Securities Inc., Goldman Sachs &amp; Co. LLC, J.P. Morgan Securities LLC, Merrill Lynch, Pierce, Fenner &amp; Smith Incorporated (a subsidiary of Bank of America Corporation), Morgan Stanley &amp; Co. LLC, RBS Securities Inc., UBS Securities LLC and Wells Fargo Securities, LLC, which, prior to the completion of this offering, collectively hold a 46% ownership interest in Tradeweb.</w:t>
      </w:r>
    </w:p>
    <w:p>
      <w:pPr>
        <w:spacing w:after="0" w:line="23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hanging="352"/>
        <w:spacing w:after="0"/>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“Continuing LLC Owners” </w:t>
      </w:r>
      <w:r>
        <w:rPr>
          <w:rFonts w:ascii="Arial" w:cs="Arial" w:eastAsia="Arial" w:hAnsi="Arial"/>
          <w:sz w:val="17"/>
          <w:szCs w:val="17"/>
          <w:color w:val="auto"/>
        </w:rPr>
        <w:t>refer collectively to the Refinitiv LLC Owners and the Other LLC Owners.</w:t>
      </w:r>
    </w:p>
    <w:p>
      <w:pPr>
        <w:spacing w:after="0" w:line="142" w:lineRule="exact"/>
        <w:rPr>
          <w:rFonts w:ascii="Arial" w:cs="Arial" w:eastAsia="Arial" w:hAnsi="Arial"/>
          <w:sz w:val="17"/>
          <w:szCs w:val="17"/>
          <w:color w:val="auto"/>
        </w:rPr>
      </w:pPr>
    </w:p>
    <w:p>
      <w:pPr>
        <w:ind w:left="1980" w:right="919" w:hanging="352"/>
        <w:spacing w:after="0" w:line="259"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“Investor Group” </w:t>
      </w:r>
      <w:r>
        <w:rPr>
          <w:rFonts w:ascii="Arial" w:cs="Arial" w:eastAsia="Arial" w:hAnsi="Arial"/>
          <w:sz w:val="18"/>
          <w:szCs w:val="18"/>
          <w:color w:val="auto"/>
        </w:rPr>
        <w:t>refer to certain investment funds affiliated with The Blackstone Group L.P.,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of Canada Pension Plan Investment Board, an affiliate of GIC Special Investments Pte. Ltd. and certain co-investors, which collectively hold indirectly a 55% ownership interest in Refinitiv (as defined below).</w:t>
      </w:r>
    </w:p>
    <w:p>
      <w:pPr>
        <w:spacing w:after="0" w:line="92"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“LLC Interests” </w:t>
      </w:r>
      <w:r>
        <w:rPr>
          <w:rFonts w:ascii="Arial" w:cs="Arial" w:eastAsia="Arial" w:hAnsi="Arial"/>
          <w:sz w:val="16"/>
          <w:szCs w:val="16"/>
          <w:color w:val="auto"/>
        </w:rPr>
        <w:t>refer to the single class of newly issued common membership interests of TWM LLC.</w:t>
      </w:r>
    </w:p>
    <w:p>
      <w:pPr>
        <w:spacing w:after="0" w:line="153" w:lineRule="exact"/>
        <w:rPr>
          <w:rFonts w:ascii="Arial" w:cs="Arial" w:eastAsia="Arial" w:hAnsi="Arial"/>
          <w:sz w:val="16"/>
          <w:szCs w:val="16"/>
          <w:color w:val="auto"/>
        </w:rPr>
      </w:pPr>
    </w:p>
    <w:p>
      <w:pPr>
        <w:ind w:left="1980" w:hanging="352"/>
        <w:spacing w:after="0"/>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“Original LLC Owners” </w:t>
      </w:r>
      <w:r>
        <w:rPr>
          <w:rFonts w:ascii="Arial" w:cs="Arial" w:eastAsia="Arial" w:hAnsi="Arial"/>
          <w:sz w:val="17"/>
          <w:szCs w:val="17"/>
          <w:color w:val="auto"/>
        </w:rPr>
        <w:t>refer to the owners of TWM LLC prior to the Reorganization Transactions.</w:t>
      </w:r>
    </w:p>
    <w:p>
      <w:pPr>
        <w:spacing w:after="0" w:line="142" w:lineRule="exact"/>
        <w:rPr>
          <w:rFonts w:ascii="Arial" w:cs="Arial" w:eastAsia="Arial" w:hAnsi="Arial"/>
          <w:sz w:val="17"/>
          <w:szCs w:val="17"/>
          <w:color w:val="auto"/>
        </w:rPr>
      </w:pPr>
    </w:p>
    <w:p>
      <w:pPr>
        <w:ind w:left="1980" w:right="819" w:hanging="352"/>
        <w:spacing w:after="0" w:line="273" w:lineRule="auto"/>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“Other LLC Owners” </w:t>
      </w:r>
      <w:r>
        <w:rPr>
          <w:rFonts w:ascii="Arial" w:cs="Arial" w:eastAsia="Arial" w:hAnsi="Arial"/>
          <w:sz w:val="17"/>
          <w:szCs w:val="17"/>
          <w:color w:val="auto"/>
        </w:rPr>
        <w:t>refer collectively to those Original LLC Owners (including the Bank</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and certain of our executive officers and excluding the Refinitiv LLC Owners) that will continue to own LLC Interests after the completion of the Reorganization Transactions, including this offering, and who may, following the completion of this offering, redeem or exchange their LLC Interests for shares of our Class A common stock or Class B common stock as described in “Certain Relationships and Related Party Transactions — TWM LLC Agreement.”</w:t>
      </w:r>
    </w:p>
    <w:p>
      <w:pPr>
        <w:spacing w:after="0" w:line="83" w:lineRule="exact"/>
        <w:rPr>
          <w:rFonts w:ascii="Arial" w:cs="Arial" w:eastAsia="Arial" w:hAnsi="Arial"/>
          <w:sz w:val="17"/>
          <w:szCs w:val="17"/>
          <w:color w:val="auto"/>
        </w:rPr>
      </w:pPr>
    </w:p>
    <w:p>
      <w:pPr>
        <w:jc w:val="both"/>
        <w:ind w:left="1980" w:right="699" w:hanging="352"/>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w:t>
      </w:r>
      <w:r>
        <w:rPr>
          <w:rFonts w:ascii="Arial" w:cs="Arial" w:eastAsia="Arial" w:hAnsi="Arial"/>
          <w:sz w:val="18"/>
          <w:szCs w:val="18"/>
          <w:color w:val="auto"/>
        </w:rPr>
        <w:t>refer to King (Cayman) Holdings Ltd., which owns substantially all of the former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and risk business of Thomson Reuters (as defined below), including an indirect 54% ownership interest in Tradeweb, and is controlled by the Investor Group.</w:t>
      </w:r>
    </w:p>
    <w:p>
      <w:pPr>
        <w:spacing w:after="0" w:line="89"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“Refinitiv Direct Owners</w:t>
      </w:r>
      <w:r>
        <w:rPr>
          <w:rFonts w:ascii="Arial" w:cs="Arial" w:eastAsia="Arial" w:hAnsi="Arial"/>
          <w:sz w:val="18"/>
          <w:szCs w:val="18"/>
          <w:color w:val="auto"/>
        </w:rPr>
        <w:t>” refer collectively to those Original LLC Owners (including certain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of Refinitiv) that will exchange their indirect ownership of LLC Interests for shares of our Class B common stock in connection with the completion of the Reorganization Transactions, including this offering.</w:t>
      </w:r>
    </w:p>
    <w:p>
      <w:pPr>
        <w:spacing w:after="0" w:line="105" w:lineRule="exact"/>
        <w:rPr>
          <w:rFonts w:ascii="Arial" w:cs="Arial" w:eastAsia="Arial" w:hAnsi="Arial"/>
          <w:sz w:val="18"/>
          <w:szCs w:val="18"/>
          <w:color w:val="auto"/>
        </w:rPr>
      </w:pPr>
    </w:p>
    <w:p>
      <w:pPr>
        <w:ind w:left="1980" w:right="719" w:hanging="352"/>
        <w:spacing w:after="0" w:line="273" w:lineRule="auto"/>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“Refinitiv LLC Owners” </w:t>
      </w:r>
      <w:r>
        <w:rPr>
          <w:rFonts w:ascii="Arial" w:cs="Arial" w:eastAsia="Arial" w:hAnsi="Arial"/>
          <w:sz w:val="17"/>
          <w:szCs w:val="17"/>
          <w:color w:val="auto"/>
        </w:rPr>
        <w:t>refer collectively to those Original LLC Owners (including certain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of Refinitiv and excluding the Other LLC Owners) that will continue to own LLC Interests after the completion of the Reorganization Transactions, including this offering, and who may, following the completion of this offering, redeem or exchange their LLC Interests for shares of our Class A common stock or Class B common stock as described in “Certain Relationships and Related Party Transactions — TWM LLC Agreement.”</w:t>
      </w:r>
    </w:p>
    <w:p>
      <w:pPr>
        <w:spacing w:after="0" w:line="83" w:lineRule="exact"/>
        <w:rPr>
          <w:rFonts w:ascii="Arial" w:cs="Arial" w:eastAsia="Arial" w:hAnsi="Arial"/>
          <w:sz w:val="17"/>
          <w:szCs w:val="17"/>
          <w:color w:val="auto"/>
        </w:rPr>
      </w:pPr>
    </w:p>
    <w:p>
      <w:pPr>
        <w:ind w:left="1980" w:hanging="352"/>
        <w:spacing w:after="0"/>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“Refinitiv Owners” </w:t>
      </w:r>
      <w:r>
        <w:rPr>
          <w:rFonts w:ascii="Arial" w:cs="Arial" w:eastAsia="Arial" w:hAnsi="Arial"/>
          <w:sz w:val="17"/>
          <w:szCs w:val="17"/>
          <w:color w:val="auto"/>
        </w:rPr>
        <w:t>refer collectively to the Refinitiv Direct Owners and the Refinitiv LLC Owners.</w:t>
      </w:r>
    </w:p>
    <w:p>
      <w:pPr>
        <w:spacing w:after="0" w:line="142" w:lineRule="exact"/>
        <w:rPr>
          <w:rFonts w:ascii="Arial" w:cs="Arial" w:eastAsia="Arial" w:hAnsi="Arial"/>
          <w:sz w:val="17"/>
          <w:szCs w:val="17"/>
          <w:color w:val="auto"/>
        </w:rPr>
      </w:pPr>
    </w:p>
    <w:p>
      <w:pPr>
        <w:ind w:left="1980" w:right="859" w:hanging="352"/>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Transaction” </w:t>
      </w:r>
      <w:r>
        <w:rPr>
          <w:rFonts w:ascii="Arial" w:cs="Arial" w:eastAsia="Arial" w:hAnsi="Arial"/>
          <w:sz w:val="18"/>
          <w:szCs w:val="18"/>
          <w:color w:val="auto"/>
        </w:rPr>
        <w:t>refer to the transaction pursuant to which Refinitiv indirectly acquired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2018 substantially all of the financial and risk business of Thomson Reuters and Thomson Reuters indirectly acquired a 45% ownership interest in Refinitiv.</w:t>
      </w:r>
    </w:p>
    <w:p>
      <w:pPr>
        <w:spacing w:after="0" w:line="102"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“Thomson Reuters” </w:t>
      </w:r>
      <w:r>
        <w:rPr>
          <w:rFonts w:ascii="Arial" w:cs="Arial" w:eastAsia="Arial" w:hAnsi="Arial"/>
          <w:sz w:val="18"/>
          <w:szCs w:val="18"/>
          <w:color w:val="auto"/>
        </w:rPr>
        <w:t>refer to Thomson Reuters Corporation, which indirectly holds a 45%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Refinitiv.</w:t>
      </w:r>
    </w:p>
    <w:p>
      <w:pPr>
        <w:spacing w:after="0" w:line="75" w:lineRule="exact"/>
        <w:rPr>
          <w:rFonts w:ascii="Arial" w:cs="Arial" w:eastAsia="Arial" w:hAnsi="Arial"/>
          <w:sz w:val="18"/>
          <w:szCs w:val="18"/>
          <w:color w:val="auto"/>
        </w:rPr>
      </w:pPr>
    </w:p>
    <w:p>
      <w:pPr>
        <w:ind w:left="1980" w:right="1139" w:hanging="352"/>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refer to the Refinitiv Transaction, the Reorganization Transactions, including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and the other transactions described in “Unaudited Pro Forma Consolidated Financial Information.”</w:t>
      </w:r>
    </w:p>
    <w:p>
      <w:pPr>
        <w:spacing w:after="0" w:line="76"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color w:val="auto"/>
        </w:rPr>
        <w:t>We will be a holding company and the sole manager of Tradeweb Markets LLC, and upon completion of this offering and the application of proceeds therefrom, our principal asset will be LLC Interests of Tradeweb Markets LLC. Tradeweb Markets LLC is the predecessor of the issuer, Tradeweb Markets Inc., for financial reporting purposes. Tradeweb Markets Inc. will be the audited financial reporting entity following this offering. Accordingly, this prospectus contains the following historical financial statements:</w:t>
      </w:r>
    </w:p>
    <w:p>
      <w:pPr>
        <w:spacing w:after="0" w:line="82" w:lineRule="exact"/>
        <w:rPr>
          <w:sz w:val="20"/>
          <w:szCs w:val="20"/>
          <w:color w:val="auto"/>
        </w:rPr>
      </w:pPr>
    </w:p>
    <w:p>
      <w:pPr>
        <w:ind w:left="1980" w:right="699" w:hanging="352"/>
        <w:spacing w:after="0" w:line="279"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Tradeweb Markets Inc. Other than the inception statement of financial condition, dated as of November 7, 2018, the historical financial information of Tradeweb Markets Inc. has not been included in this prospectus as it is a newly incorporated entity, has no business transactions or activities to date and had no assets or liabilities during the periods presented in this prospectus.</w:t>
      </w:r>
    </w:p>
    <w:p>
      <w:pPr>
        <w:spacing w:after="0" w:line="23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799" w:hanging="352"/>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Tradeweb Markets LLC. As we will have no other interest in any operations other than those of Tradeweb Markets LLC and its subsidiaries, the historical consolidated financial information included in this prospectus is that of Tradeweb Markets LLC and its subsidiaries.</w:t>
      </w:r>
    </w:p>
    <w:p>
      <w:pPr>
        <w:spacing w:after="0" w:line="76"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The unaudited pro forma consolidated financial information of Tradeweb Markets Inc. presented in this prospectus has been derived by the application of pro forma adjustments to the historical consolidated financial statements of Tradeweb Markets LLC and its subsidiaries included elsewhere in this prospectus. These pro forma adjustments give effect to the Transactions, including this offering, as well as certain other items described therein, as if all such transactions had occurred on January 1, 2017, in the case of the unaudited pro forma consolidated statement of operations data, and as of December 31, 2017, in the case of the unaudited pro forma consolidated statement of financial condition. See “Unaudited Pro Forma Consolidated Financial Information” for a complete description of the adjustments and assumptions underlying the pro forma financial information included in this prospectus.</w:t>
      </w:r>
    </w:p>
    <w:p>
      <w:pPr>
        <w:spacing w:after="0" w:line="73"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Numerical figures included in this prospectus have been subject to rounding adjustments. Accordingly, numerical figures shown as totals in various tables may not be arithmetic aggregations of the figures that precede them. In addition, we round certain percentages presented in this prospectus to the nearest whole number. As a result, figures expressed as percentages in the text may not total 100% or, when aggregated, may not be the arithmetic aggregation of the percentages that precede them.</w:t>
      </w:r>
    </w:p>
    <w:p>
      <w:pPr>
        <w:spacing w:after="0" w:line="15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USE OF NON-GAAP FINANCIAL MEASURES</w:t>
      </w:r>
    </w:p>
    <w:p>
      <w:pPr>
        <w:spacing w:after="0" w:line="108"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This prospectus contains “non-GAAP financial measures,” which are financial measures that are not calculated and presented in accordance with generally accepted accounting principles in the United States, or “GAAP.”</w:t>
      </w:r>
    </w:p>
    <w:p>
      <w:pPr>
        <w:spacing w:after="0" w:line="76" w:lineRule="exact"/>
        <w:rPr>
          <w:sz w:val="20"/>
          <w:szCs w:val="20"/>
          <w:color w:val="auto"/>
        </w:rPr>
      </w:pPr>
    </w:p>
    <w:p>
      <w:pPr>
        <w:jc w:val="both"/>
        <w:ind w:left="1260" w:right="839" w:firstLine="360"/>
        <w:spacing w:after="0" w:line="286" w:lineRule="auto"/>
        <w:rPr>
          <w:sz w:val="20"/>
          <w:szCs w:val="20"/>
          <w:color w:val="auto"/>
        </w:rPr>
      </w:pPr>
      <w:r>
        <w:rPr>
          <w:rFonts w:ascii="Arial" w:cs="Arial" w:eastAsia="Arial" w:hAnsi="Arial"/>
          <w:sz w:val="17"/>
          <w:szCs w:val="17"/>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57" w:lineRule="exact"/>
        <w:rPr>
          <w:sz w:val="20"/>
          <w:szCs w:val="20"/>
          <w:color w:val="auto"/>
        </w:rPr>
      </w:pPr>
    </w:p>
    <w:p>
      <w:pPr>
        <w:ind w:left="1980" w:right="73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62" w:lineRule="exact"/>
        <w:rPr>
          <w:rFonts w:ascii="Arial" w:cs="Arial" w:eastAsia="Arial" w:hAnsi="Arial"/>
          <w:sz w:val="18"/>
          <w:szCs w:val="18"/>
          <w:color w:val="auto"/>
        </w:rPr>
      </w:pPr>
    </w:p>
    <w:p>
      <w:pPr>
        <w:ind w:left="1980" w:right="131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62"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color w:val="auto"/>
        </w:rPr>
        <w:t>Specifically, we make use of the non-GAAP financial measures “Free Cash Flow,” “Adjusted EBITDA,” “Adjusted EBITDA margin” and “Adjusted Net Income” in evaluating our past results and future prospects. For the definition of Free Cash Flow and a reconciliation to cash flow from operating activities, its most directly comparable financial measure presented in accordance with GAAP, see footnote 4 to the table under the heading “Prospectus Summary — Summary Historical and Pro Forma Consolidated Financial and Other Data.” For the definitions of Adjusted EBITDA and Adjusted Net Income and reconciliations to net income, their most directly comparable financial measure presented in accordance with GAAP, see footnote 5 to the table under the heading “Prospectus Summary — Summary Historical and Pro Forma Consolidated Financial and Other Data.” Adjusted EBITDA margin is defined as Adjusted EBITDA divided by gross revenue for the applicable period.</w:t>
      </w:r>
    </w:p>
    <w:p>
      <w:pPr>
        <w:spacing w:after="0" w:line="58" w:lineRule="exact"/>
        <w:rPr>
          <w:sz w:val="20"/>
          <w:szCs w:val="20"/>
          <w:color w:val="auto"/>
        </w:rPr>
      </w:pPr>
    </w:p>
    <w:p>
      <w:pPr>
        <w:jc w:val="both"/>
        <w:ind w:left="1260" w:right="739" w:firstLine="360"/>
        <w:spacing w:after="0" w:line="311"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4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present Adjusted EBITDA, Adjusted EBITDA margin and Adjusted Net Income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24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We use Adjusted Net Income as a supplemental metric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80"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Free Cash Flow, Adjusted EBITDA and Adjusted Net Income have limitations as analytical tools, and you should not consider such measures either in isolation or as substitutes for analyzing our results as reported under GAAP. Some of these limitations include the following:</w:t>
      </w:r>
    </w:p>
    <w:p>
      <w:pPr>
        <w:spacing w:after="0" w:line="157" w:lineRule="exact"/>
        <w:rPr>
          <w:sz w:val="20"/>
          <w:szCs w:val="20"/>
          <w:color w:val="auto"/>
        </w:rPr>
      </w:pPr>
    </w:p>
    <w:p>
      <w:pPr>
        <w:ind w:left="1980" w:right="819" w:hanging="352"/>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Free Cash Flow, Adjusted EBITDA and Adjusted Net Income do not reflect every expenditure, future requirements for capital expenditures or contractual commitments;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and Adjusted Net Income do not reflect changes in our working capital needs;</w:t>
      </w:r>
    </w:p>
    <w:p>
      <w:pPr>
        <w:spacing w:after="0" w:line="196" w:lineRule="exact"/>
        <w:rPr>
          <w:rFonts w:ascii="Arial" w:cs="Arial" w:eastAsia="Arial" w:hAnsi="Arial"/>
          <w:sz w:val="17"/>
          <w:szCs w:val="17"/>
          <w:color w:val="auto"/>
        </w:rPr>
      </w:pPr>
    </w:p>
    <w:p>
      <w:pPr>
        <w:ind w:left="1980" w:right="719" w:hanging="352"/>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any interest expense, or the amounts necessary to service interest or principal payments on any debt obligations;</w:t>
      </w:r>
    </w:p>
    <w:p>
      <w:pPr>
        <w:spacing w:after="0" w:line="143" w:lineRule="exact"/>
        <w:rPr>
          <w:rFonts w:ascii="Arial" w:cs="Arial" w:eastAsia="Arial" w:hAnsi="Arial"/>
          <w:sz w:val="18"/>
          <w:szCs w:val="18"/>
          <w:color w:val="auto"/>
        </w:rPr>
      </w:pPr>
    </w:p>
    <w:p>
      <w:pPr>
        <w:ind w:left="1980" w:right="819" w:hanging="352"/>
        <w:spacing w:after="0" w:line="263"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and, following the completion of the Reorganization Transactions, because the payment of taxes will be part of our operations, tax expense will be a necessary element of our costs and ability to operate;</w:t>
      </w:r>
    </w:p>
    <w:p>
      <w:pPr>
        <w:spacing w:after="0" w:line="143" w:lineRule="exact"/>
        <w:rPr>
          <w:rFonts w:ascii="Arial" w:cs="Arial" w:eastAsia="Arial" w:hAnsi="Arial"/>
          <w:sz w:val="18"/>
          <w:szCs w:val="18"/>
          <w:color w:val="auto"/>
        </w:rPr>
      </w:pPr>
    </w:p>
    <w:p>
      <w:pPr>
        <w:ind w:left="1980" w:right="1079" w:hanging="352"/>
        <w:spacing w:after="0" w:line="263"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43"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future periods, we expect Adjusted EBITDA and Adjusted Net Income will not reflect the noncash component of employee compensation;</w:t>
      </w:r>
    </w:p>
    <w:p>
      <w:pPr>
        <w:spacing w:after="0" w:line="129" w:lineRule="exact"/>
        <w:rPr>
          <w:rFonts w:ascii="Arial" w:cs="Arial" w:eastAsia="Arial" w:hAnsi="Arial"/>
          <w:sz w:val="18"/>
          <w:szCs w:val="18"/>
          <w:color w:val="auto"/>
        </w:rPr>
      </w:pPr>
    </w:p>
    <w:p>
      <w:pPr>
        <w:ind w:left="1980" w:right="799" w:hanging="352"/>
        <w:spacing w:after="0" w:line="342" w:lineRule="auto"/>
        <w:tabs>
          <w:tab w:leader="none" w:pos="1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and Adjusted Net Income do not reflect the impact of earnings or charges resulting from matters we consider not to be indicative, on a recurring basis, of our ongoing operations; and</w:t>
      </w:r>
    </w:p>
    <w:p>
      <w:pPr>
        <w:spacing w:after="0" w:line="96" w:lineRule="exact"/>
        <w:rPr>
          <w:rFonts w:ascii="Arial" w:cs="Arial" w:eastAsia="Arial" w:hAnsi="Arial"/>
          <w:sz w:val="16"/>
          <w:szCs w:val="16"/>
          <w:color w:val="auto"/>
        </w:rPr>
      </w:pPr>
    </w:p>
    <w:p>
      <w:pPr>
        <w:ind w:left="1980" w:right="899" w:hanging="352"/>
        <w:spacing w:after="0" w:line="263"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and Adjusted Net Income or similarly titled measures differently than we do, limiting their usefulness as comparative measures.</w:t>
      </w:r>
    </w:p>
    <w:p>
      <w:pPr>
        <w:spacing w:after="0" w:line="76"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and Adjusted Net Income only as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PROSPECTUS SUMMARY</w:t>
      </w:r>
    </w:p>
    <w:p>
      <w:pPr>
        <w:spacing w:after="0" w:line="108" w:lineRule="exact"/>
        <w:rPr>
          <w:sz w:val="20"/>
          <w:szCs w:val="20"/>
          <w:color w:val="auto"/>
        </w:rPr>
      </w:pPr>
    </w:p>
    <w:p>
      <w:pPr>
        <w:ind w:left="1280" w:right="719" w:firstLine="360"/>
        <w:spacing w:after="0" w:line="254" w:lineRule="auto"/>
        <w:rPr>
          <w:sz w:val="20"/>
          <w:szCs w:val="20"/>
          <w:color w:val="auto"/>
        </w:rPr>
      </w:pPr>
      <w:r>
        <w:rPr>
          <w:rFonts w:ascii="Arial" w:cs="Arial" w:eastAsia="Arial" w:hAnsi="Arial"/>
          <w:sz w:val="18"/>
          <w:szCs w:val="18"/>
          <w:i w:val="1"/>
          <w:iCs w:val="1"/>
          <w:color w:val="auto"/>
        </w:rPr>
        <w:t>This summary highlights information contained in this prospectus and does not contain all of the information that you should consider in making your investment decision. Before investing in our Class A common stock, you should carefully read this entire prospectus, including our consolidated financial statements and related notes thereto included elsewhere in this prospectus and the information in “Risk Factors,” “Cautionary Note Regarding Forward-Looking Statements” and “Management’s Discussion and Analysis of Financial Condition and Results of Operations.” For a description of certain of the terms we use to describe our business in this prospectus, see “Business.”</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80" w:right="639" w:firstLine="360"/>
        <w:spacing w:after="0" w:line="288"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institutional, wholesale and retail clients, including many of the largest global asset managers, insurance companies, central banks, banks and dealers, proprietary trading firms and retail brokerage and financial advisory firms. Our marketplaces facilitate trading across asset classes including rates, credit, money markets and equities. We are a global company serving clients in 62 countries with offices in North America, Europe and Asia. Our proprietary technology and culture of collaborative innovation allow us to adapt our offerings to enter new markets, create new products and adjust to regulations quickly and efficiently. We support our clients and provide solutions across the trade lifecycle, including pre-trade, execution, post-trade and data. Our marketplaces provide deep pools of liquidity with average daily trading volume for the first nine months of 2018 of over $530 billion across more than 40 products.</w:t>
      </w:r>
    </w:p>
    <w:p>
      <w:pPr>
        <w:spacing w:after="0" w:line="60" w:lineRule="exact"/>
        <w:rPr>
          <w:sz w:val="20"/>
          <w:szCs w:val="20"/>
          <w:color w:val="auto"/>
        </w:rPr>
      </w:pPr>
    </w:p>
    <w:p>
      <w:pPr>
        <w:jc w:val="both"/>
        <w:ind w:left="1280" w:right="719" w:firstLine="360"/>
        <w:spacing w:after="0" w:line="263"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protocols and trade lifecycle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80" w:right="799" w:firstLine="360"/>
        <w:spacing w:after="0" w:line="271" w:lineRule="auto"/>
        <w:rPr>
          <w:sz w:val="20"/>
          <w:szCs w:val="20"/>
          <w:color w:val="auto"/>
        </w:rPr>
      </w:pPr>
      <w:r>
        <w:rPr>
          <w:rFonts w:ascii="Arial" w:cs="Arial" w:eastAsia="Arial" w:hAnsi="Arial"/>
          <w:sz w:val="17"/>
          <w:szCs w:val="17"/>
          <w:color w:val="auto"/>
        </w:rPr>
        <w:t>Our markets are large and growing. Electronic trading continues to develop as a result of client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environments across multiple regions and regulatory regimes. As market participants seek to reduce their costs of trading and increase the effectiveness of their trading through the use of our data and analytics, we believe the demand for our platforms and electronic trading solutions will grow.</w:t>
      </w:r>
    </w:p>
    <w:p>
      <w:pPr>
        <w:spacing w:after="0" w:line="70" w:lineRule="exact"/>
        <w:rPr>
          <w:sz w:val="20"/>
          <w:szCs w:val="20"/>
          <w:color w:val="auto"/>
        </w:rPr>
      </w:pPr>
    </w:p>
    <w:p>
      <w:pPr>
        <w:ind w:left="1280" w:right="659" w:firstLine="360"/>
        <w:spacing w:after="0" w:line="275" w:lineRule="auto"/>
        <w:rPr>
          <w:sz w:val="20"/>
          <w:szCs w:val="20"/>
          <w:color w:val="auto"/>
        </w:rPr>
      </w:pPr>
      <w:r>
        <w:rPr>
          <w:rFonts w:ascii="Arial" w:cs="Arial" w:eastAsia="Arial" w:hAnsi="Arial"/>
          <w:sz w:val="17"/>
          <w:szCs w:val="17"/>
          <w:color w:val="auto"/>
        </w:rPr>
        <w:t>We have a powerful network of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grows across client sectors, we generate additional transactions and data on our marketplaces, driving a virtuous cycle of greater liquidity and value for our market participants.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99" w:firstLine="360"/>
        <w:spacing w:after="0" w:line="271" w:lineRule="auto"/>
        <w:rPr>
          <w:sz w:val="20"/>
          <w:szCs w:val="20"/>
          <w:color w:val="auto"/>
        </w:rPr>
      </w:pPr>
      <w:r>
        <w:rPr>
          <w:rFonts w:ascii="Arial" w:cs="Arial" w:eastAsia="Arial" w:hAnsi="Arial"/>
          <w:sz w:val="17"/>
          <w:szCs w:val="17"/>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 market structure. We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70" w:lineRule="exact"/>
        <w:rPr>
          <w:sz w:val="20"/>
          <w:szCs w:val="20"/>
          <w:color w:val="auto"/>
        </w:rPr>
      </w:pPr>
    </w:p>
    <w:p>
      <w:pPr>
        <w:ind w:left="1280" w:right="679" w:firstLine="360"/>
        <w:spacing w:after="0" w:line="287" w:lineRule="auto"/>
        <w:rPr>
          <w:sz w:val="20"/>
          <w:szCs w:val="20"/>
          <w:color w:val="auto"/>
        </w:rPr>
      </w:pPr>
      <w:r>
        <w:rPr>
          <w:rFonts w:ascii="Arial" w:cs="Arial" w:eastAsia="Arial" w:hAnsi="Arial"/>
          <w:sz w:val="16"/>
          <w:szCs w:val="16"/>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2017, we had annual compound trading volume growth of 10.8% and posted annual compound gross revenue growth of 11.5 %. Approximately 52% of our revenues for the year ended December 31, 2017 was fixed and generated from subscription fees and minimum volume floors. For the years ended December 31, 2017 and 2016, respectively, our gross revenue was $563.0 million and $518.4 million, an increase of 8.6%, our net income was $83.6 million and $93.2 million, our Adjusted EBITDA was $215.9 million and $202.1 million, with an Adjusted EBITDA margin of 38.3% and 39.0%, and our Adjusted Net Income was $173.0 million and $162.4 million. For the definitions of Adjusted EBITDA, Adjusted EBITDA margin and Adjusted Net Income and reconciliations to net income, their most directly comparable financial measure presented in accordance with GAAP, see footnote 5 in “— Summary Historical and Pro Forma Consolidated Financial and Other Data.”</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80" w:right="65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marketplace went live in 1998, and over the next two decades, we leveraged our technology and expertise to expand into additional rates products and other asset classes, such as credit, money markets and certain equities. Client demand for better trading workflow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2005 where our first local product was for Japanese Government Bonds. We have continued to expand our product and client base in Europe and Asia.</w:t>
      </w:r>
    </w:p>
    <w:p>
      <w:pPr>
        <w:spacing w:after="0" w:line="58" w:lineRule="exact"/>
        <w:rPr>
          <w:sz w:val="20"/>
          <w:szCs w:val="20"/>
          <w:color w:val="auto"/>
        </w:rPr>
      </w:pPr>
    </w:p>
    <w:p>
      <w:pPr>
        <w:ind w:left="1280" w:right="659" w:firstLine="360"/>
        <w:spacing w:after="0" w:line="286" w:lineRule="auto"/>
        <w:rPr>
          <w:sz w:val="20"/>
          <w:szCs w:val="20"/>
          <w:color w:val="auto"/>
        </w:rPr>
      </w:pPr>
      <w:r>
        <w:rPr>
          <w:rFonts w:ascii="Arial" w:cs="Arial" w:eastAsia="Arial" w:hAnsi="Arial"/>
          <w:sz w:val="16"/>
          <w:szCs w:val="16"/>
          <w:color w:val="auto"/>
        </w:rPr>
        <w:t>We identified an opportunity to expand our marketplaces to the wholesale and retail client sectors based on our existing relationships with dealers and our strong market position. We developed our wholesale business through our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position through our acquisition of BondDesk in 2013, and then leveraged our market and technology expertise to enhance our platforms serving that client sector. Throughout our evolution we have offered many new innovations for our clients that have provided greater pre-trade price transparency, better execution quality and seamless post-trade solutions. Such innovations include pre-trade composite pricing for multi-dealer-to-customer (“D2C”) trading and using the Request-for-Quote (“RFQ”) protocol across the fixed income markets. We have also integrated our trading platforms with our proprietary post-trade systems as well as our clients’ systems for seamless post-trade processing. We expect to continue to leverage our success to expand into new products, asset classes and geographies, while growing our powerful network of clients.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79" w:firstLine="360"/>
        <w:spacing w:after="0" w:line="259" w:lineRule="auto"/>
        <w:rPr>
          <w:sz w:val="20"/>
          <w:szCs w:val="20"/>
          <w:color w:val="auto"/>
        </w:rPr>
      </w:pPr>
      <w:r>
        <w:rPr>
          <w:rFonts w:ascii="Arial" w:cs="Arial" w:eastAsia="Arial" w:hAnsi="Arial"/>
          <w:sz w:val="18"/>
          <w:szCs w:val="18"/>
          <w:color w:val="auto"/>
        </w:rPr>
        <w:t>We have continued to solve inefficiencies by adding new products across our rates, credit, money markets and equities asset classes, thereby increasing our opportunities and related addressable markets, where average daily trading volumes have grown from $0.6 trillion in 1998 to $3.7 trillion in 2017, according to industry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Market Opportunity</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63" w:lineRule="exact"/>
        <w:rPr>
          <w:sz w:val="20"/>
          <w:szCs w:val="20"/>
          <w:color w:val="auto"/>
        </w:rPr>
      </w:pPr>
    </w:p>
    <w:p>
      <w:pPr>
        <w:ind w:left="1280" w:right="699" w:firstLine="360"/>
        <w:spacing w:after="0" w:line="293" w:lineRule="auto"/>
        <w:rPr>
          <w:sz w:val="20"/>
          <w:szCs w:val="20"/>
          <w:color w:val="auto"/>
        </w:rPr>
      </w:pPr>
      <w:r>
        <w:rPr>
          <w:rFonts w:ascii="Arial" w:cs="Arial" w:eastAsia="Arial" w:hAnsi="Arial"/>
          <w:sz w:val="16"/>
          <w:szCs w:val="16"/>
          <w:color w:val="auto"/>
        </w:rPr>
        <w:t>Based on industry sources, we estimate that the global notional value outstanding for rates and credit is approximately $522 trillion at the end of 2017. When combined with the market size for money markets and equities, the market for our solutions increases to an estimated notional value of approximately $537 trillion. The markets in which we participate are actively traded, generating an estimated average daily trading volume of approximately $3.7 trillion in 2017. Major market participants include large banks, asset managers, hedge funds, central banks, dealers, insurance companies, corporations, governments and retail investors.</w:t>
      </w:r>
    </w:p>
    <w:p>
      <w:pPr>
        <w:spacing w:after="0" w:line="43" w:lineRule="exact"/>
        <w:rPr>
          <w:sz w:val="20"/>
          <w:szCs w:val="20"/>
          <w:color w:val="auto"/>
        </w:rPr>
      </w:pPr>
    </w:p>
    <w:p>
      <w:pPr>
        <w:ind w:left="1280" w:right="719" w:firstLine="360"/>
        <w:spacing w:after="0" w:line="286" w:lineRule="auto"/>
        <w:rPr>
          <w:sz w:val="20"/>
          <w:szCs w:val="20"/>
          <w:color w:val="auto"/>
        </w:rPr>
      </w:pPr>
      <w:r>
        <w:rPr>
          <w:rFonts w:ascii="Arial" w:cs="Arial" w:eastAsia="Arial" w:hAnsi="Arial"/>
          <w:sz w:val="16"/>
          <w:szCs w:val="16"/>
          <w:color w:val="auto"/>
        </w:rPr>
        <w:t>Trading activity is influenced by, among other things, the amount of notional securities outstanding, issuance, market volatility, regulation and economic factors such as growth and monetary policy. The U.S. government bond market has experienced substantial growth in notional outstanding growing at 12% annually since 2007 according to SIFMA. The U.S. corporate bond and Chinese bond markets have grown annually at 5% and 21%, respectively, over the last decade according to SIFMA and CFETS. The U.S. and European ETF markets have both grown annually at nearly 20% respectively since 2007 according to etfgi.com and Thomson Reuters. Continuing growth in these markets may be driven by increasing global trading volumes, resulting from increased economic activity, including growing international securities trading, new debt and equity issuances and continued economic growth. Additionally, after a period of historically low interest rates, trading volumes in our rates asset class may benefit from interest rates normalizing to higher levels as global central banks move toward monetary policy normalization. These markets have also migrated to electronic trading platforms at different adoption rates — some gradually over time (e.g., government bonds and credit bonds) and others on a more accelerated basis due to regulation (e.g., interest rate swaps).</w:t>
      </w:r>
    </w:p>
    <w:p>
      <w:pPr>
        <w:spacing w:after="0" w:line="39" w:lineRule="exact"/>
        <w:rPr>
          <w:sz w:val="20"/>
          <w:szCs w:val="20"/>
          <w:color w:val="auto"/>
        </w:rPr>
      </w:pPr>
    </w:p>
    <w:p>
      <w:pPr>
        <w:ind w:left="1280" w:right="719" w:firstLine="360"/>
        <w:spacing w:after="0" w:line="259"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more global. Our markets operate throughout the now global 24 hour trading day as participants have become increasingly global and comprehensive, trading across multiple geographies, asset classes and currencies.</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63" w:lineRule="exact"/>
        <w:rPr>
          <w:sz w:val="20"/>
          <w:szCs w:val="20"/>
          <w:color w:val="auto"/>
        </w:rPr>
      </w:pPr>
    </w:p>
    <w:p>
      <w:pPr>
        <w:ind w:left="1280" w:right="859" w:firstLine="360"/>
        <w:spacing w:after="0" w:line="342" w:lineRule="auto"/>
        <w:rPr>
          <w:sz w:val="20"/>
          <w:szCs w:val="20"/>
          <w:color w:val="auto"/>
        </w:rPr>
      </w:pPr>
      <w:r>
        <w:rPr>
          <w:rFonts w:ascii="Arial" w:cs="Arial" w:eastAsia="Arial" w:hAnsi="Arial"/>
          <w:sz w:val="16"/>
          <w:szCs w:val="16"/>
          <w:color w:val="auto"/>
        </w:rPr>
        <w:t>Trading in fixed income and derivative markets historically was a highly manual process. Buyers lacked a centralized source of price discovery and automated post-trade processing solutions, and as a result, were</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79"/>
        <w:spacing w:after="0" w:line="293" w:lineRule="auto"/>
        <w:rPr>
          <w:sz w:val="20"/>
          <w:szCs w:val="20"/>
          <w:color w:val="auto"/>
        </w:rPr>
      </w:pPr>
      <w:r>
        <w:rPr>
          <w:rFonts w:ascii="Arial" w:cs="Arial" w:eastAsia="Arial" w:hAnsi="Arial"/>
          <w:sz w:val="16"/>
          <w:szCs w:val="16"/>
          <w:color w:val="auto"/>
        </w:rPr>
        <w:t>required to telephone multiple dealers to receive price quotes, compare quotes among multiple dealers, confirm orders via telephone and then engage in manual trade settlement via fax. The process was time-consuming and error-prone, leading to poor price transparency and execution quality, limited connectivity among market participants and high levels of operational risk. Even as other markets, such as the equity, FX and futures markets transitioned to electronic processes, large components of the fixed income and derivative markets have been slower to migrate to electronic execution because of the diversity and heterogeneous nature of those instruments.</w:t>
      </w:r>
    </w:p>
    <w:p>
      <w:pPr>
        <w:spacing w:after="0" w:line="56" w:lineRule="exact"/>
        <w:rPr>
          <w:sz w:val="20"/>
          <w:szCs w:val="20"/>
          <w:color w:val="auto"/>
        </w:rPr>
      </w:pPr>
    </w:p>
    <w:p>
      <w:pPr>
        <w:ind w:left="1280" w:right="679" w:firstLine="360"/>
        <w:spacing w:after="0" w:line="255" w:lineRule="auto"/>
        <w:rPr>
          <w:sz w:val="20"/>
          <w:szCs w:val="20"/>
          <w:color w:val="auto"/>
        </w:rPr>
      </w:pPr>
      <w:r>
        <w:rPr>
          <w:rFonts w:ascii="Arial" w:cs="Arial" w:eastAsia="Arial" w:hAnsi="Arial"/>
          <w:sz w:val="18"/>
          <w:szCs w:val="18"/>
          <w:color w:val="auto"/>
        </w:rPr>
        <w:t>Our clients demand more efficient solutions to improve outcomes and reduce costs. Over the last 20 years, we have been a leader in the electronification of fixed income and other markets, using proprietary and innovative technologies and collaborating hand-in-hand with clients on product innovation. Electronification has made markets more efficient by improving price transparency and execution, while also reducing operational risk and allowing our clients to create organizational cost efficiencies, by reducing front office headcount and by eliminating manual errors.</w:t>
      </w:r>
    </w:p>
    <w:p>
      <w:pPr>
        <w:spacing w:after="0" w:line="84" w:lineRule="exact"/>
        <w:rPr>
          <w:sz w:val="20"/>
          <w:szCs w:val="20"/>
          <w:color w:val="auto"/>
        </w:rPr>
      </w:pPr>
    </w:p>
    <w:p>
      <w:pPr>
        <w:ind w:left="1280" w:right="679" w:firstLine="360"/>
        <w:spacing w:after="0" w:line="275" w:lineRule="auto"/>
        <w:rPr>
          <w:sz w:val="20"/>
          <w:szCs w:val="20"/>
          <w:color w:val="auto"/>
        </w:rPr>
      </w:pPr>
      <w:r>
        <w:rPr>
          <w:rFonts w:ascii="Arial" w:cs="Arial" w:eastAsia="Arial" w:hAnsi="Arial"/>
          <w:sz w:val="17"/>
          <w:szCs w:val="17"/>
          <w:color w:val="auto"/>
        </w:rPr>
        <w:t>The process of market electronification is ongoing. Markets — even in asset classes we already offer — continue to have meaningful volumes traded manually, with institutional investors calling multiple liquidity providers for quotes and engaging in manual post-trade processing. Our product innovation is driven by client demand for efficiencies in additional asset classes and geographies combined with the entrepreneurial culture and product expertise we have and are able to attract to Tradeweb.</w:t>
      </w:r>
    </w:p>
    <w:p>
      <w:pPr>
        <w:spacing w:after="0" w:line="68" w:lineRule="exact"/>
        <w:rPr>
          <w:sz w:val="20"/>
          <w:szCs w:val="20"/>
          <w:color w:val="auto"/>
        </w:rPr>
      </w:pPr>
    </w:p>
    <w:p>
      <w:pPr>
        <w:ind w:left="1280" w:right="659" w:firstLine="360"/>
        <w:spacing w:after="0" w:line="272"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post-crisis reforms, such as the Dodd-Frank Wall Street Reform and Customer Protection Act (the “Dodd-Frank Act”), Basel III and the Markets in Financial Instruments Directive II (“MiFID II”), are to increase transparency and reduce systemic risk. These objectives have generally led to increased adoption of electronic trading on regulated markets where price transparency, counterparty credit checks, reporting and clearing are essential components. In addition, higher capital requirements have driven dealers to reduce the size of their balance sheets and utilize the distribution and scale provided by electronic trading venues.</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90" w:lineRule="exact"/>
        <w:rPr>
          <w:sz w:val="20"/>
          <w:szCs w:val="20"/>
          <w:color w:val="auto"/>
        </w:rPr>
      </w:pPr>
    </w:p>
    <w:p>
      <w:pPr>
        <w:ind w:left="1280" w:right="65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products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protocols. These applications are supported by advancements in technology and the increased prevalence of electronic trading, both of which have made it easier to generate, capture, store and analyze data.</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90"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Our clients continue to come to our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venues and to attract new users to our already powerful network, as liquidity on our marketplaces grows and we offer more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partnerships with our clients.</w:t>
      </w:r>
    </w:p>
    <w:p>
      <w:pPr>
        <w:spacing w:after="0" w:line="77" w:lineRule="exact"/>
        <w:rPr>
          <w:sz w:val="20"/>
          <w:szCs w:val="20"/>
          <w:color w:val="auto"/>
        </w:rPr>
      </w:pPr>
    </w:p>
    <w:p>
      <w:pPr>
        <w:ind w:left="1280" w:right="699" w:firstLine="360"/>
        <w:spacing w:after="0" w:line="286"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For our institutional clients, which is our largest client sector, we estimate that we have the leading market position in four of our five largest products — U.S. Treasuries, To-Be-Announced mortgage-backed</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spacing w:after="0" w:line="273" w:lineRule="auto"/>
        <w:rPr>
          <w:sz w:val="20"/>
          <w:szCs w:val="20"/>
          <w:color w:val="auto"/>
        </w:rPr>
      </w:pPr>
      <w:r>
        <w:rPr>
          <w:rFonts w:ascii="Arial" w:cs="Arial" w:eastAsia="Arial" w:hAnsi="Arial"/>
          <w:sz w:val="17"/>
          <w:szCs w:val="17"/>
          <w:color w:val="auto"/>
        </w:rPr>
        <w:t>securities (“TBA MBS”), European government bonds, U.S. dollar-denominated interest rate swaps and euro-denominated interest rate swaps. We cover all major client sectors participating in the markets, including the institutional, wholesale and retail client sectors. We are a global business with users accessing our products in 62 countries, and in 2017, we generated 32% of our revenues from clients outside of the United States. We have built a business that is diverse across more than 40 products and provides the full spectrum of trading protocols from voice through RFQ to CLOB (central limit order book).</w:t>
      </w:r>
    </w:p>
    <w:p>
      <w:pPr>
        <w:spacing w:after="0" w:line="70"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market participants to improve U.S. Treasury Bond trading for the institutional client sector.</w:t>
      </w:r>
    </w:p>
    <w:p>
      <w:pPr>
        <w:spacing w:after="0" w:line="80" w:lineRule="exact"/>
        <w:rPr>
          <w:sz w:val="20"/>
          <w:szCs w:val="20"/>
          <w:color w:val="auto"/>
        </w:rPr>
      </w:pPr>
    </w:p>
    <w:p>
      <w:pPr>
        <w:ind w:left="1280" w:right="699" w:firstLine="360"/>
        <w:spacing w:after="0" w:line="289" w:lineRule="auto"/>
        <w:rPr>
          <w:sz w:val="20"/>
          <w:szCs w:val="20"/>
          <w:color w:val="auto"/>
        </w:rPr>
      </w:pPr>
      <w:r>
        <w:rPr>
          <w:rFonts w:ascii="Arial" w:cs="Arial" w:eastAsia="Arial" w:hAnsi="Arial"/>
          <w:sz w:val="16"/>
          <w:szCs w:val="16"/>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functionality (Round Robin) to help resolve the issue of systemic fails on trades of TBA MBS and reduced the operational risk and costs associated with delivery failures that often plagued the TBA MBS market. Through collaborative endeavors like these, we have become deeply integrated into our clients’ workflow and become a partner of choice for new innovations.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104" w:lineRule="exact"/>
        <w:rPr>
          <w:sz w:val="20"/>
          <w:szCs w:val="20"/>
          <w:color w:val="auto"/>
        </w:rPr>
      </w:pPr>
    </w:p>
    <w:p>
      <w:pPr>
        <w:ind w:left="1280" w:right="679" w:firstLine="360"/>
        <w:spacing w:after="0" w:line="269"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and connectivity and straight-through processing. Our systems are built to be scalable, flexible and resilient. Our internet-based, thin client technology is readily accessible and enables us to be first-to-market with easily distributed new solutions. For example, we were the first to offer web-based electronic multi-dealer trading to the institutional U.S. Treasury market and have subsequently automated the market structure of additional marketplaces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104" w:lineRule="exact"/>
        <w:rPr>
          <w:sz w:val="20"/>
          <w:szCs w:val="20"/>
          <w:color w:val="auto"/>
        </w:rPr>
      </w:pPr>
    </w:p>
    <w:p>
      <w:pPr>
        <w:ind w:left="1280" w:right="779" w:firstLine="360"/>
        <w:spacing w:after="0" w:line="291" w:lineRule="auto"/>
        <w:rPr>
          <w:sz w:val="20"/>
          <w:szCs w:val="20"/>
          <w:color w:val="auto"/>
        </w:rPr>
      </w:pPr>
      <w:r>
        <w:rPr>
          <w:rFonts w:ascii="Arial" w:cs="Arial" w:eastAsia="Arial" w:hAnsi="Arial"/>
          <w:sz w:val="16"/>
          <w:szCs w:val="16"/>
          <w:color w:val="auto"/>
        </w:rPr>
        <w:t>We are regulated (as necessitated by region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guide them through the myriad of regulatory requirements. We then provide our clients with trading platforms that are in compliance with regulatory requirements and connectivity to pre-and post-trade systems necessary to comply with their regulatory obligations.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Products Empowered by Data and Analytics</w:t>
      </w:r>
    </w:p>
    <w:p>
      <w:pPr>
        <w:spacing w:after="0" w:line="104" w:lineRule="exact"/>
        <w:rPr>
          <w:sz w:val="20"/>
          <w:szCs w:val="20"/>
          <w:color w:val="auto"/>
        </w:rPr>
      </w:pPr>
    </w:p>
    <w:p>
      <w:pPr>
        <w:ind w:left="1280" w:right="679" w:firstLine="360"/>
        <w:spacing w:after="0" w:line="272" w:lineRule="auto"/>
        <w:rPr>
          <w:sz w:val="20"/>
          <w:szCs w:val="20"/>
          <w:color w:val="auto"/>
        </w:rPr>
      </w:pPr>
      <w:r>
        <w:rPr>
          <w:rFonts w:ascii="Arial" w:cs="Arial" w:eastAsia="Arial" w:hAnsi="Arial"/>
          <w:sz w:val="17"/>
          <w:szCs w:val="17"/>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current market participants and attracting new ones to our financial ecosystem. For example, data powers our Automated Intelligent Execution (“AiEX”) functionality which allows traders to execute their smaller, low touch trades more efficiently and to focus their attention on larger more nuanced trades.</w:t>
      </w:r>
    </w:p>
    <w:p>
      <w:pPr>
        <w:spacing w:after="0" w:line="69" w:lineRule="exact"/>
        <w:rPr>
          <w:sz w:val="20"/>
          <w:szCs w:val="20"/>
          <w:color w:val="auto"/>
        </w:rPr>
      </w:pPr>
    </w:p>
    <w:p>
      <w:pPr>
        <w:ind w:left="1280" w:right="659" w:firstLine="360"/>
        <w:spacing w:after="0" w:line="293" w:lineRule="auto"/>
        <w:rPr>
          <w:sz w:val="20"/>
          <w:szCs w:val="20"/>
          <w:color w:val="auto"/>
        </w:rPr>
      </w:pPr>
      <w:r>
        <w:rPr>
          <w:rFonts w:ascii="Arial" w:cs="Arial" w:eastAsia="Arial" w:hAnsi="Arial"/>
          <w:sz w:val="16"/>
          <w:szCs w:val="16"/>
          <w:color w:val="auto"/>
        </w:rPr>
        <w:t>Our over 20 year operating history has allowed us to build comprehensive and unique datasets across our markets. Our marketplaces generate valuable data, processing over 950 million pre-trade price updates daily, that we collect centrally and use as inputs to our pre-trade indicative pricing and analytics. We maintain a full history of inquiries and transactions, which means, for example, we have 20 years of U.S. Treasury data. We also will seek to further monetize our data both through potential expansion of our market data distribution agreement with Refinitiv and through distributing additional data sets and analytics offerings through our own network.</w:t>
      </w:r>
    </w:p>
    <w:p>
      <w:pPr>
        <w:spacing w:after="0" w:line="56" w:lineRule="exact"/>
        <w:rPr>
          <w:sz w:val="20"/>
          <w:szCs w:val="20"/>
          <w:color w:val="auto"/>
        </w:rPr>
      </w:pPr>
    </w:p>
    <w:p>
      <w:pPr>
        <w:ind w:left="1280" w:right="739" w:firstLine="360"/>
        <w:spacing w:after="0" w:line="255" w:lineRule="auto"/>
        <w:rPr>
          <w:sz w:val="20"/>
          <w:szCs w:val="20"/>
          <w:color w:val="auto"/>
        </w:rPr>
      </w:pPr>
      <w:r>
        <w:rPr>
          <w:rFonts w:ascii="Arial" w:cs="Arial" w:eastAsia="Arial" w:hAnsi="Arial"/>
          <w:sz w:val="18"/>
          <w:szCs w:val="18"/>
          <w:color w:val="auto"/>
        </w:rPr>
        <w:t>We are consistently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(“OTC”) reporting requirements under MiFID II. We now operate one of the largest fixed income APA services with over 100 clients including 13 of the top 14 tier 1 banks and expect to expand our APA service in the coming years.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80" w:right="69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of capabilities needed to serve complex, dynamic and highly regulated markets. Our founder-led management team is composed of executives with an average of over 25 years of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80" w:right="73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80" w:right="1239"/>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tailwinds in our existing markets:</w:t>
      </w:r>
    </w:p>
    <w:p>
      <w:pPr>
        <w:spacing w:after="0" w:line="62"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7" w:lineRule="exact"/>
        <w:rPr>
          <w:sz w:val="20"/>
          <w:szCs w:val="20"/>
          <w:color w:val="auto"/>
        </w:rPr>
      </w:pPr>
    </w:p>
    <w:p>
      <w:pPr>
        <w:jc w:val="both"/>
        <w:ind w:left="1280" w:right="679" w:firstLine="360"/>
        <w:spacing w:after="0" w:line="301"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higher market volatility and a rising interest rate environment. In addition, the government bond market is foundational to and correlative to virtually every asset class in the cash and derivatives fixed income markets. Based on industry sources, we estimate that the addressable average daily</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280" w:right="679"/>
        <w:spacing w:after="0" w:line="286" w:lineRule="auto"/>
        <w:rPr>
          <w:sz w:val="20"/>
          <w:szCs w:val="20"/>
          <w:color w:val="auto"/>
        </w:rPr>
      </w:pPr>
      <w:r>
        <w:rPr>
          <w:rFonts w:ascii="Arial" w:cs="Arial" w:eastAsia="Arial" w:hAnsi="Arial"/>
          <w:sz w:val="17"/>
          <w:szCs w:val="17"/>
          <w:color w:val="auto"/>
        </w:rPr>
        <w:t>trading volume across the rates, credit, money markets and equity asset classes has grown at a compound average annual rate of 8% from the first half of 2015 through the first half of 2018. Select products that we believe have a high growth potential include global government bonds, derivatives, ETFs and credit.</w:t>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Growth in Our Market Share</w:t>
      </w:r>
    </w:p>
    <w:p>
      <w:pPr>
        <w:spacing w:after="0" w:line="117" w:lineRule="exact"/>
        <w:rPr>
          <w:sz w:val="20"/>
          <w:szCs w:val="20"/>
          <w:color w:val="auto"/>
        </w:rPr>
      </w:pPr>
    </w:p>
    <w:p>
      <w:pPr>
        <w:ind w:left="1280" w:right="719" w:firstLine="360"/>
        <w:spacing w:after="0" w:line="271"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on our U.S. credit platform, 90% of trades include a net hedge transaction leveraging our U.S. Treasury platform.</w:t>
      </w:r>
    </w:p>
    <w:p>
      <w:pPr>
        <w:spacing w:after="0" w:line="70"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Electronification of Our Markets</w:t>
      </w:r>
    </w:p>
    <w:p>
      <w:pPr>
        <w:spacing w:after="0" w:line="117"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Client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We are well positioned to continue to innovate and provide better electronic markets that satisfy the needs of our clients.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80" w:right="699" w:firstLine="360"/>
        <w:spacing w:after="0" w:line="257" w:lineRule="auto"/>
        <w:rPr>
          <w:sz w:val="20"/>
          <w:szCs w:val="20"/>
          <w:color w:val="auto"/>
        </w:rPr>
      </w:pPr>
      <w:r>
        <w:rPr>
          <w:rFonts w:ascii="Arial" w:cs="Arial" w:eastAsia="Arial" w:hAnsi="Arial"/>
          <w:sz w:val="18"/>
          <w:szCs w:val="18"/>
          <w:color w:val="auto"/>
        </w:rPr>
        <w:t>We intend to leverage innovation and technology capabilities to develop new solutions that help our clients grow their businesses more effectively.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80" w:lineRule="exact"/>
        <w:rPr>
          <w:sz w:val="20"/>
          <w:szCs w:val="20"/>
          <w:color w:val="auto"/>
        </w:rPr>
      </w:pPr>
    </w:p>
    <w:p>
      <w:pPr>
        <w:ind w:left="1280" w:right="699" w:firstLine="360"/>
        <w:spacing w:after="0" w:line="270" w:lineRule="auto"/>
        <w:rPr>
          <w:sz w:val="20"/>
          <w:szCs w:val="20"/>
          <w:color w:val="auto"/>
        </w:rPr>
      </w:pPr>
      <w:r>
        <w:rPr>
          <w:rFonts w:ascii="Arial" w:cs="Arial" w:eastAsia="Arial" w:hAnsi="Arial"/>
          <w:sz w:val="17"/>
          <w:szCs w:val="17"/>
          <w:color w:val="auto"/>
        </w:rPr>
        <w:t>In addition, we believe our business model is well suited to serve clients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We believe we can continue to develop trading models in one product or asset class and deliver those models to other products or asset classes, irrespective of geography. For example, we are leveraging session-based trading technology in European credit bonds for session-based trading in U.S. credit bonds and Off-the-Run U.S. Treasury securities. We have significant scale and breadth across our platforms, which position us well to take advantage of favorable market dynamics.</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04" w:lineRule="exact"/>
        <w:rPr>
          <w:sz w:val="20"/>
          <w:szCs w:val="20"/>
          <w:color w:val="auto"/>
        </w:rPr>
      </w:pPr>
    </w:p>
    <w:p>
      <w:pPr>
        <w:ind w:left="1280" w:right="819" w:firstLine="360"/>
        <w:spacing w:after="0" w:line="254"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87" w:lineRule="exact"/>
        <w:rPr>
          <w:sz w:val="20"/>
          <w:szCs w:val="20"/>
          <w:color w:val="auto"/>
        </w:rPr>
      </w:pPr>
    </w:p>
    <w:p>
      <w:pPr>
        <w:jc w:val="both"/>
        <w:ind w:left="1280" w:right="979" w:firstLine="360"/>
        <w:spacing w:after="0" w:line="263" w:lineRule="auto"/>
        <w:rPr>
          <w:sz w:val="20"/>
          <w:szCs w:val="20"/>
          <w:color w:val="auto"/>
        </w:rPr>
      </w:pPr>
      <w:r>
        <w:rPr>
          <w:rFonts w:ascii="Arial" w:cs="Arial" w:eastAsia="Arial" w:hAnsi="Arial"/>
          <w:sz w:val="18"/>
          <w:szCs w:val="18"/>
          <w:color w:val="auto"/>
        </w:rPr>
        <w:t>Our technology architecture reduces the time to market for new data solutions, which allows us to react quickly to client needs. Recently, we extended our long-term agreement with Refinitiv to license certain data, which provides us with a predictable and growing revenue stream.</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04" w:lineRule="exact"/>
        <w:rPr>
          <w:sz w:val="20"/>
          <w:szCs w:val="20"/>
          <w:color w:val="auto"/>
        </w:rPr>
      </w:pPr>
    </w:p>
    <w:p>
      <w:pPr>
        <w:ind w:left="1280" w:right="699" w:firstLine="360"/>
        <w:spacing w:after="0" w:line="286" w:lineRule="auto"/>
        <w:rPr>
          <w:sz w:val="20"/>
          <w:szCs w:val="20"/>
          <w:color w:val="auto"/>
        </w:rPr>
      </w:pPr>
      <w:r>
        <w:rPr>
          <w:rFonts w:ascii="Arial" w:cs="Arial" w:eastAsia="Arial" w:hAnsi="Arial"/>
          <w:sz w:val="17"/>
          <w:szCs w:val="17"/>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w:t>
      </w:r>
    </w:p>
    <w:p>
      <w:pPr>
        <w:sectPr>
          <w:pgSz w:w="11900" w:h="16838" w:orient="portrait"/>
          <w:cols w:equalWidth="0" w:num="1">
            <w:col w:w="10139"/>
          </w:cols>
          <w:pgMar w:left="320" w:top="132" w:right="1440" w:bottom="1440" w:gutter="0" w:footer="0" w:header="0"/>
          <w:type w:val="continuous"/>
        </w:sectPr>
      </w:pPr>
    </w:p>
    <w:p>
      <w:pPr>
        <w:spacing w:after="0" w:line="395"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19"/>
        <w:spacing w:after="0" w:line="286" w:lineRule="auto"/>
        <w:rPr>
          <w:sz w:val="20"/>
          <w:szCs w:val="20"/>
          <w:color w:val="auto"/>
        </w:rPr>
      </w:pPr>
      <w:r>
        <w:rPr>
          <w:rFonts w:ascii="Arial" w:cs="Arial" w:eastAsia="Arial" w:hAnsi="Arial"/>
          <w:sz w:val="17"/>
          <w:szCs w:val="17"/>
          <w:color w:val="auto"/>
        </w:rPr>
        <w:t>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of the Reorganization Transactions</w:t>
      </w:r>
    </w:p>
    <w:p>
      <w:pPr>
        <w:spacing w:after="0" w:line="108" w:lineRule="exact"/>
        <w:rPr>
          <w:sz w:val="20"/>
          <w:szCs w:val="20"/>
          <w:color w:val="auto"/>
        </w:rPr>
      </w:pPr>
    </w:p>
    <w:p>
      <w:pPr>
        <w:ind w:left="1280" w:right="999" w:firstLine="360"/>
        <w:spacing w:after="0" w:line="311" w:lineRule="auto"/>
        <w:rPr>
          <w:sz w:val="20"/>
          <w:szCs w:val="20"/>
          <w:color w:val="auto"/>
        </w:rPr>
      </w:pPr>
      <w:r>
        <w:rPr>
          <w:rFonts w:ascii="Arial" w:cs="Arial" w:eastAsia="Arial" w:hAnsi="Arial"/>
          <w:sz w:val="16"/>
          <w:szCs w:val="16"/>
          <w:color w:val="auto"/>
        </w:rPr>
        <w:t>Prior to the completion of this offering and the organizational transactions described below, the Original LLC Owners are the only members of TWM LLC. Tradeweb Markets Inc. was incorporated as a Delaware corporation on November 7, 2018 to serve as the issuer of the Class A common stock offered hereby.</w:t>
      </w:r>
    </w:p>
    <w:p>
      <w:pPr>
        <w:spacing w:after="0" w:line="41" w:lineRule="exact"/>
        <w:rPr>
          <w:sz w:val="20"/>
          <w:szCs w:val="20"/>
          <w:color w:val="auto"/>
        </w:rPr>
      </w:pPr>
    </w:p>
    <w:p>
      <w:pPr>
        <w:ind w:left="1280" w:right="1539" w:firstLine="360"/>
        <w:spacing w:after="0" w:line="277" w:lineRule="auto"/>
        <w:rPr>
          <w:sz w:val="20"/>
          <w:szCs w:val="20"/>
          <w:color w:val="auto"/>
        </w:rPr>
      </w:pPr>
      <w:r>
        <w:rPr>
          <w:rFonts w:ascii="Arial" w:cs="Arial" w:eastAsia="Arial" w:hAnsi="Arial"/>
          <w:sz w:val="18"/>
          <w:szCs w:val="18"/>
          <w:color w:val="auto"/>
        </w:rPr>
        <w:t>In connection with the closing of this offering, we will consummate the following organizational transactions:</w:t>
      </w:r>
    </w:p>
    <w:p>
      <w:pPr>
        <w:spacing w:after="0" w:line="35" w:lineRule="exact"/>
        <w:rPr>
          <w:sz w:val="20"/>
          <w:szCs w:val="20"/>
          <w:color w:val="auto"/>
        </w:rPr>
      </w:pPr>
    </w:p>
    <w:p>
      <w:pPr>
        <w:ind w:left="2000" w:right="719" w:hanging="354"/>
        <w:spacing w:after="0" w:line="255"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amend and restate the fourth amended and restated limited liability company agreement of TWM LLC (as amended, effective as of the completion of this offering,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57" w:lineRule="exact"/>
        <w:rPr>
          <w:rFonts w:ascii="Arial" w:cs="Arial" w:eastAsia="Arial" w:hAnsi="Arial"/>
          <w:sz w:val="18"/>
          <w:szCs w:val="18"/>
          <w:color w:val="auto"/>
        </w:rPr>
      </w:pPr>
    </w:p>
    <w:p>
      <w:pPr>
        <w:ind w:left="2000" w:right="739" w:hanging="354"/>
        <w:spacing w:after="0" w:line="270" w:lineRule="auto"/>
        <w:tabs>
          <w:tab w:leader="none" w:pos="2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91" w:lineRule="exact"/>
        <w:rPr>
          <w:sz w:val="20"/>
          <w:szCs w:val="20"/>
          <w:color w:val="auto"/>
        </w:rPr>
      </w:pPr>
    </w:p>
    <w:tbl>
      <w:tblPr>
        <w:tblLayout w:type="fixed"/>
        <w:tblInd w:w="2540" w:type="dxa"/>
        <w:tblCellMar>
          <w:top w:w="0" w:type="dxa"/>
          <w:left w:w="0" w:type="dxa"/>
          <w:bottom w:w="0" w:type="dxa"/>
          <w:right w:w="0" w:type="dxa"/>
        </w:tblCellMar>
      </w:tblPr>
      <w:tr>
        <w:trPr>
          <w:trHeight w:val="185"/>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183"/>
        </w:trPr>
        <w:tc>
          <w:tcPr>
            <w:tcW w:w="29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Class A common stock</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374"/>
              <w:spacing w:after="0" w:line="182"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3"/>
              </w:rPr>
              <w:t>Yes</w:t>
            </w:r>
          </w:p>
        </w:tc>
      </w:tr>
      <w:tr>
        <w:trPr>
          <w:trHeight w:val="203"/>
        </w:trPr>
        <w:tc>
          <w:tcPr>
            <w:tcW w:w="3160" w:type="dxa"/>
            <w:vAlign w:val="bottom"/>
            <w:gridSpan w:val="2"/>
          </w:tcPr>
          <w:p>
            <w:pPr>
              <w:spacing w:after="0" w:line="202" w:lineRule="exact"/>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83"/>
              </w:rPr>
              <w:t>Yes</w:t>
            </w: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No</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1" w:lineRule="exact"/>
        <w:rPr>
          <w:sz w:val="20"/>
          <w:szCs w:val="20"/>
          <w:color w:val="auto"/>
        </w:rPr>
      </w:pPr>
    </w:p>
    <w:p>
      <w:pPr>
        <w:ind w:left="2000" w:right="799"/>
        <w:spacing w:after="0" w:line="311"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4" w:lineRule="exact"/>
        <w:rPr>
          <w:sz w:val="20"/>
          <w:szCs w:val="20"/>
          <w:color w:val="auto"/>
        </w:rPr>
      </w:pPr>
    </w:p>
    <w:p>
      <w:pPr>
        <w:ind w:left="1640"/>
        <w:spacing w:after="0"/>
        <w:tabs>
          <w:tab w:leader="none" w:pos="1980" w:val="left"/>
          <w:tab w:leader="none" w:pos="3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shares of Class D common stock to the Continuing LLC Owners, on a one-to-one</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basis with the number of LLC Interests they own, for nominal consideration;</w:t>
      </w:r>
    </w:p>
    <w:p>
      <w:pPr>
        <w:spacing w:after="0" w:line="76" w:lineRule="exact"/>
        <w:rPr>
          <w:sz w:val="20"/>
          <w:szCs w:val="20"/>
          <w:color w:val="auto"/>
        </w:rPr>
      </w:pPr>
    </w:p>
    <w:p>
      <w:pPr>
        <w:ind w:left="1640"/>
        <w:spacing w:after="0"/>
        <w:tabs>
          <w:tab w:leader="none" w:pos="1980" w:val="left"/>
          <w:tab w:leader="none" w:pos="3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shares of our Class A common stock to the purchasers in this offering;</w:t>
      </w:r>
    </w:p>
    <w:p>
      <w:pPr>
        <w:spacing w:after="0" w:line="90" w:lineRule="exact"/>
        <w:rPr>
          <w:sz w:val="20"/>
          <w:szCs w:val="20"/>
          <w:color w:val="auto"/>
        </w:rPr>
      </w:pPr>
    </w:p>
    <w:p>
      <w:pPr>
        <w:ind w:left="2000" w:right="859" w:hanging="354"/>
        <w:spacing w:after="0" w:line="291" w:lineRule="auto"/>
        <w:tabs>
          <w:tab w:leader="none" w:pos="2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intend to use the net proceeds from the sale of Class A common stock by us in this offering to acquire an equivalent number of issued and outstanding LLC Interests from certain of the Other LLC</w:t>
      </w:r>
    </w:p>
    <w:p>
      <w:pPr>
        <w:ind w:left="2000" w:right="719"/>
        <w:spacing w:after="0" w:line="281" w:lineRule="auto"/>
        <w:rPr>
          <w:sz w:val="20"/>
          <w:szCs w:val="20"/>
          <w:color w:val="auto"/>
        </w:rPr>
      </w:pPr>
      <w:r>
        <w:rPr>
          <w:rFonts w:ascii="Arial" w:cs="Arial" w:eastAsia="Arial" w:hAnsi="Arial"/>
          <w:sz w:val="16"/>
          <w:szCs w:val="16"/>
          <w:color w:val="auto"/>
        </w:rPr>
        <w:t>Owners at a purchase price per interest equal to the initial public offering price per share of Class A common stock (and cancel an equal number of shares of Class D common stock), less the underwriting</w:t>
      </w:r>
    </w:p>
    <w:p>
      <w:pPr>
        <w:spacing w:after="0" w:line="1" w:lineRule="exact"/>
        <w:rPr>
          <w:sz w:val="20"/>
          <w:szCs w:val="20"/>
          <w:color w:val="auto"/>
        </w:rPr>
      </w:pPr>
    </w:p>
    <w:p>
      <w:pPr>
        <w:ind w:left="2000" w:right="1379"/>
        <w:spacing w:after="0" w:line="260" w:lineRule="auto"/>
        <w:rPr>
          <w:sz w:val="20"/>
          <w:szCs w:val="20"/>
          <w:color w:val="auto"/>
        </w:rPr>
      </w:pPr>
      <w:r>
        <w:rPr>
          <w:rFonts w:ascii="Arial" w:cs="Arial" w:eastAsia="Arial" w:hAnsi="Arial"/>
          <w:sz w:val="18"/>
          <w:szCs w:val="18"/>
          <w:color w:val="auto"/>
        </w:rPr>
        <w:t>discounts and commissions payable thereon, collectively representing % of TWM LLC’s outstanding LLC Interests;</w:t>
      </w:r>
    </w:p>
    <w:p>
      <w:pPr>
        <w:spacing w:after="0" w:line="50" w:lineRule="exact"/>
        <w:rPr>
          <w:sz w:val="20"/>
          <w:szCs w:val="20"/>
          <w:color w:val="auto"/>
        </w:rPr>
      </w:pPr>
    </w:p>
    <w:p>
      <w:pPr>
        <w:ind w:left="2000" w:hanging="354"/>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Refinitiv Direct Owners will exchange with us their indirect ownership of LLC Interests for</w:t>
      </w:r>
    </w:p>
    <w:p>
      <w:pPr>
        <w:spacing w:after="0" w:line="23" w:lineRule="exact"/>
        <w:rPr>
          <w:sz w:val="20"/>
          <w:szCs w:val="20"/>
          <w:color w:val="auto"/>
        </w:rPr>
      </w:pPr>
    </w:p>
    <w:p>
      <w:pPr>
        <w:ind w:left="2000" w:right="679" w:firstLine="360"/>
        <w:spacing w:after="0" w:line="253" w:lineRule="auto"/>
        <w:rPr>
          <w:sz w:val="20"/>
          <w:szCs w:val="20"/>
          <w:color w:val="auto"/>
        </w:rPr>
      </w:pPr>
      <w:r>
        <w:rPr>
          <w:rFonts w:ascii="Arial" w:cs="Arial" w:eastAsia="Arial" w:hAnsi="Arial"/>
          <w:sz w:val="18"/>
          <w:szCs w:val="18"/>
          <w:color w:val="auto"/>
        </w:rPr>
        <w:t>shares of Class B common stock on a one-to-one basis. The Refinitiv Direct Owners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0" w:right="699" w:hanging="354"/>
        <w:spacing w:after="0" w:line="270" w:lineRule="auto"/>
        <w:tabs>
          <w:tab w:leader="none" w:pos="2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Continuing LLC Owners will continue to own the LLC Interests they receive in exchange for their existing membership interests in TWM LLC, which LLC Interests following the completion of this offering, will be redeemable, at the election of such members, for newly issued shares of Class A common stock or Class B common stock on a one-for-one basis (and such holders’ shares of Class C common stock or Class D common stock, as the case may be, will be cancelled on a one-for-one basis upon any such issuance) . The Continuing LLC Owners may also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153" w:lineRule="exact"/>
        <w:rPr>
          <w:rFonts w:ascii="Arial" w:cs="Arial" w:eastAsia="Arial" w:hAnsi="Arial"/>
          <w:sz w:val="17"/>
          <w:szCs w:val="17"/>
          <w:color w:val="auto"/>
        </w:rPr>
      </w:pPr>
    </w:p>
    <w:p>
      <w:pPr>
        <w:ind w:left="2000" w:right="679" w:hanging="354"/>
        <w:spacing w:after="0" w:line="273" w:lineRule="auto"/>
        <w:tabs>
          <w:tab w:leader="none" w:pos="2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w:t>
      </w:r>
    </w:p>
    <w:p>
      <w:pPr>
        <w:spacing w:after="0" w:line="137" w:lineRule="exact"/>
        <w:rPr>
          <w:rFonts w:ascii="Arial" w:cs="Arial" w:eastAsia="Arial" w:hAnsi="Arial"/>
          <w:sz w:val="17"/>
          <w:szCs w:val="17"/>
          <w:color w:val="auto"/>
        </w:rPr>
      </w:pPr>
    </w:p>
    <w:p>
      <w:pPr>
        <w:ind w:left="2000" w:right="699" w:hanging="354"/>
        <w:spacing w:after="0" w:line="287" w:lineRule="auto"/>
        <w:tabs>
          <w:tab w:leader="none" w:pos="2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any of its affiliates or permitted transferees, which, in the case of Class D common stock, such sale or other transfer will be limited by the transfer restrictions on LLC Interests contained in the TWM LLC Agreement or (ii) once the Refinitiv Owners and their affiliates together no longer beneficially own a number of shares of our common stock and LLC Interests that together entitle them to at least 10% of our economic interests.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w:t>
      </w:r>
    </w:p>
    <w:p>
      <w:pPr>
        <w:spacing w:after="0" w:line="131" w:lineRule="exact"/>
        <w:rPr>
          <w:rFonts w:ascii="Arial" w:cs="Arial" w:eastAsia="Arial" w:hAnsi="Arial"/>
          <w:sz w:val="16"/>
          <w:szCs w:val="16"/>
          <w:color w:val="auto"/>
        </w:rPr>
      </w:pPr>
    </w:p>
    <w:p>
      <w:pPr>
        <w:ind w:left="2000" w:hanging="354"/>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Tradeweb will enter into (i) a stockholders agreement (the “Stockholders Agreement”) with</w:t>
      </w:r>
    </w:p>
    <w:p>
      <w:pPr>
        <w:spacing w:after="0" w:line="23"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and (ii) a registration rights agreement (the “Registration Rights Agreement”) with</w:t>
      </w:r>
    </w:p>
    <w:p>
      <w:pPr>
        <w:spacing w:after="0" w:line="21" w:lineRule="exact"/>
        <w:rPr>
          <w:sz w:val="20"/>
          <w:szCs w:val="20"/>
          <w:color w:val="auto"/>
        </w:rPr>
      </w:pPr>
    </w:p>
    <w:p>
      <w:pPr>
        <w:ind w:left="3180" w:hanging="95"/>
        <w:spacing w:after="0"/>
        <w:tabs>
          <w:tab w:leader="none" w:pos="3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and</w:t>
      </w:r>
    </w:p>
    <w:p>
      <w:pPr>
        <w:spacing w:after="0" w:line="170"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Tradeweb will not enter into a tax receivable agreement with any of the Continuing LLC Owners.</w:t>
      </w:r>
    </w:p>
    <w:p>
      <w:pPr>
        <w:spacing w:after="0" w:line="129" w:lineRule="exact"/>
        <w:rPr>
          <w:sz w:val="20"/>
          <w:szCs w:val="20"/>
          <w:color w:val="auto"/>
        </w:rPr>
      </w:pPr>
    </w:p>
    <w:p>
      <w:pPr>
        <w:ind w:left="1280" w:right="719" w:firstLine="360"/>
        <w:spacing w:after="0" w:line="259" w:lineRule="auto"/>
        <w:rPr>
          <w:sz w:val="20"/>
          <w:szCs w:val="20"/>
          <w:color w:val="auto"/>
        </w:rPr>
      </w:pPr>
      <w:r>
        <w:rPr>
          <w:rFonts w:ascii="Arial" w:cs="Arial" w:eastAsia="Arial" w:hAnsi="Arial"/>
          <w:sz w:val="18"/>
          <w:szCs w:val="18"/>
          <w:color w:val="auto"/>
        </w:rPr>
        <w:t>We refer to this offering and the foregoing organizational transactions we will consummate prior to the closing of this offering collectively as the “Reorganization Transactions.” For more information regarding the Reorganization Transactions and our structure after the completion of the Reorganization Transactions, including this offering, see “The Reorganization Transactions.”</w:t>
      </w:r>
    </w:p>
    <w:p>
      <w:pPr>
        <w:spacing w:after="0" w:line="79" w:lineRule="exact"/>
        <w:rPr>
          <w:sz w:val="20"/>
          <w:szCs w:val="20"/>
          <w:color w:val="auto"/>
        </w:rPr>
      </w:pPr>
    </w:p>
    <w:p>
      <w:pPr>
        <w:ind w:left="1280" w:right="699" w:firstLine="360"/>
        <w:spacing w:after="0" w:line="271" w:lineRule="auto"/>
        <w:rPr>
          <w:sz w:val="20"/>
          <w:szCs w:val="20"/>
          <w:color w:val="auto"/>
        </w:rPr>
      </w:pPr>
      <w:r>
        <w:rPr>
          <w:rFonts w:ascii="Arial" w:cs="Arial" w:eastAsia="Arial" w:hAnsi="Arial"/>
          <w:sz w:val="17"/>
          <w:szCs w:val="17"/>
          <w:color w:val="auto"/>
        </w:rPr>
        <w:t>Immediately following this offering, Tradeweb will be a holding company whose principal asset will be the LLC Interests it acquires from certain of the Other LLC Owners using the net proceeds from this offering and the LLC Interests it receives from the Refinitiv Direct Owners in exchange for shares of Class B common stock issued by us. As the sole manager of TWM LLC, we will operate and control all of the business and affairs of TWM LLC and, through TWM LLC and its subsidiaries, conduct our business. We will have the sole voting interest in, and control the management of, TWM LLC. As a result, we will consolidate TWM LLC in our consolidated financial statements and will report a non-controlling interest related to the LLC Interests held by the Continuing LLC Owners on our consolidated financial statements.</w:t>
      </w:r>
    </w:p>
    <w:p>
      <w:pPr>
        <w:spacing w:after="0" w:line="70" w:lineRule="exact"/>
        <w:rPr>
          <w:sz w:val="20"/>
          <w:szCs w:val="20"/>
          <w:color w:val="auto"/>
        </w:rPr>
      </w:pPr>
    </w:p>
    <w:p>
      <w:pPr>
        <w:ind w:left="1280" w:right="739" w:firstLine="360"/>
        <w:spacing w:after="0" w:line="275" w:lineRule="auto"/>
        <w:rPr>
          <w:sz w:val="20"/>
          <w:szCs w:val="20"/>
          <w:color w:val="auto"/>
        </w:rPr>
      </w:pPr>
      <w:r>
        <w:rPr>
          <w:rFonts w:ascii="Arial" w:cs="Arial" w:eastAsia="Arial" w:hAnsi="Arial"/>
          <w:sz w:val="17"/>
          <w:szCs w:val="17"/>
          <w:color w:val="auto"/>
        </w:rPr>
        <w:t>See “Description of Capital Stock” for more information about our amended and restated certificate of incorporation and the terms of the Class A common stock, Class B common stock, Class C common stock and Class D common stock. See “Certain Relationships and Related Party Transactions” for more information about the TWM LLC Agreement, including the terms of the LLC Interests and the redemption rights of the Continuing LLC Owners; the Stockholders Agreement; and the Registration Rights Agreement.</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1219" w:firstLine="360"/>
        <w:spacing w:after="0" w:line="263" w:lineRule="auto"/>
        <w:rPr>
          <w:sz w:val="20"/>
          <w:szCs w:val="20"/>
          <w:color w:val="auto"/>
        </w:rPr>
      </w:pPr>
      <w:r>
        <w:rPr>
          <w:rFonts w:ascii="Arial" w:cs="Arial" w:eastAsia="Arial" w:hAnsi="Arial"/>
          <w:sz w:val="18"/>
          <w:szCs w:val="18"/>
          <w:color w:val="auto"/>
        </w:rPr>
        <w:t>The following diagram shows our organizational structure after giving effect to the Reorganization Transactions, including this offering,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40" w:right="779" w:hanging="354"/>
        <w:spacing w:after="0" w:line="296" w:lineRule="auto"/>
        <w:tabs>
          <w:tab w:leader="none" w:pos="1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Included among the Continuing LLC Owners is a holding vehicle to which certain members of the Company’s management team contributed the LLC Interests that they held immediately prior to this offering, and through which such executives currently hold their LLC Interests. To facilitate an executive’s sale of LLC Interests, an executive may cause the holding vehicle to distribute to that executive some or all of the LLC Interests that the executive contributed to the holding vehicle prior to this offering.</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08" w:lineRule="exact"/>
        <w:rPr>
          <w:sz w:val="20"/>
          <w:szCs w:val="20"/>
          <w:color w:val="auto"/>
        </w:rPr>
      </w:pPr>
    </w:p>
    <w:p>
      <w:pPr>
        <w:ind w:left="1280" w:right="679" w:firstLine="360"/>
        <w:spacing w:after="0" w:line="259" w:lineRule="auto"/>
        <w:rPr>
          <w:sz w:val="20"/>
          <w:szCs w:val="20"/>
          <w:color w:val="auto"/>
        </w:rPr>
      </w:pPr>
      <w:r>
        <w:rPr>
          <w:rFonts w:ascii="Arial" w:cs="Arial" w:eastAsia="Arial" w:hAnsi="Arial"/>
          <w:sz w:val="18"/>
          <w:szCs w:val="18"/>
          <w:color w:val="auto"/>
        </w:rPr>
        <w:t>Our business is subject to numerous risks described in “Risk Factors” immediately following this prospectus summary and elsewhere in this prospectus. These risks represent challenges to the successful implementation of our strategy and to the growth and future profitability of our business. Some of the more significant risks we face include:</w:t>
      </w:r>
    </w:p>
    <w:p>
      <w:pPr>
        <w:spacing w:after="0" w:line="119" w:lineRule="exact"/>
        <w:rPr>
          <w:sz w:val="20"/>
          <w:szCs w:val="20"/>
          <w:color w:val="auto"/>
        </w:rPr>
      </w:pPr>
    </w:p>
    <w:p>
      <w:pPr>
        <w:ind w:left="2000" w:right="1179" w:hanging="354"/>
        <w:spacing w:after="0" w:line="277"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w:t>
      </w:r>
    </w:p>
    <w:p>
      <w:pPr>
        <w:spacing w:after="0" w:line="102" w:lineRule="exact"/>
        <w:rPr>
          <w:rFonts w:ascii="Arial" w:cs="Arial" w:eastAsia="Arial" w:hAnsi="Arial"/>
          <w:sz w:val="18"/>
          <w:szCs w:val="18"/>
          <w:color w:val="auto"/>
        </w:rPr>
      </w:pPr>
    </w:p>
    <w:p>
      <w:pPr>
        <w:ind w:left="2000" w:hanging="354"/>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71" w:lineRule="exact"/>
        <w:rPr>
          <w:rFonts w:ascii="Arial" w:cs="Arial" w:eastAsia="Arial" w:hAnsi="Arial"/>
          <w:sz w:val="18"/>
          <w:szCs w:val="18"/>
          <w:color w:val="auto"/>
        </w:rPr>
      </w:pPr>
    </w:p>
    <w:p>
      <w:pPr>
        <w:ind w:left="2000" w:hanging="354"/>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69" w:lineRule="exact"/>
        <w:rPr>
          <w:rFonts w:ascii="Arial" w:cs="Arial" w:eastAsia="Arial" w:hAnsi="Arial"/>
          <w:sz w:val="17"/>
          <w:szCs w:val="17"/>
          <w:color w:val="auto"/>
        </w:rPr>
      </w:pPr>
    </w:p>
    <w:p>
      <w:pPr>
        <w:ind w:left="2000" w:hanging="354"/>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extensive regulation of our industry; and</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w:t>
      </w:r>
    </w:p>
    <w:p>
      <w:pPr>
        <w:spacing w:after="0" w:line="117" w:lineRule="exact"/>
        <w:rPr>
          <w:sz w:val="20"/>
          <w:szCs w:val="20"/>
          <w:color w:val="auto"/>
        </w:rPr>
      </w:pPr>
    </w:p>
    <w:p>
      <w:pPr>
        <w:ind w:left="1280" w:right="699" w:firstLine="360"/>
        <w:spacing w:after="0" w:line="277" w:lineRule="auto"/>
        <w:rPr>
          <w:sz w:val="20"/>
          <w:szCs w:val="20"/>
          <w:color w:val="auto"/>
        </w:rPr>
      </w:pPr>
      <w:r>
        <w:rPr>
          <w:rFonts w:ascii="Arial" w:cs="Arial" w:eastAsia="Arial" w:hAnsi="Arial"/>
          <w:sz w:val="18"/>
          <w:szCs w:val="18"/>
          <w:color w:val="auto"/>
        </w:rPr>
        <w:t>See “Risk Factors” immediately following this prospectus summary for a more thorough discussion of these and other risks and uncertainties we face.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8" w:lineRule="exact"/>
        <w:rPr>
          <w:sz w:val="20"/>
          <w:szCs w:val="20"/>
          <w:color w:val="auto"/>
        </w:rPr>
      </w:pPr>
    </w:p>
    <w:p>
      <w:pPr>
        <w:ind w:left="1280" w:right="699" w:firstLine="360"/>
        <w:spacing w:after="0" w:line="279"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(the “JOBS Act”). An emerging growth company may take advantage of specified reduced reporting and other requirements that are otherwise applicable generally to public companies. These provisions include:</w:t>
      </w:r>
    </w:p>
    <w:p>
      <w:pPr>
        <w:spacing w:after="0" w:line="104" w:lineRule="exact"/>
        <w:rPr>
          <w:sz w:val="20"/>
          <w:szCs w:val="20"/>
          <w:color w:val="auto"/>
        </w:rPr>
      </w:pPr>
    </w:p>
    <w:p>
      <w:pPr>
        <w:ind w:left="2000" w:right="859" w:hanging="354"/>
        <w:spacing w:after="0" w:line="342" w:lineRule="auto"/>
        <w:tabs>
          <w:tab w:leader="none" w:pos="2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required to have only two years of audited financial statements and only two years of related Management’s Discussion and Analysis of Financial Condition and Results of Operations disclosure;</w:t>
      </w:r>
    </w:p>
    <w:p>
      <w:pPr>
        <w:spacing w:after="0" w:line="56" w:lineRule="exact"/>
        <w:rPr>
          <w:rFonts w:ascii="Arial" w:cs="Arial" w:eastAsia="Arial" w:hAnsi="Arial"/>
          <w:sz w:val="16"/>
          <w:szCs w:val="16"/>
          <w:color w:val="auto"/>
        </w:rPr>
      </w:pPr>
    </w:p>
    <w:p>
      <w:pPr>
        <w:ind w:left="2000" w:right="1099" w:hanging="354"/>
        <w:spacing w:after="0" w:line="342" w:lineRule="auto"/>
        <w:tabs>
          <w:tab w:leader="none" w:pos="2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engage an auditor to report on our internal controls over financial reporting pursuant to Section 404(b) of the Sarbanes-Oxley Act of 2002 (the “Sarbanes-Oxley Act”);</w:t>
      </w:r>
    </w:p>
    <w:p>
      <w:pPr>
        <w:spacing w:after="0" w:line="69" w:lineRule="exact"/>
        <w:rPr>
          <w:rFonts w:ascii="Arial" w:cs="Arial" w:eastAsia="Arial" w:hAnsi="Arial"/>
          <w:sz w:val="16"/>
          <w:szCs w:val="16"/>
          <w:color w:val="auto"/>
        </w:rPr>
      </w:pPr>
    </w:p>
    <w:p>
      <w:pPr>
        <w:ind w:left="2000" w:right="759" w:hanging="354"/>
        <w:spacing w:after="0" w:line="259"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19" w:lineRule="exact"/>
        <w:rPr>
          <w:rFonts w:ascii="Arial" w:cs="Arial" w:eastAsia="Arial" w:hAnsi="Arial"/>
          <w:sz w:val="18"/>
          <w:szCs w:val="18"/>
          <w:color w:val="auto"/>
        </w:rPr>
      </w:pPr>
    </w:p>
    <w:p>
      <w:pPr>
        <w:ind w:left="2000" w:right="919" w:hanging="354"/>
        <w:spacing w:after="0" w:line="308" w:lineRule="auto"/>
        <w:tabs>
          <w:tab w:leader="none" w:pos="2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are not required to submit certain executive compensation matters to stockholder advisory votes, such as “say-on-pay,” “say-on-frequency” and “say-on-golden parachutes”; and</w:t>
      </w:r>
    </w:p>
    <w:p>
      <w:pPr>
        <w:spacing w:after="0" w:line="78" w:lineRule="exact"/>
        <w:rPr>
          <w:rFonts w:ascii="Arial" w:cs="Arial" w:eastAsia="Arial" w:hAnsi="Arial"/>
          <w:sz w:val="17"/>
          <w:szCs w:val="17"/>
          <w:color w:val="auto"/>
        </w:rPr>
      </w:pPr>
    </w:p>
    <w:p>
      <w:pPr>
        <w:jc w:val="both"/>
        <w:ind w:left="2000" w:right="999" w:hanging="354"/>
        <w:spacing w:after="0" w:line="263"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76" w:lineRule="exact"/>
        <w:rPr>
          <w:sz w:val="20"/>
          <w:szCs w:val="20"/>
          <w:color w:val="auto"/>
        </w:rPr>
      </w:pPr>
    </w:p>
    <w:p>
      <w:pPr>
        <w:ind w:left="1280" w:right="659" w:firstLine="360"/>
        <w:spacing w:after="0" w:line="272"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completion of this offering or such earlier time that we are no longer an emerging growth company. We would cease to be an emerging growth company upon the earliest of: (i) the last day of the first fiscal year in which our annual gross revenues are $1.07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679"/>
        <w:spacing w:after="0" w:line="259" w:lineRule="auto"/>
        <w:rPr>
          <w:sz w:val="20"/>
          <w:szCs w:val="20"/>
          <w:color w:val="auto"/>
        </w:rPr>
      </w:pPr>
      <w:r>
        <w:rPr>
          <w:rFonts w:ascii="Arial" w:cs="Arial" w:eastAsia="Arial" w:hAnsi="Arial"/>
          <w:sz w:val="18"/>
          <w:szCs w:val="18"/>
          <w:color w:val="auto"/>
        </w:rPr>
        <w:t>of $700 million or more as of the last business day of our most recently completed second fiscal quarter, (y) have been required to file annual and quarterly reports under the Securities Exchange Act of 1934, as amended (the “Exchange Act”), for a period of at least 12 months and (z) have filed at least one annual report pursuant to the Exchange Act.</w:t>
      </w:r>
    </w:p>
    <w:p>
      <w:pPr>
        <w:spacing w:after="0" w:line="79" w:lineRule="exact"/>
        <w:rPr>
          <w:sz w:val="20"/>
          <w:szCs w:val="20"/>
          <w:color w:val="auto"/>
        </w:rPr>
      </w:pPr>
    </w:p>
    <w:p>
      <w:pPr>
        <w:ind w:left="1280" w:right="659" w:firstLine="360"/>
        <w:spacing w:after="0" w:line="257" w:lineRule="auto"/>
        <w:rPr>
          <w:sz w:val="20"/>
          <w:szCs w:val="20"/>
          <w:color w:val="auto"/>
        </w:rPr>
      </w:pPr>
      <w:r>
        <w:rPr>
          <w:rFonts w:ascii="Arial" w:cs="Arial" w:eastAsia="Arial" w:hAnsi="Arial"/>
          <w:sz w:val="18"/>
          <w:szCs w:val="18"/>
          <w:color w:val="auto"/>
        </w:rPr>
        <w:t>We have elected to take advantage of some of the reduced disclosure obligations listed above in this prospectus, and may elect to take advantage of other reduced reporting requirements in future filings. In particular, we have elected to adopt the reduced disclosure with respect to our executive compensation disclosure. As a result of this election, the information that we provide stockholders may be different than you might get from other public companies.</w:t>
      </w:r>
    </w:p>
    <w:p>
      <w:pPr>
        <w:spacing w:after="0" w:line="80" w:lineRule="exact"/>
        <w:rPr>
          <w:sz w:val="20"/>
          <w:szCs w:val="20"/>
          <w:color w:val="auto"/>
        </w:rPr>
      </w:pPr>
    </w:p>
    <w:p>
      <w:pPr>
        <w:ind w:left="1280" w:right="859" w:firstLine="360"/>
        <w:spacing w:after="0" w:line="301"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have elected to use this extended transition period and, as a result, we will adopt new or revised accounting standards on the relevant dates on which adoption of such standards is required for private companies.</w:t>
      </w:r>
    </w:p>
    <w:p>
      <w:pPr>
        <w:spacing w:after="0" w:line="14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739" w:firstLine="360"/>
        <w:spacing w:after="0" w:line="275" w:lineRule="auto"/>
        <w:rPr>
          <w:sz w:val="20"/>
          <w:szCs w:val="20"/>
          <w:color w:val="auto"/>
        </w:rPr>
      </w:pPr>
      <w:r>
        <w:rPr>
          <w:rFonts w:ascii="Arial" w:cs="Arial" w:eastAsia="Arial" w:hAnsi="Arial"/>
          <w:sz w:val="17"/>
          <w:szCs w:val="17"/>
          <w:color w:val="auto"/>
        </w:rPr>
        <w:t xml:space="preserve">Tradeweb Markets Inc., the issuer of the Class A common stock in this offering, was incorporated as a Delaware corporation on November 7, 2018. Our corporate headquarters are located at 1177 Avenue of the Americas, New York, New York 10036. Our telephone number is (646) 430-6000. Our principal website address is </w:t>
      </w:r>
      <w:r>
        <w:rPr>
          <w:rFonts w:ascii="Arial" w:cs="Arial" w:eastAsia="Arial" w:hAnsi="Arial"/>
          <w:sz w:val="17"/>
          <w:szCs w:val="17"/>
          <w:i w:val="1"/>
          <w:iCs w:val="1"/>
          <w:color w:val="auto"/>
        </w:rPr>
        <w:t>www.tradeweb.com</w:t>
      </w:r>
      <w:r>
        <w:rPr>
          <w:rFonts w:ascii="Arial" w:cs="Arial" w:eastAsia="Arial" w:hAnsi="Arial"/>
          <w:sz w:val="17"/>
          <w:szCs w:val="17"/>
          <w:color w:val="auto"/>
        </w:rPr>
        <w:t>. The information contained on, or that can be accessed through, our website is deemed not to be incorporated in this prospectus or to be part of this prospectus.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Class A common stock offered by us</w:t>
      </w:r>
    </w:p>
    <w:p>
      <w:pPr>
        <w:spacing w:after="0" w:line="117" w:lineRule="exact"/>
        <w:rPr>
          <w:sz w:val="20"/>
          <w:szCs w:val="20"/>
          <w:color w:val="auto"/>
        </w:rPr>
      </w:pPr>
    </w:p>
    <w:p>
      <w:pPr>
        <w:ind w:left="1460" w:right="140" w:hanging="179"/>
        <w:spacing w:after="0" w:line="277" w:lineRule="auto"/>
        <w:rPr>
          <w:sz w:val="20"/>
          <w:szCs w:val="20"/>
          <w:color w:val="auto"/>
        </w:rPr>
      </w:pPr>
      <w:r>
        <w:rPr>
          <w:rFonts w:ascii="Arial" w:cs="Arial" w:eastAsia="Arial" w:hAnsi="Arial"/>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00" w:lineRule="exact"/>
        <w:rPr>
          <w:sz w:val="20"/>
          <w:szCs w:val="20"/>
          <w:color w:val="auto"/>
        </w:rPr>
      </w:pPr>
    </w:p>
    <w:p>
      <w:pPr>
        <w:spacing w:after="0" w:line="294"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278"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C common stock to be outstanding after this offering</w:t>
      </w:r>
    </w:p>
    <w:p>
      <w:pPr>
        <w:spacing w:after="0" w:line="62"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Class D common stock to be outstanding after this offering</w:t>
      </w:r>
    </w:p>
    <w:p>
      <w:pPr>
        <w:spacing w:after="0" w:line="200" w:lineRule="exact"/>
        <w:rPr>
          <w:sz w:val="20"/>
          <w:szCs w:val="20"/>
          <w:color w:val="auto"/>
        </w:rPr>
      </w:pPr>
    </w:p>
    <w:p>
      <w:pPr>
        <w:spacing w:after="0" w:line="294" w:lineRule="exact"/>
        <w:rPr>
          <w:sz w:val="20"/>
          <w:szCs w:val="20"/>
          <w:color w:val="auto"/>
        </w:rPr>
      </w:pPr>
    </w:p>
    <w:p>
      <w:pPr>
        <w:ind w:left="1460" w:right="100" w:hanging="179"/>
        <w:spacing w:after="0" w:line="277" w:lineRule="auto"/>
        <w:rPr>
          <w:sz w:val="20"/>
          <w:szCs w:val="20"/>
          <w:color w:val="auto"/>
        </w:rPr>
      </w:pPr>
      <w:r>
        <w:rPr>
          <w:rFonts w:ascii="Arial" w:cs="Arial" w:eastAsia="Arial" w:hAnsi="Arial"/>
          <w:sz w:val="18"/>
          <w:szCs w:val="18"/>
          <w:color w:val="auto"/>
        </w:rPr>
        <w:t>LLC Interests to be held by us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 a Delaware corporation.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an option to purchase up to an aggregate</w:t>
      </w:r>
    </w:p>
    <w:p>
      <w:pPr>
        <w:spacing w:after="0" w:line="46" w:lineRule="exact"/>
        <w:rPr>
          <w:sz w:val="20"/>
          <w:szCs w:val="20"/>
          <w:color w:val="auto"/>
        </w:rPr>
      </w:pPr>
    </w:p>
    <w:p>
      <w:pPr>
        <w:jc w:val="both"/>
        <w:ind w:right="819"/>
        <w:spacing w:after="0" w:line="273" w:lineRule="auto"/>
        <w:rPr>
          <w:sz w:val="20"/>
          <w:szCs w:val="20"/>
          <w:color w:val="auto"/>
        </w:rPr>
      </w:pPr>
      <w:r>
        <w:rPr>
          <w:rFonts w:ascii="Arial" w:cs="Arial" w:eastAsia="Arial" w:hAnsi="Arial"/>
          <w:sz w:val="17"/>
          <w:szCs w:val="17"/>
          <w:color w:val="auto"/>
        </w:rPr>
        <w:t>of additional shares of Class A common stock from us at the initial public offering price, less underwriting discounts and commissions. The underwriters can exercise this option at any time within 30 days from the date of this prospectus.</w:t>
      </w:r>
    </w:p>
    <w:p>
      <w:pPr>
        <w:spacing w:after="0" w:line="284" w:lineRule="exact"/>
        <w:rPr>
          <w:sz w:val="20"/>
          <w:szCs w:val="20"/>
          <w:color w:val="auto"/>
        </w:rPr>
      </w:pPr>
    </w:p>
    <w:p>
      <w:pPr>
        <w:ind w:right="859" w:firstLine="405"/>
        <w:spacing w:after="0" w:line="263" w:lineRule="auto"/>
        <w:rPr>
          <w:sz w:val="20"/>
          <w:szCs w:val="20"/>
          <w:color w:val="auto"/>
        </w:rPr>
      </w:pPr>
      <w:r>
        <w:rPr>
          <w:rFonts w:ascii="Arial" w:cs="Arial" w:eastAsia="Arial" w:hAnsi="Arial"/>
          <w:sz w:val="18"/>
          <w:szCs w:val="18"/>
          <w:color w:val="auto"/>
        </w:rPr>
        <w:t>shares (or shares, if the underwriters exercise in full their option to purchase additional shares of Class A common stock).</w:t>
      </w:r>
    </w:p>
    <w:p>
      <w:pPr>
        <w:spacing w:after="0" w:line="292" w:lineRule="exact"/>
        <w:rPr>
          <w:sz w:val="20"/>
          <w:szCs w:val="20"/>
          <w:color w:val="auto"/>
        </w:rPr>
      </w:pPr>
    </w:p>
    <w:p>
      <w:pPr>
        <w:ind w:right="859" w:firstLine="405"/>
        <w:spacing w:after="0" w:line="277" w:lineRule="auto"/>
        <w:rPr>
          <w:sz w:val="20"/>
          <w:szCs w:val="20"/>
          <w:color w:val="auto"/>
        </w:rPr>
      </w:pPr>
      <w:r>
        <w:rPr>
          <w:rFonts w:ascii="Arial" w:cs="Arial" w:eastAsia="Arial" w:hAnsi="Arial"/>
          <w:sz w:val="18"/>
          <w:szCs w:val="18"/>
          <w:color w:val="auto"/>
        </w:rPr>
        <w:t>shares, all of which will be owned by the Refinitiv Direct Owners.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shares, all of which will be owned by the Continuing LLC</w:t>
      </w:r>
    </w:p>
    <w:p>
      <w:pPr>
        <w:spacing w:after="0" w:line="35" w:lineRule="exact"/>
        <w:rPr>
          <w:sz w:val="20"/>
          <w:szCs w:val="20"/>
          <w:color w:val="auto"/>
        </w:rPr>
      </w:pPr>
    </w:p>
    <w:p>
      <w:pPr>
        <w:jc w:val="both"/>
        <w:ind w:right="779"/>
        <w:spacing w:after="0" w:line="323" w:lineRule="auto"/>
        <w:rPr>
          <w:sz w:val="20"/>
          <w:szCs w:val="20"/>
          <w:color w:val="auto"/>
        </w:rPr>
      </w:pPr>
      <w:r>
        <w:rPr>
          <w:rFonts w:ascii="Arial" w:cs="Arial" w:eastAsia="Arial" w:hAnsi="Arial"/>
          <w:sz w:val="16"/>
          <w:szCs w:val="16"/>
          <w:color w:val="auto"/>
        </w:rPr>
        <w:t>Owners (or shares, if the underwriters exercise in full their option to purchase additional shares of Class A common stock).</w:t>
      </w:r>
    </w:p>
    <w:p>
      <w:pPr>
        <w:spacing w:after="0" w:line="246" w:lineRule="exact"/>
        <w:rPr>
          <w:sz w:val="20"/>
          <w:szCs w:val="20"/>
          <w:color w:val="auto"/>
        </w:rPr>
      </w:pPr>
    </w:p>
    <w:p>
      <w:pPr>
        <w:ind w:left="400"/>
        <w:spacing w:after="0"/>
        <w:tabs>
          <w:tab w:leader="none" w:pos="2880" w:val="left"/>
        </w:tabs>
        <w:rPr>
          <w:sz w:val="20"/>
          <w:szCs w:val="20"/>
          <w:color w:val="auto"/>
        </w:rPr>
      </w:pPr>
      <w:r>
        <w:rPr>
          <w:rFonts w:ascii="Arial" w:cs="Arial" w:eastAsia="Arial" w:hAnsi="Arial"/>
          <w:sz w:val="18"/>
          <w:szCs w:val="18"/>
          <w:color w:val="auto"/>
        </w:rPr>
        <w:t>LLC Interests, representing a</w:t>
      </w:r>
      <w:r>
        <w:rPr>
          <w:sz w:val="20"/>
          <w:szCs w:val="20"/>
          <w:color w:val="auto"/>
        </w:rPr>
        <w:tab/>
      </w:r>
      <w:r>
        <w:rPr>
          <w:rFonts w:ascii="Arial" w:cs="Arial" w:eastAsia="Arial" w:hAnsi="Arial"/>
          <w:sz w:val="16"/>
          <w:szCs w:val="16"/>
          <w:color w:val="auto"/>
        </w:rPr>
        <w:t>% economic interest in</w:t>
      </w:r>
    </w:p>
    <w:p>
      <w:pPr>
        <w:spacing w:after="0" w:line="23" w:lineRule="exact"/>
        <w:rPr>
          <w:sz w:val="20"/>
          <w:szCs w:val="20"/>
          <w:color w:val="auto"/>
        </w:rPr>
      </w:pPr>
    </w:p>
    <w:p>
      <w:pPr>
        <w:spacing w:after="0"/>
        <w:tabs>
          <w:tab w:leader="none" w:pos="1520" w:val="left"/>
          <w:tab w:leader="none" w:pos="4020" w:val="left"/>
        </w:tabs>
        <w:rPr>
          <w:sz w:val="20"/>
          <w:szCs w:val="20"/>
          <w:color w:val="auto"/>
        </w:rPr>
      </w:pPr>
      <w:r>
        <w:rPr>
          <w:rFonts w:ascii="Arial" w:cs="Arial" w:eastAsia="Arial" w:hAnsi="Arial"/>
          <w:sz w:val="18"/>
          <w:szCs w:val="18"/>
          <w:color w:val="auto"/>
        </w:rPr>
        <w:t>TWM LLC (or</w:t>
      </w:r>
      <w:r>
        <w:rPr>
          <w:sz w:val="20"/>
          <w:szCs w:val="20"/>
          <w:color w:val="auto"/>
        </w:rPr>
        <w:tab/>
      </w:r>
      <w:r>
        <w:rPr>
          <w:rFonts w:ascii="Arial" w:cs="Arial" w:eastAsia="Arial" w:hAnsi="Arial"/>
          <w:sz w:val="18"/>
          <w:szCs w:val="18"/>
          <w:color w:val="auto"/>
        </w:rPr>
        <w:t>LLC Interests, representing a</w:t>
      </w:r>
      <w:r>
        <w:rPr>
          <w:sz w:val="20"/>
          <w:szCs w:val="20"/>
          <w:color w:val="auto"/>
        </w:rPr>
        <w:tab/>
      </w:r>
      <w:r>
        <w:rPr>
          <w:rFonts w:ascii="Arial" w:cs="Arial" w:eastAsia="Arial" w:hAnsi="Arial"/>
          <w:sz w:val="15"/>
          <w:szCs w:val="15"/>
          <w:color w:val="auto"/>
        </w:rPr>
        <w:t>%</w:t>
      </w:r>
    </w:p>
    <w:p>
      <w:pPr>
        <w:spacing w:after="0" w:line="9" w:lineRule="exact"/>
        <w:rPr>
          <w:sz w:val="20"/>
          <w:szCs w:val="20"/>
          <w:color w:val="auto"/>
        </w:rPr>
      </w:pPr>
    </w:p>
    <w:p>
      <w:pPr>
        <w:ind w:right="679"/>
        <w:spacing w:after="0" w:line="255" w:lineRule="auto"/>
        <w:rPr>
          <w:sz w:val="20"/>
          <w:szCs w:val="20"/>
          <w:color w:val="auto"/>
        </w:rPr>
      </w:pPr>
      <w:r>
        <w:rPr>
          <w:rFonts w:ascii="Arial" w:cs="Arial" w:eastAsia="Arial" w:hAnsi="Arial"/>
          <w:sz w:val="18"/>
          <w:szCs w:val="18"/>
          <w:color w:val="auto"/>
        </w:rPr>
        <w:t>economic interest in TWM LLC, if the underwriters exercise in full their option to purchase additional shares of Class A common stock).</w:t>
      </w:r>
    </w:p>
    <w:p>
      <w:pPr>
        <w:spacing w:after="0" w:line="82" w:lineRule="exact"/>
        <w:rPr>
          <w:sz w:val="20"/>
          <w:szCs w:val="20"/>
          <w:color w:val="auto"/>
        </w:rPr>
      </w:pPr>
    </w:p>
    <w:p>
      <w:pPr>
        <w:ind w:right="939"/>
        <w:spacing w:after="0" w:line="291" w:lineRule="auto"/>
        <w:rPr>
          <w:sz w:val="20"/>
          <w:szCs w:val="20"/>
          <w:color w:val="auto"/>
        </w:rPr>
      </w:pPr>
      <w:r>
        <w:rPr>
          <w:rFonts w:ascii="Arial" w:cs="Arial" w:eastAsia="Arial" w:hAnsi="Arial"/>
          <w:sz w:val="16"/>
          <w:szCs w:val="16"/>
          <w:color w:val="auto"/>
        </w:rPr>
        <w:t>Each share of Class A common stock entitles its holder to one vote on all matters presented to our stockholders generally,</w:t>
      </w:r>
    </w:p>
    <w:p>
      <w:pPr>
        <w:spacing w:after="0"/>
        <w:tabs>
          <w:tab w:leader="none" w:pos="2460" w:val="left"/>
        </w:tabs>
        <w:rPr>
          <w:sz w:val="20"/>
          <w:szCs w:val="20"/>
          <w:color w:val="auto"/>
        </w:rPr>
      </w:pPr>
      <w:r>
        <w:rPr>
          <w:rFonts w:ascii="Arial" w:cs="Arial" w:eastAsia="Arial" w:hAnsi="Arial"/>
          <w:sz w:val="18"/>
          <w:szCs w:val="18"/>
          <w:color w:val="auto"/>
        </w:rPr>
        <w:t>representing an aggregate of</w:t>
      </w:r>
      <w:r>
        <w:rPr>
          <w:sz w:val="20"/>
          <w:szCs w:val="20"/>
          <w:color w:val="auto"/>
        </w:rPr>
        <w:tab/>
      </w:r>
      <w:r>
        <w:rPr>
          <w:rFonts w:ascii="Arial" w:cs="Arial" w:eastAsia="Arial" w:hAnsi="Arial"/>
          <w:sz w:val="16"/>
          <w:szCs w:val="16"/>
          <w:color w:val="auto"/>
        </w:rPr>
        <w:t>% of the combined voting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of our issued and outstanding common stock upon</w:t>
      </w:r>
    </w:p>
    <w:p>
      <w:pPr>
        <w:spacing w:after="0" w:line="9"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completion of this offering (or</w:t>
      </w:r>
      <w:r>
        <w:rPr>
          <w:sz w:val="20"/>
          <w:szCs w:val="20"/>
          <w:color w:val="auto"/>
        </w:rPr>
        <w:tab/>
      </w:r>
      <w:r>
        <w:rPr>
          <w:rFonts w:ascii="Arial" w:cs="Arial" w:eastAsia="Arial" w:hAnsi="Arial"/>
          <w:sz w:val="16"/>
          <w:szCs w:val="16"/>
          <w:color w:val="auto"/>
        </w:rPr>
        <w:t>%, if the underwriters</w:t>
      </w:r>
    </w:p>
    <w:p>
      <w:pPr>
        <w:spacing w:after="0" w:line="9" w:lineRule="exact"/>
        <w:rPr>
          <w:sz w:val="20"/>
          <w:szCs w:val="20"/>
          <w:color w:val="auto"/>
        </w:rPr>
      </w:pPr>
    </w:p>
    <w:p>
      <w:pPr>
        <w:ind w:right="1119"/>
        <w:spacing w:after="0" w:line="260" w:lineRule="auto"/>
        <w:rPr>
          <w:sz w:val="20"/>
          <w:szCs w:val="20"/>
          <w:color w:val="auto"/>
        </w:rPr>
      </w:pPr>
      <w:r>
        <w:rPr>
          <w:rFonts w:ascii="Arial" w:cs="Arial" w:eastAsia="Arial" w:hAnsi="Arial"/>
          <w:sz w:val="18"/>
          <w:szCs w:val="18"/>
          <w:color w:val="auto"/>
        </w:rPr>
        <w:t>exercise in full their option to purchase additional shares of Class A common stock).</w:t>
      </w:r>
    </w:p>
    <w:p>
      <w:pPr>
        <w:spacing w:after="0" w:line="77" w:lineRule="exact"/>
        <w:rPr>
          <w:sz w:val="20"/>
          <w:szCs w:val="20"/>
          <w:color w:val="auto"/>
        </w:rPr>
      </w:pPr>
    </w:p>
    <w:p>
      <w:pPr>
        <w:ind w:right="979"/>
        <w:spacing w:after="0" w:line="291" w:lineRule="auto"/>
        <w:rPr>
          <w:sz w:val="20"/>
          <w:szCs w:val="20"/>
          <w:color w:val="auto"/>
        </w:rPr>
      </w:pPr>
      <w:r>
        <w:rPr>
          <w:rFonts w:ascii="Arial" w:cs="Arial" w:eastAsia="Arial" w:hAnsi="Arial"/>
          <w:sz w:val="16"/>
          <w:szCs w:val="16"/>
          <w:color w:val="auto"/>
        </w:rPr>
        <w:t>Each share of Class B common stock entitles its holder to ten votes on all matters presented to our stockholders generally,</w:t>
      </w:r>
    </w:p>
    <w:p>
      <w:pPr>
        <w:ind w:right="699"/>
        <w:spacing w:after="0" w:line="253" w:lineRule="auto"/>
        <w:rPr>
          <w:sz w:val="20"/>
          <w:szCs w:val="20"/>
          <w:color w:val="auto"/>
        </w:rPr>
      </w:pPr>
      <w:r>
        <w:rPr>
          <w:rFonts w:ascii="Arial" w:cs="Arial" w:eastAsia="Arial" w:hAnsi="Arial"/>
          <w:sz w:val="18"/>
          <w:szCs w:val="18"/>
          <w:color w:val="auto"/>
        </w:rPr>
        <w:t>representing an aggregate of % of the combined voting power of our issued and outstanding common stock upon completion of this offering. Upon completion of this offering, the Refinitiv Direct Owners will own all of our outstanding Class B common stock.</w:t>
      </w:r>
    </w:p>
    <w:p>
      <w:pPr>
        <w:spacing w:after="0" w:line="83" w:lineRule="exact"/>
        <w:rPr>
          <w:sz w:val="20"/>
          <w:szCs w:val="20"/>
          <w:color w:val="auto"/>
        </w:rPr>
      </w:pPr>
    </w:p>
    <w:p>
      <w:pPr>
        <w:ind w:right="719"/>
        <w:spacing w:after="0" w:line="259" w:lineRule="auto"/>
        <w:rPr>
          <w:sz w:val="20"/>
          <w:szCs w:val="20"/>
          <w:color w:val="auto"/>
        </w:rPr>
      </w:pPr>
      <w:r>
        <w:rPr>
          <w:rFonts w:ascii="Arial" w:cs="Arial" w:eastAsia="Arial" w:hAnsi="Arial"/>
          <w:sz w:val="18"/>
          <w:szCs w:val="18"/>
          <w:color w:val="auto"/>
        </w:rPr>
        <w:t>Each share of Class C common stock entitles its holder to one vote on all matters presented to our stockholders generally. Upon completion of this offering, no shares of Class C common stock will be outstanding.</w:t>
      </w:r>
    </w:p>
    <w:p>
      <w:pPr>
        <w:spacing w:after="0" w:line="200" w:lineRule="exact"/>
        <w:rPr>
          <w:sz w:val="20"/>
          <w:szCs w:val="20"/>
          <w:color w:val="auto"/>
        </w:rPr>
      </w:pPr>
    </w:p>
    <w:p>
      <w:pPr>
        <w:sectPr>
          <w:pgSz w:w="11900" w:h="16838" w:orient="portrait"/>
          <w:cols w:equalWidth="0" w:num="2">
            <w:col w:w="4240" w:space="500"/>
            <w:col w:w="53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60" w:right="440" w:hanging="179"/>
        <w:spacing w:after="0" w:line="277" w:lineRule="auto"/>
        <w:rPr>
          <w:sz w:val="20"/>
          <w:szCs w:val="20"/>
          <w:color w:val="auto"/>
        </w:rPr>
      </w:pPr>
      <w:r>
        <w:rPr>
          <w:rFonts w:ascii="Arial" w:cs="Arial" w:eastAsia="Arial" w:hAnsi="Arial"/>
          <w:sz w:val="18"/>
          <w:szCs w:val="18"/>
          <w:color w:val="auto"/>
        </w:rPr>
        <w:t>Voting power held by the Refinitiv Owners</w:t>
      </w:r>
    </w:p>
    <w:p>
      <w:pPr>
        <w:spacing w:after="0" w:line="62" w:lineRule="exact"/>
        <w:rPr>
          <w:sz w:val="20"/>
          <w:szCs w:val="20"/>
          <w:color w:val="auto"/>
        </w:rPr>
      </w:pPr>
    </w:p>
    <w:p>
      <w:pPr>
        <w:ind w:left="1460" w:right="280" w:hanging="179"/>
        <w:spacing w:after="0" w:line="277" w:lineRule="auto"/>
        <w:rPr>
          <w:sz w:val="20"/>
          <w:szCs w:val="20"/>
          <w:color w:val="auto"/>
        </w:rPr>
      </w:pPr>
      <w:r>
        <w:rPr>
          <w:rFonts w:ascii="Arial" w:cs="Arial" w:eastAsia="Arial" w:hAnsi="Arial"/>
          <w:sz w:val="18"/>
          <w:szCs w:val="18"/>
          <w:color w:val="auto"/>
        </w:rPr>
        <w:t>Voting power held by the Other LLC Owners</w:t>
      </w: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Controlled company</w:t>
      </w: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Dividend policy</w:t>
      </w:r>
    </w:p>
    <w:p>
      <w:pPr>
        <w:spacing w:after="0" w:line="333"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Ratio of shares of common stock 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60" w:hanging="179"/>
        <w:spacing w:after="0" w:line="263" w:lineRule="auto"/>
        <w:rPr>
          <w:sz w:val="20"/>
          <w:szCs w:val="20"/>
          <w:color w:val="auto"/>
        </w:rPr>
      </w:pPr>
      <w:r>
        <w:rPr>
          <w:rFonts w:ascii="Arial" w:cs="Arial" w:eastAsia="Arial" w:hAnsi="Arial"/>
          <w:sz w:val="18"/>
          <w:szCs w:val="18"/>
          <w:color w:val="auto"/>
        </w:rPr>
        <w:t>Redemption rights of holders of LLC Interests/exchange rights of holders of Class B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979"/>
        <w:spacing w:after="0" w:line="291" w:lineRule="auto"/>
        <w:rPr>
          <w:sz w:val="20"/>
          <w:szCs w:val="20"/>
          <w:color w:val="auto"/>
        </w:rPr>
      </w:pPr>
      <w:r>
        <w:rPr>
          <w:rFonts w:ascii="Arial" w:cs="Arial" w:eastAsia="Arial" w:hAnsi="Arial"/>
          <w:sz w:val="16"/>
          <w:szCs w:val="16"/>
          <w:color w:val="auto"/>
        </w:rPr>
        <w:t>Each share of Class D common stock entitles its holder to ten votes on all matters presented to our stockholders generally,</w:t>
      </w:r>
    </w:p>
    <w:p>
      <w:pPr>
        <w:spacing w:after="0"/>
        <w:tabs>
          <w:tab w:leader="none" w:pos="2460" w:val="left"/>
        </w:tabs>
        <w:rPr>
          <w:sz w:val="20"/>
          <w:szCs w:val="20"/>
          <w:color w:val="auto"/>
        </w:rPr>
      </w:pPr>
      <w:r>
        <w:rPr>
          <w:rFonts w:ascii="Arial" w:cs="Arial" w:eastAsia="Arial" w:hAnsi="Arial"/>
          <w:sz w:val="18"/>
          <w:szCs w:val="18"/>
          <w:color w:val="auto"/>
        </w:rPr>
        <w:t>representing an aggregate of</w:t>
      </w:r>
      <w:r>
        <w:rPr>
          <w:sz w:val="20"/>
          <w:szCs w:val="20"/>
          <w:color w:val="auto"/>
        </w:rPr>
        <w:tab/>
      </w:r>
      <w:r>
        <w:rPr>
          <w:rFonts w:ascii="Arial" w:cs="Arial" w:eastAsia="Arial" w:hAnsi="Arial"/>
          <w:sz w:val="16"/>
          <w:szCs w:val="16"/>
          <w:color w:val="auto"/>
        </w:rPr>
        <w:t>% of the combined voting</w:t>
      </w:r>
    </w:p>
    <w:p>
      <w:pPr>
        <w:spacing w:after="0" w:line="9" w:lineRule="exact"/>
        <w:rPr>
          <w:sz w:val="20"/>
          <w:szCs w:val="20"/>
          <w:color w:val="auto"/>
        </w:rPr>
      </w:pPr>
    </w:p>
    <w:p>
      <w:pPr>
        <w:ind w:right="1159"/>
        <w:spacing w:after="0" w:line="281" w:lineRule="auto"/>
        <w:rPr>
          <w:sz w:val="20"/>
          <w:szCs w:val="20"/>
          <w:color w:val="auto"/>
        </w:rPr>
      </w:pPr>
      <w:r>
        <w:rPr>
          <w:rFonts w:ascii="Arial" w:cs="Arial" w:eastAsia="Arial" w:hAnsi="Arial"/>
          <w:sz w:val="16"/>
          <w:szCs w:val="16"/>
          <w:color w:val="auto"/>
        </w:rPr>
        <w:t>power of our issued and outstanding common stock upon consummation of this offering (or %, if the underwriters</w:t>
      </w:r>
    </w:p>
    <w:p>
      <w:pPr>
        <w:spacing w:after="0" w:line="1" w:lineRule="exact"/>
        <w:rPr>
          <w:sz w:val="20"/>
          <w:szCs w:val="20"/>
          <w:color w:val="auto"/>
        </w:rPr>
      </w:pPr>
    </w:p>
    <w:p>
      <w:pPr>
        <w:ind w:right="719"/>
        <w:spacing w:after="0" w:line="253" w:lineRule="auto"/>
        <w:rPr>
          <w:sz w:val="20"/>
          <w:szCs w:val="20"/>
          <w:color w:val="auto"/>
        </w:rPr>
      </w:pPr>
      <w:r>
        <w:rPr>
          <w:rFonts w:ascii="Arial" w:cs="Arial" w:eastAsia="Arial" w:hAnsi="Arial"/>
          <w:sz w:val="18"/>
          <w:szCs w:val="18"/>
          <w:color w:val="auto"/>
        </w:rPr>
        <w:t>exercise in full their option to purchase additional shares of Class A common stock). Upon completion of this offering, the Continuing LLC Owners will own all of our outstanding Class D common stock.</w:t>
      </w:r>
    </w:p>
    <w:p>
      <w:pPr>
        <w:spacing w:after="0" w:line="85" w:lineRule="exact"/>
        <w:rPr>
          <w:sz w:val="20"/>
          <w:szCs w:val="20"/>
          <w:color w:val="auto"/>
        </w:rPr>
      </w:pPr>
    </w:p>
    <w:p>
      <w:pPr>
        <w:ind w:right="679"/>
        <w:spacing w:after="0" w:line="255" w:lineRule="auto"/>
        <w:rPr>
          <w:sz w:val="20"/>
          <w:szCs w:val="20"/>
          <w:color w:val="auto"/>
        </w:rPr>
      </w:pPr>
      <w:r>
        <w:rPr>
          <w:rFonts w:ascii="Arial" w:cs="Arial" w:eastAsia="Arial" w:hAnsi="Arial"/>
          <w:sz w:val="18"/>
          <w:szCs w:val="18"/>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 See “Description of Capital Stock.”</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8"/>
          <w:szCs w:val="18"/>
          <w:color w:val="auto"/>
        </w:rPr>
        <w:t>% (or</w:t>
      </w:r>
      <w:r>
        <w:rPr>
          <w:sz w:val="20"/>
          <w:szCs w:val="20"/>
          <w:color w:val="auto"/>
        </w:rPr>
        <w:tab/>
      </w:r>
      <w:r>
        <w:rPr>
          <w:rFonts w:ascii="Arial" w:cs="Arial" w:eastAsia="Arial" w:hAnsi="Arial"/>
          <w:sz w:val="16"/>
          <w:szCs w:val="16"/>
          <w:color w:val="auto"/>
        </w:rPr>
        <w:t>% if the underwriters exercise in full their option</w:t>
      </w:r>
    </w:p>
    <w:p>
      <w:pPr>
        <w:spacing w:after="0" w:line="23" w:lineRule="exact"/>
        <w:rPr>
          <w:sz w:val="20"/>
          <w:szCs w:val="20"/>
          <w:color w:val="auto"/>
        </w:rPr>
      </w:pPr>
    </w:p>
    <w:p>
      <w:pPr>
        <w:ind w:right="1239"/>
        <w:spacing w:after="0" w:line="352" w:lineRule="auto"/>
        <w:rPr>
          <w:sz w:val="20"/>
          <w:szCs w:val="20"/>
          <w:color w:val="auto"/>
        </w:rPr>
      </w:pPr>
      <w:r>
        <w:rPr>
          <w:rFonts w:ascii="Arial" w:cs="Arial" w:eastAsia="Arial" w:hAnsi="Arial"/>
          <w:sz w:val="16"/>
          <w:szCs w:val="16"/>
          <w:color w:val="auto"/>
        </w:rPr>
        <w:t>to purchase additional shares of Class A common stock). We will be a “controlled company” within the meaning of</w:t>
      </w:r>
    </w:p>
    <w:p>
      <w:pPr>
        <w:spacing w:after="0"/>
        <w:tabs>
          <w:tab w:leader="none" w:pos="3160" w:val="left"/>
        </w:tabs>
        <w:rPr>
          <w:sz w:val="20"/>
          <w:szCs w:val="20"/>
          <w:color w:val="auto"/>
        </w:rPr>
      </w:pPr>
      <w:r>
        <w:rPr>
          <w:rFonts w:ascii="Arial" w:cs="Arial" w:eastAsia="Arial" w:hAnsi="Arial"/>
          <w:sz w:val="18"/>
          <w:szCs w:val="18"/>
          <w:color w:val="auto"/>
        </w:rPr>
        <w:t>the corporate governance standards of</w:t>
      </w:r>
      <w:r>
        <w:rPr>
          <w:sz w:val="20"/>
          <w:szCs w:val="20"/>
          <w:color w:val="auto"/>
        </w:rPr>
        <w:tab/>
      </w:r>
      <w:r>
        <w:rPr>
          <w:rFonts w:ascii="Arial" w:cs="Arial" w:eastAsia="Arial" w:hAnsi="Arial"/>
          <w:sz w:val="16"/>
          <w:szCs w:val="16"/>
          <w:color w:val="auto"/>
        </w:rPr>
        <w:t>. See “Management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Director Independence and Controlled Company Exception.”</w:t>
      </w:r>
    </w:p>
    <w:p>
      <w:pPr>
        <w:spacing w:after="0" w:line="126"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We do not expect to pay any dividends on our common stock for the foreseeable future. See “Dividend Policy.”</w:t>
      </w:r>
    </w:p>
    <w:p>
      <w:pPr>
        <w:spacing w:after="0" w:line="278" w:lineRule="exact"/>
        <w:rPr>
          <w:sz w:val="20"/>
          <w:szCs w:val="20"/>
          <w:color w:val="auto"/>
        </w:rPr>
      </w:pPr>
    </w:p>
    <w:p>
      <w:pPr>
        <w:ind w:right="799"/>
        <w:spacing w:after="0" w:line="284" w:lineRule="auto"/>
        <w:rPr>
          <w:sz w:val="20"/>
          <w:szCs w:val="20"/>
          <w:color w:val="auto"/>
        </w:rPr>
      </w:pPr>
      <w:r>
        <w:rPr>
          <w:rFonts w:ascii="Arial" w:cs="Arial" w:eastAsia="Arial" w:hAnsi="Arial"/>
          <w:sz w:val="16"/>
          <w:szCs w:val="16"/>
          <w:color w:val="auto"/>
        </w:rPr>
        <w:t>Our amended and restated certificate of incorporation and the TWM LLC Agreement will require that (i) we at all times maintain a ratio of one LLC Interest owned by us for each share of Class A common stock and Class B common stock issued by us (subject to certain exceptions for treasury shares and shares underlying certain convertible or exchangeable securities), and</w:t>
      </w:r>
    </w:p>
    <w:p>
      <w:pPr>
        <w:spacing w:after="0" w:line="4" w:lineRule="exact"/>
        <w:rPr>
          <w:sz w:val="20"/>
          <w:szCs w:val="20"/>
          <w:color w:val="auto"/>
        </w:rPr>
      </w:pPr>
    </w:p>
    <w:p>
      <w:pPr>
        <w:ind w:right="699" w:firstLine="2"/>
        <w:spacing w:after="0" w:line="251"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200" w:lineRule="exact"/>
        <w:rPr>
          <w:sz w:val="20"/>
          <w:szCs w:val="20"/>
          <w:color w:val="auto"/>
        </w:rPr>
      </w:pPr>
    </w:p>
    <w:p>
      <w:pPr>
        <w:spacing w:after="0" w:line="322" w:lineRule="exact"/>
        <w:rPr>
          <w:sz w:val="20"/>
          <w:szCs w:val="20"/>
          <w:color w:val="auto"/>
        </w:rPr>
      </w:pPr>
    </w:p>
    <w:p>
      <w:pPr>
        <w:ind w:right="739"/>
        <w:spacing w:after="0" w:line="272" w:lineRule="auto"/>
        <w:rPr>
          <w:sz w:val="20"/>
          <w:szCs w:val="20"/>
          <w:color w:val="auto"/>
        </w:rPr>
      </w:pPr>
      <w:r>
        <w:rPr>
          <w:rFonts w:ascii="Arial" w:cs="Arial" w:eastAsia="Arial" w:hAnsi="Arial"/>
          <w:sz w:val="17"/>
          <w:szCs w:val="17"/>
          <w:color w:val="auto"/>
        </w:rPr>
        <w:t>The Continuing LLC Owners, from time to time following this offering, may require TWM LLC to redeem all or a portion of their LLC Interests for newly issued shares of Class A common stock or Class B common stock on a one-for-one basis (and such holders’ shares of Class C common stock or Class D common stock, as the case may be, will be cancelled on a one-for-one basis upon any such issuance).</w:t>
      </w:r>
    </w:p>
    <w:p>
      <w:pPr>
        <w:spacing w:after="0" w:line="200" w:lineRule="exact"/>
        <w:rPr>
          <w:sz w:val="20"/>
          <w:szCs w:val="20"/>
          <w:color w:val="auto"/>
        </w:rPr>
      </w:pPr>
    </w:p>
    <w:p>
      <w:pPr>
        <w:sectPr>
          <w:pgSz w:w="11900" w:h="16838" w:orient="portrait"/>
          <w:cols w:equalWidth="0" w:num="2">
            <w:col w:w="4220" w:space="520"/>
            <w:col w:w="53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Tradeweb’s board of directors, which will include directors who</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hold LLC Interests or are affiliated with holders of LLC Interests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and may include such directors in the future, may, at its option,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instead of the foregoing redemptions of LLC Interests, cause the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Company to make a cash payment equal to the volume weighted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average market price of one share of our Class A common stock</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 each LLC Interest redeemed (subject to customary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adjustments, including for stock splits, stock dividends and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reclassifications) in accordance with the terms of the TWM LLC</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Agreement. See “Certain Relationships and Related Party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Transactions — TWM LLC Agreement.”</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 Refinitiv Direct Owners and other future holders of Class B</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may from time to time exchange all or a portion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their shares of our Class B common stock for newly issued shares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of Class A common stock on a one-for-one basis (in which case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their shares of Class B common stock will be cancelled on a one-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for-one basis upon any such issuance). Furthermore,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Continuing LLC Owners may from time to time exchange all or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portion of their shares of our Class D common stock for newly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issued shares of Class C common stock on a one-for-one basis (in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which case their shares of Class D common stock will be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cancelled on a one-for-one basis upon such issuance).</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Conversion</w:t>
      </w:r>
      <w:r>
        <w:rPr>
          <w:sz w:val="20"/>
          <w:szCs w:val="20"/>
          <w:color w:val="auto"/>
        </w:rPr>
        <w:tab/>
      </w:r>
      <w:r>
        <w:rPr>
          <w:rFonts w:ascii="Arial" w:cs="Arial" w:eastAsia="Arial" w:hAnsi="Arial"/>
          <w:sz w:val="18"/>
          <w:szCs w:val="18"/>
          <w:color w:val="auto"/>
        </w:rPr>
        <w:t>Each share of our Class B common stock will automatically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convert into one share of Class A common stock and each share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of our Class D common stock will automatically convert into one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share of our Class C common stock (i) immediately prior to any</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sale or other transfer of such share by a holder or any of its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affiliates or permitted transferees, which, in the case of Class 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such sale or other transfer will be limited by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transfer restrictions on LLC Interests contained in the TWM LLC</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Agreement or (ii) once the Refinitiv Owners and their affiliates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together no longer beneficially own a number of shares of our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and LLC Interests that together entitle them to at</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least 10% of our economic interests. Holders of LLC Interests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that receive shares of Class C common stock upon any such</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conversion may continue to elect to have their LLC Interests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redeemed for newly issued shares of Class A common stock as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described above (in which case their shares of Class C common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 will be cancelled on a one-for-one basis upon such</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issuance). See “Description of Capital Stock.”</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Registration Rights Agreement</w:t>
      </w:r>
      <w:r>
        <w:rPr>
          <w:sz w:val="20"/>
          <w:szCs w:val="20"/>
          <w:color w:val="auto"/>
        </w:rPr>
        <w:tab/>
      </w:r>
      <w:r>
        <w:rPr>
          <w:rFonts w:ascii="Arial" w:cs="Arial" w:eastAsia="Arial" w:hAnsi="Arial"/>
          <w:sz w:val="16"/>
          <w:szCs w:val="16"/>
          <w:color w:val="auto"/>
        </w:rPr>
        <w:t>Pursuant to the Registration Rights Agreement, we will grant</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 their affiliates and certain of their transferees the right,</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under certain circumstances and subject to certain restrictions, to</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require us to register under the Securities Act shares of Class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See “Certain Relationships and Related Party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Transactions — Registration Rights Agreement.”</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Use of proceeds</w:t>
            </w: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3"/>
              </w:rPr>
              <w:t>We estimate that the net proceeds to us from this offering, after</w:t>
            </w: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4"/>
              </w:rPr>
              <w:t>deducting underwriting discounts, but before estimated offering</w:t>
            </w:r>
          </w:p>
        </w:tc>
      </w:tr>
      <w:tr>
        <w:trPr>
          <w:trHeight w:val="230"/>
        </w:trPr>
        <w:tc>
          <w:tcPr>
            <w:tcW w:w="2940" w:type="dxa"/>
            <w:vAlign w:val="bottom"/>
          </w:tcPr>
          <w:p>
            <w:pPr>
              <w:spacing w:after="0"/>
              <w:rPr>
                <w:sz w:val="20"/>
                <w:szCs w:val="20"/>
                <w:color w:val="auto"/>
              </w:rPr>
            </w:pPr>
          </w:p>
        </w:tc>
        <w:tc>
          <w:tcPr>
            <w:tcW w:w="3200" w:type="dxa"/>
            <w:vAlign w:val="bottom"/>
            <w:gridSpan w:val="2"/>
          </w:tcPr>
          <w:p>
            <w:pPr>
              <w:ind w:left="520"/>
              <w:spacing w:after="0"/>
              <w:rPr>
                <w:sz w:val="20"/>
                <w:szCs w:val="20"/>
                <w:color w:val="auto"/>
              </w:rPr>
            </w:pPr>
            <w:r>
              <w:rPr>
                <w:rFonts w:ascii="Arial" w:cs="Arial" w:eastAsia="Arial" w:hAnsi="Arial"/>
                <w:sz w:val="18"/>
                <w:szCs w:val="18"/>
                <w:color w:val="auto"/>
                <w:w w:val="98"/>
              </w:rPr>
              <w:t>expenses, will be approximately $</w:t>
            </w:r>
          </w:p>
        </w:tc>
        <w:tc>
          <w:tcPr>
            <w:tcW w:w="1620" w:type="dxa"/>
            <w:vAlign w:val="bottom"/>
          </w:tcPr>
          <w:p>
            <w:pPr>
              <w:ind w:left="180"/>
              <w:spacing w:after="0"/>
              <w:rPr>
                <w:sz w:val="20"/>
                <w:szCs w:val="20"/>
                <w:color w:val="auto"/>
              </w:rPr>
            </w:pPr>
            <w:r>
              <w:rPr>
                <w:rFonts w:ascii="Arial" w:cs="Arial" w:eastAsia="Arial" w:hAnsi="Arial"/>
                <w:sz w:val="18"/>
                <w:szCs w:val="18"/>
                <w:color w:val="auto"/>
              </w:rPr>
              <w:t>million.</w:t>
            </w:r>
          </w:p>
        </w:tc>
        <w:tc>
          <w:tcPr>
            <w:tcW w:w="440" w:type="dxa"/>
            <w:vAlign w:val="bottom"/>
          </w:tcPr>
          <w:p>
            <w:pPr>
              <w:spacing w:after="0"/>
              <w:rPr>
                <w:sz w:val="20"/>
                <w:szCs w:val="20"/>
                <w:color w:val="auto"/>
              </w:rPr>
            </w:pPr>
          </w:p>
        </w:tc>
      </w:tr>
      <w:tr>
        <w:trPr>
          <w:trHeight w:val="310"/>
        </w:trPr>
        <w:tc>
          <w:tcPr>
            <w:tcW w:w="2940" w:type="dxa"/>
            <w:vAlign w:val="bottom"/>
          </w:tcPr>
          <w:p>
            <w:pPr>
              <w:spacing w:after="0"/>
              <w:rPr>
                <w:sz w:val="24"/>
                <w:szCs w:val="24"/>
                <w:color w:val="auto"/>
              </w:rPr>
            </w:pPr>
          </w:p>
        </w:tc>
        <w:tc>
          <w:tcPr>
            <w:tcW w:w="4820" w:type="dxa"/>
            <w:vAlign w:val="bottom"/>
            <w:gridSpan w:val="3"/>
          </w:tcPr>
          <w:p>
            <w:pPr>
              <w:ind w:left="520"/>
              <w:spacing w:after="0"/>
              <w:rPr>
                <w:sz w:val="20"/>
                <w:szCs w:val="20"/>
                <w:color w:val="auto"/>
              </w:rPr>
            </w:pPr>
            <w:r>
              <w:rPr>
                <w:rFonts w:ascii="Arial" w:cs="Arial" w:eastAsia="Arial" w:hAnsi="Arial"/>
                <w:sz w:val="18"/>
                <w:szCs w:val="18"/>
                <w:color w:val="auto"/>
                <w:w w:val="90"/>
              </w:rPr>
              <w:t>We intend to use the net proceeds that we receive from this</w:t>
            </w:r>
          </w:p>
        </w:tc>
        <w:tc>
          <w:tcPr>
            <w:tcW w:w="44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2040" w:type="dxa"/>
            <w:vAlign w:val="bottom"/>
          </w:tcPr>
          <w:p>
            <w:pPr>
              <w:ind w:left="520"/>
              <w:spacing w:after="0"/>
              <w:rPr>
                <w:sz w:val="20"/>
                <w:szCs w:val="20"/>
                <w:color w:val="auto"/>
              </w:rPr>
            </w:pPr>
            <w:r>
              <w:rPr>
                <w:rFonts w:ascii="Arial" w:cs="Arial" w:eastAsia="Arial" w:hAnsi="Arial"/>
                <w:sz w:val="18"/>
                <w:szCs w:val="18"/>
                <w:color w:val="auto"/>
                <w:w w:val="94"/>
              </w:rPr>
              <w:t>offering to purchase</w:t>
            </w:r>
          </w:p>
        </w:tc>
        <w:tc>
          <w:tcPr>
            <w:tcW w:w="3220" w:type="dxa"/>
            <w:vAlign w:val="bottom"/>
            <w:gridSpan w:val="3"/>
          </w:tcPr>
          <w:p>
            <w:pPr>
              <w:ind w:left="380"/>
              <w:spacing w:after="0"/>
              <w:rPr>
                <w:sz w:val="20"/>
                <w:szCs w:val="20"/>
                <w:color w:val="auto"/>
              </w:rPr>
            </w:pPr>
            <w:r>
              <w:rPr>
                <w:rFonts w:ascii="Arial" w:cs="Arial" w:eastAsia="Arial" w:hAnsi="Arial"/>
                <w:sz w:val="18"/>
                <w:szCs w:val="18"/>
                <w:color w:val="auto"/>
                <w:w w:val="94"/>
              </w:rPr>
              <w:t>issued and outstanding LLC Interests</w:t>
            </w: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6"/>
              </w:rPr>
              <w:t>from certain of the Other LLC Owners at a purchase price per</w:t>
            </w: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4"/>
              </w:rPr>
              <w:t>interest equal to the initial public offering price per share of our</w:t>
            </w:r>
          </w:p>
        </w:tc>
      </w:tr>
      <w:tr>
        <w:trPr>
          <w:trHeight w:val="216"/>
        </w:trPr>
        <w:tc>
          <w:tcPr>
            <w:tcW w:w="2940" w:type="dxa"/>
            <w:vAlign w:val="bottom"/>
          </w:tcPr>
          <w:p>
            <w:pPr>
              <w:spacing w:after="0"/>
              <w:rPr>
                <w:sz w:val="18"/>
                <w:szCs w:val="18"/>
                <w:color w:val="auto"/>
              </w:rPr>
            </w:pPr>
          </w:p>
        </w:tc>
        <w:tc>
          <w:tcPr>
            <w:tcW w:w="4820" w:type="dxa"/>
            <w:vAlign w:val="bottom"/>
            <w:gridSpan w:val="3"/>
          </w:tcPr>
          <w:p>
            <w:pPr>
              <w:ind w:left="520"/>
              <w:spacing w:after="0"/>
              <w:rPr>
                <w:sz w:val="20"/>
                <w:szCs w:val="20"/>
                <w:color w:val="auto"/>
              </w:rPr>
            </w:pPr>
            <w:r>
              <w:rPr>
                <w:rFonts w:ascii="Arial" w:cs="Arial" w:eastAsia="Arial" w:hAnsi="Arial"/>
                <w:sz w:val="18"/>
                <w:szCs w:val="18"/>
                <w:color w:val="auto"/>
                <w:w w:val="90"/>
              </w:rPr>
              <w:t>Class A common stock, less the underwriting discounts and</w:t>
            </w:r>
          </w:p>
        </w:tc>
        <w:tc>
          <w:tcPr>
            <w:tcW w:w="440" w:type="dxa"/>
            <w:vAlign w:val="bottom"/>
          </w:tcPr>
          <w:p>
            <w:pPr>
              <w:spacing w:after="0"/>
              <w:rPr>
                <w:sz w:val="18"/>
                <w:szCs w:val="18"/>
                <w:color w:val="auto"/>
              </w:rPr>
            </w:pPr>
          </w:p>
        </w:tc>
      </w:tr>
      <w:tr>
        <w:trPr>
          <w:trHeight w:val="230"/>
        </w:trPr>
        <w:tc>
          <w:tcPr>
            <w:tcW w:w="2940" w:type="dxa"/>
            <w:vAlign w:val="bottom"/>
          </w:tcPr>
          <w:p>
            <w:pPr>
              <w:spacing w:after="0"/>
              <w:rPr>
                <w:sz w:val="20"/>
                <w:szCs w:val="20"/>
                <w:color w:val="auto"/>
              </w:rPr>
            </w:pPr>
          </w:p>
        </w:tc>
        <w:tc>
          <w:tcPr>
            <w:tcW w:w="4820" w:type="dxa"/>
            <w:vAlign w:val="bottom"/>
            <w:gridSpan w:val="3"/>
          </w:tcPr>
          <w:p>
            <w:pPr>
              <w:ind w:left="520"/>
              <w:spacing w:after="0"/>
              <w:rPr>
                <w:sz w:val="20"/>
                <w:szCs w:val="20"/>
                <w:color w:val="auto"/>
              </w:rPr>
            </w:pPr>
            <w:r>
              <w:rPr>
                <w:rFonts w:ascii="Arial" w:cs="Arial" w:eastAsia="Arial" w:hAnsi="Arial"/>
                <w:sz w:val="18"/>
                <w:szCs w:val="18"/>
                <w:color w:val="auto"/>
                <w:w w:val="98"/>
              </w:rPr>
              <w:t>commissions payable thereon. See “Use of Proceeds.”</w:t>
            </w:r>
          </w:p>
        </w:tc>
        <w:tc>
          <w:tcPr>
            <w:tcW w:w="440" w:type="dxa"/>
            <w:vAlign w:val="bottom"/>
          </w:tcPr>
          <w:p>
            <w:pPr>
              <w:spacing w:after="0"/>
              <w:rPr>
                <w:sz w:val="20"/>
                <w:szCs w:val="20"/>
                <w:color w:val="auto"/>
              </w:rPr>
            </w:pPr>
          </w:p>
        </w:tc>
      </w:tr>
      <w:tr>
        <w:trPr>
          <w:trHeight w:val="310"/>
        </w:trPr>
        <w:tc>
          <w:tcPr>
            <w:tcW w:w="2940" w:type="dxa"/>
            <w:vAlign w:val="bottom"/>
          </w:tcPr>
          <w:p>
            <w:pPr>
              <w:spacing w:after="0"/>
              <w:rPr>
                <w:sz w:val="20"/>
                <w:szCs w:val="20"/>
                <w:color w:val="auto"/>
              </w:rPr>
            </w:pPr>
            <w:r>
              <w:rPr>
                <w:rFonts w:ascii="Arial" w:cs="Arial" w:eastAsia="Arial" w:hAnsi="Arial"/>
                <w:sz w:val="18"/>
                <w:szCs w:val="18"/>
                <w:color w:val="auto"/>
              </w:rPr>
              <w:t>Conflicts of interest</w:t>
            </w:r>
          </w:p>
        </w:tc>
        <w:tc>
          <w:tcPr>
            <w:tcW w:w="2040" w:type="dxa"/>
            <w:vAlign w:val="bottom"/>
          </w:tcPr>
          <w:p>
            <w:pPr>
              <w:ind w:left="520"/>
              <w:spacing w:after="0"/>
              <w:rPr>
                <w:sz w:val="20"/>
                <w:szCs w:val="20"/>
                <w:color w:val="auto"/>
              </w:rPr>
            </w:pPr>
            <w:r>
              <w:rPr>
                <w:rFonts w:ascii="Arial" w:cs="Arial" w:eastAsia="Arial" w:hAnsi="Arial"/>
                <w:sz w:val="18"/>
                <w:szCs w:val="18"/>
                <w:color w:val="auto"/>
              </w:rPr>
              <w:t>Affiliates of</w:t>
            </w:r>
          </w:p>
        </w:tc>
        <w:tc>
          <w:tcPr>
            <w:tcW w:w="3220" w:type="dxa"/>
            <w:vAlign w:val="bottom"/>
            <w:gridSpan w:val="3"/>
          </w:tcPr>
          <w:p>
            <w:pPr>
              <w:ind w:left="520"/>
              <w:spacing w:after="0"/>
              <w:rPr>
                <w:sz w:val="20"/>
                <w:szCs w:val="20"/>
                <w:color w:val="auto"/>
              </w:rPr>
            </w:pPr>
            <w:r>
              <w:rPr>
                <w:rFonts w:ascii="Arial" w:cs="Arial" w:eastAsia="Arial" w:hAnsi="Arial"/>
                <w:sz w:val="18"/>
                <w:szCs w:val="18"/>
                <w:color w:val="auto"/>
                <w:w w:val="99"/>
              </w:rPr>
              <w:t>will receive more than 5.0% of the</w:t>
            </w:r>
          </w:p>
        </w:tc>
      </w:tr>
      <w:tr>
        <w:trPr>
          <w:trHeight w:val="216"/>
        </w:trPr>
        <w:tc>
          <w:tcPr>
            <w:tcW w:w="2940" w:type="dxa"/>
            <w:vAlign w:val="bottom"/>
          </w:tcPr>
          <w:p>
            <w:pPr>
              <w:spacing w:after="0"/>
              <w:rPr>
                <w:sz w:val="18"/>
                <w:szCs w:val="18"/>
                <w:color w:val="auto"/>
              </w:rPr>
            </w:pPr>
          </w:p>
        </w:tc>
        <w:tc>
          <w:tcPr>
            <w:tcW w:w="4820" w:type="dxa"/>
            <w:vAlign w:val="bottom"/>
            <w:gridSpan w:val="3"/>
          </w:tcPr>
          <w:p>
            <w:pPr>
              <w:ind w:left="520"/>
              <w:spacing w:after="0"/>
              <w:rPr>
                <w:sz w:val="20"/>
                <w:szCs w:val="20"/>
                <w:color w:val="auto"/>
              </w:rPr>
            </w:pPr>
            <w:r>
              <w:rPr>
                <w:rFonts w:ascii="Arial" w:cs="Arial" w:eastAsia="Arial" w:hAnsi="Arial"/>
                <w:sz w:val="18"/>
                <w:szCs w:val="18"/>
                <w:color w:val="auto"/>
              </w:rPr>
              <w:t>net proceeds from this offering. As a result,</w:t>
            </w:r>
          </w:p>
        </w:tc>
        <w:tc>
          <w:tcPr>
            <w:tcW w:w="440" w:type="dxa"/>
            <w:vAlign w:val="bottom"/>
          </w:tcPr>
          <w:p>
            <w:pPr>
              <w:spacing w:after="0"/>
              <w:rPr>
                <w:sz w:val="20"/>
                <w:szCs w:val="20"/>
                <w:color w:val="auto"/>
              </w:rPr>
            </w:pPr>
            <w:r>
              <w:rPr>
                <w:rFonts w:ascii="Arial" w:cs="Arial" w:eastAsia="Arial" w:hAnsi="Arial"/>
                <w:sz w:val="18"/>
                <w:szCs w:val="18"/>
                <w:color w:val="auto"/>
              </w:rPr>
              <w:t>is</w:t>
            </w:r>
          </w:p>
        </w:tc>
      </w:tr>
      <w:tr>
        <w:trPr>
          <w:trHeight w:val="216"/>
        </w:trPr>
        <w:tc>
          <w:tcPr>
            <w:tcW w:w="2940" w:type="dxa"/>
            <w:vAlign w:val="bottom"/>
          </w:tcPr>
          <w:p>
            <w:pPr>
              <w:spacing w:after="0"/>
              <w:rPr>
                <w:sz w:val="18"/>
                <w:szCs w:val="18"/>
                <w:color w:val="auto"/>
              </w:rPr>
            </w:pPr>
          </w:p>
        </w:tc>
        <w:tc>
          <w:tcPr>
            <w:tcW w:w="4820" w:type="dxa"/>
            <w:vAlign w:val="bottom"/>
            <w:gridSpan w:val="3"/>
          </w:tcPr>
          <w:p>
            <w:pPr>
              <w:ind w:left="520"/>
              <w:spacing w:after="0"/>
              <w:rPr>
                <w:sz w:val="20"/>
                <w:szCs w:val="20"/>
                <w:color w:val="auto"/>
              </w:rPr>
            </w:pPr>
            <w:r>
              <w:rPr>
                <w:rFonts w:ascii="Arial" w:cs="Arial" w:eastAsia="Arial" w:hAnsi="Arial"/>
                <w:sz w:val="18"/>
                <w:szCs w:val="18"/>
                <w:color w:val="auto"/>
                <w:w w:val="94"/>
              </w:rPr>
              <w:t>deemed to have a “conflict of interest” pursuant to FINRA</w:t>
            </w:r>
          </w:p>
        </w:tc>
        <w:tc>
          <w:tcPr>
            <w:tcW w:w="44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5"/>
              </w:rPr>
              <w:t>Rule 5121(f)(5)(C)(ii). Accordingly, this offering will be made in</w:t>
            </w: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1"/>
              </w:rPr>
              <w:t>compliance with the applicable provisions of Rule 5121. As such,</w:t>
            </w:r>
          </w:p>
        </w:tc>
      </w:tr>
      <w:tr>
        <w:trPr>
          <w:trHeight w:val="216"/>
        </w:trPr>
        <w:tc>
          <w:tcPr>
            <w:tcW w:w="2940" w:type="dxa"/>
            <w:vAlign w:val="bottom"/>
          </w:tcPr>
          <w:p>
            <w:pPr>
              <w:spacing w:after="0"/>
              <w:rPr>
                <w:sz w:val="18"/>
                <w:szCs w:val="18"/>
                <w:color w:val="auto"/>
              </w:rPr>
            </w:pPr>
          </w:p>
        </w:tc>
        <w:tc>
          <w:tcPr>
            <w:tcW w:w="4820" w:type="dxa"/>
            <w:vAlign w:val="bottom"/>
            <w:gridSpan w:val="3"/>
          </w:tcPr>
          <w:p>
            <w:pPr>
              <w:ind w:left="520"/>
              <w:spacing w:after="0"/>
              <w:rPr>
                <w:sz w:val="20"/>
                <w:szCs w:val="20"/>
                <w:color w:val="auto"/>
              </w:rPr>
            </w:pPr>
            <w:r>
              <w:rPr>
                <w:rFonts w:ascii="Arial" w:cs="Arial" w:eastAsia="Arial" w:hAnsi="Arial"/>
                <w:sz w:val="18"/>
                <w:szCs w:val="18"/>
                <w:color w:val="auto"/>
                <w:w w:val="95"/>
              </w:rPr>
              <w:t>any underwriter that has a conflict of interest pursuant to</w:t>
            </w:r>
          </w:p>
        </w:tc>
        <w:tc>
          <w:tcPr>
            <w:tcW w:w="44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1"/>
              </w:rPr>
              <w:t>Rule 5121 will not confirm sales to accounts in which it exercises</w:t>
            </w: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7"/>
              </w:rPr>
              <w:t>discretionary authority without the prior written consent of the</w:t>
            </w:r>
          </w:p>
        </w:tc>
      </w:tr>
      <w:tr>
        <w:trPr>
          <w:trHeight w:val="216"/>
        </w:trPr>
        <w:tc>
          <w:tcPr>
            <w:tcW w:w="2940" w:type="dxa"/>
            <w:vAlign w:val="bottom"/>
          </w:tcPr>
          <w:p>
            <w:pPr>
              <w:spacing w:after="0"/>
              <w:rPr>
                <w:sz w:val="18"/>
                <w:szCs w:val="18"/>
                <w:color w:val="auto"/>
              </w:rPr>
            </w:pPr>
          </w:p>
        </w:tc>
        <w:tc>
          <w:tcPr>
            <w:tcW w:w="4820" w:type="dxa"/>
            <w:vAlign w:val="bottom"/>
            <w:gridSpan w:val="3"/>
          </w:tcPr>
          <w:p>
            <w:pPr>
              <w:ind w:left="520"/>
              <w:spacing w:after="0"/>
              <w:rPr>
                <w:sz w:val="20"/>
                <w:szCs w:val="20"/>
                <w:color w:val="auto"/>
              </w:rPr>
            </w:pPr>
            <w:r>
              <w:rPr>
                <w:rFonts w:ascii="Arial" w:cs="Arial" w:eastAsia="Arial" w:hAnsi="Arial"/>
                <w:sz w:val="18"/>
                <w:szCs w:val="18"/>
                <w:color w:val="auto"/>
                <w:w w:val="91"/>
              </w:rPr>
              <w:t>customer. Pursuant to Rule 5121, a “qualified independent</w:t>
            </w:r>
          </w:p>
        </w:tc>
        <w:tc>
          <w:tcPr>
            <w:tcW w:w="44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7"/>
              </w:rPr>
              <w:t>underwriter” (as defined in Rule 5121) must participate in the</w:t>
            </w: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3"/>
              </w:rPr>
              <w:t>preparation of the prospectus and perform its usual standard of</w:t>
            </w: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3"/>
              </w:rPr>
              <w:t>due diligence with respect to the registration statement and this</w:t>
            </w:r>
          </w:p>
        </w:tc>
      </w:tr>
      <w:tr>
        <w:trPr>
          <w:trHeight w:val="216"/>
        </w:trPr>
        <w:tc>
          <w:tcPr>
            <w:tcW w:w="2940" w:type="dxa"/>
            <w:vAlign w:val="bottom"/>
          </w:tcPr>
          <w:p>
            <w:pPr>
              <w:spacing w:after="0"/>
              <w:rPr>
                <w:sz w:val="18"/>
                <w:szCs w:val="18"/>
                <w:color w:val="auto"/>
              </w:rPr>
            </w:pPr>
          </w:p>
        </w:tc>
        <w:tc>
          <w:tcPr>
            <w:tcW w:w="2040" w:type="dxa"/>
            <w:vAlign w:val="bottom"/>
          </w:tcPr>
          <w:p>
            <w:pPr>
              <w:ind w:left="520"/>
              <w:spacing w:after="0"/>
              <w:rPr>
                <w:sz w:val="20"/>
                <w:szCs w:val="20"/>
                <w:color w:val="auto"/>
              </w:rPr>
            </w:pPr>
            <w:r>
              <w:rPr>
                <w:rFonts w:ascii="Arial" w:cs="Arial" w:eastAsia="Arial" w:hAnsi="Arial"/>
                <w:sz w:val="18"/>
                <w:szCs w:val="18"/>
                <w:color w:val="auto"/>
              </w:rPr>
              <w:t>prospectus.</w:t>
            </w:r>
          </w:p>
        </w:tc>
        <w:tc>
          <w:tcPr>
            <w:tcW w:w="3220" w:type="dxa"/>
            <w:vAlign w:val="bottom"/>
            <w:gridSpan w:val="3"/>
          </w:tcPr>
          <w:p>
            <w:pPr>
              <w:ind w:left="60"/>
              <w:spacing w:after="0"/>
              <w:rPr>
                <w:sz w:val="20"/>
                <w:szCs w:val="20"/>
                <w:color w:val="auto"/>
              </w:rPr>
            </w:pPr>
            <w:r>
              <w:rPr>
                <w:rFonts w:ascii="Arial" w:cs="Arial" w:eastAsia="Arial" w:hAnsi="Arial"/>
                <w:sz w:val="18"/>
                <w:szCs w:val="18"/>
                <w:color w:val="auto"/>
                <w:w w:val="92"/>
              </w:rPr>
              <w:t>has agreed to act as qualified independent</w:t>
            </w:r>
          </w:p>
        </w:tc>
      </w:tr>
      <w:tr>
        <w:trPr>
          <w:trHeight w:val="216"/>
        </w:trPr>
        <w:tc>
          <w:tcPr>
            <w:tcW w:w="2940" w:type="dxa"/>
            <w:vAlign w:val="bottom"/>
          </w:tcPr>
          <w:p>
            <w:pPr>
              <w:spacing w:after="0"/>
              <w:rPr>
                <w:sz w:val="18"/>
                <w:szCs w:val="18"/>
                <w:color w:val="auto"/>
              </w:rPr>
            </w:pPr>
          </w:p>
        </w:tc>
        <w:tc>
          <w:tcPr>
            <w:tcW w:w="4820" w:type="dxa"/>
            <w:vAlign w:val="bottom"/>
            <w:gridSpan w:val="3"/>
          </w:tcPr>
          <w:p>
            <w:pPr>
              <w:ind w:left="520"/>
              <w:spacing w:after="0"/>
              <w:rPr>
                <w:sz w:val="20"/>
                <w:szCs w:val="20"/>
                <w:color w:val="auto"/>
              </w:rPr>
            </w:pPr>
            <w:r>
              <w:rPr>
                <w:rFonts w:ascii="Arial" w:cs="Arial" w:eastAsia="Arial" w:hAnsi="Arial"/>
                <w:sz w:val="18"/>
                <w:szCs w:val="18"/>
                <w:color w:val="auto"/>
              </w:rPr>
              <w:t>underwriter for the offering and to undertake the legal</w:t>
            </w:r>
          </w:p>
        </w:tc>
        <w:tc>
          <w:tcPr>
            <w:tcW w:w="44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4820" w:type="dxa"/>
            <w:vAlign w:val="bottom"/>
            <w:gridSpan w:val="3"/>
          </w:tcPr>
          <w:p>
            <w:pPr>
              <w:ind w:left="520"/>
              <w:spacing w:after="0"/>
              <w:rPr>
                <w:sz w:val="20"/>
                <w:szCs w:val="20"/>
                <w:color w:val="auto"/>
              </w:rPr>
            </w:pPr>
            <w:r>
              <w:rPr>
                <w:rFonts w:ascii="Arial" w:cs="Arial" w:eastAsia="Arial" w:hAnsi="Arial"/>
                <w:sz w:val="18"/>
                <w:szCs w:val="18"/>
                <w:color w:val="auto"/>
                <w:w w:val="95"/>
              </w:rPr>
              <w:t>responsibilities and liabilities of an underwriter under the</w:t>
            </w:r>
          </w:p>
        </w:tc>
        <w:tc>
          <w:tcPr>
            <w:tcW w:w="44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2"/>
              </w:rPr>
              <w:t>Securities Act, specifically including those inherent in Section 11</w:t>
            </w:r>
          </w:p>
        </w:tc>
      </w:tr>
      <w:tr>
        <w:trPr>
          <w:trHeight w:val="216"/>
        </w:trPr>
        <w:tc>
          <w:tcPr>
            <w:tcW w:w="2940" w:type="dxa"/>
            <w:vAlign w:val="bottom"/>
          </w:tcPr>
          <w:p>
            <w:pPr>
              <w:spacing w:after="0"/>
              <w:rPr>
                <w:sz w:val="18"/>
                <w:szCs w:val="18"/>
                <w:color w:val="auto"/>
              </w:rPr>
            </w:pPr>
          </w:p>
        </w:tc>
        <w:tc>
          <w:tcPr>
            <w:tcW w:w="4820" w:type="dxa"/>
            <w:vAlign w:val="bottom"/>
            <w:gridSpan w:val="3"/>
          </w:tcPr>
          <w:p>
            <w:pPr>
              <w:ind w:left="520"/>
              <w:spacing w:after="0"/>
              <w:rPr>
                <w:sz w:val="20"/>
                <w:szCs w:val="20"/>
                <w:color w:val="auto"/>
              </w:rPr>
            </w:pPr>
            <w:r>
              <w:rPr>
                <w:rFonts w:ascii="Arial" w:cs="Arial" w:eastAsia="Arial" w:hAnsi="Arial"/>
                <w:sz w:val="18"/>
                <w:szCs w:val="18"/>
                <w:color w:val="auto"/>
                <w:w w:val="96"/>
              </w:rPr>
              <w:t>of the Securities Act. We have also agreed to indemnify</w:t>
            </w:r>
          </w:p>
        </w:tc>
        <w:tc>
          <w:tcPr>
            <w:tcW w:w="44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1"/>
              </w:rPr>
              <w:t>against certain liabilities incurred in connection with it acting as a</w:t>
            </w: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rPr>
              <w:t>qualified independent underwriter in this offering, including</w:t>
            </w:r>
          </w:p>
        </w:tc>
      </w:tr>
      <w:tr>
        <w:trPr>
          <w:trHeight w:val="230"/>
        </w:trPr>
        <w:tc>
          <w:tcPr>
            <w:tcW w:w="2940" w:type="dxa"/>
            <w:vAlign w:val="bottom"/>
          </w:tcPr>
          <w:p>
            <w:pPr>
              <w:spacing w:after="0"/>
              <w:rPr>
                <w:sz w:val="20"/>
                <w:szCs w:val="20"/>
                <w:color w:val="auto"/>
              </w:rPr>
            </w:pPr>
          </w:p>
        </w:tc>
        <w:tc>
          <w:tcPr>
            <w:tcW w:w="3200" w:type="dxa"/>
            <w:vAlign w:val="bottom"/>
            <w:gridSpan w:val="2"/>
          </w:tcPr>
          <w:p>
            <w:pPr>
              <w:ind w:left="520"/>
              <w:spacing w:after="0"/>
              <w:rPr>
                <w:sz w:val="20"/>
                <w:szCs w:val="20"/>
                <w:color w:val="auto"/>
              </w:rPr>
            </w:pPr>
            <w:r>
              <w:rPr>
                <w:rFonts w:ascii="Arial" w:cs="Arial" w:eastAsia="Arial" w:hAnsi="Arial"/>
                <w:sz w:val="18"/>
                <w:szCs w:val="18"/>
                <w:color w:val="auto"/>
                <w:w w:val="98"/>
              </w:rPr>
              <w:t>liabilities under the Securities Act.</w:t>
            </w: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294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2"/>
              </w:rPr>
              <w:t>We will not enter into a tax receivable agreement with any of the</w:t>
            </w:r>
          </w:p>
        </w:tc>
      </w:tr>
      <w:tr>
        <w:trPr>
          <w:trHeight w:val="230"/>
        </w:trPr>
        <w:tc>
          <w:tcPr>
            <w:tcW w:w="2940" w:type="dxa"/>
            <w:vAlign w:val="bottom"/>
          </w:tcPr>
          <w:p>
            <w:pPr>
              <w:spacing w:after="0"/>
              <w:rPr>
                <w:sz w:val="20"/>
                <w:szCs w:val="20"/>
                <w:color w:val="auto"/>
              </w:rPr>
            </w:pPr>
          </w:p>
        </w:tc>
        <w:tc>
          <w:tcPr>
            <w:tcW w:w="3200" w:type="dxa"/>
            <w:vAlign w:val="bottom"/>
            <w:gridSpan w:val="2"/>
          </w:tcPr>
          <w:p>
            <w:pPr>
              <w:ind w:left="520"/>
              <w:spacing w:after="0"/>
              <w:rPr>
                <w:sz w:val="20"/>
                <w:szCs w:val="20"/>
                <w:color w:val="auto"/>
              </w:rPr>
            </w:pPr>
            <w:r>
              <w:rPr>
                <w:rFonts w:ascii="Arial" w:cs="Arial" w:eastAsia="Arial" w:hAnsi="Arial"/>
                <w:sz w:val="18"/>
                <w:szCs w:val="18"/>
                <w:color w:val="auto"/>
              </w:rPr>
              <w:t>Continuing LLC Owners.</w:t>
            </w: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color w:val="auto"/>
              </w:rPr>
              <w:t>Proposed stock exchange symbol</w:t>
            </w:r>
          </w:p>
        </w:tc>
        <w:tc>
          <w:tcPr>
            <w:tcW w:w="2040" w:type="dxa"/>
            <w:vAlign w:val="bottom"/>
          </w:tcPr>
          <w:p>
            <w:pPr>
              <w:ind w:left="520"/>
              <w:spacing w:after="0"/>
              <w:rPr>
                <w:sz w:val="20"/>
                <w:szCs w:val="20"/>
                <w:color w:val="auto"/>
              </w:rPr>
            </w:pPr>
            <w:r>
              <w:rPr>
                <w:rFonts w:ascii="Arial" w:cs="Arial" w:eastAsia="Arial" w:hAnsi="Arial"/>
                <w:sz w:val="18"/>
                <w:szCs w:val="18"/>
                <w:color w:val="auto"/>
              </w:rPr>
              <w:t>“TW.”</w:t>
            </w: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2940" w:type="dxa"/>
            <w:vAlign w:val="bottom"/>
          </w:tcPr>
          <w:p>
            <w:pPr>
              <w:spacing w:after="0"/>
              <w:rPr>
                <w:sz w:val="20"/>
                <w:szCs w:val="20"/>
                <w:color w:val="auto"/>
              </w:rPr>
            </w:pPr>
            <w:r>
              <w:rPr>
                <w:rFonts w:ascii="Arial" w:cs="Arial" w:eastAsia="Arial" w:hAnsi="Arial"/>
                <w:sz w:val="18"/>
                <w:szCs w:val="18"/>
                <w:color w:val="auto"/>
              </w:rPr>
              <w:t>Risk factors</w:t>
            </w: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1"/>
              </w:rPr>
              <w:t>Investing in our Class A common stock involves a high degree of</w:t>
            </w: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7"/>
              </w:rPr>
              <w:t>risk. See “Risk Factors” in this prospectus for a discussion of</w:t>
            </w:r>
          </w:p>
        </w:tc>
      </w:tr>
      <w:tr>
        <w:trPr>
          <w:trHeight w:val="216"/>
        </w:trPr>
        <w:tc>
          <w:tcPr>
            <w:tcW w:w="2940" w:type="dxa"/>
            <w:vAlign w:val="bottom"/>
          </w:tcPr>
          <w:p>
            <w:pPr>
              <w:spacing w:after="0"/>
              <w:rPr>
                <w:sz w:val="18"/>
                <w:szCs w:val="18"/>
                <w:color w:val="auto"/>
              </w:rPr>
            </w:pPr>
          </w:p>
        </w:tc>
        <w:tc>
          <w:tcPr>
            <w:tcW w:w="5260" w:type="dxa"/>
            <w:vAlign w:val="bottom"/>
            <w:gridSpan w:val="4"/>
          </w:tcPr>
          <w:p>
            <w:pPr>
              <w:ind w:left="520"/>
              <w:spacing w:after="0"/>
              <w:rPr>
                <w:sz w:val="20"/>
                <w:szCs w:val="20"/>
                <w:color w:val="auto"/>
              </w:rPr>
            </w:pPr>
            <w:r>
              <w:rPr>
                <w:rFonts w:ascii="Arial" w:cs="Arial" w:eastAsia="Arial" w:hAnsi="Arial"/>
                <w:sz w:val="18"/>
                <w:szCs w:val="18"/>
                <w:color w:val="auto"/>
                <w:w w:val="99"/>
              </w:rPr>
              <w:t>factors you should carefully consider before investing in our</w:t>
            </w:r>
          </w:p>
        </w:tc>
      </w:tr>
      <w:tr>
        <w:trPr>
          <w:trHeight w:val="230"/>
        </w:trPr>
        <w:tc>
          <w:tcPr>
            <w:tcW w:w="2940" w:type="dxa"/>
            <w:vAlign w:val="bottom"/>
          </w:tcPr>
          <w:p>
            <w:pPr>
              <w:spacing w:after="0"/>
              <w:rPr>
                <w:sz w:val="20"/>
                <w:szCs w:val="20"/>
                <w:color w:val="auto"/>
              </w:rPr>
            </w:pPr>
          </w:p>
        </w:tc>
        <w:tc>
          <w:tcPr>
            <w:tcW w:w="3200" w:type="dxa"/>
            <w:vAlign w:val="bottom"/>
            <w:gridSpan w:val="2"/>
          </w:tcPr>
          <w:p>
            <w:pPr>
              <w:ind w:left="520"/>
              <w:spacing w:after="0"/>
              <w:rPr>
                <w:sz w:val="20"/>
                <w:szCs w:val="20"/>
                <w:color w:val="auto"/>
              </w:rPr>
            </w:pPr>
            <w:r>
              <w:rPr>
                <w:rFonts w:ascii="Arial" w:cs="Arial" w:eastAsia="Arial" w:hAnsi="Arial"/>
                <w:sz w:val="18"/>
                <w:szCs w:val="18"/>
                <w:color w:val="auto"/>
              </w:rPr>
              <w:t>Class A common stock.</w:t>
            </w: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94"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number of shares of our Class A common stock to be outstanding after this offering is based on the</w:t>
      </w:r>
    </w:p>
    <w:p>
      <w:pPr>
        <w:spacing w:after="0" w:line="35" w:lineRule="exact"/>
        <w:rPr>
          <w:sz w:val="20"/>
          <w:szCs w:val="20"/>
          <w:color w:val="auto"/>
        </w:rPr>
      </w:pPr>
    </w:p>
    <w:p>
      <w:pPr>
        <w:ind w:left="1280"/>
        <w:spacing w:after="0"/>
        <w:tabs>
          <w:tab w:leader="none" w:pos="6120" w:val="left"/>
        </w:tabs>
        <w:rPr>
          <w:sz w:val="20"/>
          <w:szCs w:val="20"/>
          <w:color w:val="auto"/>
        </w:rPr>
      </w:pPr>
      <w:r>
        <w:rPr>
          <w:rFonts w:ascii="Arial" w:cs="Arial" w:eastAsia="Arial" w:hAnsi="Arial"/>
          <w:sz w:val="18"/>
          <w:szCs w:val="18"/>
          <w:color w:val="auto"/>
        </w:rPr>
        <w:t>membership interests of TWM LLC outstanding as of</w:t>
      </w:r>
      <w:r>
        <w:rPr>
          <w:sz w:val="20"/>
          <w:szCs w:val="20"/>
          <w:color w:val="auto"/>
        </w:rPr>
        <w:tab/>
      </w:r>
      <w:r>
        <w:rPr>
          <w:rFonts w:ascii="Arial" w:cs="Arial" w:eastAsia="Arial" w:hAnsi="Arial"/>
          <w:sz w:val="16"/>
          <w:szCs w:val="16"/>
          <w:color w:val="auto"/>
        </w:rPr>
        <w:t>, 2018 and, after giving effect to the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Reorganization Transactions, excludes:</w:t>
      </w:r>
    </w:p>
    <w:p>
      <w:pPr>
        <w:spacing w:after="0" w:line="103" w:lineRule="exact"/>
        <w:rPr>
          <w:sz w:val="20"/>
          <w:szCs w:val="20"/>
          <w:color w:val="auto"/>
        </w:rPr>
      </w:pPr>
    </w:p>
    <w:p>
      <w:pPr>
        <w:ind w:left="2420" w:hanging="774"/>
        <w:spacing w:after="0"/>
        <w:tabs>
          <w:tab w:leader="none" w:pos="2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shares of Class A common stock issuable upon the exercise of options outstanding under our 2018</w:t>
      </w:r>
    </w:p>
    <w:p>
      <w:pPr>
        <w:spacing w:after="0" w:line="46" w:lineRule="exact"/>
        <w:rPr>
          <w:sz w:val="20"/>
          <w:szCs w:val="20"/>
          <w:color w:val="auto"/>
        </w:rPr>
      </w:pPr>
    </w:p>
    <w:p>
      <w:pPr>
        <w:ind w:left="2000"/>
        <w:spacing w:after="0"/>
        <w:tabs>
          <w:tab w:leader="none" w:pos="6140" w:val="left"/>
          <w:tab w:leader="none" w:pos="8760" w:val="left"/>
        </w:tabs>
        <w:rPr>
          <w:sz w:val="20"/>
          <w:szCs w:val="20"/>
          <w:color w:val="auto"/>
        </w:rPr>
      </w:pPr>
      <w:r>
        <w:rPr>
          <w:rFonts w:ascii="Arial" w:cs="Arial" w:eastAsia="Arial" w:hAnsi="Arial"/>
          <w:sz w:val="18"/>
          <w:szCs w:val="18"/>
          <w:color w:val="auto"/>
        </w:rPr>
        <w:t>Stock Option Plan (the “Option Plan”) as of</w:t>
      </w:r>
      <w:r>
        <w:rPr>
          <w:sz w:val="20"/>
          <w:szCs w:val="20"/>
          <w:color w:val="auto"/>
        </w:rPr>
        <w:tab/>
      </w:r>
      <w:r>
        <w:rPr>
          <w:rFonts w:ascii="Arial" w:cs="Arial" w:eastAsia="Arial" w:hAnsi="Arial"/>
          <w:sz w:val="18"/>
          <w:szCs w:val="18"/>
          <w:color w:val="auto"/>
        </w:rPr>
        <w:t>, 2018 at an exercise price of $</w:t>
      </w:r>
      <w:r>
        <w:rPr>
          <w:sz w:val="20"/>
          <w:szCs w:val="20"/>
          <w:color w:val="auto"/>
        </w:rPr>
        <w:tab/>
      </w:r>
      <w:r>
        <w:rPr>
          <w:rFonts w:ascii="Arial" w:cs="Arial" w:eastAsia="Arial" w:hAnsi="Arial"/>
          <w:sz w:val="15"/>
          <w:szCs w:val="15"/>
          <w:color w:val="auto"/>
        </w:rPr>
        <w:t>per share,</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which options may be exercised on a cashless or net settlement basis;</w:t>
      </w:r>
    </w:p>
    <w:p>
      <w:pPr>
        <w:spacing w:after="0" w:line="103" w:lineRule="exact"/>
        <w:rPr>
          <w:sz w:val="20"/>
          <w:szCs w:val="20"/>
          <w:color w:val="auto"/>
        </w:rPr>
      </w:pPr>
    </w:p>
    <w:p>
      <w:pPr>
        <w:ind w:left="2000" w:right="739" w:hanging="354"/>
        <w:spacing w:after="0" w:line="277" w:lineRule="auto"/>
        <w:tabs>
          <w:tab w:leader="none" w:pos="24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Class A common stock underlying cash settled performance based restricted share units issued under our Amended and Restated PRSU Plan (the “PRSU Plan”);</w:t>
      </w:r>
    </w:p>
    <w:p>
      <w:pPr>
        <w:spacing w:after="0" w:line="62" w:lineRule="exact"/>
        <w:rPr>
          <w:rFonts w:ascii="Arial" w:cs="Arial" w:eastAsia="Arial" w:hAnsi="Arial"/>
          <w:sz w:val="18"/>
          <w:szCs w:val="18"/>
          <w:color w:val="auto"/>
        </w:rPr>
      </w:pPr>
    </w:p>
    <w:p>
      <w:pPr>
        <w:ind w:left="2000" w:right="699" w:hanging="354"/>
        <w:spacing w:after="0" w:line="277" w:lineRule="auto"/>
        <w:tabs>
          <w:tab w:leader="none" w:pos="24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Option Plan and our 2019 Omnibus Equity Incentive Plan (the “2019 Equity Incentive Plan”); and</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000" w:right="659" w:hanging="354"/>
        <w:spacing w:after="0" w:line="259" w:lineRule="auto"/>
        <w:tabs>
          <w:tab w:leader="none" w:pos="24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(i) exchange of Class B common stock by the Refinitiv Direct Owners and other future holders of Class B common stock, (ii) redemption or exchange of LLC Interests by the Continuing LLC Owners or (iii) conversion of the Class B common stock.</w:t>
      </w:r>
    </w:p>
    <w:p>
      <w:pPr>
        <w:spacing w:after="0" w:line="79"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Unless otherwise stated or the context otherwise requires, all information contained in this prospectus:</w:t>
      </w:r>
    </w:p>
    <w:p>
      <w:pPr>
        <w:spacing w:after="0" w:line="129" w:lineRule="exact"/>
        <w:rPr>
          <w:sz w:val="20"/>
          <w:szCs w:val="20"/>
          <w:color w:val="auto"/>
        </w:rPr>
      </w:pPr>
    </w:p>
    <w:p>
      <w:pPr>
        <w:ind w:left="1640"/>
        <w:spacing w:after="0"/>
        <w:tabs>
          <w:tab w:leader="none" w:pos="1980" w:val="left"/>
          <w:tab w:leader="none" w:pos="5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assumes an initial public offering price of $</w:t>
      </w:r>
      <w:r>
        <w:rPr>
          <w:sz w:val="20"/>
          <w:szCs w:val="20"/>
          <w:color w:val="auto"/>
        </w:rPr>
        <w:tab/>
      </w:r>
      <w:r>
        <w:rPr>
          <w:rFonts w:ascii="Arial" w:cs="Arial" w:eastAsia="Arial" w:hAnsi="Arial"/>
          <w:sz w:val="16"/>
          <w:szCs w:val="16"/>
          <w:color w:val="auto"/>
        </w:rPr>
        <w:t>per share of Class A common stock, which is the</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midpoint of the price range set forth on the cover page of this prospectus;</w:t>
      </w:r>
    </w:p>
    <w:p>
      <w:pPr>
        <w:spacing w:after="0" w:line="103" w:lineRule="exact"/>
        <w:rPr>
          <w:sz w:val="20"/>
          <w:szCs w:val="20"/>
          <w:color w:val="auto"/>
        </w:rPr>
      </w:pPr>
    </w:p>
    <w:p>
      <w:pPr>
        <w:ind w:left="2000" w:right="779" w:hanging="354"/>
        <w:spacing w:after="0" w:line="277" w:lineRule="auto"/>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w:t>
      </w:r>
    </w:p>
    <w:p>
      <w:pPr>
        <w:spacing w:after="0" w:line="62" w:lineRule="exact"/>
        <w:rPr>
          <w:rFonts w:ascii="Arial" w:cs="Arial" w:eastAsia="Arial" w:hAnsi="Arial"/>
          <w:sz w:val="18"/>
          <w:szCs w:val="18"/>
          <w:color w:val="auto"/>
        </w:rPr>
      </w:pPr>
    </w:p>
    <w:p>
      <w:pPr>
        <w:ind w:left="2000" w:right="1239" w:hanging="354"/>
        <w:spacing w:after="0" w:line="277" w:lineRule="auto"/>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the completion of the organizational transactions described under “The Reorganization Transactions;” and</w:t>
      </w:r>
    </w:p>
    <w:p>
      <w:pPr>
        <w:spacing w:after="0" w:line="62" w:lineRule="exact"/>
        <w:rPr>
          <w:rFonts w:ascii="Arial" w:cs="Arial" w:eastAsia="Arial" w:hAnsi="Arial"/>
          <w:sz w:val="18"/>
          <w:szCs w:val="18"/>
          <w:color w:val="auto"/>
        </w:rPr>
      </w:pPr>
    </w:p>
    <w:p>
      <w:pPr>
        <w:ind w:left="2000" w:right="1059" w:hanging="354"/>
        <w:spacing w:after="0" w:line="308" w:lineRule="auto"/>
        <w:tabs>
          <w:tab w:leader="none" w:pos="2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gives effect to our amended and restated certificate of incorporation and our amended and restated bylaws, which will become effective prior to or upon the closing of this offering.</w:t>
      </w:r>
    </w:p>
    <w:p>
      <w:pPr>
        <w:spacing w:after="0" w:line="38" w:lineRule="exact"/>
        <w:rPr>
          <w:sz w:val="20"/>
          <w:szCs w:val="20"/>
          <w:color w:val="auto"/>
        </w:rPr>
      </w:pPr>
    </w:p>
    <w:p>
      <w:pPr>
        <w:jc w:val="both"/>
        <w:ind w:left="1280" w:right="739" w:firstLine="360"/>
        <w:spacing w:after="0" w:line="263" w:lineRule="auto"/>
        <w:rPr>
          <w:sz w:val="20"/>
          <w:szCs w:val="20"/>
          <w:color w:val="auto"/>
        </w:rPr>
      </w:pPr>
      <w:r>
        <w:rPr>
          <w:rFonts w:ascii="Arial" w:cs="Arial" w:eastAsia="Arial" w:hAnsi="Arial"/>
          <w:sz w:val="18"/>
          <w:szCs w:val="18"/>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08" w:lineRule="exact"/>
        <w:rPr>
          <w:sz w:val="20"/>
          <w:szCs w:val="20"/>
          <w:color w:val="auto"/>
        </w:rPr>
      </w:pPr>
    </w:p>
    <w:p>
      <w:pPr>
        <w:ind w:left="1280" w:right="659" w:firstLine="360"/>
        <w:spacing w:after="0" w:line="293" w:lineRule="auto"/>
        <w:rPr>
          <w:sz w:val="20"/>
          <w:szCs w:val="20"/>
          <w:color w:val="auto"/>
        </w:rPr>
      </w:pPr>
      <w:r>
        <w:rPr>
          <w:rFonts w:ascii="Arial" w:cs="Arial" w:eastAsia="Arial" w:hAnsi="Arial"/>
          <w:sz w:val="16"/>
          <w:szCs w:val="16"/>
          <w:color w:val="auto"/>
        </w:rPr>
        <w:t>The following tables present the summary historical and pro forma consolidated financial and other data for Tradeweb Markets LLC and its subsidiaries. Tradeweb Markets LLC is the predecessor of the issuer, Tradeweb Markets Inc., for financial reporting purposes. The summary consolidated statement of operations data for each of the years in the two-year period ended December 31, 2017 and the summary consolidated statement of financial condition data as of December 31, 2017 and December 31, 2016 are derived from the audited consolidated financial statements of Tradeweb Markets LLC and its subsidiaries included elsewhere in this prospectus.</w:t>
      </w:r>
    </w:p>
    <w:p>
      <w:pPr>
        <w:spacing w:after="0" w:line="56" w:lineRule="exact"/>
        <w:rPr>
          <w:sz w:val="20"/>
          <w:szCs w:val="20"/>
          <w:color w:val="auto"/>
        </w:rPr>
      </w:pPr>
    </w:p>
    <w:p>
      <w:pPr>
        <w:ind w:left="1280" w:right="679" w:firstLine="360"/>
        <w:spacing w:after="0" w:line="257" w:lineRule="auto"/>
        <w:rPr>
          <w:sz w:val="20"/>
          <w:szCs w:val="20"/>
          <w:color w:val="auto"/>
        </w:rPr>
      </w:pPr>
      <w:r>
        <w:rPr>
          <w:rFonts w:ascii="Arial" w:cs="Arial" w:eastAsia="Arial" w:hAnsi="Arial"/>
          <w:sz w:val="18"/>
          <w:szCs w:val="18"/>
          <w:color w:val="auto"/>
        </w:rPr>
        <w:t>The results of operations for the periods presented below are not necessarily indicative of the results to be expected for any future period. The information set forth below should be read together with “Selected Historical Consolidated Financial and Other Data” and “Management’s Discussion and Analysis of Financial Condition and Results of Operations” and the consolidated financial statements and related notes thereto appearing elsewhere in this prospectus.</w:t>
      </w:r>
    </w:p>
    <w:p>
      <w:pPr>
        <w:spacing w:after="0" w:line="80" w:lineRule="exact"/>
        <w:rPr>
          <w:sz w:val="20"/>
          <w:szCs w:val="20"/>
          <w:color w:val="auto"/>
        </w:rPr>
      </w:pPr>
    </w:p>
    <w:p>
      <w:pPr>
        <w:ind w:left="1280" w:right="659" w:firstLine="360"/>
        <w:spacing w:after="0" w:line="287" w:lineRule="auto"/>
        <w:rPr>
          <w:sz w:val="20"/>
          <w:szCs w:val="20"/>
          <w:color w:val="auto"/>
        </w:rPr>
      </w:pPr>
      <w:r>
        <w:rPr>
          <w:rFonts w:ascii="Arial" w:cs="Arial" w:eastAsia="Arial" w:hAnsi="Arial"/>
          <w:sz w:val="16"/>
          <w:szCs w:val="16"/>
          <w:color w:val="auto"/>
        </w:rPr>
        <w:t>The summary unaudited pro forma consolidated financial data of Tradeweb Markets Inc. presented below have been derived from our unaudited pro forma consolidated financial statements included elsewhere in this prospectus. The summary unaudited pro forma consolidated financial data as of and for the year ended December 31, 2017 give effect to the Transactions, including this offering, as if all such transactions had occurred on January 1, 2017, in the case of the summary unaudited pro forma consolidated statement of operations data, and as of December 31, 2017, in the case of the summary unaudited pro forma consolidated statement of financial condition data. The unaudited pro forma consolidated financial data includes various estimates which are subject to material change and may not be indicative of what our operations or financial position would have been had the Transactions, including this offering, taken place on the dates indicated, or that may be expected to occur in the future. See “Unaudited Pro Forma Consolidated Financial Information” for a complete description of the adjustments and assumptions underlying the summary unaudited pro forma consolidated financial data.</w:t>
      </w:r>
    </w:p>
    <w:p>
      <w:pPr>
        <w:spacing w:after="0" w:line="64" w:lineRule="exact"/>
        <w:rPr>
          <w:sz w:val="20"/>
          <w:szCs w:val="20"/>
          <w:color w:val="auto"/>
        </w:rPr>
      </w:pPr>
    </w:p>
    <w:p>
      <w:pPr>
        <w:jc w:val="both"/>
        <w:ind w:left="1280" w:right="879" w:firstLine="360"/>
        <w:spacing w:after="0" w:line="286" w:lineRule="auto"/>
        <w:rPr>
          <w:sz w:val="20"/>
          <w:szCs w:val="20"/>
          <w:color w:val="auto"/>
        </w:rPr>
      </w:pPr>
      <w:r>
        <w:rPr>
          <w:rFonts w:ascii="Arial" w:cs="Arial" w:eastAsia="Arial" w:hAnsi="Arial"/>
          <w:sz w:val="17"/>
          <w:szCs w:val="17"/>
          <w:color w:val="auto"/>
        </w:rPr>
        <w:t>The summary historical consolidated financial data of Tradeweb Markets Inc. have not been presented as Tradeweb Markets Inc. is a newly incorporated entity, has had no business transactions or activities to date and had no assets or liabilities during the periods presented in this section.</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Historical</w:t>
      </w:r>
    </w:p>
    <w:p>
      <w:pPr>
        <w:spacing w:after="0" w:line="96"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Tradeweb</w:t>
      </w:r>
    </w:p>
    <w:p>
      <w:pPr>
        <w:spacing w:after="0" w:line="17"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Markets LLC</w:t>
      </w:r>
    </w:p>
    <w:p>
      <w:pPr>
        <w:spacing w:after="0" w:line="66"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December 31,</w:t>
      </w:r>
    </w:p>
    <w:p>
      <w:pPr>
        <w:spacing w:after="0" w:line="66" w:lineRule="exact"/>
        <w:rPr>
          <w:sz w:val="20"/>
          <w:szCs w:val="20"/>
          <w:color w:val="auto"/>
        </w:rPr>
      </w:pPr>
    </w:p>
    <w:p>
      <w:pPr>
        <w:ind w:left="6620"/>
        <w:spacing w:after="0"/>
        <w:tabs>
          <w:tab w:leader="none" w:pos="768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 Forma</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Tradeweb</w:t>
      </w:r>
    </w:p>
    <w:p>
      <w:pPr>
        <w:spacing w:after="0"/>
        <w:rPr>
          <w:sz w:val="20"/>
          <w:szCs w:val="20"/>
          <w:color w:val="auto"/>
        </w:rPr>
      </w:pPr>
      <w:r>
        <w:rPr>
          <w:rFonts w:ascii="Arial" w:cs="Arial" w:eastAsia="Arial" w:hAnsi="Arial"/>
          <w:sz w:val="13"/>
          <w:szCs w:val="13"/>
          <w:b w:val="1"/>
          <w:bCs w:val="1"/>
          <w:color w:val="auto"/>
        </w:rPr>
        <w:t>Markets Inc.</w:t>
      </w:r>
      <w:r>
        <w:rPr>
          <w:rFonts w:ascii="Arial" w:cs="Arial" w:eastAsia="Arial" w:hAnsi="Arial"/>
          <w:sz w:val="19"/>
          <w:szCs w:val="19"/>
          <w:b w:val="1"/>
          <w:bCs w:val="1"/>
          <w:color w:val="auto"/>
          <w:vertAlign w:val="superscript"/>
        </w:rPr>
        <w:t>(1)</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Year Ended</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December 31,</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2017</w:t>
      </w:r>
    </w:p>
    <w:p>
      <w:pPr>
        <w:spacing w:after="0" w:line="82" w:lineRule="exact"/>
        <w:rPr>
          <w:sz w:val="20"/>
          <w:szCs w:val="20"/>
          <w:color w:val="auto"/>
        </w:rPr>
      </w:pPr>
    </w:p>
    <w:p>
      <w:pPr>
        <w:sectPr>
          <w:pgSz w:w="11900" w:h="16838" w:orient="portrait"/>
          <w:cols w:equalWidth="0" w:num="2">
            <w:col w:w="8000" w:space="540"/>
            <w:col w:w="1599"/>
          </w:cols>
          <w:pgMar w:left="320" w:top="131" w:right="1440" w:bottom="1440" w:gutter="0" w:footer="0" w:header="0"/>
          <w:type w:val="continuous"/>
        </w:sectPr>
      </w:pPr>
    </w:p>
    <w:p>
      <w:pPr>
        <w:jc w:val="right"/>
        <w:ind w:right="779"/>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55" w:lineRule="exact"/>
        <w:rPr>
          <w:sz w:val="20"/>
          <w:szCs w:val="20"/>
          <w:color w:val="auto"/>
        </w:rPr>
      </w:pPr>
    </w:p>
    <w:p>
      <w:pPr>
        <w:jc w:val="right"/>
        <w:ind w:right="779"/>
        <w:spacing w:after="0"/>
        <w:rPr>
          <w:sz w:val="20"/>
          <w:szCs w:val="20"/>
          <w:color w:val="auto"/>
        </w:rPr>
      </w:pPr>
      <w:r>
        <w:rPr>
          <w:rFonts w:ascii="Arial" w:cs="Arial" w:eastAsia="Arial" w:hAnsi="Arial"/>
          <w:sz w:val="14"/>
          <w:szCs w:val="14"/>
          <w:b w:val="1"/>
          <w:bCs w:val="1"/>
          <w:color w:val="auto"/>
        </w:rPr>
        <w:t>(unaudited)</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Statement of Operations Data:</w:t>
      </w:r>
    </w:p>
    <w:p>
      <w:pPr>
        <w:spacing w:after="0" w:line="50"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267,020</w:t>
            </w:r>
          </w:p>
        </w:tc>
        <w:tc>
          <w:tcPr>
            <w:tcW w:w="2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230,171</w:t>
            </w:r>
          </w:p>
        </w:tc>
        <w:tc>
          <w:tcPr>
            <w:tcW w:w="3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Pr>
          <w:p>
            <w:pPr>
              <w:spacing w:after="0" w:line="270"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(2)</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194,534</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191,983</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91,663</w:t>
            </w: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4,669</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4,587</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3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562,968</w:t>
            </w:r>
          </w:p>
        </w:tc>
        <w:tc>
          <w:tcPr>
            <w:tcW w:w="2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518,404</w:t>
            </w:r>
          </w:p>
        </w:tc>
        <w:tc>
          <w:tcPr>
            <w:tcW w:w="3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00" w:type="dxa"/>
            <w:vAlign w:val="bottom"/>
          </w:tcPr>
          <w:p>
            <w:pPr>
              <w:spacing w:after="0" w:line="283"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6"/>
                <w:szCs w:val="26"/>
                <w:color w:val="auto"/>
                <w:vertAlign w:val="superscript"/>
              </w:rPr>
              <w:t>(3)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(58,520)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(26,224)</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504,448</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492,180</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248,963</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228,584</w:t>
            </w: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68,615</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80,859</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33,973</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w:t>
            </w: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2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30,013</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28,239</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2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14,441</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15,817</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415,356</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399,049</w:t>
            </w: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89,092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93,131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3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8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(1,339)</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3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89,777</w:t>
            </w:r>
          </w:p>
        </w:tc>
        <w:tc>
          <w:tcPr>
            <w:tcW w:w="2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92,436</w:t>
            </w:r>
          </w:p>
        </w:tc>
        <w:tc>
          <w:tcPr>
            <w:tcW w:w="3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8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3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Pro forma net income per share data</w:t>
            </w:r>
            <w:r>
              <w:rPr>
                <w:rFonts w:ascii="Arial" w:cs="Arial" w:eastAsia="Arial" w:hAnsi="Arial"/>
                <w:sz w:val="26"/>
                <w:szCs w:val="26"/>
                <w:color w:val="auto"/>
                <w:vertAlign w:val="superscript"/>
              </w:rPr>
              <w:t>(1)</w:t>
            </w:r>
            <w:r>
              <w:rPr>
                <w:rFonts w:ascii="Arial" w:cs="Arial" w:eastAsia="Arial" w:hAnsi="Arial"/>
                <w:sz w:val="18"/>
                <w:szCs w:val="18"/>
                <w:color w:val="auto"/>
              </w:rPr>
              <w:t>:</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8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6"/>
              </w:rPr>
              <w:t>Pro forma weighted average shares of Class A common stock</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820" w:type="dxa"/>
            <w:vAlign w:val="bottom"/>
            <w:gridSpan w:val="2"/>
          </w:tcPr>
          <w:p>
            <w:pPr>
              <w:spacing w:after="0"/>
              <w:rPr>
                <w:sz w:val="20"/>
                <w:szCs w:val="20"/>
                <w:color w:val="auto"/>
              </w:rPr>
            </w:pPr>
            <w:r>
              <w:rPr>
                <w:rFonts w:ascii="Arial" w:cs="Arial" w:eastAsia="Arial" w:hAnsi="Arial"/>
                <w:sz w:val="18"/>
                <w:szCs w:val="18"/>
                <w:color w:val="auto"/>
                <w:w w:val="98"/>
              </w:rPr>
              <w:t>Pro forma net income available to Class A common stock per</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share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Historical</w:t>
      </w:r>
    </w:p>
    <w:p>
      <w:pPr>
        <w:spacing w:after="0" w:line="96"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Tradeweb</w:t>
      </w:r>
    </w:p>
    <w:p>
      <w:pPr>
        <w:spacing w:after="0" w:line="17"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Markets LLC</w:t>
      </w:r>
    </w:p>
    <w:p>
      <w:pPr>
        <w:spacing w:after="0" w:line="66"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As of</w:t>
      </w:r>
    </w:p>
    <w:p>
      <w:pPr>
        <w:spacing w:after="0" w:line="17"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December 31,</w:t>
      </w:r>
    </w:p>
    <w:p>
      <w:pPr>
        <w:spacing w:after="0" w:line="66" w:lineRule="exact"/>
        <w:rPr>
          <w:sz w:val="20"/>
          <w:szCs w:val="20"/>
          <w:color w:val="auto"/>
        </w:rPr>
      </w:pPr>
    </w:p>
    <w:p>
      <w:pPr>
        <w:ind w:left="6700"/>
        <w:spacing w:after="0"/>
        <w:tabs>
          <w:tab w:leader="none" w:pos="77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 Forma</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Tradeweb</w:t>
      </w:r>
    </w:p>
    <w:p>
      <w:pPr>
        <w:spacing w:after="0"/>
        <w:rPr>
          <w:sz w:val="20"/>
          <w:szCs w:val="20"/>
          <w:color w:val="auto"/>
        </w:rPr>
      </w:pPr>
      <w:r>
        <w:rPr>
          <w:rFonts w:ascii="Arial" w:cs="Arial" w:eastAsia="Arial" w:hAnsi="Arial"/>
          <w:sz w:val="13"/>
          <w:szCs w:val="13"/>
          <w:b w:val="1"/>
          <w:bCs w:val="1"/>
          <w:color w:val="auto"/>
        </w:rPr>
        <w:t>Markets Inc.</w:t>
      </w:r>
      <w:r>
        <w:rPr>
          <w:rFonts w:ascii="Arial" w:cs="Arial" w:eastAsia="Arial" w:hAnsi="Arial"/>
          <w:sz w:val="19"/>
          <w:szCs w:val="19"/>
          <w:b w:val="1"/>
          <w:bCs w:val="1"/>
          <w:color w:val="auto"/>
          <w:vertAlign w:val="superscript"/>
        </w:rPr>
        <w:t>(1)</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As of</w:t>
      </w:r>
    </w:p>
    <w:p>
      <w:pPr>
        <w:spacing w:after="0" w:line="7" w:lineRule="exact"/>
        <w:rPr>
          <w:sz w:val="20"/>
          <w:szCs w:val="20"/>
          <w:color w:val="auto"/>
        </w:rPr>
      </w:pPr>
    </w:p>
    <w:p>
      <w:pPr>
        <w:jc w:val="center"/>
        <w:ind w:right="639"/>
        <w:spacing w:after="0"/>
        <w:rPr>
          <w:sz w:val="20"/>
          <w:szCs w:val="20"/>
          <w:color w:val="auto"/>
        </w:rPr>
      </w:pPr>
      <w:r>
        <w:rPr>
          <w:rFonts w:ascii="Arial" w:cs="Arial" w:eastAsia="Arial" w:hAnsi="Arial"/>
          <w:sz w:val="14"/>
          <w:szCs w:val="14"/>
          <w:b w:val="1"/>
          <w:bCs w:val="1"/>
          <w:color w:val="auto"/>
        </w:rPr>
        <w:t>December 31,</w:t>
      </w:r>
    </w:p>
    <w:p>
      <w:pPr>
        <w:spacing w:after="0" w:line="66" w:lineRule="exact"/>
        <w:rPr>
          <w:sz w:val="20"/>
          <w:szCs w:val="20"/>
          <w:color w:val="auto"/>
        </w:rPr>
      </w:pPr>
    </w:p>
    <w:p>
      <w:pPr>
        <w:jc w:val="center"/>
        <w:ind w:right="639"/>
        <w:spacing w:after="0"/>
        <w:rPr>
          <w:sz w:val="20"/>
          <w:szCs w:val="20"/>
          <w:color w:val="auto"/>
        </w:rPr>
      </w:pPr>
      <w:r>
        <w:rPr>
          <w:rFonts w:ascii="Arial" w:cs="Arial" w:eastAsia="Arial" w:hAnsi="Arial"/>
          <w:sz w:val="14"/>
          <w:szCs w:val="14"/>
          <w:b w:val="1"/>
          <w:bCs w:val="1"/>
          <w:color w:val="auto"/>
        </w:rPr>
        <w:t>2017</w:t>
      </w:r>
    </w:p>
    <w:p>
      <w:pPr>
        <w:spacing w:after="0" w:line="29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8360" w:space="220"/>
            <w:col w:w="1559"/>
          </w:cols>
          <w:pgMar w:left="320" w:top="131"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Condition Data:</w:t>
            </w:r>
          </w:p>
        </w:tc>
        <w:tc>
          <w:tcPr>
            <w:tcW w:w="19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0"/>
        </w:trPr>
        <w:tc>
          <w:tcPr>
            <w:tcW w:w="41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  352,598</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  324,074</w:t>
            </w: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1,316,887</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1,320,732</w:t>
            </w:r>
          </w:p>
        </w:tc>
        <w:tc>
          <w:tcPr>
            <w:tcW w:w="920" w:type="dxa"/>
            <w:vAlign w:val="bottom"/>
            <w:shd w:val="clear" w:color="auto" w:fill="CCEEFF"/>
          </w:tcPr>
          <w:p>
            <w:pPr>
              <w:spacing w:after="0"/>
              <w:rPr>
                <w:sz w:val="23"/>
                <w:szCs w:val="23"/>
                <w:color w:val="auto"/>
              </w:rPr>
            </w:pPr>
          </w:p>
        </w:tc>
      </w:tr>
      <w:tr>
        <w:trPr>
          <w:trHeight w:val="270"/>
        </w:trPr>
        <w:tc>
          <w:tcPr>
            <w:tcW w:w="41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317,118</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283,319</w:t>
            </w:r>
          </w:p>
        </w:tc>
        <w:tc>
          <w:tcPr>
            <w:tcW w:w="9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members’ capital/stockholders’ equity</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986,468</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1,024,759</w:t>
            </w:r>
          </w:p>
        </w:tc>
        <w:tc>
          <w:tcPr>
            <w:tcW w:w="920" w:type="dxa"/>
            <w:vAlign w:val="bottom"/>
            <w:shd w:val="clear" w:color="auto" w:fill="CCEEFF"/>
          </w:tcPr>
          <w:p>
            <w:pPr>
              <w:spacing w:after="0"/>
              <w:rPr>
                <w:sz w:val="23"/>
                <w:szCs w:val="23"/>
                <w:color w:val="auto"/>
              </w:rPr>
            </w:pPr>
          </w:p>
        </w:tc>
      </w:tr>
    </w:tbl>
    <w:p>
      <w:pPr>
        <w:spacing w:after="0" w:line="180"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Tradeweb</w:t>
      </w:r>
    </w:p>
    <w:p>
      <w:pPr>
        <w:spacing w:after="0" w:line="17"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Markets LLC</w:t>
      </w:r>
    </w:p>
    <w:p>
      <w:pPr>
        <w:spacing w:after="0" w:line="66"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Year Ended December 31,</w:t>
      </w:r>
    </w:p>
    <w:p>
      <w:pPr>
        <w:spacing w:after="0" w:line="82"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r>
      <w:tr>
        <w:trPr>
          <w:trHeight w:val="26"/>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08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(dollars in thousands)</w:t>
            </w:r>
          </w:p>
        </w:tc>
      </w:tr>
      <w:tr>
        <w:trPr>
          <w:trHeight w:val="263"/>
        </w:trPr>
        <w:tc>
          <w:tcPr>
            <w:tcW w:w="20" w:type="dxa"/>
            <w:vAlign w:val="bottom"/>
          </w:tcPr>
          <w:p>
            <w:pPr>
              <w:spacing w:after="0"/>
              <w:rPr>
                <w:sz w:val="22"/>
                <w:szCs w:val="22"/>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and Operating Data:</w:t>
            </w:r>
          </w:p>
        </w:tc>
        <w:tc>
          <w:tcPr>
            <w:tcW w:w="10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6120" w:type="dxa"/>
            <w:vAlign w:val="bottom"/>
          </w:tcPr>
          <w:p>
            <w:pPr>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(4)</w:t>
            </w:r>
          </w:p>
        </w:tc>
        <w:tc>
          <w:tcPr>
            <w:tcW w:w="1080" w:type="dxa"/>
            <w:vAlign w:val="bottom"/>
          </w:tcPr>
          <w:p>
            <w:pPr>
              <w:jc w:val="right"/>
              <w:ind w:right="214"/>
              <w:spacing w:after="0"/>
              <w:rPr>
                <w:sz w:val="20"/>
                <w:szCs w:val="20"/>
                <w:color w:val="auto"/>
              </w:rPr>
            </w:pPr>
            <w:r>
              <w:rPr>
                <w:rFonts w:ascii="Arial" w:cs="Arial" w:eastAsia="Arial" w:hAnsi="Arial"/>
                <w:sz w:val="18"/>
                <w:szCs w:val="18"/>
                <w:color w:val="auto"/>
              </w:rPr>
              <w:t>$183,962</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$136,496</w:t>
            </w:r>
          </w:p>
        </w:tc>
      </w:tr>
      <w:tr>
        <w:trPr>
          <w:trHeight w:val="270"/>
        </w:trPr>
        <w:tc>
          <w:tcPr>
            <w:tcW w:w="20" w:type="dxa"/>
            <w:vAlign w:val="bottom"/>
          </w:tcPr>
          <w:p>
            <w:pPr>
              <w:spacing w:after="0"/>
              <w:rPr>
                <w:sz w:val="23"/>
                <w:szCs w:val="23"/>
                <w:color w:val="auto"/>
              </w:rPr>
            </w:pPr>
          </w:p>
        </w:tc>
        <w:tc>
          <w:tcPr>
            <w:tcW w:w="61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(5)</w:t>
            </w:r>
          </w:p>
        </w:tc>
        <w:tc>
          <w:tcPr>
            <w:tcW w:w="10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$215,863</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$202,086</w:t>
            </w:r>
          </w:p>
        </w:tc>
      </w:tr>
      <w:tr>
        <w:trPr>
          <w:trHeight w:val="270"/>
        </w:trPr>
        <w:tc>
          <w:tcPr>
            <w:tcW w:w="20" w:type="dxa"/>
            <w:vAlign w:val="bottom"/>
          </w:tcPr>
          <w:p>
            <w:pPr>
              <w:spacing w:after="0"/>
              <w:rPr>
                <w:sz w:val="23"/>
                <w:szCs w:val="23"/>
                <w:color w:val="auto"/>
              </w:rPr>
            </w:pPr>
          </w:p>
        </w:tc>
        <w:tc>
          <w:tcPr>
            <w:tcW w:w="6120" w:type="dxa"/>
            <w:vAlign w:val="bottom"/>
          </w:tcPr>
          <w:p>
            <w:pPr>
              <w:spacing w:after="0" w:line="27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(5)</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38.3%</w:t>
            </w: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0"/>
        </w:trPr>
        <w:tc>
          <w:tcPr>
            <w:tcW w:w="20" w:type="dxa"/>
            <w:vAlign w:val="bottom"/>
          </w:tcPr>
          <w:p>
            <w:pPr>
              <w:spacing w:after="0"/>
              <w:rPr>
                <w:sz w:val="23"/>
                <w:szCs w:val="23"/>
                <w:color w:val="auto"/>
              </w:rPr>
            </w:pPr>
          </w:p>
        </w:tc>
        <w:tc>
          <w:tcPr>
            <w:tcW w:w="61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(5)</w:t>
            </w:r>
          </w:p>
        </w:tc>
        <w:tc>
          <w:tcPr>
            <w:tcW w:w="10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$173,040</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$162,382</w:t>
            </w:r>
          </w:p>
        </w:tc>
      </w:tr>
      <w:tr>
        <w:trPr>
          <w:trHeight w:val="257"/>
        </w:trPr>
        <w:tc>
          <w:tcPr>
            <w:tcW w:w="6140" w:type="dxa"/>
            <w:vAlign w:val="bottom"/>
            <w:gridSpan w:val="2"/>
          </w:tcPr>
          <w:p>
            <w:pPr>
              <w:spacing w:after="0"/>
              <w:rPr>
                <w:sz w:val="20"/>
                <w:szCs w:val="20"/>
                <w:color w:val="auto"/>
              </w:rPr>
            </w:pPr>
            <w:r>
              <w:rPr>
                <w:rFonts w:ascii="Arial" w:cs="Arial" w:eastAsia="Arial" w:hAnsi="Arial"/>
                <w:sz w:val="18"/>
                <w:szCs w:val="18"/>
                <w:color w:val="auto"/>
              </w:rPr>
              <w:t>Average Daily Volumes (in millions):</w:t>
            </w: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Rates</w:t>
            </w:r>
          </w:p>
        </w:tc>
        <w:tc>
          <w:tcPr>
            <w:tcW w:w="10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255,152</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220,535</w:t>
            </w:r>
          </w:p>
        </w:tc>
      </w:tr>
      <w:tr>
        <w:trPr>
          <w:trHeight w:val="270"/>
        </w:trPr>
        <w:tc>
          <w:tcPr>
            <w:tcW w:w="20" w:type="dxa"/>
            <w:vAlign w:val="bottom"/>
          </w:tcPr>
          <w:p>
            <w:pPr>
              <w:spacing w:after="0"/>
              <w:rPr>
                <w:sz w:val="23"/>
                <w:szCs w:val="23"/>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Credit</w:t>
            </w:r>
          </w:p>
        </w:tc>
        <w:tc>
          <w:tcPr>
            <w:tcW w:w="1080" w:type="dxa"/>
            <w:vAlign w:val="bottom"/>
          </w:tcPr>
          <w:p>
            <w:pPr>
              <w:jc w:val="right"/>
              <w:ind w:right="214"/>
              <w:spacing w:after="0"/>
              <w:rPr>
                <w:sz w:val="20"/>
                <w:szCs w:val="20"/>
                <w:color w:val="auto"/>
              </w:rPr>
            </w:pPr>
            <w:r>
              <w:rPr>
                <w:rFonts w:ascii="Arial" w:cs="Arial" w:eastAsia="Arial" w:hAnsi="Arial"/>
                <w:sz w:val="18"/>
                <w:szCs w:val="18"/>
                <w:color w:val="auto"/>
              </w:rPr>
              <w:t>7,552</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5,960</w:t>
            </w:r>
          </w:p>
        </w:tc>
      </w:tr>
      <w:tr>
        <w:trPr>
          <w:trHeight w:val="270"/>
        </w:trPr>
        <w:tc>
          <w:tcPr>
            <w:tcW w:w="20" w:type="dxa"/>
            <w:vAlign w:val="bottom"/>
          </w:tcPr>
          <w:p>
            <w:pPr>
              <w:spacing w:after="0"/>
              <w:rPr>
                <w:sz w:val="23"/>
                <w:szCs w:val="23"/>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markets</w:t>
            </w:r>
          </w:p>
        </w:tc>
        <w:tc>
          <w:tcPr>
            <w:tcW w:w="10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132,105</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94,315</w:t>
            </w:r>
          </w:p>
        </w:tc>
      </w:tr>
      <w:tr>
        <w:trPr>
          <w:trHeight w:val="270"/>
        </w:trPr>
        <w:tc>
          <w:tcPr>
            <w:tcW w:w="20" w:type="dxa"/>
            <w:vAlign w:val="bottom"/>
          </w:tcPr>
          <w:p>
            <w:pPr>
              <w:spacing w:after="0"/>
              <w:rPr>
                <w:sz w:val="23"/>
                <w:szCs w:val="23"/>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Equities</w:t>
            </w:r>
          </w:p>
        </w:tc>
        <w:tc>
          <w:tcPr>
            <w:tcW w:w="1080" w:type="dxa"/>
            <w:vAlign w:val="bottom"/>
          </w:tcPr>
          <w:p>
            <w:pPr>
              <w:jc w:val="right"/>
              <w:ind w:right="214"/>
              <w:spacing w:after="0"/>
              <w:rPr>
                <w:sz w:val="20"/>
                <w:szCs w:val="20"/>
                <w:color w:val="auto"/>
              </w:rPr>
            </w:pPr>
            <w:r>
              <w:rPr>
                <w:rFonts w:ascii="Arial" w:cs="Arial" w:eastAsia="Arial" w:hAnsi="Arial"/>
                <w:sz w:val="18"/>
                <w:szCs w:val="18"/>
                <w:color w:val="auto"/>
              </w:rPr>
              <w:t>4,817</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4,576</w:t>
            </w:r>
          </w:p>
        </w:tc>
      </w:tr>
    </w:tbl>
    <w:p>
      <w:pPr>
        <w:spacing w:after="0" w:line="364" w:lineRule="exact"/>
        <w:rPr>
          <w:sz w:val="20"/>
          <w:szCs w:val="20"/>
          <w:color w:val="auto"/>
        </w:rPr>
      </w:pPr>
    </w:p>
    <w:p>
      <w:pPr>
        <w:ind w:left="1640" w:right="1019" w:hanging="354"/>
        <w:spacing w:after="0" w:line="311" w:lineRule="auto"/>
        <w:tabs>
          <w:tab w:leader="none" w:pos="1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40" w:lineRule="exact"/>
        <w:rPr>
          <w:rFonts w:ascii="Arial" w:cs="Arial" w:eastAsia="Arial" w:hAnsi="Arial"/>
          <w:sz w:val="16"/>
          <w:szCs w:val="16"/>
          <w:color w:val="auto"/>
        </w:rPr>
      </w:pPr>
    </w:p>
    <w:p>
      <w:pPr>
        <w:ind w:left="1640" w:right="699" w:hanging="354"/>
        <w:spacing w:after="0" w:line="277" w:lineRule="auto"/>
        <w:tabs>
          <w:tab w:leader="none" w:pos="1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62" w:lineRule="exact"/>
        <w:rPr>
          <w:rFonts w:ascii="Arial" w:cs="Arial" w:eastAsia="Arial" w:hAnsi="Arial"/>
          <w:sz w:val="18"/>
          <w:szCs w:val="18"/>
          <w:color w:val="auto"/>
        </w:rPr>
      </w:pPr>
    </w:p>
    <w:p>
      <w:pPr>
        <w:ind w:left="1640" w:right="819" w:hanging="354"/>
        <w:spacing w:after="0" w:line="257" w:lineRule="auto"/>
        <w:tabs>
          <w:tab w:leader="none" w:pos="1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 for the periods presented.</w:t>
      </w:r>
    </w:p>
    <w:p>
      <w:pPr>
        <w:spacing w:after="0" w:line="79" w:lineRule="exact"/>
        <w:rPr>
          <w:rFonts w:ascii="Arial" w:cs="Arial" w:eastAsia="Arial" w:hAnsi="Arial"/>
          <w:sz w:val="18"/>
          <w:szCs w:val="18"/>
          <w:color w:val="auto"/>
        </w:rPr>
      </w:pPr>
    </w:p>
    <w:p>
      <w:pPr>
        <w:ind w:left="1640" w:right="959" w:hanging="354"/>
        <w:spacing w:after="0" w:line="259" w:lineRule="auto"/>
        <w:tabs>
          <w:tab w:leader="none" w:pos="1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40" w:right="739"/>
        <w:spacing w:after="0" w:line="259"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659"/>
        <w:spacing w:after="0" w:line="254"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4" w:lineRule="exact"/>
        <w:rPr>
          <w:sz w:val="20"/>
          <w:szCs w:val="20"/>
          <w:color w:val="auto"/>
        </w:rPr>
      </w:pPr>
    </w:p>
    <w:p>
      <w:pPr>
        <w:ind w:left="1640" w:right="919"/>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years ended December 31, 2017 and 2016:</w:t>
      </w:r>
    </w:p>
    <w:p>
      <w:pPr>
        <w:spacing w:after="0" w:line="94"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Tradeweb Markets LLC</w:t>
            </w:r>
          </w:p>
        </w:tc>
      </w:tr>
      <w:tr>
        <w:trPr>
          <w:trHeight w:val="186"/>
        </w:trPr>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Year Ended December 31,</w:t>
            </w:r>
          </w:p>
        </w:tc>
      </w:tr>
      <w:tr>
        <w:trPr>
          <w:trHeight w:val="26"/>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8"/>
        </w:trPr>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7"/>
                <w:szCs w:val="17"/>
                <w:color w:val="auto"/>
              </w:rPr>
            </w:pPr>
          </w:p>
        </w:tc>
      </w:tr>
      <w:tr>
        <w:trPr>
          <w:trHeight w:val="26"/>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r>
      <w:tr>
        <w:trPr>
          <w:trHeight w:val="183"/>
        </w:trPr>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r>
      <w:tr>
        <w:trPr>
          <w:trHeight w:val="25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$224,580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$171,845</w:t>
            </w:r>
          </w:p>
        </w:tc>
        <w:tc>
          <w:tcPr>
            <w:tcW w:w="260" w:type="dxa"/>
            <w:vAlign w:val="bottom"/>
            <w:shd w:val="clear" w:color="auto" w:fill="CCEEFF"/>
          </w:tcPr>
          <w:p>
            <w:pPr>
              <w:spacing w:after="0"/>
              <w:rPr>
                <w:sz w:val="22"/>
                <w:szCs w:val="22"/>
                <w:color w:val="auto"/>
              </w:rPr>
            </w:pPr>
          </w:p>
        </w:tc>
      </w:tr>
      <w:tr>
        <w:trPr>
          <w:trHeight w:val="257"/>
        </w:trPr>
        <w:tc>
          <w:tcPr>
            <w:tcW w:w="5180" w:type="dxa"/>
            <w:vAlign w:val="bottom"/>
            <w:gridSpan w:val="2"/>
          </w:tcPr>
          <w:p>
            <w:pPr>
              <w:spacing w:after="0"/>
              <w:rPr>
                <w:sz w:val="20"/>
                <w:szCs w:val="20"/>
                <w:color w:val="auto"/>
              </w:rPr>
            </w:pPr>
            <w:r>
              <w:rPr>
                <w:rFonts w:ascii="Arial" w:cs="Arial" w:eastAsia="Arial" w:hAnsi="Arial"/>
                <w:sz w:val="18"/>
                <w:szCs w:val="18"/>
                <w:color w:val="auto"/>
              </w:rPr>
              <w:t>Less: Capitalization of software development costs</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(27,157)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(25,351)</w:t>
            </w:r>
          </w:p>
        </w:tc>
      </w:tr>
      <w:tr>
        <w:trPr>
          <w:trHeight w:val="22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furniture, equipment and leasehold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37"/>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(13,461)</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(9,998)</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50"/>
        </w:trPr>
        <w:tc>
          <w:tcPr>
            <w:tcW w:w="518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183,962</w:t>
            </w:r>
          </w:p>
        </w:tc>
        <w:tc>
          <w:tcPr>
            <w:tcW w:w="68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136,496</w:t>
            </w:r>
          </w:p>
        </w:tc>
        <w:tc>
          <w:tcPr>
            <w:tcW w:w="26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640" w:right="799" w:hanging="354"/>
        <w:spacing w:after="0" w:line="308" w:lineRule="auto"/>
        <w:tabs>
          <w:tab w:leader="none" w:pos="1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8" w:lineRule="exact"/>
        <w:rPr>
          <w:rFonts w:ascii="Arial" w:cs="Arial" w:eastAsia="Arial" w:hAnsi="Arial"/>
          <w:sz w:val="17"/>
          <w:szCs w:val="17"/>
          <w:color w:val="auto"/>
        </w:rPr>
      </w:pPr>
    </w:p>
    <w:p>
      <w:pPr>
        <w:ind w:left="1640" w:right="659"/>
        <w:spacing w:after="0" w:line="286" w:lineRule="auto"/>
        <w:rPr>
          <w:rFonts w:ascii="Arial" w:cs="Arial" w:eastAsia="Arial" w:hAnsi="Arial"/>
          <w:sz w:val="17"/>
          <w:szCs w:val="17"/>
          <w:color w:val="auto"/>
        </w:rPr>
      </w:pPr>
      <w:r>
        <w:rPr>
          <w:rFonts w:ascii="Arial" w:cs="Arial" w:eastAsia="Arial" w:hAnsi="Arial"/>
          <w:sz w:val="16"/>
          <w:szCs w:val="16"/>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 may be incurred from time to time. We believe it will be useful to exclude stock-based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62" w:lineRule="exact"/>
        <w:rPr>
          <w:rFonts w:ascii="Arial" w:cs="Arial" w:eastAsia="Arial" w:hAnsi="Arial"/>
          <w:sz w:val="17"/>
          <w:szCs w:val="17"/>
          <w:color w:val="auto"/>
        </w:rPr>
      </w:pPr>
    </w:p>
    <w:p>
      <w:pPr>
        <w:ind w:left="1640" w:right="659"/>
        <w:spacing w:after="0" w:line="257" w:lineRule="auto"/>
        <w:rPr>
          <w:rFonts w:ascii="Arial" w:cs="Arial" w:eastAsia="Arial" w:hAnsi="Arial"/>
          <w:sz w:val="17"/>
          <w:szCs w:val="17"/>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79" w:lineRule="exact"/>
        <w:rPr>
          <w:rFonts w:ascii="Arial" w:cs="Arial" w:eastAsia="Arial" w:hAnsi="Arial"/>
          <w:sz w:val="17"/>
          <w:szCs w:val="17"/>
          <w:color w:val="auto"/>
        </w:rPr>
      </w:pPr>
    </w:p>
    <w:p>
      <w:pPr>
        <w:ind w:left="1640" w:right="1099"/>
        <w:spacing w:after="0" w:line="277" w:lineRule="auto"/>
        <w:rPr>
          <w:rFonts w:ascii="Arial" w:cs="Arial" w:eastAsia="Arial" w:hAnsi="Arial"/>
          <w:sz w:val="17"/>
          <w:szCs w:val="17"/>
          <w:color w:val="auto"/>
        </w:rPr>
      </w:pPr>
      <w:r>
        <w:rPr>
          <w:rFonts w:ascii="Arial" w:cs="Arial" w:eastAsia="Arial" w:hAnsi="Arial"/>
          <w:sz w:val="18"/>
          <w:szCs w:val="18"/>
          <w:color w:val="auto"/>
        </w:rPr>
        <w:t>Adjusted EBITDA margin is defined as Adjusted EBITDA divided by gross revenue for the applicable period.</w:t>
      </w:r>
    </w:p>
    <w:p>
      <w:pPr>
        <w:spacing w:after="0" w:line="62" w:lineRule="exact"/>
        <w:rPr>
          <w:rFonts w:ascii="Arial" w:cs="Arial" w:eastAsia="Arial" w:hAnsi="Arial"/>
          <w:sz w:val="17"/>
          <w:szCs w:val="17"/>
          <w:color w:val="auto"/>
        </w:rPr>
      </w:pPr>
    </w:p>
    <w:p>
      <w:pPr>
        <w:ind w:left="1640" w:right="659"/>
        <w:spacing w:after="0" w:line="272" w:lineRule="auto"/>
        <w:rPr>
          <w:rFonts w:ascii="Arial" w:cs="Arial" w:eastAsia="Arial" w:hAnsi="Arial"/>
          <w:sz w:val="17"/>
          <w:szCs w:val="17"/>
          <w:color w:val="auto"/>
        </w:rPr>
      </w:pPr>
      <w:r>
        <w:rPr>
          <w:rFonts w:ascii="Arial" w:cs="Arial" w:eastAsia="Arial" w:hAnsi="Arial"/>
          <w:sz w:val="17"/>
          <w:szCs w:val="17"/>
          <w:color w:val="auto"/>
        </w:rPr>
        <w:t>Adjusted Net Income is defined as net income before contingent consideration, acquisition related intangible amortization, unrealized foreign exchange gains/losses and stock-based compensation expense.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amortization of acquisition related intangible assets in order to facilitate a period-over-period comparison of our financial performance. In future periods, we expect to also</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158115</wp:posOffset>
            </wp:positionV>
            <wp:extent cx="5575935" cy="807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75935" cy="807085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640" w:right="739"/>
        <w:spacing w:after="0" w:line="296" w:lineRule="auto"/>
        <w:rPr>
          <w:sz w:val="20"/>
          <w:szCs w:val="20"/>
          <w:color w:val="auto"/>
        </w:rPr>
      </w:pPr>
      <w:r>
        <w:rPr>
          <w:rFonts w:ascii="Arial" w:cs="Arial" w:eastAsia="Arial" w:hAnsi="Arial"/>
          <w:sz w:val="16"/>
          <w:szCs w:val="16"/>
          <w:color w:val="auto"/>
        </w:rPr>
        <w:t>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53" w:lineRule="exact"/>
        <w:rPr>
          <w:sz w:val="20"/>
          <w:szCs w:val="20"/>
          <w:color w:val="auto"/>
        </w:rPr>
      </w:pPr>
    </w:p>
    <w:p>
      <w:pPr>
        <w:ind w:left="1640" w:right="639"/>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The table set forth below presents a reconciliation of net income to Adjusted EBITDA for the years ended</w:t>
      </w:r>
    </w:p>
    <w:p>
      <w:pPr>
        <w:spacing w:after="0" w:line="4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December 31, 2017 and 2016:</w:t>
      </w:r>
    </w:p>
    <w:p>
      <w:pPr>
        <w:spacing w:after="0" w:line="135"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7"/>
              </w:rPr>
              <w:t>Tradeweb Markets LLC</w:t>
            </w:r>
          </w:p>
        </w:tc>
      </w:tr>
      <w:tr>
        <w:trPr>
          <w:trHeight w:val="186"/>
        </w:trPr>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Year Ended December 31,</w:t>
            </w:r>
          </w:p>
        </w:tc>
      </w:tr>
      <w:tr>
        <w:trPr>
          <w:trHeight w:val="26"/>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8"/>
        </w:trPr>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r>
      <w:tr>
        <w:trPr>
          <w:trHeight w:val="26"/>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r>
      <w:tr>
        <w:trPr>
          <w:trHeight w:val="183"/>
        </w:trPr>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r>
      <w:tr>
        <w:trPr>
          <w:trHeight w:val="25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93,161</w:t>
            </w:r>
          </w:p>
        </w:tc>
      </w:tr>
      <w:tr>
        <w:trPr>
          <w:trHeight w:val="257"/>
        </w:trPr>
        <w:tc>
          <w:tcPr>
            <w:tcW w:w="51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22"/>
                <w:szCs w:val="22"/>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26,224</w:t>
            </w:r>
          </w:p>
        </w:tc>
      </w:tr>
      <w:tr>
        <w:trPr>
          <w:trHeight w:val="257"/>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r>
      <w:tr>
        <w:trPr>
          <w:trHeight w:val="256"/>
        </w:trPr>
        <w:tc>
          <w:tcPr>
            <w:tcW w:w="51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2"/>
                <w:szCs w:val="22"/>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68,615</w:t>
            </w: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80,859</w:t>
            </w:r>
          </w:p>
        </w:tc>
      </w:tr>
      <w:tr>
        <w:trPr>
          <w:trHeight w:val="257"/>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6,129</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r>
      <w:tr>
        <w:trPr>
          <w:trHeight w:val="263"/>
        </w:trPr>
        <w:tc>
          <w:tcPr>
            <w:tcW w:w="518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00" w:type="dxa"/>
            <w:vAlign w:val="bottom"/>
          </w:tcPr>
          <w:p>
            <w:pPr>
              <w:spacing w:after="0"/>
              <w:rPr>
                <w:sz w:val="22"/>
                <w:szCs w:val="22"/>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1,872</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57"/>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215,863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202,086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The table set forth below presents a reconciliation of net income to Adjusted Net Income for the years ended</w:t>
      </w:r>
    </w:p>
    <w:p>
      <w:pPr>
        <w:spacing w:after="0" w:line="4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December 31, 2017 and 2016:</w:t>
      </w:r>
    </w:p>
    <w:p>
      <w:pPr>
        <w:spacing w:after="0" w:line="135"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7"/>
              </w:rPr>
              <w:t>Tradeweb Markets LLC</w:t>
            </w:r>
          </w:p>
        </w:tc>
      </w:tr>
      <w:tr>
        <w:trPr>
          <w:trHeight w:val="186"/>
        </w:trPr>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Year Ended December 31,</w:t>
            </w:r>
          </w:p>
        </w:tc>
      </w:tr>
      <w:tr>
        <w:trPr>
          <w:trHeight w:val="25"/>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8"/>
        </w:trPr>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r>
      <w:tr>
        <w:trPr>
          <w:trHeight w:val="25"/>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r>
      <w:tr>
        <w:trPr>
          <w:trHeight w:val="183"/>
        </w:trPr>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r>
      <w:tr>
        <w:trPr>
          <w:trHeight w:val="25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93,161</w:t>
            </w:r>
          </w:p>
        </w:tc>
      </w:tr>
      <w:tr>
        <w:trPr>
          <w:trHeight w:val="257"/>
        </w:trPr>
        <w:tc>
          <w:tcPr>
            <w:tcW w:w="51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22"/>
                <w:szCs w:val="22"/>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26,224</w:t>
            </w:r>
          </w:p>
        </w:tc>
      </w:tr>
      <w:tr>
        <w:trPr>
          <w:trHeight w:val="25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related intangible amortization</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31,236</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41,125</w:t>
            </w:r>
          </w:p>
        </w:tc>
      </w:tr>
      <w:tr>
        <w:trPr>
          <w:trHeight w:val="263"/>
        </w:trPr>
        <w:tc>
          <w:tcPr>
            <w:tcW w:w="518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00" w:type="dxa"/>
            <w:vAlign w:val="bottom"/>
          </w:tcPr>
          <w:p>
            <w:pPr>
              <w:spacing w:after="0"/>
              <w:rPr>
                <w:sz w:val="22"/>
                <w:szCs w:val="22"/>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1,872</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5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173,040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162,382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following risks, together with all of the other information contained in this prospectus,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5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02"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75"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The electronic financial services industry is, by its nature, risky and volatile. Our business performance is impacted by a number of global and regional factors that are generally beyond our control. Any one of the following factors may cause a substantial decline in the U.S. and/or global financial markets, which could result in reduced trading volumes and profitability for our business:</w:t>
      </w:r>
    </w:p>
    <w:p>
      <w:pPr>
        <w:spacing w:after="0" w:line="92" w:lineRule="exact"/>
        <w:rPr>
          <w:sz w:val="20"/>
          <w:szCs w:val="20"/>
          <w:color w:val="auto"/>
        </w:rPr>
      </w:pPr>
    </w:p>
    <w:p>
      <w:pPr>
        <w:ind w:left="1980" w:right="739" w:hanging="352"/>
        <w:spacing w:after="0" w:line="286" w:lineRule="auto"/>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economic and political conditions and uncertainties in the United States, the United Kingdom, the E.U. and/or its member states, China or other major economies around the world, including, among other things, the proposed exit by the United Kingdom from the European Union (“Brexit”);</w:t>
      </w:r>
    </w:p>
    <w:p>
      <w:pPr>
        <w:spacing w:after="0" w:line="57" w:lineRule="exact"/>
        <w:rPr>
          <w:rFonts w:ascii="Arial" w:cs="Arial" w:eastAsia="Arial" w:hAnsi="Arial"/>
          <w:sz w:val="17"/>
          <w:szCs w:val="17"/>
          <w:color w:val="auto"/>
        </w:rPr>
      </w:pPr>
    </w:p>
    <w:p>
      <w:pPr>
        <w:ind w:left="1980" w:right="1319" w:hanging="352"/>
        <w:spacing w:after="0" w:line="342" w:lineRule="auto"/>
        <w:tabs>
          <w:tab w:leader="none" w:pos="1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effect of Federal Reserve Board and other central banks’ monetary policy, increased capital requirements for banks and other financial institutions, and other regulatory requirements;</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adverse market conditions, including unforeseen market closures or other disruptions in trading;</w:t>
      </w:r>
    </w:p>
    <w:p>
      <w:pPr>
        <w:spacing w:after="0" w:line="128" w:lineRule="exact"/>
        <w:rPr>
          <w:rFonts w:ascii="Arial" w:cs="Arial" w:eastAsia="Arial" w:hAnsi="Arial"/>
          <w:sz w:val="17"/>
          <w:szCs w:val="17"/>
          <w:color w:val="auto"/>
        </w:rPr>
      </w:pPr>
    </w:p>
    <w:p>
      <w:pPr>
        <w:ind w:left="1980" w:right="69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spacing w:after="0" w:line="75" w:lineRule="exact"/>
        <w:rPr>
          <w:rFonts w:ascii="Arial" w:cs="Arial" w:eastAsia="Arial" w:hAnsi="Arial"/>
          <w:sz w:val="18"/>
          <w:szCs w:val="18"/>
          <w:color w:val="auto"/>
        </w:rPr>
      </w:pPr>
    </w:p>
    <w:p>
      <w:pPr>
        <w:ind w:left="1980" w:right="157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concerns over inflation and weakening consumer and investor confidence levels;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concerns over credit default or bankruptcy of one or more sovereign nations or corporate entities;</w:t>
      </w:r>
    </w:p>
    <w:p>
      <w:pPr>
        <w:spacing w:after="0" w:line="128" w:lineRule="exact"/>
        <w:rPr>
          <w:rFonts w:ascii="Arial" w:cs="Arial" w:eastAsia="Arial" w:hAnsi="Arial"/>
          <w:sz w:val="17"/>
          <w:szCs w:val="17"/>
          <w:color w:val="auto"/>
        </w:rPr>
      </w:pPr>
    </w:p>
    <w:p>
      <w:pPr>
        <w:ind w:left="1980" w:right="699" w:hanging="352"/>
        <w:spacing w:after="0" w:line="308" w:lineRule="auto"/>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legislative and regulatory changes, including changes to financial industry regulations and tax laws that could limit the ability of market participants to engage in a wider array of trading activities;</w:t>
      </w:r>
    </w:p>
    <w:p>
      <w:pPr>
        <w:spacing w:after="0" w:line="51"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 and</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threatened acts of war, terrorism or other armed hostilities.</w:t>
      </w:r>
    </w:p>
    <w:p>
      <w:pPr>
        <w:spacing w:after="0" w:line="117"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5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In the event of stagnant economic conditions or stability in the U.S. and/or global financial markets, we would likely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could be jeopardized, which, in turn, could further discourage clients and further accelerate the</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79"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6"/>
          <w:szCs w:val="16"/>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53"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75"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We face intense competition in both the financial services industry generally and the institutional, wholesale and retail client sectors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solutions.</w:t>
      </w:r>
    </w:p>
    <w:p>
      <w:pPr>
        <w:spacing w:after="0" w:line="70"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60"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trading protocols we offer our clients.</w:t>
      </w:r>
    </w:p>
    <w:p>
      <w:pPr>
        <w:spacing w:after="0" w:line="64"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Competition in the electronic financial services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in 2017 and 2018, Intercontinental Exchange acquired BondPoint and TMC Bonds, respectively, in an effort to expand its portfolio of fixed income products and services. In addition, in 2018 CME Group completed its acquisition of NEX Group</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5" w:lineRule="auto"/>
        <w:rPr>
          <w:sz w:val="20"/>
          <w:szCs w:val="20"/>
          <w:color w:val="auto"/>
        </w:rPr>
      </w:pPr>
      <w:r>
        <w:rPr>
          <w:rFonts w:ascii="Arial" w:cs="Arial" w:eastAsia="Arial" w:hAnsi="Arial"/>
          <w:sz w:val="18"/>
          <w:szCs w:val="18"/>
          <w:color w:val="auto"/>
        </w:rPr>
        <w:t>plc, which expands CME’s offerings to include NEX’s OTC foreign exchange and rates products and market data. If, as a result of industry consolidation, our competitors are able to offer lower cost (including fixed cost proceeds compared to our variable fees)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8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Intercontinental Exchange have trading platforms that compete with ours and also have a data and analytics relationship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165" w:lineRule="exact"/>
        <w:rPr>
          <w:sz w:val="20"/>
          <w:szCs w:val="20"/>
          <w:color w:val="auto"/>
        </w:rPr>
      </w:pPr>
    </w:p>
    <w:p>
      <w:pPr>
        <w:ind w:left="1260" w:right="719"/>
        <w:spacing w:after="0" w:line="253" w:lineRule="auto"/>
        <w:rPr>
          <w:sz w:val="20"/>
          <w:szCs w:val="20"/>
          <w:color w:val="auto"/>
        </w:rPr>
      </w:pPr>
      <w:r>
        <w:rPr>
          <w:rFonts w:ascii="Arial" w:cs="Arial" w:eastAsia="Arial" w:hAnsi="Arial"/>
          <w:sz w:val="17"/>
          <w:szCs w:val="17"/>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70"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58"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89" w:lineRule="exact"/>
        <w:rPr>
          <w:sz w:val="20"/>
          <w:szCs w:val="20"/>
          <w:color w:val="auto"/>
        </w:rPr>
      </w:pPr>
    </w:p>
    <w:p>
      <w:pPr>
        <w:ind w:left="1980" w:right="109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89" w:lineRule="exact"/>
        <w:rPr>
          <w:rFonts w:ascii="Arial" w:cs="Arial" w:eastAsia="Arial" w:hAnsi="Arial"/>
          <w:sz w:val="18"/>
          <w:szCs w:val="18"/>
          <w:color w:val="auto"/>
        </w:rPr>
      </w:pPr>
    </w:p>
    <w:p>
      <w:pPr>
        <w:ind w:left="1980" w:right="859" w:hanging="352"/>
        <w:spacing w:after="0" w:line="286" w:lineRule="auto"/>
        <w:tabs>
          <w:tab w:leader="none" w:pos="1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develop and/or license new solutions and technologies that address the increasingly sophisticated and varied needs of our existing and prospective clients, and that allow us to grow within our existing markets and to expand into new markets, asset classes and products;</w:t>
      </w:r>
    </w:p>
    <w:p>
      <w:pPr>
        <w:spacing w:after="0" w:line="84" w:lineRule="exact"/>
        <w:rPr>
          <w:rFonts w:ascii="Arial" w:cs="Arial" w:eastAsia="Arial" w:hAnsi="Arial"/>
          <w:sz w:val="17"/>
          <w:szCs w:val="17"/>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asset classes and products;</w:t>
      </w:r>
    </w:p>
    <w:p>
      <w:pPr>
        <w:spacing w:after="0" w:line="144" w:lineRule="exact"/>
        <w:rPr>
          <w:rFonts w:ascii="Arial" w:cs="Arial" w:eastAsia="Arial" w:hAnsi="Arial"/>
          <w:sz w:val="18"/>
          <w:szCs w:val="18"/>
          <w:color w:val="auto"/>
        </w:rPr>
      </w:pPr>
    </w:p>
    <w:p>
      <w:pPr>
        <w:ind w:left="1980" w:right="779" w:hanging="352"/>
        <w:spacing w:after="0" w:line="342" w:lineRule="auto"/>
        <w:tabs>
          <w:tab w:leader="none" w:pos="1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respond to competitive pressures, technological advances, including new or disruptive technology, emerging industry standards and practices and regulatory changes on a cost-effective and timely basis;</w:t>
      </w:r>
    </w:p>
    <w:p>
      <w:pPr>
        <w:spacing w:after="0" w:line="29" w:lineRule="exact"/>
        <w:rPr>
          <w:rFonts w:ascii="Arial" w:cs="Arial" w:eastAsia="Arial" w:hAnsi="Arial"/>
          <w:sz w:val="16"/>
          <w:szCs w:val="16"/>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highly-skilled technology, sales and marketing personnel;</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operate, support, expand, adapt and develop our operations, systems, networks and infrastructure;</w:t>
      </w:r>
    </w:p>
    <w:p>
      <w:pPr>
        <w:spacing w:after="0" w:line="155" w:lineRule="exact"/>
        <w:rPr>
          <w:rFonts w:ascii="Arial" w:cs="Arial" w:eastAsia="Arial" w:hAnsi="Arial"/>
          <w:sz w:val="17"/>
          <w:szCs w:val="17"/>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93" w:lineRule="auto"/>
        <w:rPr>
          <w:sz w:val="20"/>
          <w:szCs w:val="20"/>
          <w:color w:val="auto"/>
        </w:rPr>
      </w:pPr>
      <w:r>
        <w:rPr>
          <w:rFonts w:ascii="Arial" w:cs="Arial" w:eastAsia="Arial" w:hAnsi="Arial"/>
          <w:sz w:val="16"/>
          <w:szCs w:val="16"/>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56"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6"/>
          <w:szCs w:val="16"/>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or we may fail to accurately determine market demand for our platforms and solutions.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58"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We cannot assure you that we will be able to anticipate or respond in a timely manner to changing market conditions or client requirements.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client preferences could cause our market share to decline and materially adversely impact our revenues.</w:t>
      </w:r>
    </w:p>
    <w:p>
      <w:pPr>
        <w:spacing w:after="0" w:line="179" w:lineRule="exact"/>
        <w:rPr>
          <w:sz w:val="20"/>
          <w:szCs w:val="20"/>
          <w:color w:val="auto"/>
        </w:rPr>
      </w:pPr>
    </w:p>
    <w:p>
      <w:pPr>
        <w:ind w:left="1260" w:right="1219"/>
        <w:spacing w:after="0" w:line="246"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75"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84"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electronic financial services markets in which we operate. This is in addition to the significant reductions in these businesses already completed by certain of our dealer clients.</w:t>
      </w:r>
    </w:p>
    <w:p>
      <w:pPr>
        <w:spacing w:after="0" w:line="71"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2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We are dependent on our dealer clients that are also stockholders to support our marketplaces by transacting with our other institutional, wholesale and retail clients.</w:t>
      </w:r>
    </w:p>
    <w:p>
      <w:pPr>
        <w:spacing w:after="0" w:line="75"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We rely on our dealer clients to provide liquidity on our trading platforms by posting prices on our platforms and responding to client inquiries. In particular, we have historically earned a substantial portion of our revenues from dealer clients that are also stockholders. We refer to these clients and stockholders as the “Bank Stockholders.” For the years ended December 31, 2017 and 2016, 41.3% and 40.8%, respectively, of our revenues were generated by the Bank Stockholders and their affiliates. Market knowledge and feedback from these Bank Stockholders have been important factors in the development of many of our offerings and solutions. In addition, these Bank Stockholders also provide us with data via feeds and through the transactions they execute on our trading platforms, which is an important input for our market data offerings.</w:t>
      </w:r>
    </w:p>
    <w:p>
      <w:pPr>
        <w:spacing w:after="0" w:line="57"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There are inherent risks whenever a significant percentage of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Bank Stockholder’s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69"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Bank Stockholders or their affiliates, as is typical for a large number of major banks, have their own single bank or other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60"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Although we have established and maintain significant long-term relationships with our key dealer clients, we cannot assure you that all of these relationships will continue or will not diminish. In addition, it is possible that the Bank Stockholders may reduce their engagement with us after this offering due to the reduction in the level of their equity ownership following the completion of this offering.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168" w:lineRule="exact"/>
        <w:rPr>
          <w:sz w:val="20"/>
          <w:szCs w:val="20"/>
          <w:color w:val="auto"/>
        </w:rPr>
      </w:pPr>
    </w:p>
    <w:p>
      <w:pPr>
        <w:ind w:left="1260" w:right="719"/>
        <w:spacing w:after="0" w:line="274" w:lineRule="auto"/>
        <w:rPr>
          <w:sz w:val="20"/>
          <w:szCs w:val="20"/>
          <w:color w:val="auto"/>
        </w:rPr>
      </w:pPr>
      <w:r>
        <w:rPr>
          <w:rFonts w:ascii="Arial" w:cs="Arial" w:eastAsia="Arial" w:hAnsi="Arial"/>
          <w:sz w:val="17"/>
          <w:szCs w:val="17"/>
          <w:b w:val="1"/>
          <w:bCs w:val="1"/>
          <w:i w:val="1"/>
          <w:iCs w:val="1"/>
          <w:color w:val="auto"/>
        </w:rPr>
        <w:t>We do not have long-term contractual arrangements with our liquidity taking clients, and our trading volumes and revenues could be reduced if these clients stop using our platforms and solutions.</w:t>
      </w:r>
    </w:p>
    <w:p>
      <w:pPr>
        <w:spacing w:after="0" w:line="53"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1019"/>
        <w:spacing w:after="0" w:line="263" w:lineRule="auto"/>
        <w:rPr>
          <w:sz w:val="20"/>
          <w:szCs w:val="20"/>
          <w:color w:val="auto"/>
        </w:rPr>
      </w:pPr>
      <w:r>
        <w:rPr>
          <w:rFonts w:ascii="Arial" w:cs="Arial" w:eastAsia="Arial" w:hAnsi="Arial"/>
          <w:sz w:val="18"/>
          <w:szCs w:val="18"/>
          <w:color w:val="auto"/>
        </w:rPr>
        <w:t>significant reduction in their use of our platforms and solutions could have a material negative impact on our trading volumes and revenues, and materially adversely affect our business, financial condition and results of operations.</w:t>
      </w:r>
    </w:p>
    <w:p>
      <w:pPr>
        <w:spacing w:after="0" w:line="170" w:lineRule="exact"/>
        <w:rPr>
          <w:sz w:val="20"/>
          <w:szCs w:val="20"/>
          <w:color w:val="auto"/>
        </w:rPr>
      </w:pPr>
    </w:p>
    <w:p>
      <w:pPr>
        <w:ind w:left="1260" w:right="819"/>
        <w:spacing w:after="0" w:line="235"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80" w:lineRule="exact"/>
        <w:rPr>
          <w:sz w:val="20"/>
          <w:szCs w:val="20"/>
          <w:color w:val="auto"/>
        </w:rPr>
      </w:pPr>
    </w:p>
    <w:p>
      <w:pPr>
        <w:ind w:left="1260" w:right="699" w:firstLine="360"/>
        <w:spacing w:after="0" w:line="293" w:lineRule="auto"/>
        <w:rPr>
          <w:sz w:val="20"/>
          <w:szCs w:val="20"/>
          <w:color w:val="auto"/>
        </w:rPr>
      </w:pPr>
      <w:r>
        <w:rPr>
          <w:rFonts w:ascii="Arial" w:cs="Arial" w:eastAsia="Arial" w:hAnsi="Arial"/>
          <w:sz w:val="16"/>
          <w:szCs w:val="16"/>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56" w:lineRule="exact"/>
        <w:rPr>
          <w:sz w:val="20"/>
          <w:szCs w:val="20"/>
          <w:color w:val="auto"/>
        </w:rPr>
      </w:pPr>
    </w:p>
    <w:p>
      <w:pPr>
        <w:ind w:left="1260" w:right="659" w:firstLine="360"/>
        <w:spacing w:after="0" w:line="287" w:lineRule="auto"/>
        <w:rPr>
          <w:sz w:val="20"/>
          <w:szCs w:val="20"/>
          <w:color w:val="auto"/>
        </w:rPr>
      </w:pPr>
      <w:r>
        <w:rPr>
          <w:rFonts w:ascii="Arial" w:cs="Arial" w:eastAsia="Arial" w:hAnsi="Arial"/>
          <w:sz w:val="16"/>
          <w:szCs w:val="16"/>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6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78"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Our business could be harmed if we are unable to maintain and grow the capacity of our trading platforms, systems and infrastructure.</w:t>
      </w:r>
    </w:p>
    <w:p>
      <w:pPr>
        <w:spacing w:after="0" w:line="75"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 in our clients deciding to stop using or to reduce their use of our trading platforms, either of which would have a material adverse effect on our business, financial condition and results of operations.</w:t>
      </w:r>
    </w:p>
    <w:p>
      <w:pPr>
        <w:spacing w:after="0" w:line="84"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79" w:lineRule="auto"/>
        <w:rPr>
          <w:sz w:val="20"/>
          <w:szCs w:val="20"/>
          <w:color w:val="auto"/>
        </w:rPr>
      </w:pPr>
      <w:r>
        <w:rPr>
          <w:rFonts w:ascii="Arial" w:cs="Arial" w:eastAsia="Arial" w:hAnsi="Arial"/>
          <w:sz w:val="17"/>
          <w:szCs w:val="17"/>
          <w:color w:val="auto"/>
        </w:rPr>
        <w:t>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58"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75"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Despite testing as part of a mature software development lifecycle, our platforms and solutions may contain design defects and errors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64" w:lineRule="exact"/>
        <w:rPr>
          <w:sz w:val="20"/>
          <w:szCs w:val="20"/>
          <w:color w:val="auto"/>
        </w:rPr>
      </w:pPr>
    </w:p>
    <w:p>
      <w:pPr>
        <w:ind w:left="1260" w:right="659" w:firstLine="360"/>
        <w:spacing w:after="0" w:line="293" w:lineRule="auto"/>
        <w:rPr>
          <w:sz w:val="20"/>
          <w:szCs w:val="20"/>
          <w:color w:val="auto"/>
        </w:rPr>
      </w:pPr>
      <w:r>
        <w:rPr>
          <w:rFonts w:ascii="Arial" w:cs="Arial" w:eastAsia="Arial" w:hAnsi="Arial"/>
          <w:sz w:val="16"/>
          <w:szCs w:val="16"/>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51" w:lineRule="exact"/>
        <w:rPr>
          <w:sz w:val="20"/>
          <w:szCs w:val="20"/>
          <w:color w:val="auto"/>
        </w:rPr>
      </w:pPr>
    </w:p>
    <w:p>
      <w:pPr>
        <w:ind w:left="1260" w:right="1279"/>
        <w:spacing w:after="0" w:line="307" w:lineRule="auto"/>
        <w:rPr>
          <w:sz w:val="20"/>
          <w:szCs w:val="20"/>
          <w:color w:val="auto"/>
        </w:rPr>
      </w:pPr>
      <w:r>
        <w:rPr>
          <w:rFonts w:ascii="Arial" w:cs="Arial" w:eastAsia="Arial" w:hAnsi="Arial"/>
          <w:sz w:val="16"/>
          <w:szCs w:val="16"/>
          <w:b w:val="1"/>
          <w:bCs w:val="1"/>
          <w:i w:val="1"/>
          <w:iCs w:val="1"/>
          <w:color w:val="auto"/>
        </w:rPr>
        <w:t>Systems failures, interruptions, delays in service, catastrophic events and resulting interruptions in the availability of our platform or solution could materially harm our business and reputation.</w:t>
      </w:r>
    </w:p>
    <w:p>
      <w:pPr>
        <w:spacing w:after="0" w:line="29"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Our business depends on the efficient and uninterrupted operation of our platforms, systems, networks and infrastructure. We cannot assure you that we, or our third-party providers, will not experience systems failures or business interruptions. Our systems, networks, infrastructure and other operations, in particular our trading platforms, are vulnerable to impact or interruption from a wide variety of causes, including: irregular or heavy use of our trading platforms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or terrorism;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71"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360"/>
        <w:spacing w:after="0" w:line="285" w:lineRule="auto"/>
        <w:rPr>
          <w:sz w:val="20"/>
          <w:szCs w:val="20"/>
          <w:color w:val="auto"/>
        </w:rPr>
      </w:pPr>
      <w:r>
        <w:rPr>
          <w:rFonts w:ascii="Arial" w:cs="Arial" w:eastAsia="Arial" w:hAnsi="Arial"/>
          <w:sz w:val="16"/>
          <w:szCs w:val="16"/>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279"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Commodity Futures Trading Commission (“CFTC”) subject portions of our trading platforms and other technological systems related to our swap execution facilities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58" w:lineRule="exact"/>
        <w:rPr>
          <w:sz w:val="20"/>
          <w:szCs w:val="20"/>
          <w:color w:val="auto"/>
        </w:rPr>
      </w:pPr>
    </w:p>
    <w:p>
      <w:pPr>
        <w:ind w:left="1260" w:right="859"/>
        <w:spacing w:after="0" w:line="235" w:lineRule="auto"/>
        <w:rPr>
          <w:sz w:val="20"/>
          <w:szCs w:val="20"/>
          <w:color w:val="auto"/>
        </w:rPr>
      </w:pPr>
      <w:r>
        <w:rPr>
          <w:rFonts w:ascii="Arial" w:cs="Arial" w:eastAsia="Arial" w:hAnsi="Arial"/>
          <w:sz w:val="18"/>
          <w:szCs w:val="18"/>
          <w:b w:val="1"/>
          <w:bCs w:val="1"/>
          <w:i w:val="1"/>
          <w:iCs w:val="1"/>
          <w:color w:val="auto"/>
        </w:rPr>
        <w:t>Actual or perceived security vulnerabilities in our systems, networks and infrastructure, breaches of security controls, unauthorized access to confidential information or cyber-attacks could harm our business, reputation and results of operations.</w:t>
      </w:r>
    </w:p>
    <w:p>
      <w:pPr>
        <w:spacing w:after="0" w:line="80"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Our business relies on technology and automation to perform significant functions within our firm. Because of our reliance on technology, we are susceptible to various cyber-threats to our systems, network and infrastructure.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improperly modify or degrade our information, systems, networks and infrastructure, the introduction of computer viruses and other malicious codes and fraudulent “phishing” emails that seek to misappropriate data and information or install malware onto users’ computers. We carry what we believe are sufficient levels of cyber insurance. However, if one or more cyber-attacks occur, it could jeopardize the confidential, proprietary and other information processed and stored in, and transmitted through, our systems and networks, or cause interruptions or malfunctions in our operations, which could result in reputational damage, financial losses, client dissatisfaction and/or regulatory fines and penalties, which may not in all cases be covered by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While we have dedicated personnel who are responsible for maintaining our cybersecurity program and training our employees on cybersecurity, and while we utilize third-party technology product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may be unable to anticipate these techniques or to implement adequate defensive measures or security controls. Additionally, we may be required in the future to incur significant costs to continue to minimize, mitigate against or alleviate the effects of cyber-attacks or other security vulnerabilities and to protect against damage caused by disruptions or cyber-attacks that may occur.</w:t>
      </w:r>
    </w:p>
    <w:p>
      <w:pPr>
        <w:spacing w:after="0" w:line="64"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There have been an increasing number of cyber-attacks in recent years in various industries, including ours, and cybersecurity risk management has been the subject of increasing focus by U.S. and foreign regulators. As a result,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reputational harm.</w:t>
      </w:r>
    </w:p>
    <w:p>
      <w:pPr>
        <w:spacing w:after="0" w:line="56"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Although we have not been a victim of a cyber-attacks or other cyber incidents that have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trading platforms, security measures and reliability, which would materially harm our ability to retain clients and gain new ones.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are dependent on third parties for our pre- and post-trade data, analytics and reporting solutions.</w:t>
      </w:r>
    </w:p>
    <w:p>
      <w:pPr>
        <w:spacing w:after="0" w:line="115"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The success of our trading platforms depends in part on our pre- and post-trade data, analytics and reporting solutions. We depend upon data and information services from external sources, including data received from certain competitors, clients and self-regulatory organizations for information used on our marketplaces, as well as certain data, analytical tools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63"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 substantial number of our key data sources and information providers withdraw or are unable to provide us with their data or information services,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2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59" w:firstLine="360"/>
        <w:spacing w:after="0" w:line="311" w:lineRule="auto"/>
        <w:rPr>
          <w:sz w:val="20"/>
          <w:szCs w:val="20"/>
          <w:color w:val="auto"/>
        </w:rPr>
      </w:pPr>
      <w:r>
        <w:rPr>
          <w:rFonts w:ascii="Arial" w:cs="Arial" w:eastAsia="Arial" w:hAnsi="Arial"/>
          <w:sz w:val="16"/>
          <w:szCs w:val="16"/>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are dependent upon our trading counterparties and clearinghouses to perform their obligations to us.</w:t>
      </w:r>
    </w:p>
    <w:p>
      <w:pPr>
        <w:spacing w:after="0" w:line="127"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Our business consists of providing consistent two-sided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and futures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160" w:lineRule="exact"/>
        <w:rPr>
          <w:sz w:val="20"/>
          <w:szCs w:val="20"/>
          <w:color w:val="auto"/>
        </w:rPr>
      </w:pPr>
    </w:p>
    <w:p>
      <w:pPr>
        <w:ind w:left="1260" w:right="659"/>
        <w:spacing w:after="0" w:line="235" w:lineRule="auto"/>
        <w:rPr>
          <w:sz w:val="20"/>
          <w:szCs w:val="20"/>
          <w:color w:val="auto"/>
        </w:rPr>
      </w:pPr>
      <w:r>
        <w:rPr>
          <w:rFonts w:ascii="Arial" w:cs="Arial" w:eastAsia="Arial" w:hAnsi="Arial"/>
          <w:sz w:val="18"/>
          <w:szCs w:val="18"/>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8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may incur losses as a result of unforeseen or catastrophic events, including fire, natural disasters, extreme weather events, power loss, telecommunications failure, software or hardware malfunctions, theft, cyber-attacks, war or terrorist attacks. In addition, employee misconduct or error could expose us to significant liability, losses, regulatory sanctions and reputational harm. Misconduct or error by employees could include engaging in improperly using confidential 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service providers or clients. If our systems were to fail or be negatively impacted as a result of an unforeseen or catastrophic event, our business functions could be interrupted, our ability to make our trading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74"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173" w:lineRule="exact"/>
        <w:rPr>
          <w:sz w:val="20"/>
          <w:szCs w:val="20"/>
          <w:color w:val="auto"/>
        </w:rPr>
      </w:pPr>
    </w:p>
    <w:p>
      <w:pPr>
        <w:ind w:left="1260" w:right="1299"/>
        <w:spacing w:after="0" w:line="246"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75" w:lineRule="exact"/>
        <w:rPr>
          <w:sz w:val="20"/>
          <w:szCs w:val="20"/>
          <w:color w:val="auto"/>
        </w:rPr>
      </w:pPr>
    </w:p>
    <w:p>
      <w:pPr>
        <w:ind w:left="1260" w:right="719" w:firstLine="360"/>
        <w:spacing w:after="0" w:line="296" w:lineRule="auto"/>
        <w:rPr>
          <w:sz w:val="20"/>
          <w:szCs w:val="20"/>
          <w:color w:val="auto"/>
        </w:rPr>
      </w:pPr>
      <w:r>
        <w:rPr>
          <w:rFonts w:ascii="Arial" w:cs="Arial" w:eastAsia="Arial" w:hAnsi="Arial"/>
          <w:sz w:val="16"/>
          <w:szCs w:val="16"/>
          <w:color w:val="auto"/>
        </w:rPr>
        <w:t>We have experienced significant growth in our operations over the years. However, we cannot assure you that our operations will continue to grow at a similar rate, if at all. In particular, we cannot assure you that the growth of electronic means of trading will continue.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success of our growth plan depends, in part, on our ability to implement our business strategies. In particular, our growth depends on our ability to maintain and expand our network of global market participants that utilize our marketplaces, as well as to continue to integrate them across geographies and a wide range of asset classes, trade types and trade sizes within our marketplaces. Our growth also depends on, among other things, clients increasing the use of our trading platforms and attracting new clients to increase our overall market share. Our growth may also be dependent on our ability to further diversify our revenue base. We currently derive approximately 58% of our revenues from our Rates products. Our long-term growth plan includes expanding the growth of our underlying asset classes, including the number of products we offer across those asset classes, by investing in product development, and increasing our revenues, by growing in our existing markets and entering into new markets. We cannot assure you that we will be able to successfully execute our growth plan or be able to maintain or improve our current level of business, and we may decide to alter or discontinue certain aspects of our growth plan at any time.</w:t>
      </w:r>
    </w:p>
    <w:p>
      <w:pPr>
        <w:spacing w:after="0" w:line="71"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 adopted may extend over many months or years, if ever. Even after incurring these costs, such platform, platform feature or solution may not achieve market acceptance.</w:t>
      </w:r>
    </w:p>
    <w:p>
      <w:pPr>
        <w:spacing w:after="0" w:line="152"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75"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Our long-term growth plan includes expanding our operations by entering into new markets and geographies, including markets where we have little or no operating experience. We may have difficulties entering into new markets due to established competitors, lack of recognition of our brand and lack of acceptance of our platforms and solutions, as has occurred with certain of our initiatives in the past.</w:t>
      </w:r>
    </w:p>
    <w:p>
      <w:pPr>
        <w:spacing w:after="0" w:line="63"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87" w:lineRule="exact"/>
        <w:rPr>
          <w:sz w:val="20"/>
          <w:szCs w:val="20"/>
          <w:color w:val="auto"/>
        </w:rPr>
      </w:pPr>
    </w:p>
    <w:p>
      <w:pPr>
        <w:jc w:val="both"/>
        <w:ind w:left="1260" w:right="779" w:firstLine="360"/>
        <w:spacing w:after="0" w:line="311" w:lineRule="auto"/>
        <w:rPr>
          <w:sz w:val="20"/>
          <w:szCs w:val="20"/>
          <w:color w:val="auto"/>
        </w:rPr>
      </w:pPr>
      <w:r>
        <w:rPr>
          <w:rFonts w:ascii="Arial" w:cs="Arial" w:eastAsia="Arial" w:hAnsi="Arial"/>
          <w:sz w:val="16"/>
          <w:szCs w:val="16"/>
          <w:color w:val="auto"/>
        </w:rPr>
        <w:t>We cannot assure you that we will be able to successfully adapt our platforms, solutions and technology for use in any new markets. Even if we do adapt our products, services and technologies, we cannot assure you that we will be able to attract clients to our networks and compete successfully in any such new markets.</w:t>
      </w:r>
    </w:p>
    <w:p>
      <w:pPr>
        <w:spacing w:after="0" w:line="41"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2005. There can be no assurance that we will be able to successfully maintain or grow our operations abroad.</w:t>
      </w:r>
    </w:p>
    <w:p>
      <w:pPr>
        <w:spacing w:after="0" w:line="80"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152" w:lineRule="exact"/>
        <w:rPr>
          <w:sz w:val="20"/>
          <w:szCs w:val="20"/>
          <w:color w:val="auto"/>
        </w:rPr>
      </w:pPr>
    </w:p>
    <w:p>
      <w:pPr>
        <w:ind w:left="1260" w:right="1179"/>
        <w:spacing w:after="0" w:line="246"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risks associated with our international operations.</w:t>
      </w:r>
    </w:p>
    <w:p>
      <w:pPr>
        <w:spacing w:after="0" w:line="75"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We have operations in the United States, China, Japan, Hong Kong, Singapore, the Netherlands and the United Kingdom, and we may further expand our international operations. We have invested significant resources in our international operations and expect to continue to do so in the future. However, there are</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79"/>
        <w:spacing w:after="0" w:line="277" w:lineRule="auto"/>
        <w:rPr>
          <w:sz w:val="20"/>
          <w:szCs w:val="20"/>
          <w:color w:val="auto"/>
        </w:rPr>
      </w:pPr>
      <w:r>
        <w:rPr>
          <w:rFonts w:ascii="Arial" w:cs="Arial" w:eastAsia="Arial" w:hAnsi="Arial"/>
          <w:sz w:val="18"/>
          <w:szCs w:val="18"/>
          <w:color w:val="auto"/>
        </w:rPr>
        <w:t>certain risks inherent in doing business in international markets, particularly in the financial services industry, which is heavily regulated in many jurisdictions. These risks include:</w:t>
      </w:r>
    </w:p>
    <w:p>
      <w:pPr>
        <w:spacing w:after="0" w:line="62" w:lineRule="exact"/>
        <w:rPr>
          <w:sz w:val="20"/>
          <w:szCs w:val="20"/>
          <w:color w:val="auto"/>
        </w:rPr>
      </w:pPr>
    </w:p>
    <w:p>
      <w:pPr>
        <w:ind w:left="1980" w:right="71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spacing w:after="0" w:line="62" w:lineRule="exact"/>
        <w:rPr>
          <w:rFonts w:ascii="Arial" w:cs="Arial" w:eastAsia="Arial" w:hAnsi="Arial"/>
          <w:sz w:val="18"/>
          <w:szCs w:val="18"/>
          <w:color w:val="auto"/>
        </w:rPr>
      </w:pPr>
    </w:p>
    <w:p>
      <w:pPr>
        <w:ind w:left="1980" w:right="145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government policies and regulations, or in how provisions are interpreted or administered;</w:t>
      </w:r>
    </w:p>
    <w:p>
      <w:pPr>
        <w:spacing w:after="0" w:line="62" w:lineRule="exact"/>
        <w:rPr>
          <w:rFonts w:ascii="Arial" w:cs="Arial" w:eastAsia="Arial" w:hAnsi="Arial"/>
          <w:sz w:val="18"/>
          <w:szCs w:val="18"/>
          <w:color w:val="auto"/>
        </w:rPr>
      </w:pPr>
    </w:p>
    <w:p>
      <w:pPr>
        <w:ind w:left="1980" w:right="123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spacing w:after="0" w:line="62" w:lineRule="exact"/>
        <w:rPr>
          <w:rFonts w:ascii="Arial" w:cs="Arial" w:eastAsia="Arial" w:hAnsi="Arial"/>
          <w:sz w:val="18"/>
          <w:szCs w:val="18"/>
          <w:color w:val="auto"/>
        </w:rPr>
      </w:pPr>
    </w:p>
    <w:p>
      <w:pPr>
        <w:ind w:left="1980" w:right="799" w:hanging="352"/>
        <w:spacing w:after="0" w:line="308" w:lineRule="auto"/>
        <w:tabs>
          <w:tab w:leader="none" w:pos="1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varying tax regimes, including with respect to imposition or increase of taxes on financial transactions or withholding and other taxes on remittances and other payments by subsidiaries;</w:t>
      </w:r>
    </w:p>
    <w:p>
      <w:pPr>
        <w:spacing w:after="0" w:line="38" w:lineRule="exact"/>
        <w:rPr>
          <w:rFonts w:ascii="Arial" w:cs="Arial" w:eastAsia="Arial" w:hAnsi="Arial"/>
          <w:sz w:val="17"/>
          <w:szCs w:val="17"/>
          <w:color w:val="auto"/>
        </w:rPr>
      </w:pPr>
    </w:p>
    <w:p>
      <w:pPr>
        <w:ind w:left="1980" w:right="85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other trade barriers or international trade agreements;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exchange rate fluctuations and restrictions on currency conversion;</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117"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spacing w:after="0" w:line="62" w:lineRule="exact"/>
        <w:rPr>
          <w:rFonts w:ascii="Arial" w:cs="Arial" w:eastAsia="Arial" w:hAnsi="Arial"/>
          <w:sz w:val="18"/>
          <w:szCs w:val="18"/>
          <w:color w:val="auto"/>
        </w:rPr>
      </w:pPr>
    </w:p>
    <w:p>
      <w:pPr>
        <w:ind w:left="1980" w:right="1019" w:hanging="352"/>
        <w:spacing w:after="0" w:line="263"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the potential conflicts between locally accepted business practices and our obligations to comply with laws and regulations, including anti-corruption and anti-money laundering laws and regulations;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980" w:right="67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seasonal reductions in business activity; and</w:t>
      </w:r>
    </w:p>
    <w:p>
      <w:pPr>
        <w:spacing w:after="0" w:line="130" w:lineRule="exact"/>
        <w:rPr>
          <w:rFonts w:ascii="Arial" w:cs="Arial" w:eastAsia="Arial" w:hAnsi="Arial"/>
          <w:sz w:val="18"/>
          <w:szCs w:val="18"/>
          <w:color w:val="auto"/>
        </w:rPr>
      </w:pPr>
    </w:p>
    <w:p>
      <w:pPr>
        <w:ind w:left="1980" w:right="69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hyperinflationary conditions and political instability.</w:t>
      </w:r>
    </w:p>
    <w:p>
      <w:pPr>
        <w:spacing w:after="0" w:line="62"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conditions, less developed and predictable legal and regulatory regimes and increased potential for various types of adverse governmental action.</w:t>
      </w:r>
    </w:p>
    <w:p>
      <w:pPr>
        <w:spacing w:after="0" w:line="164"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The United Kingdom’s exit from the European Union could have a material adverse effect on our business, financial condition and results of operations.</w:t>
      </w:r>
    </w:p>
    <w:p>
      <w:pPr>
        <w:spacing w:after="0" w:line="7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In March 2017, the United Kingdom government invoked article 50 of the Lisbon Treaty and formally initiated the process of negotiations with the European Union. As a result, the United Kingdom is currently scheduled to exit the European Union on March 29, 2019. The terms of the United Kingdom’s withdrawal continue to be subject to negotiation. Brexit, together with the protracted negotiations around the terms of the withdrawal, could significantly impact the business environment in which we and our clients operate, increase the cost of conducting business in both the European Union and the United Kingdom, impair or prohibit access to European Union clients, affect market liquidity and introduce significant new uncertainties with respect to the legal and regulatory requirements to which we and our clients are subject. In particular, Brexit is expected to significantly affect the fiscal, monetary and regulatory landscape in both the United Kingdom and the European Union, and may have a material impact on their respective economies. It is unclear how Brexit will affect liquidity in our marketplaces.</w:t>
      </w:r>
    </w:p>
    <w:p>
      <w:pPr>
        <w:sectPr>
          <w:pgSz w:w="11900" w:h="16838" w:orient="portrait"/>
          <w:cols w:equalWidth="0" w:num="1">
            <w:col w:w="10139"/>
          </w:cols>
          <w:pgMar w:left="320" w:top="132" w:right="1440" w:bottom="1440" w:gutter="0" w:footer="0" w:header="0"/>
        </w:sectPr>
      </w:pP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Significantly, the effects of Brexit will depend on any agreements the United Kingdom makes to retain access to the European Union single market. Discussions between the United Kingdom and the European Union regarding a transitional period following Brexit contemplate a temporary continuation of the existing passporting rights that allow financial services firms to operate throughout the European Union. However, it is not possible to predict with any certainty whether the United Kingdom and the European Union will be able to agree on a transitional period, which laws and policies will apply during any such transitional period, whether we would be able to rely on the existing passporting regime during a transitional period or the length of such period. In the event of no political agreement on a transitional period, regulated financial services firms and trading venues based in the United Kingdom will lose such passporting rights. This potential loss of passporting rights will affect us and many of our clients. For us, it means our UK authorized subsidiary will no longer be able to provide services to EU clients other than in limited circumstances. As a result, we have started the process of establishing a new regulated subsidiary in a different member state of the European Union in order to be in a position to be able to continue to serve clients in the European Union following Brexit and any transitional period. No assurance can be given that such a subsidiary will obtain authorization before Brexit or at all. We will face regulatory and operational costs and challenges associated with the establishment of any new regulated subsidiaries in the European Union and the management of a client and employee base that is less centralized in London.</w:t>
      </w:r>
    </w:p>
    <w:p>
      <w:pPr>
        <w:spacing w:after="0" w:line="83"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Brexit may also lead to legal uncertainty and potentially divergent national laws and regulations as the United Kingdom determines which European Union laws to replace or replicate. Accordingly, the cost and complexity of operating across increasingly divergent regulatory regimes could increase following Brexit, which could have a material adverse effect on our business, financial condition, and results of operations.</w:t>
      </w:r>
    </w:p>
    <w:p>
      <w:pPr>
        <w:spacing w:after="0" w:line="63" w:lineRule="exact"/>
        <w:rPr>
          <w:sz w:val="20"/>
          <w:szCs w:val="20"/>
          <w:color w:val="auto"/>
        </w:rPr>
      </w:pPr>
    </w:p>
    <w:p>
      <w:pPr>
        <w:jc w:val="both"/>
        <w:ind w:left="1260" w:right="979" w:firstLine="360"/>
        <w:spacing w:after="0" w:line="263" w:lineRule="auto"/>
        <w:rPr>
          <w:sz w:val="20"/>
          <w:szCs w:val="20"/>
          <w:color w:val="auto"/>
        </w:rPr>
      </w:pPr>
      <w:r>
        <w:rPr>
          <w:rFonts w:ascii="Arial" w:cs="Arial" w:eastAsia="Arial" w:hAnsi="Arial"/>
          <w:sz w:val="18"/>
          <w:szCs w:val="18"/>
          <w:color w:val="auto"/>
        </w:rPr>
        <w:t>Further, although we have an international client base, we could also be materially adversely affected by reduced growth in the United Kingdom economy and increased volatility in the rate of exchange of the pound sterling.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104"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Since we operate in several different countries outside the United States, most notably the U.K., Japan and Hong Kong, significant portions of our revenues, expenses, assets and liabilities are denominated in non-U.S. dollar currencies, most notably the pound sterling, euros and Japanese Yen and Hong Kong dollars.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such as Brexit, the 2016 U.S. presidential election, uncertainty regarding actual and potential shifts in U.S. and foreign trade, economic and other policies, the passage of U.S. tax reform legislation and concerns over increasing interest rates (particularly short-term rates), have caused, and may continue to cause, significant volatility in currency exchange rates, especially among the U.S. dollar, the pound sterling and the euro.</w:t>
      </w:r>
    </w:p>
    <w:p>
      <w:pPr>
        <w:spacing w:after="0" w:line="71" w:lineRule="exact"/>
        <w:rPr>
          <w:sz w:val="20"/>
          <w:szCs w:val="20"/>
          <w:color w:val="auto"/>
        </w:rPr>
      </w:pPr>
    </w:p>
    <w:p>
      <w:pPr>
        <w:ind w:left="1260" w:right="679" w:firstLine="360"/>
        <w:spacing w:after="0" w:line="301" w:lineRule="auto"/>
        <w:rPr>
          <w:sz w:val="20"/>
          <w:szCs w:val="20"/>
          <w:color w:val="auto"/>
        </w:rPr>
      </w:pPr>
      <w:r>
        <w:rPr>
          <w:rFonts w:ascii="Arial" w:cs="Arial" w:eastAsia="Arial" w:hAnsi="Arial"/>
          <w:sz w:val="16"/>
          <w:szCs w:val="16"/>
          <w:color w:val="auto"/>
        </w:rPr>
        <w:t>While we engage in hedging activity to attempt to mitigate currency exchange rate risk, these hedging activities may not be effective, particularly in the event of inaccurate forecasts of the levels of our non-U.S. dollar denominated assets and liabilities. Accordingly, if there are adverse movements in exchange rates, we may suffer significant losses, which would materially adversely affect our financial condition and results of operations.</w:t>
      </w:r>
    </w:p>
    <w:p>
      <w:pPr>
        <w:spacing w:after="0" w:line="144" w:lineRule="exact"/>
        <w:rPr>
          <w:sz w:val="20"/>
          <w:szCs w:val="20"/>
          <w:color w:val="auto"/>
        </w:rPr>
      </w:pPr>
    </w:p>
    <w:p>
      <w:pPr>
        <w:ind w:left="1260" w:right="1159"/>
        <w:spacing w:after="0" w:line="274" w:lineRule="auto"/>
        <w:rPr>
          <w:sz w:val="20"/>
          <w:szCs w:val="20"/>
          <w:color w:val="auto"/>
        </w:rPr>
      </w:pPr>
      <w:r>
        <w:rPr>
          <w:rFonts w:ascii="Arial" w:cs="Arial" w:eastAsia="Arial" w:hAnsi="Arial"/>
          <w:sz w:val="17"/>
          <w:szCs w:val="17"/>
          <w:b w:val="1"/>
          <w:bCs w:val="1"/>
          <w:i w:val="1"/>
          <w:iCs w:val="1"/>
          <w:color w:val="auto"/>
        </w:rPr>
        <w:t>We may undertake acquisitions or divestitures, which may not be successful, and which could materially adversely affect our business, financial condition and results of operations.</w:t>
      </w:r>
    </w:p>
    <w:p>
      <w:pPr>
        <w:spacing w:after="0" w:line="53"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From time to time, we may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and CodeStreet in 2016. We also may consider potential divestitures of businesses from time to time. We routinely evaluate potential acquisition and divestiture candidates and engage in discussions and negotiations regarding potential acquisitions and divestitures on an ongoing basis; however, even if we</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63" w:lineRule="auto"/>
        <w:rPr>
          <w:sz w:val="20"/>
          <w:szCs w:val="20"/>
          <w:color w:val="auto"/>
        </w:rPr>
      </w:pPr>
      <w:r>
        <w:rPr>
          <w:rFonts w:ascii="Arial" w:cs="Arial" w:eastAsia="Arial" w:hAnsi="Arial"/>
          <w:sz w:val="18"/>
          <w:szCs w:val="18"/>
          <w:color w:val="auto"/>
        </w:rPr>
        <w:t>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76" w:lineRule="exact"/>
        <w:rPr>
          <w:sz w:val="20"/>
          <w:szCs w:val="20"/>
          <w:color w:val="auto"/>
        </w:rPr>
      </w:pPr>
    </w:p>
    <w:p>
      <w:pPr>
        <w:ind w:left="1260" w:right="679" w:firstLine="360"/>
        <w:spacing w:after="0" w:line="285" w:lineRule="auto"/>
        <w:rPr>
          <w:sz w:val="20"/>
          <w:szCs w:val="20"/>
          <w:color w:val="auto"/>
        </w:rPr>
      </w:pPr>
      <w:r>
        <w:rPr>
          <w:rFonts w:ascii="Arial" w:cs="Arial" w:eastAsia="Arial" w:hAnsi="Arial"/>
          <w:sz w:val="16"/>
          <w:szCs w:val="16"/>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w:t>
      </w:r>
    </w:p>
    <w:p>
      <w:pPr>
        <w:spacing w:after="0" w:line="2" w:lineRule="exact"/>
        <w:rPr>
          <w:sz w:val="20"/>
          <w:szCs w:val="20"/>
          <w:color w:val="auto"/>
        </w:rPr>
      </w:pPr>
    </w:p>
    <w:p>
      <w:pPr>
        <w:ind w:left="1260" w:right="779" w:firstLine="8"/>
        <w:spacing w:after="0" w:line="268" w:lineRule="auto"/>
        <w:tabs>
          <w:tab w:leader="none" w:pos="15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In addition, it is possible that perceived or actual violations of these requirements could give rise to litigation or regulatory enforcement action or result in us not receiving the necessary approvals to complete a desired acquisition.</w:t>
      </w:r>
    </w:p>
    <w:p>
      <w:pPr>
        <w:spacing w:after="0" w:line="7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Furthermore, even if we complete an acquisition, the anticipated benefits from such acquisition may not be achieved unless the operations of the acquired business, product or technology are integrated in an efficient, cost-effective and timely manner. The integration of any acquired business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our acquisitions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employees and clients.</w:t>
      </w:r>
    </w:p>
    <w:p>
      <w:pPr>
        <w:spacing w:after="0" w:line="74"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products, services or personnel; (vi) retaining future liabilities as a result of contractual indemnity obligations; and (vii) loss of, or damage to our relationships with, any of our key employees, clients, suppliers or other business partners.</w:t>
      </w:r>
    </w:p>
    <w:p>
      <w:pPr>
        <w:spacing w:after="0" w:line="70" w:lineRule="exact"/>
        <w:rPr>
          <w:sz w:val="20"/>
          <w:szCs w:val="20"/>
          <w:color w:val="auto"/>
        </w:rPr>
      </w:pPr>
    </w:p>
    <w:p>
      <w:pPr>
        <w:ind w:left="1260" w:right="1059" w:firstLine="360"/>
        <w:spacing w:after="0" w:line="259" w:lineRule="auto"/>
        <w:rPr>
          <w:sz w:val="20"/>
          <w:szCs w:val="20"/>
          <w:color w:val="auto"/>
        </w:rPr>
      </w:pPr>
      <w:r>
        <w:rPr>
          <w:rFonts w:ascii="Arial" w:cs="Arial" w:eastAsia="Arial" w:hAnsi="Arial"/>
          <w:sz w:val="18"/>
          <w:szCs w:val="18"/>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73"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If we enter into strategic alliances, partnerships or joint ventures, we may not realize the anticipated strategic goals for any such transactions.</w:t>
      </w:r>
    </w:p>
    <w:p>
      <w:pPr>
        <w:spacing w:after="0" w:line="75"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pacing w:after="0" w:line="70" w:lineRule="exact"/>
        <w:rPr>
          <w:sz w:val="20"/>
          <w:szCs w:val="20"/>
          <w:color w:val="auto"/>
        </w:rPr>
      </w:pPr>
    </w:p>
    <w:p>
      <w:pPr>
        <w:ind w:left="1260" w:right="899" w:firstLine="360"/>
        <w:spacing w:after="0" w:line="308" w:lineRule="auto"/>
        <w:rPr>
          <w:sz w:val="20"/>
          <w:szCs w:val="20"/>
          <w:color w:val="auto"/>
        </w:rPr>
      </w:pPr>
      <w:r>
        <w:rPr>
          <w:rFonts w:ascii="Arial" w:cs="Arial" w:eastAsia="Arial" w:hAnsi="Arial"/>
          <w:sz w:val="17"/>
          <w:szCs w:val="17"/>
          <w:color w:val="auto"/>
        </w:rPr>
        <w:t>In addition, there may be a long negotiation period before we enter into a strategic alliance, partnership or joint venture or a long preparation period before we commence providing trading venues</w:t>
      </w:r>
    </w:p>
    <w:p>
      <w:pPr>
        <w:spacing w:after="0" w:line="21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75" w:lineRule="auto"/>
        <w:rPr>
          <w:sz w:val="20"/>
          <w:szCs w:val="20"/>
          <w:color w:val="auto"/>
        </w:rPr>
      </w:pPr>
      <w:r>
        <w:rPr>
          <w:rFonts w:ascii="Arial" w:cs="Arial" w:eastAsia="Arial" w:hAnsi="Arial"/>
          <w:sz w:val="17"/>
          <w:szCs w:val="17"/>
          <w:color w:val="auto"/>
        </w:rPr>
        <w:t>and solutions and/or begin earning revenues pursuant to such arrangement. We typically incur significant business development expenses during the discussion and negotiation period with no guarantee of consummation of the proposed transaction. Even if we succeed in developing a strategic alliance, partnership or joint venture with a new partner, we may not be successful in maintaining the relationship, which may have a material adverse effect on our business, financial condition or results of operations.</w:t>
      </w:r>
    </w:p>
    <w:p>
      <w:pPr>
        <w:spacing w:after="0" w:line="6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cannot assure you that we will be able to enter into strategic alliances, partnerships or joint ventures on terms that are favorable to us, or at all, or that any that any strategic alliance, partnership or strategic alliance we have entered into or may enter into will be successful. In particular, these arrangements may not generate the expected number of new clients or increased trading volume or other benefits we seek. Unsuccessful strategic alliances, partnerships or joint ventures could harm our reputation and have a material adverse effect on our business, financial condition and results of operations.</w:t>
      </w:r>
    </w:p>
    <w:p>
      <w:pPr>
        <w:spacing w:after="0" w:line="164"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75"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83" w:lineRule="exact"/>
        <w:rPr>
          <w:sz w:val="20"/>
          <w:szCs w:val="20"/>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130" w:lineRule="exact"/>
        <w:rPr>
          <w:rFonts w:ascii="Arial" w:cs="Arial" w:eastAsia="Arial" w:hAnsi="Arial"/>
          <w:sz w:val="18"/>
          <w:szCs w:val="18"/>
          <w:color w:val="auto"/>
        </w:rPr>
      </w:pPr>
    </w:p>
    <w:p>
      <w:pPr>
        <w:ind w:left="1980" w:right="719" w:hanging="352"/>
        <w:spacing w:after="0" w:line="277"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62" w:lineRule="exact"/>
        <w:rPr>
          <w:rFonts w:ascii="Arial" w:cs="Arial" w:eastAsia="Arial" w:hAnsi="Arial"/>
          <w:sz w:val="18"/>
          <w:szCs w:val="18"/>
          <w:color w:val="auto"/>
        </w:rPr>
      </w:pPr>
    </w:p>
    <w:p>
      <w:pPr>
        <w:ind w:left="1980" w:right="999" w:hanging="352"/>
        <w:spacing w:after="0" w:line="277"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service, security breaches or perceived security breaches;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130"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of our entry into new markets or introductions of new or enhanced platforms or solutions by us and our competitors, including disruptive technology, or any other change in the competitive dynamics of our industry, including consolidation or new entrants among competitors, market participants or strategic alliances;</w:t>
      </w:r>
    </w:p>
    <w:p>
      <w:pPr>
        <w:spacing w:after="0" w:line="78"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130" w:lineRule="exact"/>
        <w:rPr>
          <w:rFonts w:ascii="Arial" w:cs="Arial" w:eastAsia="Arial" w:hAnsi="Arial"/>
          <w:sz w:val="18"/>
          <w:szCs w:val="18"/>
          <w:color w:val="auto"/>
        </w:rPr>
      </w:pPr>
    </w:p>
    <w:p>
      <w:pPr>
        <w:ind w:left="1980" w:right="819" w:hanging="352"/>
        <w:spacing w:after="0" w:line="342" w:lineRule="auto"/>
        <w:tabs>
          <w:tab w:leader="none" w:pos="1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timing of expenses related to the development or acquisition of products, services, technologies or businesses and potential future charges for impairment of goodwill from acquired companies; and</w:t>
      </w:r>
    </w:p>
    <w:p>
      <w:pPr>
        <w:spacing w:after="0" w:line="15" w:lineRule="exact"/>
        <w:rPr>
          <w:rFonts w:ascii="Arial" w:cs="Arial" w:eastAsia="Arial" w:hAnsi="Arial"/>
          <w:sz w:val="16"/>
          <w:szCs w:val="16"/>
          <w:color w:val="auto"/>
        </w:rPr>
      </w:pPr>
    </w:p>
    <w:p>
      <w:pPr>
        <w:ind w:left="1980" w:right="759" w:hanging="352"/>
        <w:spacing w:after="0" w:line="277"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w:t>
      </w:r>
    </w:p>
    <w:p>
      <w:pPr>
        <w:spacing w:after="0" w:line="157" w:lineRule="exact"/>
        <w:rPr>
          <w:sz w:val="20"/>
          <w:szCs w:val="20"/>
          <w:color w:val="auto"/>
        </w:rPr>
      </w:pPr>
    </w:p>
    <w:p>
      <w:pPr>
        <w:ind w:left="1260" w:right="659"/>
        <w:spacing w:after="0" w:line="274" w:lineRule="auto"/>
        <w:rPr>
          <w:sz w:val="20"/>
          <w:szCs w:val="20"/>
          <w:color w:val="auto"/>
        </w:rPr>
      </w:pPr>
      <w:r>
        <w:rPr>
          <w:rFonts w:ascii="Arial" w:cs="Arial" w:eastAsia="Arial" w:hAnsi="Arial"/>
          <w:sz w:val="17"/>
          <w:szCs w:val="17"/>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53" w:lineRule="exact"/>
        <w:rPr>
          <w:sz w:val="20"/>
          <w:szCs w:val="20"/>
          <w:color w:val="auto"/>
        </w:rPr>
      </w:pPr>
    </w:p>
    <w:p>
      <w:pPr>
        <w:ind w:left="1260" w:right="959" w:firstLine="360"/>
        <w:spacing w:after="0" w:line="296" w:lineRule="auto"/>
        <w:rPr>
          <w:sz w:val="20"/>
          <w:szCs w:val="20"/>
          <w:color w:val="auto"/>
        </w:rPr>
      </w:pPr>
      <w:r>
        <w:rPr>
          <w:rFonts w:ascii="Arial" w:cs="Arial" w:eastAsia="Arial" w:hAnsi="Arial"/>
          <w:sz w:val="16"/>
          <w:szCs w:val="16"/>
          <w:color w:val="auto"/>
        </w:rPr>
        <w:t>The success of our business depends upon the skills, experience and efforts of our executive officers, particularly Lee Olesky, our Chief Executive Officer, and Billy Hult, our President. The terms of Messrs. Olesky’s and Hult’s employment agreements with us do not require them to continue to work for us and allow them to terminate their employment at any time, subject to certain notice requirements and forfeiture of non-vested equity awards. Although we have invested in succession planning, the loss of key members of</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our senior management team could nevertheless have a material adverse effect on our business, financial condition and results of operations. Should we lose the services of any member of our senior management team, we would have to conduct a search for a qualified replacement. This search may be prolonged, and we may not be able to locate and hire a qualified replacement.</w:t>
      </w:r>
    </w:p>
    <w:p>
      <w:pPr>
        <w:spacing w:after="0" w:line="79"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are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or manage our business effectively.</w:t>
      </w:r>
    </w:p>
    <w:p>
      <w:pPr>
        <w:spacing w:after="0" w:line="173"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75"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and any impropriety, misconduct or fraudulent activity by any personnel formerly or currently associated with us.</w:t>
      </w:r>
    </w:p>
    <w:p>
      <w:pPr>
        <w:spacing w:after="0" w:line="87"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56"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personnel cannot be completely eliminated or mitigated and may materially harm our reputation, business, financial condition and results of operations.</w:t>
      </w:r>
    </w:p>
    <w:p>
      <w:pPr>
        <w:spacing w:after="0" w:line="170"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materially adversely affect our brand and our business.</w:t>
      </w:r>
    </w:p>
    <w:p>
      <w:pPr>
        <w:spacing w:after="0" w:line="75"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 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logos, products, services or technologies that are substantially equivalent or superior to our logos, products, services or technologies.</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services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78" w:lineRule="exact"/>
        <w:rPr>
          <w:sz w:val="20"/>
          <w:szCs w:val="20"/>
          <w:color w:val="auto"/>
        </w:rPr>
      </w:pPr>
    </w:p>
    <w:p>
      <w:pPr>
        <w:ind w:left="1260" w:right="819"/>
        <w:spacing w:after="0" w:line="235" w:lineRule="auto"/>
        <w:rPr>
          <w:sz w:val="20"/>
          <w:szCs w:val="20"/>
          <w:color w:val="auto"/>
        </w:rPr>
      </w:pPr>
      <w:r>
        <w:rPr>
          <w:rFonts w:ascii="Arial" w:cs="Arial" w:eastAsia="Arial" w:hAnsi="Arial"/>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8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87"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have in the past been, are currently, and may from time to time in the future become subject to legal proceedings and claims relating to the intellectual property rights of others. See “Business — Legal Proceedings.”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products, services, technology or practices or discontinue use of such products, services, technologies or practices. Any development efforts could require significant effort and expense and, as result, our business, results of operations, and financial condition could be materially adversely affected.</w:t>
      </w:r>
    </w:p>
    <w:p>
      <w:pPr>
        <w:spacing w:after="0" w:line="165" w:lineRule="exact"/>
        <w:rPr>
          <w:sz w:val="20"/>
          <w:szCs w:val="20"/>
          <w:color w:val="auto"/>
        </w:rPr>
      </w:pPr>
    </w:p>
    <w:p>
      <w:pPr>
        <w:ind w:left="1260" w:right="819"/>
        <w:spacing w:after="0" w:line="307" w:lineRule="auto"/>
        <w:rPr>
          <w:sz w:val="20"/>
          <w:szCs w:val="20"/>
          <w:color w:val="auto"/>
        </w:rPr>
      </w:pPr>
      <w:r>
        <w:rPr>
          <w:rFonts w:ascii="Arial" w:cs="Arial" w:eastAsia="Arial" w:hAnsi="Arial"/>
          <w:sz w:val="16"/>
          <w:szCs w:val="16"/>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29"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 future in response to global conditions and events. The SEC, the CFTC, the Financial Industry Regulatory Authority (“FINRA”), the National Futures Association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U.K. Financial Conduct Authority (“FCA”), the Monetary Authority of Singapore, the Hong Kong Securities and Futures Commission, the Investment Industry Regulatory Organization of Canada and provincial regulators in Canada, the Japanese Financial Services Agency and the Japan Securities Dealers Association.</w:t>
      </w:r>
    </w:p>
    <w:p>
      <w:pPr>
        <w:spacing w:after="0" w:line="78" w:lineRule="exact"/>
        <w:rPr>
          <w:sz w:val="20"/>
          <w:szCs w:val="20"/>
          <w:color w:val="auto"/>
        </w:rPr>
      </w:pPr>
    </w:p>
    <w:p>
      <w:pPr>
        <w:ind w:left="1260" w:right="859" w:firstLine="360"/>
        <w:spacing w:after="0" w:line="275" w:lineRule="auto"/>
        <w:rPr>
          <w:sz w:val="20"/>
          <w:szCs w:val="20"/>
          <w:color w:val="auto"/>
        </w:rPr>
      </w:pPr>
      <w:r>
        <w:rPr>
          <w:rFonts w:ascii="Arial" w:cs="Arial" w:eastAsia="Arial" w:hAnsi="Arial"/>
          <w:sz w:val="17"/>
          <w:szCs w:val="17"/>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“Business — Regulation,”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7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80"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Some of our subsidiaries are subject to regulations regarding changes in control of their ownership. These regulations generally provide that regulatory approval must be obtained in connection with any transaction resulting in a change in control of the subsidiary, which may include changes in control of Tradeweb Markets Inc. As a result of these regulations, our future efforts to sell shares or raise additional capital may be delayed or prohibited in circumstances in which such a transaction would give rise to a change in control as defined by the applicable regulatory body.</w:t>
      </w:r>
    </w:p>
    <w:p>
      <w:pPr>
        <w:spacing w:after="0" w:line="84" w:lineRule="exact"/>
        <w:rPr>
          <w:sz w:val="20"/>
          <w:szCs w:val="20"/>
          <w:color w:val="auto"/>
        </w:rPr>
      </w:pPr>
    </w:p>
    <w:p>
      <w:pPr>
        <w:ind w:left="1260" w:right="659" w:firstLine="360"/>
        <w:spacing w:after="0" w:line="293" w:lineRule="auto"/>
        <w:rPr>
          <w:sz w:val="20"/>
          <w:szCs w:val="20"/>
          <w:color w:val="auto"/>
        </w:rPr>
      </w:pPr>
      <w:r>
        <w:rPr>
          <w:rFonts w:ascii="Arial" w:cs="Arial" w:eastAsia="Arial" w:hAnsi="Arial"/>
          <w:sz w:val="16"/>
          <w:szCs w:val="16"/>
          <w:color w:val="auto"/>
        </w:rPr>
        <w:t>Our ability to operate our trading platforms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56"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49"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may be difficult to assess or quantify.</w:t>
      </w:r>
    </w:p>
    <w:p>
      <w:pPr>
        <w:spacing w:after="0" w:line="69"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the normal course of our business, we have been, and expect in the future to continue to be,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74"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United Kingdom and other foreign regulators, have increased accordingly.</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63" w:lineRule="auto"/>
        <w:rPr>
          <w:sz w:val="20"/>
          <w:szCs w:val="20"/>
          <w:color w:val="auto"/>
        </w:rPr>
      </w:pPr>
      <w:r>
        <w:rPr>
          <w:rFonts w:ascii="Arial" w:cs="Arial" w:eastAsia="Arial" w:hAnsi="Arial"/>
          <w:sz w:val="18"/>
          <w:szCs w:val="18"/>
          <w:color w:val="auto"/>
        </w:rPr>
        <w:t>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70"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80"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Our business, and the business of many of our clients, is subject to extensive regulation. Governmental and regulatory authorities periodically review legislative and regulatory initiatives, and may promulgate new or revised, or adopt changes in the interpretation and enforcement of existing,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73" w:lineRule="exact"/>
        <w:rPr>
          <w:sz w:val="20"/>
          <w:szCs w:val="20"/>
          <w:color w:val="auto"/>
        </w:rPr>
      </w:pPr>
    </w:p>
    <w:p>
      <w:pPr>
        <w:ind w:left="1260" w:right="699" w:firstLine="360"/>
        <w:spacing w:after="0" w:line="288" w:lineRule="auto"/>
        <w:rPr>
          <w:sz w:val="20"/>
          <w:szCs w:val="20"/>
          <w:color w:val="auto"/>
        </w:rPr>
      </w:pPr>
      <w:r>
        <w:rPr>
          <w:rFonts w:ascii="Arial" w:cs="Arial" w:eastAsia="Arial" w:hAnsi="Arial"/>
          <w:sz w:val="16"/>
          <w:szCs w:val="16"/>
          <w:color w:val="auto"/>
        </w:rPr>
        <w:t>Changes in legislation and in the rules and regulations promulgated by domestic and foreign regulators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may directly impact our cost of funds for financing and investment activities and may impact the value of the financial instruments we hold.</w:t>
      </w:r>
    </w:p>
    <w:p>
      <w:pPr>
        <w:spacing w:after="0" w:line="60"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In addition, regulatory bodies in Europe have recently developed new rules and regulations targeted at the financial services industry, including MiFID II and the Markets in Financial Instruments Regulation (“MiFIR”), which were implemented in January 2018 and which introduced significant changes to the EU financial markets designed to facilitate more efficient markets and greater transparency for participants. MiFID II and MiFIR may have an adverse effect on our operations and our ability to offer our trading platforms in a manner that can successfully compete against other methods of trading. Additionally, most of the world’s major economies have introduced and continue to introduce regulations implementing Basel III, a global regulatory standard on bank capital adequacy, stress testing and market liquidity risk. The continued implementation of these and other bank capital standards could restrict the ability of our large bank and dealer customers to raise additional capital or use existing capital for trading purposes, which might cause them to trade less on our trading platforms and diminish transaction velocity.</w:t>
      </w:r>
    </w:p>
    <w:p>
      <w:pPr>
        <w:spacing w:after="0" w:line="74"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We believe that it remains premature to know conclusively how specific aspects of the regulatory developments described above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359"/>
        <w:spacing w:after="0" w:line="246"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75"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Certain types of information we collect, compile, store, use, transfer and/or publish are subject to numerous federal, state, local, and foreign laws and regulations regarding privacy, data protection and information security These laws and regulations govern the storing, sharing, use, processing, transfer, disclosure and protection of personal information and other content. The scope of these laws and regulations are changing, subject to differing interpretations, may be inconsistent among countries or conflict with other rules. We are also subject to the terms of our privacy policies and obligations to third parties related to applicable privacy, data protection, and information security.</w:t>
      </w:r>
    </w:p>
    <w:p>
      <w:pPr>
        <w:spacing w:after="0" w:line="87"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regulatory framework for privacy and data protection worldwide is uncertain, and is likely to remain uncertain for the foreseeable future, and we expect that there will continue to be new laws, regulations and industry standards concerning privacy, data protection, and information security proposed and enacted in the various jurisdictions in which we operate. For example, European legislators adopted the General Data Protection Regulations (“GDPR”) that became effective in May 2018. The GDPR imposes more stringent EU data protection requirements, and provides for greater penalties for noncompliance. Further,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w:t>
      </w:r>
    </w:p>
    <w:p>
      <w:pPr>
        <w:spacing w:after="0" w:line="73"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Our efforts to comply with privacy, data protection and information security laws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53"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7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On December 22, 2017, President Trump signed into law a comprehensive tax reform bill (the “Tax Cuts and Jobs Act,” or the “TCJA”) that significantly reforms the Internal Revenue Code of 1986, as amended. The TCJA, among other things, contains significant changes to corporate taxation, including a reduction of the corporate income tax rate, a partial limitation on the deductibility of business interest expense, limitation of the deduction for certain net operating losses to 80% of current year taxable income, an indefinite carryforward of certain net operating losses, immediate deductions for certain new investments instead of deductions for depreciation expense over time and the modification or repeal of many business deductions and credits. We continue to examine the impact of this tax reform legislation, and as its overall impact is uncertain, we note that the TCJA could adversely affect our business and financial condition. The impact of this tax reform legislation on holders of our Class A common stock is also uncertain and could be adverse.</w:t>
      </w:r>
    </w:p>
    <w:p>
      <w:pPr>
        <w:spacing w:after="0" w:line="172" w:lineRule="exact"/>
        <w:rPr>
          <w:sz w:val="20"/>
          <w:szCs w:val="20"/>
          <w:color w:val="auto"/>
        </w:rPr>
      </w:pPr>
    </w:p>
    <w:p>
      <w:pPr>
        <w:ind w:left="1260" w:right="759"/>
        <w:spacing w:after="0" w:line="274" w:lineRule="auto"/>
        <w:rPr>
          <w:sz w:val="20"/>
          <w:szCs w:val="20"/>
          <w:color w:val="auto"/>
        </w:rPr>
      </w:pPr>
      <w:r>
        <w:rPr>
          <w:rFonts w:ascii="Arial" w:cs="Arial" w:eastAsia="Arial" w:hAnsi="Arial"/>
          <w:sz w:val="17"/>
          <w:szCs w:val="17"/>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53"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or the lack of adequate, accurate or timely</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color w:val="auto"/>
        </w:rPr>
        <w:t>information. If our risk-management programs and efforts are ineffective, we could suffer losses that could have a material adverse effect on our financial condition and results of operations.</w:t>
      </w:r>
    </w:p>
    <w:p>
      <w:pPr>
        <w:spacing w:after="0" w:line="62"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69"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104"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6"/>
          <w:szCs w:val="16"/>
          <w:color w:val="auto"/>
        </w:rPr>
        <w:t>We are from time to time involved in various litigation matters and claims, including lawsuits regarding employment matters, breach of contract matters and other business and commercial matters. See “Business — Legal Proceedings.” Many aspects of our business, and the businesses of our clients, involve substantial risks of liability. These risks include, among others, disputes over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lawsuits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60" w:lineRule="exact"/>
        <w:rPr>
          <w:sz w:val="20"/>
          <w:szCs w:val="20"/>
          <w:color w:val="auto"/>
        </w:rPr>
      </w:pPr>
    </w:p>
    <w:p>
      <w:pPr>
        <w:ind w:left="1260" w:right="699"/>
        <w:spacing w:after="0" w:line="246"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75" w:lineRule="exact"/>
        <w:rPr>
          <w:sz w:val="20"/>
          <w:szCs w:val="20"/>
          <w:color w:val="auto"/>
        </w:rPr>
      </w:pPr>
    </w:p>
    <w:p>
      <w:pPr>
        <w:ind w:left="1260" w:right="899" w:firstLine="360"/>
        <w:spacing w:after="0" w:line="293" w:lineRule="auto"/>
        <w:rPr>
          <w:sz w:val="20"/>
          <w:szCs w:val="20"/>
          <w:color w:val="auto"/>
        </w:rPr>
      </w:pPr>
      <w:r>
        <w:rPr>
          <w:rFonts w:ascii="Arial" w:cs="Arial" w:eastAsia="Arial" w:hAnsi="Arial"/>
          <w:sz w:val="16"/>
          <w:szCs w:val="16"/>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51"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 which would negatively impact our operating results.</w:t>
      </w:r>
    </w:p>
    <w:p>
      <w:pPr>
        <w:spacing w:after="0" w:line="75"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As of December 31, 2017, we had goodwill of $563.8 million and indefinite-lived intangible assets of $12.0 million, which relate primarily to the acquisition of Tradeweb Group LLC in 2004, our merger with Tradeweb NewMarkets LLC in 2010, the purchase of the Rafferty Capital Markets business in 2011 and the purchase of BondDesk in 2013. The carrying value of goodwill represents the fair value of an acquired business in excess of identifiable assets and liabilities as of the acquisition date. The carrying value of indefinite-lived intangible assets represents the fair value of trademarks and trade names as of the</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68"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Risks Relating to the Company and Our Organizational Structure</w:t>
      </w:r>
    </w:p>
    <w:p>
      <w:pPr>
        <w:spacing w:after="0" w:line="202"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b w:val="1"/>
          <w:bCs w:val="1"/>
          <w:i w:val="1"/>
          <w:iCs w:val="1"/>
          <w:color w:val="auto"/>
        </w:rPr>
        <w:t>Our principal asset after the completion of this offering will be our interest in TWM LLC, and, accordingly, we will depend on distributions from TWM LLC to pay our taxes and expenses.</w:t>
      </w:r>
    </w:p>
    <w:p>
      <w:pPr>
        <w:spacing w:after="0" w:line="75"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are a holding company and, upon completion of the Reorganization Transactions, including this offering, our principal asset will be our ownership of LLC Interests of TWM LLC. We will have no independent means of generating revenue or cash flow, and our ability to pay our taxes and operating expenses or declare and pay dividends in the future, if any,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87"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We will also incur expenses related to our operations. We intend, as its sole manager, to cause TWM LLC to make cash distributions to the owners of LLC Interests in an amount sufficient to (i) fund all or part of their tax obligations in respect of taxable income allocated to them and (ii) cover our operating expenses. However,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which could materially adversely affect our liquidity and financial condition and subject us to various restrictions imposed by any such lenders. In addition, if TWM LLC does not have sufficient funds to make distributions, our ability to declare and pay cash dividends will also be restricted or impaired. See “— Risks Relating to This Offering and Ownership of Our Class A Common Stock” and “Dividend Policy.”</w:t>
      </w:r>
    </w:p>
    <w:p>
      <w:pPr>
        <w:spacing w:after="0" w:line="158" w:lineRule="exact"/>
        <w:rPr>
          <w:sz w:val="20"/>
          <w:szCs w:val="20"/>
          <w:color w:val="auto"/>
        </w:rPr>
      </w:pPr>
    </w:p>
    <w:p>
      <w:pPr>
        <w:ind w:left="1260" w:right="699"/>
        <w:spacing w:after="0" w:line="274" w:lineRule="auto"/>
        <w:rPr>
          <w:sz w:val="20"/>
          <w:szCs w:val="20"/>
          <w:color w:val="auto"/>
        </w:rPr>
      </w:pPr>
      <w:r>
        <w:rPr>
          <w:rFonts w:ascii="Arial" w:cs="Arial" w:eastAsia="Arial" w:hAnsi="Arial"/>
          <w:sz w:val="17"/>
          <w:szCs w:val="17"/>
          <w:b w:val="1"/>
          <w:bCs w:val="1"/>
          <w:i w:val="1"/>
          <w:iCs w:val="1"/>
          <w:color w:val="auto"/>
        </w:rPr>
        <w:t>In certain circumstances, TWM LLC will be required to make distributions to us and the other holders of LLC Interests, and the distributions that TWM LLC will be required to make may be substantial.</w:t>
      </w:r>
    </w:p>
    <w:p>
      <w:pPr>
        <w:spacing w:after="0" w:line="53" w:lineRule="exact"/>
        <w:rPr>
          <w:sz w:val="20"/>
          <w:szCs w:val="20"/>
          <w:color w:val="auto"/>
        </w:rPr>
      </w:pPr>
    </w:p>
    <w:p>
      <w:pPr>
        <w:ind w:left="1260" w:right="679" w:firstLine="360"/>
        <w:spacing w:after="0" w:line="285" w:lineRule="auto"/>
        <w:rPr>
          <w:sz w:val="20"/>
          <w:szCs w:val="20"/>
          <w:color w:val="auto"/>
        </w:rPr>
      </w:pPr>
      <w:r>
        <w:rPr>
          <w:rFonts w:ascii="Arial" w:cs="Arial" w:eastAsia="Arial" w:hAnsi="Arial"/>
          <w:sz w:val="16"/>
          <w:szCs w:val="16"/>
          <w:color w:val="auto"/>
        </w:rPr>
        <w:t>TWM LLC will continue to be treated as a partnership for U.S. federal income tax purposes and, as such, will not be subject to any entity-level U.S. federal income tax. Instead, taxable income will be allocated to holders of LLC Interests, including us. Accordingly, we will incur income taxes on our allocable share of any net taxable income of TWM LLC. Under the TWM LLC Agreement, TWM LLC will generally be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acquisitions of interests in TWM LLC in connection with future taxable redemptions or exchanges of LLC Interests for shares of our Class A common stock or Class B common stock, as applicable, we expect that these tax distributions will be in amounts that exceed our tax liabilities. Our board of directors will determine the appropriate uses for any excess cash so accumulated, which may include, among other uses, any potential dividends and the payment of other expenses. We will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73" w:lineRule="auto"/>
        <w:rPr>
          <w:sz w:val="20"/>
          <w:szCs w:val="20"/>
          <w:color w:val="auto"/>
        </w:rPr>
      </w:pPr>
      <w:r>
        <w:rPr>
          <w:rFonts w:ascii="Arial" w:cs="Arial" w:eastAsia="Arial" w:hAnsi="Arial"/>
          <w:sz w:val="17"/>
          <w:szCs w:val="17"/>
          <w:color w:val="auto"/>
        </w:rPr>
        <w:t>distribution by us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 See “Certain Relationships and Related Party Transactions — TWM LLC Agreement.”</w:t>
      </w:r>
    </w:p>
    <w:p>
      <w:pPr>
        <w:spacing w:after="0" w:line="164" w:lineRule="exact"/>
        <w:rPr>
          <w:sz w:val="20"/>
          <w:szCs w:val="20"/>
          <w:color w:val="auto"/>
        </w:rPr>
      </w:pPr>
    </w:p>
    <w:p>
      <w:pPr>
        <w:ind w:left="1260" w:right="699"/>
        <w:spacing w:after="0" w:line="343" w:lineRule="auto"/>
        <w:rPr>
          <w:sz w:val="20"/>
          <w:szCs w:val="20"/>
          <w:color w:val="auto"/>
        </w:rPr>
      </w:pPr>
      <w:r>
        <w:rPr>
          <w:rFonts w:ascii="Arial" w:cs="Arial" w:eastAsia="Arial" w:hAnsi="Arial"/>
          <w:sz w:val="15"/>
          <w:szCs w:val="15"/>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6"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57" w:lineRule="exact"/>
        <w:rPr>
          <w:sz w:val="20"/>
          <w:szCs w:val="20"/>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84" w:lineRule="exact"/>
        <w:rPr>
          <w:rFonts w:ascii="Arial" w:cs="Arial" w:eastAsia="Arial" w:hAnsi="Arial"/>
          <w:sz w:val="18"/>
          <w:szCs w:val="18"/>
          <w:color w:val="auto"/>
        </w:rPr>
      </w:pPr>
    </w:p>
    <w:p>
      <w:pPr>
        <w:ind w:left="1980" w:right="879" w:hanging="352"/>
        <w:spacing w:after="0" w:line="308" w:lineRule="auto"/>
        <w:tabs>
          <w:tab w:leader="none" w:pos="1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future earnings being lower than anticipated in countries where we have lower statutory tax rates and higher than anticipated earnings in countries where we have higher statutory tax rates.</w:t>
      </w:r>
    </w:p>
    <w:p>
      <w:pPr>
        <w:spacing w:after="0" w:line="38"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76"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Legislation that is effective for taxable years beginning after December 31, 2017 may impute liability for adjustments to a partnership’s tax return on the partnership itself in certain circumstances, absent an election to the contrary. TWM LLC may be subject to material liabilities pursuant to this legislation and related guidance if, for example, its calculations of taxable income are incorrect.</w:t>
      </w:r>
    </w:p>
    <w:p>
      <w:pPr>
        <w:spacing w:after="0" w:line="173" w:lineRule="exact"/>
        <w:rPr>
          <w:sz w:val="20"/>
          <w:szCs w:val="20"/>
          <w:color w:val="auto"/>
        </w:rPr>
      </w:pPr>
    </w:p>
    <w:p>
      <w:pPr>
        <w:ind w:left="1260" w:right="739"/>
        <w:spacing w:after="0" w:line="303" w:lineRule="auto"/>
        <w:rPr>
          <w:sz w:val="20"/>
          <w:szCs w:val="20"/>
          <w:color w:val="auto"/>
        </w:rPr>
      </w:pPr>
      <w:r>
        <w:rPr>
          <w:rFonts w:ascii="Arial" w:cs="Arial" w:eastAsia="Arial" w:hAnsi="Arial"/>
          <w:sz w:val="15"/>
          <w:szCs w:val="15"/>
          <w:b w:val="1"/>
          <w:bCs w:val="1"/>
          <w:i w:val="1"/>
          <w:iCs w:val="1"/>
          <w:color w:val="auto"/>
        </w:rPr>
        <w:t>If we were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35"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5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As the sole manager of TWM LLC, we will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firstLine="360"/>
        <w:spacing w:after="0" w:line="301" w:lineRule="auto"/>
        <w:rPr>
          <w:sz w:val="20"/>
          <w:szCs w:val="20"/>
          <w:color w:val="auto"/>
        </w:rPr>
      </w:pPr>
      <w:r>
        <w:rPr>
          <w:rFonts w:ascii="Arial" w:cs="Arial" w:eastAsia="Arial" w:hAnsi="Arial"/>
          <w:sz w:val="16"/>
          <w:szCs w:val="16"/>
          <w:color w:val="auto"/>
        </w:rPr>
        <w:t>We and TWM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40" w:lineRule="exact"/>
        <w:rPr>
          <w:sz w:val="20"/>
          <w:szCs w:val="20"/>
          <w:color w:val="auto"/>
        </w:rPr>
      </w:pPr>
    </w:p>
    <w:p>
      <w:pPr>
        <w:jc w:val="both"/>
        <w:ind w:left="1260" w:right="1719" w:firstLine="1085"/>
        <w:spacing w:after="0" w:line="500" w:lineRule="auto"/>
        <w:rPr>
          <w:sz w:val="20"/>
          <w:szCs w:val="20"/>
          <w:color w:val="auto"/>
        </w:rPr>
      </w:pPr>
      <w:r>
        <w:rPr>
          <w:rFonts w:ascii="Arial" w:cs="Arial" w:eastAsia="Arial" w:hAnsi="Arial"/>
          <w:sz w:val="15"/>
          <w:szCs w:val="15"/>
          <w:b w:val="1"/>
          <w:bCs w:val="1"/>
          <w:color w:val="auto"/>
        </w:rPr>
        <w:t xml:space="preserve">Risks Relating to This Offering and Ownership of Our Class A Common Stock </w:t>
      </w:r>
      <w:r>
        <w:rPr>
          <w:rFonts w:ascii="Arial" w:cs="Arial" w:eastAsia="Arial" w:hAnsi="Arial"/>
          <w:sz w:val="15"/>
          <w:szCs w:val="15"/>
          <w:b w:val="1"/>
          <w:bCs w:val="1"/>
          <w:i w:val="1"/>
          <w:iCs w:val="1"/>
          <w:color w:val="auto"/>
        </w:rPr>
        <w:t>The Refinitiv Owners control us and their interests may conflict with ours or yours in the future.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Immediately following this offering and the application of the net proceeds from this offering, the Refinitiv</w:t>
      </w:r>
    </w:p>
    <w:p>
      <w:pPr>
        <w:spacing w:after="0" w:line="35" w:lineRule="exact"/>
        <w:rPr>
          <w:sz w:val="20"/>
          <w:szCs w:val="20"/>
          <w:color w:val="auto"/>
        </w:rPr>
      </w:pPr>
    </w:p>
    <w:p>
      <w:pPr>
        <w:ind w:left="1260" w:right="659"/>
        <w:spacing w:after="0" w:line="268" w:lineRule="auto"/>
        <w:rPr>
          <w:sz w:val="20"/>
          <w:szCs w:val="20"/>
          <w:color w:val="auto"/>
        </w:rPr>
      </w:pPr>
      <w:r>
        <w:rPr>
          <w:rFonts w:ascii="Arial" w:cs="Arial" w:eastAsia="Arial" w:hAnsi="Arial"/>
          <w:sz w:val="17"/>
          <w:szCs w:val="17"/>
          <w:color w:val="auto"/>
        </w:rPr>
        <w:t>Owners will control approximately % of the combined voting power of our common stock as a result of their ownership of our Class B common stock and Class D common stock, each share of which is entitled to 10 votes on all matters submitted to a vote of our stockholders. Accordingly, for such period of time as the Refinitiv Owners hold a controlling interest in us, the Refinitiv Owners will have significant influence with respect to our management, business plans and policies. In particular, the Refinitiv Owners will be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73"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The Refinitiv Owners and their respective affiliates engage in a broad spectrum of activities. In the ordinary course of their business activities, the Refinitiv Owners and their respective affiliates may engage in activities where their interests conflict with our interests or those of our stockholders. Our amended and restated certificate of incorporation will provide that none of the Refinitiv Owners, any of their respective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 Refinitiv Owners and their respective affiliates also may pursue acquisition opportunities that may be complementary to our business, and, as a result, those acquisition opportunities may not be available to us. In addition, the Refinitiv Owners and their respective affiliates may have an interest in us pursuing acquisitions, divestitures and other transactions that, in their judgment, could enhance their investment, even though such transactions might involve risks to you.</w:t>
      </w:r>
    </w:p>
    <w:p>
      <w:pPr>
        <w:spacing w:after="0" w:line="165" w:lineRule="exact"/>
        <w:rPr>
          <w:sz w:val="20"/>
          <w:szCs w:val="20"/>
          <w:color w:val="auto"/>
        </w:rPr>
      </w:pPr>
    </w:p>
    <w:p>
      <w:pPr>
        <w:ind w:left="1260" w:right="1019"/>
        <w:spacing w:after="0" w:line="274" w:lineRule="auto"/>
        <w:rPr>
          <w:sz w:val="20"/>
          <w:szCs w:val="20"/>
          <w:color w:val="auto"/>
        </w:rPr>
      </w:pPr>
      <w:r>
        <w:rPr>
          <w:rFonts w:ascii="Arial" w:cs="Arial" w:eastAsia="Arial" w:hAnsi="Arial"/>
          <w:sz w:val="17"/>
          <w:szCs w:val="17"/>
          <w:b w:val="1"/>
          <w:bCs w:val="1"/>
          <w:i w:val="1"/>
          <w:iCs w:val="1"/>
          <w:color w:val="auto"/>
        </w:rPr>
        <w:t>Immediately following the consummation of this offering, the Refinitiv Direct Owners and the Continuing LLC Owners may require us to issue additional shares of our Class A common stock.</w:t>
      </w:r>
    </w:p>
    <w:p>
      <w:pPr>
        <w:spacing w:after="0" w:line="53"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color w:val="auto"/>
        </w:rPr>
        <w:t>After this offering, we will have an aggregate of more than shares of Class A common stock authorized but unissued, including approximately shares of Class A common stock (or shares, if the underwriters</w:t>
      </w:r>
    </w:p>
    <w:p>
      <w:pPr>
        <w:ind w:left="1260"/>
        <w:spacing w:after="0"/>
        <w:rPr>
          <w:sz w:val="20"/>
          <w:szCs w:val="20"/>
          <w:color w:val="auto"/>
        </w:rPr>
      </w:pPr>
      <w:r>
        <w:rPr>
          <w:rFonts w:ascii="Arial" w:cs="Arial" w:eastAsia="Arial" w:hAnsi="Arial"/>
          <w:sz w:val="16"/>
          <w:szCs w:val="16"/>
          <w:color w:val="auto"/>
        </w:rPr>
        <w:t>exercise in full their option to purchase additional shares of Class A common stock) issuable upon the redemption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or exchange of LLC Interests that will be held by the Continuing LLC Owners or the exchange of shares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B common stock that will be held by the Refinitiv Direct Owners and any other future holders of Class B</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common stock. TWM LLC will enter into the TWM LLC Agreement and, subject to certain restrictions set forth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therein and as described elsewhere in this prospectus, the Continuing LLC Owners will be entitled to have their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LLC Interests redeemed for newly issued shares of our Class A common stock or Class B common stock, in each</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case, on a one-for-one basis (in which case such holders’ shares of Class C common stock or Class D common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as the case may be, will be cancelled on a one-for-one basis upon any such issuance). Shares of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B common stock may also be exchanged at any time, at the option of the holder, for newly issued shares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A common stock (in which case such holders’ shares of Class B common stock will be cancelled on a one-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for-one basis upon any such issuance).</w:t>
      </w:r>
    </w:p>
    <w:p>
      <w:pPr>
        <w:spacing w:after="0" w:line="103"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99"/>
        <w:spacing w:after="0" w:line="307" w:lineRule="auto"/>
        <w:rPr>
          <w:sz w:val="20"/>
          <w:szCs w:val="20"/>
          <w:color w:val="auto"/>
        </w:rPr>
      </w:pPr>
      <w:r>
        <w:rPr>
          <w:rFonts w:ascii="Arial" w:cs="Arial" w:eastAsia="Arial" w:hAnsi="Arial"/>
          <w:sz w:val="16"/>
          <w:szCs w:val="16"/>
          <w:b w:val="1"/>
          <w:bCs w:val="1"/>
          <w:i w:val="1"/>
          <w:iCs w:val="1"/>
          <w:color w:val="auto"/>
        </w:rPr>
        <w:t>We are a “controlled company” within the meaning of the corporate governance standards of the and, as a result, will qualify for, and may rely on, exemptions from certain corporate governance requirements.</w:t>
      </w:r>
    </w:p>
    <w:p>
      <w:pPr>
        <w:spacing w:after="0" w:line="29" w:lineRule="exact"/>
        <w:rPr>
          <w:sz w:val="20"/>
          <w:szCs w:val="20"/>
          <w:color w:val="auto"/>
        </w:rPr>
      </w:pPr>
    </w:p>
    <w:p>
      <w:pPr>
        <w:ind w:left="1260" w:right="699" w:firstLine="360"/>
        <w:spacing w:after="0" w:line="274" w:lineRule="auto"/>
        <w:rPr>
          <w:sz w:val="20"/>
          <w:szCs w:val="20"/>
          <w:color w:val="auto"/>
        </w:rPr>
      </w:pPr>
      <w:r>
        <w:rPr>
          <w:rFonts w:ascii="Arial" w:cs="Arial" w:eastAsia="Arial" w:hAnsi="Arial"/>
          <w:sz w:val="17"/>
          <w:szCs w:val="17"/>
          <w:color w:val="auto"/>
        </w:rPr>
        <w:t>Following this offering, we expect to be a “controlled company” within the meaning of the corporate governance standards of . A company of which more than 50% of the voting power is held by an individual,</w:t>
      </w:r>
    </w:p>
    <w:p>
      <w:pPr>
        <w:ind w:left="1260"/>
        <w:spacing w:after="0"/>
        <w:rPr>
          <w:sz w:val="20"/>
          <w:szCs w:val="20"/>
          <w:color w:val="auto"/>
        </w:rPr>
      </w:pPr>
      <w:r>
        <w:rPr>
          <w:rFonts w:ascii="Arial" w:cs="Arial" w:eastAsia="Arial" w:hAnsi="Arial"/>
          <w:sz w:val="16"/>
          <w:szCs w:val="16"/>
          <w:color w:val="auto"/>
        </w:rPr>
        <w:t>a group or another company is a “controlled company” within the meaning of the corporate governance standards</w:t>
      </w:r>
    </w:p>
    <w:p>
      <w:pPr>
        <w:spacing w:after="0" w:line="32" w:lineRule="exact"/>
        <w:rPr>
          <w:sz w:val="20"/>
          <w:szCs w:val="20"/>
          <w:color w:val="auto"/>
        </w:rPr>
      </w:pPr>
    </w:p>
    <w:p>
      <w:pPr>
        <w:ind w:left="1260"/>
        <w:spacing w:after="0"/>
        <w:tabs>
          <w:tab w:leader="none" w:pos="1880" w:val="left"/>
          <w:tab w:leader="none" w:pos="80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and may elect not to comply with certain corporate governance requirements of</w:t>
      </w:r>
      <w:r>
        <w:rPr>
          <w:sz w:val="20"/>
          <w:szCs w:val="20"/>
          <w:color w:val="auto"/>
        </w:rPr>
        <w:tab/>
      </w:r>
      <w:r>
        <w:rPr>
          <w:rFonts w:ascii="Arial" w:cs="Arial" w:eastAsia="Arial" w:hAnsi="Arial"/>
          <w:sz w:val="17"/>
          <w:szCs w:val="17"/>
          <w:color w:val="auto"/>
        </w:rPr>
        <w:t>, including:</w:t>
      </w:r>
    </w:p>
    <w:p>
      <w:pPr>
        <w:spacing w:after="0" w:line="184" w:lineRule="exact"/>
        <w:rPr>
          <w:sz w:val="20"/>
          <w:szCs w:val="20"/>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4" w:lineRule="exact"/>
        <w:rPr>
          <w:rFonts w:ascii="Arial" w:cs="Arial" w:eastAsia="Arial" w:hAnsi="Arial"/>
          <w:sz w:val="18"/>
          <w:szCs w:val="18"/>
          <w:color w:val="auto"/>
        </w:rPr>
      </w:pPr>
    </w:p>
    <w:p>
      <w:pPr>
        <w:ind w:left="1980" w:right="699" w:hanging="352"/>
        <w:spacing w:after="0" w:line="342" w:lineRule="auto"/>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requirement that we have a nominating/corporate governance committee that is composed entirely of independent directors with a written charter addressing the committee’s purpose and responsibilities;</w:t>
      </w:r>
    </w:p>
    <w:p>
      <w:pPr>
        <w:spacing w:after="0" w:line="83" w:lineRule="exact"/>
        <w:rPr>
          <w:rFonts w:ascii="Arial" w:cs="Arial" w:eastAsia="Arial" w:hAnsi="Arial"/>
          <w:sz w:val="16"/>
          <w:szCs w:val="16"/>
          <w:color w:val="auto"/>
        </w:rPr>
      </w:pPr>
    </w:p>
    <w:p>
      <w:pPr>
        <w:ind w:left="1980" w:right="1119" w:hanging="352"/>
        <w:spacing w:after="0" w:line="342" w:lineRule="auto"/>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 and</w:t>
      </w:r>
    </w:p>
    <w:p>
      <w:pPr>
        <w:spacing w:after="0" w:line="96" w:lineRule="exact"/>
        <w:rPr>
          <w:rFonts w:ascii="Arial" w:cs="Arial" w:eastAsia="Arial" w:hAnsi="Arial"/>
          <w:sz w:val="16"/>
          <w:szCs w:val="16"/>
          <w:color w:val="auto"/>
        </w:rPr>
      </w:pPr>
    </w:p>
    <w:p>
      <w:pPr>
        <w:ind w:left="1980" w:right="73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62" w:lineRule="exact"/>
        <w:rPr>
          <w:sz w:val="20"/>
          <w:szCs w:val="20"/>
          <w:color w:val="auto"/>
        </w:rPr>
      </w:pPr>
    </w:p>
    <w:p>
      <w:pPr>
        <w:ind w:left="1260" w:right="819" w:firstLine="360"/>
        <w:spacing w:after="0" w:line="287" w:lineRule="auto"/>
        <w:rPr>
          <w:sz w:val="20"/>
          <w:szCs w:val="20"/>
          <w:color w:val="auto"/>
        </w:rPr>
      </w:pPr>
      <w:r>
        <w:rPr>
          <w:rFonts w:ascii="Arial" w:cs="Arial" w:eastAsia="Arial" w:hAnsi="Arial"/>
          <w:sz w:val="16"/>
          <w:szCs w:val="16"/>
          <w:color w:val="auto"/>
        </w:rPr>
        <w:t>Following this offering, we intend to rely on all of the exemptions listed above. If we do utilize the exemptions, we will not have a majority of independent directors and our nominating and corporate governance and compensation committees will not consist entirely of independent directors. As a result, our board of</w:t>
      </w:r>
    </w:p>
    <w:p>
      <w:pPr>
        <w:spacing w:after="0" w:line="2" w:lineRule="exact"/>
        <w:rPr>
          <w:sz w:val="20"/>
          <w:szCs w:val="20"/>
          <w:color w:val="auto"/>
        </w:rPr>
      </w:pPr>
    </w:p>
    <w:p>
      <w:pPr>
        <w:ind w:left="1260" w:right="679"/>
        <w:spacing w:after="0" w:line="281" w:lineRule="auto"/>
        <w:rPr>
          <w:sz w:val="20"/>
          <w:szCs w:val="20"/>
          <w:color w:val="auto"/>
        </w:rPr>
      </w:pPr>
      <w:r>
        <w:rPr>
          <w:rFonts w:ascii="Arial" w:cs="Arial" w:eastAsia="Arial" w:hAnsi="Arial"/>
          <w:sz w:val="16"/>
          <w:szCs w:val="16"/>
          <w:color w:val="auto"/>
        </w:rPr>
        <w:t>directors and those committees may have more directors who do not meet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w:t>
      </w:r>
    </w:p>
    <w:p>
      <w:pPr>
        <w:spacing w:after="0" w:line="2" w:lineRule="exact"/>
        <w:rPr>
          <w:sz w:val="20"/>
          <w:szCs w:val="20"/>
          <w:color w:val="auto"/>
        </w:rPr>
      </w:pPr>
    </w:p>
    <w:p>
      <w:pPr>
        <w:ind w:left="1260"/>
        <w:spacing w:after="0"/>
        <w:tabs>
          <w:tab w:leader="none" w:pos="4880" w:val="left"/>
        </w:tabs>
        <w:rPr>
          <w:sz w:val="20"/>
          <w:szCs w:val="20"/>
          <w:color w:val="auto"/>
        </w:rPr>
      </w:pPr>
      <w:r>
        <w:rPr>
          <w:rFonts w:ascii="Arial" w:cs="Arial" w:eastAsia="Arial" w:hAnsi="Arial"/>
          <w:sz w:val="18"/>
          <w:szCs w:val="18"/>
          <w:color w:val="auto"/>
        </w:rPr>
        <w:t>of the corporate governance requirements of</w:t>
      </w:r>
      <w:r>
        <w:rPr>
          <w:sz w:val="20"/>
          <w:szCs w:val="20"/>
          <w:color w:val="auto"/>
        </w:rPr>
        <w:tab/>
      </w:r>
      <w:r>
        <w:rPr>
          <w:rFonts w:ascii="Arial" w:cs="Arial" w:eastAsia="Arial" w:hAnsi="Arial"/>
          <w:sz w:val="13"/>
          <w:szCs w:val="13"/>
          <w:color w:val="auto"/>
        </w:rPr>
        <w:t>.</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listing standards require, among other things, that</w:t>
      </w:r>
    </w:p>
    <w:p>
      <w:pPr>
        <w:spacing w:after="0" w:line="185" w:lineRule="exact"/>
        <w:rPr>
          <w:sz w:val="20"/>
          <w:szCs w:val="20"/>
          <w:color w:val="auto"/>
        </w:rPr>
      </w:pPr>
    </w:p>
    <w:p>
      <w:pPr>
        <w:ind w:left="1980" w:right="819" w:hanging="352"/>
        <w:spacing w:after="0" w:line="277"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compensation committees be composed of fully independent directors, as determined pursuant to new and existing independence requirements;</w:t>
      </w:r>
    </w:p>
    <w:p>
      <w:pPr>
        <w:spacing w:after="0" w:line="129"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compensation committees be explicitly charged with hiring and overseeing compensation consultants, legal counsel and other committee advisers; and</w:t>
      </w:r>
    </w:p>
    <w:p>
      <w:pPr>
        <w:spacing w:after="0" w:line="129" w:lineRule="exact"/>
        <w:rPr>
          <w:rFonts w:ascii="Arial" w:cs="Arial" w:eastAsia="Arial" w:hAnsi="Arial"/>
          <w:sz w:val="18"/>
          <w:szCs w:val="18"/>
          <w:color w:val="auto"/>
        </w:rPr>
      </w:pPr>
    </w:p>
    <w:p>
      <w:pPr>
        <w:ind w:left="1980" w:right="779" w:hanging="352"/>
        <w:spacing w:after="0" w:line="263"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compensation committees are required to consider, when engaging compensation consultants, legal counsel or other advisers, certain independence factors, including factors that examine the relationship between the consultant or adviser’s employer and us.</w:t>
      </w:r>
    </w:p>
    <w:p>
      <w:pPr>
        <w:spacing w:after="0" w:line="76"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As a “controlled company,” we will not be subject to these compensation committee independence requirements, and accordingly, you will not have the same protections afforded to stockholders of companies that are subject to these compensation committee independence requirements.</w:t>
      </w:r>
    </w:p>
    <w:p>
      <w:pPr>
        <w:spacing w:after="0" w:line="152" w:lineRule="exact"/>
        <w:rPr>
          <w:sz w:val="20"/>
          <w:szCs w:val="20"/>
          <w:color w:val="auto"/>
        </w:rPr>
      </w:pPr>
    </w:p>
    <w:p>
      <w:pPr>
        <w:jc w:val="both"/>
        <w:ind w:left="1260" w:right="819"/>
        <w:spacing w:after="0" w:line="235" w:lineRule="auto"/>
        <w:rPr>
          <w:sz w:val="20"/>
          <w:szCs w:val="20"/>
          <w:color w:val="auto"/>
        </w:rPr>
      </w:pPr>
      <w:r>
        <w:rPr>
          <w:rFonts w:ascii="Arial" w:cs="Arial" w:eastAsia="Arial" w:hAnsi="Arial"/>
          <w:sz w:val="18"/>
          <w:szCs w:val="18"/>
          <w:b w:val="1"/>
          <w:bCs w:val="1"/>
          <w:i w:val="1"/>
          <w:iCs w:val="1"/>
          <w:color w:val="auto"/>
        </w:rPr>
        <w:t>There is no existing market for our Class A common stock, and we do not know if one will develop to provide you with adequate liquidity to sell our Class A common stock at prices equal to or greater than the price you paid in this offering.</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Prior to this offering, there has been no public market for our Class A common stock. We cannot predict the</w:t>
      </w:r>
    </w:p>
    <w:p>
      <w:pPr>
        <w:spacing w:after="0" w:line="46" w:lineRule="exact"/>
        <w:rPr>
          <w:sz w:val="20"/>
          <w:szCs w:val="20"/>
          <w:color w:val="auto"/>
        </w:rPr>
      </w:pPr>
    </w:p>
    <w:p>
      <w:pPr>
        <w:ind w:left="1260" w:right="859"/>
        <w:spacing w:after="0" w:line="265" w:lineRule="auto"/>
        <w:rPr>
          <w:sz w:val="20"/>
          <w:szCs w:val="20"/>
          <w:color w:val="auto"/>
        </w:rPr>
      </w:pPr>
      <w:r>
        <w:rPr>
          <w:rFonts w:ascii="Arial" w:cs="Arial" w:eastAsia="Arial" w:hAnsi="Arial"/>
          <w:sz w:val="17"/>
          <w:szCs w:val="17"/>
          <w:color w:val="auto"/>
        </w:rPr>
        <w:t>extent to which investor interest in us will lead to the development of a trading market on , or otherwise or how active and liquid that market may come to be. Although we have been authorized to list our Class A common stock on , if an active trading market for our Class A common stock does not develop following</w:t>
      </w:r>
    </w:p>
    <w:p>
      <w:pPr>
        <w:jc w:val="both"/>
        <w:ind w:left="1260" w:right="819"/>
        <w:spacing w:after="0" w:line="253" w:lineRule="auto"/>
        <w:rPr>
          <w:sz w:val="20"/>
          <w:szCs w:val="20"/>
          <w:color w:val="auto"/>
        </w:rPr>
      </w:pPr>
      <w:r>
        <w:rPr>
          <w:rFonts w:ascii="Arial" w:cs="Arial" w:eastAsia="Arial" w:hAnsi="Arial"/>
          <w:sz w:val="18"/>
          <w:szCs w:val="18"/>
          <w:color w:val="auto"/>
        </w:rPr>
        <w:t>this offering, you may not be able to sell your shares quickly or at or above the initial public offering price. The initial public offering price for our shares will be determined by negotiations between us and the representatives of the underwriters, and this price may not be indicative of prices that will prevail in the open market following this offering. Consequently, you may not be able to sell our Class A common stock at prices equal to or greater than the price you paid in this offering.</w:t>
      </w:r>
    </w:p>
    <w:p>
      <w:pPr>
        <w:spacing w:after="0" w:line="2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The market price of our Class A common stock may be highly volatile, and you may not be able to resell your shares at or above the public offering price.</w:t>
      </w:r>
    </w:p>
    <w:p>
      <w:pPr>
        <w:spacing w:after="0" w:line="75"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trading price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of our Class A common stock:</w:t>
      </w:r>
    </w:p>
    <w:p>
      <w:pPr>
        <w:spacing w:after="0" w:line="93" w:lineRule="exact"/>
        <w:rPr>
          <w:sz w:val="20"/>
          <w:szCs w:val="20"/>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expectations or trends;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concerning our competitors or our industry in general;</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153" w:lineRule="exact"/>
        <w:rPr>
          <w:rFonts w:ascii="Arial" w:cs="Arial" w:eastAsia="Arial" w:hAnsi="Arial"/>
          <w:sz w:val="16"/>
          <w:szCs w:val="16"/>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failure of securities analysts to cover the Company or changes in analysts’ financial estimates;</w:t>
      </w:r>
    </w:p>
    <w:p>
      <w:pPr>
        <w:spacing w:after="0" w:line="142" w:lineRule="exact"/>
        <w:rPr>
          <w:rFonts w:ascii="Arial" w:cs="Arial" w:eastAsia="Arial" w:hAnsi="Arial"/>
          <w:sz w:val="17"/>
          <w:szCs w:val="17"/>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legal and regulatory factors unrelated to our performance;</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130" w:lineRule="exact"/>
        <w:rPr>
          <w:rFonts w:ascii="Arial" w:cs="Arial" w:eastAsia="Arial" w:hAnsi="Arial"/>
          <w:sz w:val="18"/>
          <w:szCs w:val="18"/>
          <w:color w:val="auto"/>
        </w:rPr>
      </w:pPr>
    </w:p>
    <w:p>
      <w:pPr>
        <w:ind w:left="1980" w:right="679" w:hanging="352"/>
        <w:spacing w:after="0" w:line="277"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Class A common stock by us, our executive officers and directors or our stockholders in the future; and</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overall fluctuations in the U.S. equity markets.</w:t>
      </w:r>
    </w:p>
    <w:p>
      <w:pPr>
        <w:spacing w:after="0" w:line="117"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70"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 as a result of this offering and any future equity issuances.</w:t>
      </w:r>
    </w:p>
    <w:p>
      <w:pPr>
        <w:spacing w:after="0" w:line="75" w:lineRule="exact"/>
        <w:rPr>
          <w:sz w:val="20"/>
          <w:szCs w:val="20"/>
          <w:color w:val="auto"/>
        </w:rPr>
      </w:pPr>
    </w:p>
    <w:p>
      <w:pPr>
        <w:jc w:val="both"/>
        <w:ind w:left="1260" w:right="799" w:firstLine="360"/>
        <w:spacing w:after="0" w:line="286"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Class A common stock. Dilution is the difference between the initial public offering price per share and the pro forma net tangible book value per share of our Class A common stock after this offering. If you purchase shares of Class A common stock in this offering, you will incur immediate and</w:t>
      </w:r>
    </w:p>
    <w:p>
      <w:pPr>
        <w:spacing w:after="0" w:line="1" w:lineRule="exact"/>
        <w:rPr>
          <w:sz w:val="20"/>
          <w:szCs w:val="20"/>
          <w:color w:val="auto"/>
        </w:rPr>
      </w:pPr>
    </w:p>
    <w:p>
      <w:pPr>
        <w:ind w:left="1260"/>
        <w:spacing w:after="0"/>
        <w:tabs>
          <w:tab w:leader="none" w:pos="4420" w:val="left"/>
        </w:tabs>
        <w:rPr>
          <w:sz w:val="20"/>
          <w:szCs w:val="20"/>
          <w:color w:val="auto"/>
        </w:rPr>
      </w:pPr>
      <w:r>
        <w:rPr>
          <w:rFonts w:ascii="Arial" w:cs="Arial" w:eastAsia="Arial" w:hAnsi="Arial"/>
          <w:sz w:val="18"/>
          <w:szCs w:val="18"/>
          <w:color w:val="auto"/>
        </w:rPr>
        <w:t>substantial dilution in the amount of $</w:t>
      </w:r>
      <w:r>
        <w:rPr>
          <w:sz w:val="20"/>
          <w:szCs w:val="20"/>
          <w:color w:val="auto"/>
        </w:rPr>
        <w:tab/>
      </w:r>
      <w:r>
        <w:rPr>
          <w:rFonts w:ascii="Arial" w:cs="Arial" w:eastAsia="Arial" w:hAnsi="Arial"/>
          <w:sz w:val="16"/>
          <w:szCs w:val="16"/>
          <w:color w:val="auto"/>
        </w:rPr>
        <w:t>per share based upon an assumed initial public offering price of</w:t>
      </w:r>
    </w:p>
    <w:p>
      <w:pPr>
        <w:spacing w:after="0" w:line="9" w:lineRule="exact"/>
        <w:rPr>
          <w:sz w:val="20"/>
          <w:szCs w:val="20"/>
          <w:color w:val="auto"/>
        </w:rPr>
      </w:pPr>
    </w:p>
    <w:p>
      <w:pPr>
        <w:ind w:left="1260" w:right="739" w:firstLine="8"/>
        <w:spacing w:after="0" w:line="252" w:lineRule="auto"/>
        <w:tabs>
          <w:tab w:leader="none" w:pos="17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 share (the midpoint of the price range listed on the cover page of this prospectus). To the extent outstanding options are ultimately exercised, there will be further dilution to investors in this offering. In addition, if the underwriters exercise in full their option to purchase additional shares of Class A common stock, or if we issue additional equity securities in the future, including to our employees and directors under our equity incentive plans, investors purchasing shares of Class A common stock in this offering will experience additional dilution. See “Dilution.”</w:t>
      </w:r>
    </w:p>
    <w:p>
      <w:pPr>
        <w:spacing w:after="0" w:line="180"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75" w:lineRule="exact"/>
        <w:rPr>
          <w:sz w:val="20"/>
          <w:szCs w:val="20"/>
          <w:color w:val="auto"/>
        </w:rPr>
      </w:pPr>
    </w:p>
    <w:p>
      <w:pPr>
        <w:jc w:val="both"/>
        <w:ind w:left="1260" w:right="779" w:firstLine="360"/>
        <w:spacing w:after="0" w:line="286"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Upon the closing of</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679"/>
        <w:spacing w:after="0" w:line="274" w:lineRule="auto"/>
        <w:rPr>
          <w:sz w:val="20"/>
          <w:szCs w:val="20"/>
          <w:color w:val="auto"/>
        </w:rPr>
      </w:pPr>
      <w:r>
        <w:rPr>
          <w:rFonts w:ascii="Arial" w:cs="Arial" w:eastAsia="Arial" w:hAnsi="Arial"/>
          <w:sz w:val="17"/>
          <w:szCs w:val="17"/>
          <w:color w:val="auto"/>
        </w:rPr>
        <w:t>this offering, we will have outstanding shares of Class A common stock (or if the underwriters exercise in full their option to purchase additional shares of Class A common stock) and shares of Class A common</w:t>
      </w:r>
    </w:p>
    <w:p>
      <w:pPr>
        <w:ind w:left="1260" w:right="899"/>
        <w:spacing w:after="0" w:line="260" w:lineRule="auto"/>
        <w:rPr>
          <w:sz w:val="20"/>
          <w:szCs w:val="20"/>
          <w:color w:val="auto"/>
        </w:rPr>
      </w:pPr>
      <w:r>
        <w:rPr>
          <w:rFonts w:ascii="Arial" w:cs="Arial" w:eastAsia="Arial" w:hAnsi="Arial"/>
          <w:sz w:val="18"/>
          <w:szCs w:val="18"/>
          <w:color w:val="auto"/>
        </w:rPr>
        <w:t>stock that are authorized but unissued that would be issuable upon redemption or exchange of LLC Interests or exchange of shares of our Class B common stock.</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and each of our directors and executive officers and substantially all of our other stockholders, which</w:t>
      </w:r>
    </w:p>
    <w:p>
      <w:pPr>
        <w:spacing w:after="0" w:line="35" w:lineRule="exact"/>
        <w:rPr>
          <w:sz w:val="20"/>
          <w:szCs w:val="20"/>
          <w:color w:val="auto"/>
        </w:rPr>
      </w:pPr>
    </w:p>
    <w:p>
      <w:pPr>
        <w:ind w:left="1260" w:right="719"/>
        <w:spacing w:after="0" w:line="281" w:lineRule="auto"/>
        <w:rPr>
          <w:sz w:val="20"/>
          <w:szCs w:val="20"/>
          <w:color w:val="auto"/>
        </w:rPr>
      </w:pPr>
      <w:r>
        <w:rPr>
          <w:rFonts w:ascii="Arial" w:cs="Arial" w:eastAsia="Arial" w:hAnsi="Arial"/>
          <w:sz w:val="16"/>
          <w:szCs w:val="16"/>
          <w:color w:val="auto"/>
        </w:rPr>
        <w:t>collectively will hold % (or %, if the underwriters exercise in full their option to purchase additional shares of Class A common stock) of our outstanding common stock (including shares of Class A common stock issuable upon redemption or exchange of LLC Interests or exchange of shares of our Class B common stock) after giving effect to this offering, have agreed with the underwriters, subject to certain exceptions, not to dispose of or hedge any shares of Class A common stock or securities convertible into or exchangeable for (including the LLC Interests and shares of Class B common stock, Class C common stock and Class D common stock), or that represent the right to receive, shares of Class A common stock during the period from the date of this prospectus continuing through the date 180 days after the date of this prospectus, except with the prior written consent of</w:t>
      </w:r>
    </w:p>
    <w:p>
      <w:pPr>
        <w:spacing w:after="0" w:line="5" w:lineRule="exact"/>
        <w:rPr>
          <w:sz w:val="20"/>
          <w:szCs w:val="20"/>
          <w:color w:val="auto"/>
        </w:rPr>
      </w:pPr>
    </w:p>
    <w:p>
      <w:pPr>
        <w:ind w:left="1260" w:right="659" w:firstLine="368"/>
        <w:spacing w:after="0" w:line="253" w:lineRule="auto"/>
        <w:tabs>
          <w:tab w:leader="none" w:pos="17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a substantial number of Class A common stock upon expiration of such above-described agreements, the perception that such sales may occur, or early release of such agreements, could cause the market price of our shares of Class A common stock to fall or make it more difficult for you to sell your Class A common stock at a time and price that you deem appropriate.</w:t>
      </w:r>
    </w:p>
    <w:p>
      <w:pPr>
        <w:spacing w:after="0" w:line="85"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All of our shares of Class A common stock outstanding as of the date of this prospectus (and shares of Class A common stock issuable upon redemption or exchange of LLC Interests or exchange of shares of our Class B common stock) may be sold in the public market by existing stockholders following the expiration of the applicable lock-up period, subject to applicable limitations imposed under federal securities laws. In addition, shares of Class A common stock issued or issuable upon exercise of options vested as of the expiration of the lock-up period will be eligible for sale at that time. Sales of shares of our Class A common stock following the expiration of the applicable lock-up period could have a material adverse effect on the trading price of our Class A common stock. See “Shares Eligible for Future Sale.”</w:t>
      </w:r>
    </w:p>
    <w:p>
      <w:pPr>
        <w:spacing w:after="0" w:line="70"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 such registration statements will be available for sale in the open market following the expiration of the applicable</w:t>
      </w:r>
    </w:p>
    <w:p>
      <w:pPr>
        <w:spacing w:after="0" w:line="1" w:lineRule="exact"/>
        <w:rPr>
          <w:sz w:val="20"/>
          <w:szCs w:val="20"/>
          <w:color w:val="auto"/>
        </w:rPr>
      </w:pPr>
    </w:p>
    <w:p>
      <w:pPr>
        <w:ind w:left="1260" w:right="1239"/>
        <w:spacing w:after="0" w:line="260" w:lineRule="auto"/>
        <w:rPr>
          <w:sz w:val="20"/>
          <w:szCs w:val="20"/>
          <w:color w:val="auto"/>
        </w:rPr>
      </w:pPr>
      <w:r>
        <w:rPr>
          <w:rFonts w:ascii="Arial" w:cs="Arial" w:eastAsia="Arial" w:hAnsi="Arial"/>
          <w:sz w:val="18"/>
          <w:szCs w:val="18"/>
          <w:color w:val="auto"/>
        </w:rPr>
        <w:t>lock-up period. We expect that the initial registration statement on Form S-8 will cover shares of our Class A common stock.</w:t>
      </w:r>
    </w:p>
    <w:p>
      <w:pPr>
        <w:sectPr>
          <w:pgSz w:w="11900" w:h="16838" w:orient="portrait"/>
          <w:cols w:equalWidth="0" w:num="1">
            <w:col w:w="10139"/>
          </w:cols>
          <w:pgMar w:left="320" w:top="132" w:right="1440" w:bottom="1440" w:gutter="0" w:footer="0" w:header="0"/>
        </w:sectPr>
      </w:pPr>
    </w:p>
    <w:p>
      <w:pPr>
        <w:spacing w:after="0" w:line="77" w:lineRule="exact"/>
        <w:rPr>
          <w:sz w:val="20"/>
          <w:szCs w:val="20"/>
          <w:color w:val="auto"/>
        </w:rPr>
      </w:pPr>
    </w:p>
    <w:p>
      <w:pPr>
        <w:ind w:left="1260" w:right="100" w:firstLine="360"/>
        <w:spacing w:after="0" w:line="342" w:lineRule="auto"/>
        <w:rPr>
          <w:sz w:val="20"/>
          <w:szCs w:val="20"/>
          <w:color w:val="auto"/>
        </w:rPr>
      </w:pPr>
      <w:r>
        <w:rPr>
          <w:rFonts w:ascii="Arial" w:cs="Arial" w:eastAsia="Arial" w:hAnsi="Arial"/>
          <w:sz w:val="16"/>
          <w:szCs w:val="16"/>
          <w:color w:val="auto"/>
        </w:rPr>
        <w:t>We also intend to enter into a Registration Rights Agreement with Relationships and Related Party Transactions — Registration Rights Agreement.”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See “Certain</w:t>
      </w:r>
    </w:p>
    <w:p>
      <w:pPr>
        <w:spacing w:after="0" w:line="450" w:lineRule="exact"/>
        <w:rPr>
          <w:sz w:val="20"/>
          <w:szCs w:val="20"/>
          <w:color w:val="auto"/>
        </w:rPr>
      </w:pPr>
    </w:p>
    <w:p>
      <w:pPr>
        <w:sectPr>
          <w:pgSz w:w="11900" w:h="16838" w:orient="portrait"/>
          <w:cols w:equalWidth="0" w:num="2">
            <w:col w:w="7240" w:space="720"/>
            <w:col w:w="2179"/>
          </w:cols>
          <w:pgMar w:left="320" w:top="132" w:right="1440" w:bottom="1440" w:gutter="0" w:footer="0" w:header="0"/>
          <w:type w:val="continuous"/>
        </w:sectPr>
      </w:pPr>
    </w:p>
    <w:p>
      <w:pPr>
        <w:jc w:val="both"/>
        <w:ind w:left="1260" w:right="739"/>
        <w:spacing w:after="0" w:line="276"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markets, or if they adversely change their recommendations or publish negative reports regarding our business or our stock, our stock price and trading volume could materially decline.</w:t>
      </w:r>
    </w:p>
    <w:p>
      <w:pPr>
        <w:spacing w:after="0" w:line="5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markets or our competitors. We do not have any control over these analysts and we cannot provide any assurance that analysts will cover us or provide favorable coverage. If any of the analysts who may cover us adversely change their recommendation regarding our stock, or provide more favorable relative recommendations about our competitors, our stock price could materially decline. If any analyst who may cover us were to cease coverage of our company or fail to regularly publish reports on us, we could lose visibility in the financial markets, which in turn could cause our stock price or trading volume to materially decline.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do not currently expect to pay any cash dividends.</w:t>
      </w:r>
    </w:p>
    <w:p>
      <w:pPr>
        <w:spacing w:after="0" w:line="104"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We do not currently expect to pay any cash dividends on our Class A common stock or Class B common stock for the foreseeable future. Instead, we intend to retain future earnings, if any, for the future operation and expansion of our business. Any determination to pay dividends in the future will be at the discretion of our board of directors and will depend upon our results of operations, cash requirements,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69" w:lineRule="auto"/>
        <w:rPr>
          <w:sz w:val="20"/>
          <w:szCs w:val="20"/>
          <w:color w:val="auto"/>
        </w:rPr>
      </w:pPr>
      <w:r>
        <w:rPr>
          <w:rFonts w:ascii="Arial" w:cs="Arial" w:eastAsia="Arial" w:hAnsi="Arial"/>
          <w:sz w:val="17"/>
          <w:szCs w:val="17"/>
          <w:color w:val="auto"/>
        </w:rPr>
        <w:t>financial condition, contractual restrictions, restrictions imposed by applicable laws and other factors that our board of directors deems relevant. Because we are a holding company and all of our business is conducted through our subsidiaries, dividends, distributions and other payments from, and cash generated by, our subsidiaries will be our principal sources of cash to fund operations and pay dividends. Accordingly, our ability to pay dividends to our stockholders is dependent on the earnings and distributions of funds from our subsidiaries. Our ability to pay dividends may also be restricted by the terms of any future credit agreement or any future debt or preferred equity securities of Tradeweb or its subsidiaries. Accordingly, if you purchase shares in this offering, realization of a gain on your investment will depend on the appreciation of the price of our Class A common stock, which may never occur. Investors seeking cash dividends in the foreseeable future should not purchase our Class A common stock.</w:t>
      </w:r>
    </w:p>
    <w:p>
      <w:pPr>
        <w:spacing w:after="0" w:line="172" w:lineRule="exact"/>
        <w:rPr>
          <w:sz w:val="20"/>
          <w:szCs w:val="20"/>
          <w:color w:val="auto"/>
        </w:rPr>
      </w:pPr>
    </w:p>
    <w:p>
      <w:pPr>
        <w:ind w:left="1260" w:right="1239"/>
        <w:spacing w:after="0" w:line="246"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75"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to become effective immediately prior to the consummation of this offering will contain provisions that may make the merger or acquisition of our company more difficult without the approval of our board of directors. Among other things, these provisions:</w:t>
      </w:r>
    </w:p>
    <w:p>
      <w:pPr>
        <w:spacing w:after="0" w:line="106" w:lineRule="exact"/>
        <w:rPr>
          <w:sz w:val="20"/>
          <w:szCs w:val="20"/>
          <w:color w:val="auto"/>
        </w:rPr>
      </w:pPr>
    </w:p>
    <w:p>
      <w:pPr>
        <w:ind w:left="1980" w:right="1219" w:hanging="352"/>
        <w:spacing w:after="0" w:line="277"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a multi-class common stock structure with a 10 vote per share feature of our Class B common stock and Class D common stock;</w:t>
      </w:r>
    </w:p>
    <w:p>
      <w:pPr>
        <w:spacing w:after="0" w:line="102" w:lineRule="exact"/>
        <w:rPr>
          <w:rFonts w:ascii="Arial" w:cs="Arial" w:eastAsia="Arial" w:hAnsi="Arial"/>
          <w:sz w:val="18"/>
          <w:szCs w:val="18"/>
          <w:color w:val="auto"/>
        </w:rPr>
      </w:pPr>
    </w:p>
    <w:p>
      <w:pPr>
        <w:ind w:left="1980" w:right="959" w:hanging="352"/>
        <w:spacing w:after="0" w:line="301" w:lineRule="auto"/>
        <w:tabs>
          <w:tab w:leader="none" w:pos="1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would 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76" w:lineRule="exact"/>
        <w:rPr>
          <w:rFonts w:ascii="Arial" w:cs="Arial" w:eastAsia="Arial" w:hAnsi="Arial"/>
          <w:sz w:val="16"/>
          <w:szCs w:val="16"/>
          <w:color w:val="auto"/>
        </w:rPr>
      </w:pPr>
    </w:p>
    <w:p>
      <w:pPr>
        <w:ind w:left="1980" w:hanging="352"/>
        <w:spacing w:after="0"/>
        <w:tabs>
          <w:tab w:leader="none" w:pos="1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prohibit stockholder action by written consent from and after the date on which the Refinitiv Owners</w:t>
      </w:r>
    </w:p>
    <w:p>
      <w:pPr>
        <w:spacing w:after="0" w:line="35" w:lineRule="exact"/>
        <w:rPr>
          <w:sz w:val="20"/>
          <w:szCs w:val="20"/>
          <w:color w:val="auto"/>
        </w:rPr>
      </w:pPr>
    </w:p>
    <w:p>
      <w:pPr>
        <w:ind w:left="1980" w:right="759"/>
        <w:spacing w:after="0" w:line="260" w:lineRule="auto"/>
        <w:rPr>
          <w:sz w:val="20"/>
          <w:szCs w:val="20"/>
          <w:color w:val="auto"/>
        </w:rPr>
      </w:pPr>
      <w:r>
        <w:rPr>
          <w:rFonts w:ascii="Arial" w:cs="Arial" w:eastAsia="Arial" w:hAnsi="Arial"/>
          <w:sz w:val="18"/>
          <w:szCs w:val="18"/>
          <w:color w:val="auto"/>
        </w:rPr>
        <w:t>cease to beneficially own at least % of the total voting power of all then outstanding shares of our capital stock unless such action is recommended by all directors then in office;</w:t>
      </w:r>
    </w:p>
    <w:p>
      <w:pPr>
        <w:spacing w:after="0" w:line="104" w:lineRule="exact"/>
        <w:rPr>
          <w:sz w:val="20"/>
          <w:szCs w:val="20"/>
          <w:color w:val="auto"/>
        </w:rPr>
      </w:pPr>
    </w:p>
    <w:p>
      <w:pPr>
        <w:jc w:val="both"/>
        <w:ind w:left="1980" w:right="799" w:hanging="352"/>
        <w:spacing w:after="0" w:line="253" w:lineRule="auto"/>
        <w:tabs>
          <w:tab w:leader="none" w:pos="1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 that our stockholders may only amend our bylaws with the approval of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or more in voting power of</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all outstanding shares of our capital stock, if the Refinitiv Owners and their respective affiliates</w:t>
      </w:r>
    </w:p>
    <w:p>
      <w:pPr>
        <w:spacing w:after="0" w:line="7" w:lineRule="exact"/>
        <w:rPr>
          <w:sz w:val="20"/>
          <w:szCs w:val="20"/>
          <w:color w:val="auto"/>
        </w:rPr>
      </w:pPr>
    </w:p>
    <w:p>
      <w:pPr>
        <w:ind w:left="1980" w:right="739"/>
        <w:spacing w:after="0" w:line="260" w:lineRule="auto"/>
        <w:rPr>
          <w:sz w:val="20"/>
          <w:szCs w:val="20"/>
          <w:color w:val="auto"/>
        </w:rPr>
      </w:pPr>
      <w:r>
        <w:rPr>
          <w:rFonts w:ascii="Arial" w:cs="Arial" w:eastAsia="Arial" w:hAnsi="Arial"/>
          <w:sz w:val="18"/>
          <w:szCs w:val="18"/>
          <w:color w:val="auto"/>
        </w:rPr>
        <w:t>beneficially own less than % in voting power of our stock entitled to vote generally in the election of directors; and</w:t>
      </w:r>
    </w:p>
    <w:p>
      <w:pPr>
        <w:spacing w:after="0" w:line="104" w:lineRule="exact"/>
        <w:rPr>
          <w:sz w:val="20"/>
          <w:szCs w:val="20"/>
          <w:color w:val="auto"/>
        </w:rPr>
      </w:pPr>
    </w:p>
    <w:p>
      <w:pPr>
        <w:ind w:left="1980" w:right="115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62"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06" w:lineRule="exact"/>
        <w:rPr>
          <w:sz w:val="20"/>
          <w:szCs w:val="20"/>
          <w:color w:val="auto"/>
        </w:rPr>
      </w:pPr>
    </w:p>
    <w:p>
      <w:pPr>
        <w:ind w:left="1980" w:right="89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89" w:lineRule="exact"/>
        <w:rPr>
          <w:rFonts w:ascii="Arial" w:cs="Arial" w:eastAsia="Arial" w:hAnsi="Arial"/>
          <w:sz w:val="18"/>
          <w:szCs w:val="18"/>
          <w:color w:val="auto"/>
        </w:rPr>
      </w:pPr>
    </w:p>
    <w:p>
      <w:pPr>
        <w:ind w:left="1980" w:right="839" w:hanging="352"/>
        <w:spacing w:after="0" w:line="263"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2" w:lineRule="exact"/>
        <w:rPr>
          <w:rFonts w:ascii="Arial" w:cs="Arial" w:eastAsia="Arial" w:hAnsi="Arial"/>
          <w:sz w:val="18"/>
          <w:szCs w:val="18"/>
          <w:color w:val="auto"/>
        </w:rPr>
      </w:pPr>
    </w:p>
    <w:p>
      <w:pPr>
        <w:ind w:left="1980" w:right="699" w:hanging="352"/>
        <w:spacing w:after="0" w:line="271"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68"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See “Description of Capital Stock.”</w:t>
      </w:r>
    </w:p>
    <w:p>
      <w:pPr>
        <w:spacing w:after="0" w:line="164" w:lineRule="exact"/>
        <w:rPr>
          <w:sz w:val="20"/>
          <w:szCs w:val="20"/>
          <w:color w:val="auto"/>
        </w:rPr>
      </w:pPr>
    </w:p>
    <w:p>
      <w:pPr>
        <w:ind w:left="1260" w:right="859"/>
        <w:spacing w:after="0" w:line="276"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w:t>
      </w:r>
    </w:p>
    <w:p>
      <w:pPr>
        <w:spacing w:after="0" w:line="54" w:lineRule="exact"/>
        <w:rPr>
          <w:sz w:val="20"/>
          <w:szCs w:val="20"/>
          <w:color w:val="auto"/>
        </w:rPr>
      </w:pPr>
    </w:p>
    <w:p>
      <w:pPr>
        <w:ind w:left="1260" w:right="819" w:firstLine="360"/>
        <w:spacing w:after="0" w:line="29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sole and exclusive forum for (i) any derivative action or proceeding brought on our behalf,</w:t>
      </w:r>
    </w:p>
    <w:p>
      <w:pPr>
        <w:ind w:left="1260" w:right="739" w:firstLine="8"/>
        <w:spacing w:after="0" w:line="269" w:lineRule="auto"/>
        <w:tabs>
          <w:tab w:leader="none" w:pos="152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to us or our stockholders by any of our directors, officers, employees or agents, (iii) any action asserting a claim against us or any of our directors or officers arising under the DGCL or our amended and restated certificate of incorporation or our amended and restated bylaws or (iv) any action asserting a claim against us that is governed by the internal affairs doctrine. By becoming a stockholder in our company, you will be deemed to have notice of and have consented to the provisions of our amended and restated certificate of incorporation related to choice of forum, which may limit our stockholders’ ability to obtain a favorable judicial forum for disputes with us.</w:t>
      </w:r>
    </w:p>
    <w:p>
      <w:pPr>
        <w:spacing w:after="0" w:line="167"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Taking advantage of the reduced disclosure requirements applicable to “emerging growth companies” may make our common stock less attractive to investors.</w:t>
      </w:r>
    </w:p>
    <w:p>
      <w:pPr>
        <w:spacing w:after="0" w:line="75"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35" w:lineRule="exact"/>
        <w:rPr>
          <w:sz w:val="20"/>
          <w:szCs w:val="20"/>
          <w:color w:val="auto"/>
        </w:rPr>
      </w:pPr>
    </w:p>
    <w:p>
      <w:pPr>
        <w:ind w:left="1980" w:right="879" w:hanging="352"/>
        <w:spacing w:after="0" w:line="263"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62"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21" w:lineRule="exact"/>
        <w:rPr>
          <w:rFonts w:ascii="Arial" w:cs="Arial" w:eastAsia="Arial" w:hAnsi="Arial"/>
          <w:sz w:val="18"/>
          <w:szCs w:val="18"/>
          <w:color w:val="auto"/>
        </w:rPr>
      </w:pPr>
    </w:p>
    <w:p>
      <w:pPr>
        <w:ind w:left="1980" w:right="799" w:hanging="352"/>
        <w:spacing w:after="0" w:line="286" w:lineRule="auto"/>
        <w:tabs>
          <w:tab w:leader="none" w:pos="1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30" w:lineRule="exact"/>
        <w:rPr>
          <w:rFonts w:ascii="Arial" w:cs="Arial" w:eastAsia="Arial" w:hAnsi="Arial"/>
          <w:sz w:val="17"/>
          <w:szCs w:val="17"/>
          <w:color w:val="auto"/>
        </w:rPr>
      </w:pPr>
    </w:p>
    <w:p>
      <w:pPr>
        <w:ind w:left="1980" w:right="959" w:hanging="352"/>
        <w:spacing w:after="0" w:line="263"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76" w:lineRule="exact"/>
        <w:rPr>
          <w:sz w:val="20"/>
          <w:szCs w:val="20"/>
          <w:color w:val="auto"/>
        </w:rPr>
      </w:pPr>
    </w:p>
    <w:p>
      <w:pPr>
        <w:ind w:left="1260" w:right="839"/>
        <w:spacing w:after="0" w:line="275" w:lineRule="auto"/>
        <w:rPr>
          <w:sz w:val="20"/>
          <w:szCs w:val="20"/>
          <w:color w:val="auto"/>
        </w:rPr>
      </w:pPr>
      <w:r>
        <w:rPr>
          <w:rFonts w:ascii="Arial" w:cs="Arial" w:eastAsia="Arial" w:hAnsi="Arial"/>
          <w:sz w:val="17"/>
          <w:szCs w:val="17"/>
          <w:color w:val="auto"/>
        </w:rPr>
        <w:t>We currently intend to take advantage of each of the exemptions described above. In addition, the JOBS Act permits an emerging growth company like us to take advantage of an extended transition period to comply with new or revised accounting standards applicable to public companies. We have elected to use this extended transition period and, as a result, we will adopt new or revised accounting standards on the relevant dates on which adoption of such standards is required for private companies.</w:t>
      </w:r>
    </w:p>
    <w:p>
      <w:pPr>
        <w:spacing w:after="0" w:line="68"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We could be an emerging growth company for up to five years after this offering. We cannot predict if investors will find our common stock less attractive if we elect to rely on these exemptions, or if taking advantage of these exemptions would result in less active trading or more volatility in the price of our Class A common stock.</w:t>
      </w:r>
    </w:p>
    <w:p>
      <w:pPr>
        <w:spacing w:after="0" w:line="173"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75" w:lineRule="exact"/>
        <w:rPr>
          <w:sz w:val="20"/>
          <w:szCs w:val="20"/>
          <w:color w:val="auto"/>
        </w:rPr>
      </w:pPr>
    </w:p>
    <w:p>
      <w:pPr>
        <w:ind w:left="1260" w:right="1199" w:firstLine="360"/>
        <w:spacing w:after="0" w:line="311" w:lineRule="auto"/>
        <w:rPr>
          <w:sz w:val="20"/>
          <w:szCs w:val="20"/>
          <w:color w:val="auto"/>
        </w:rPr>
      </w:pPr>
      <w:r>
        <w:rPr>
          <w:rFonts w:ascii="Arial" w:cs="Arial" w:eastAsia="Arial" w:hAnsi="Arial"/>
          <w:sz w:val="16"/>
          <w:szCs w:val="16"/>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9" w:lineRule="auto"/>
        <w:rPr>
          <w:sz w:val="20"/>
          <w:szCs w:val="20"/>
          <w:color w:val="auto"/>
        </w:rPr>
      </w:pPr>
      <w:r>
        <w:rPr>
          <w:rFonts w:ascii="Arial" w:cs="Arial" w:eastAsia="Arial" w:hAnsi="Arial"/>
          <w:sz w:val="17"/>
          <w:szCs w:val="17"/>
          <w:color w:val="auto"/>
        </w:rPr>
        <w:t>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However,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71" w:lineRule="exact"/>
        <w:rPr>
          <w:sz w:val="20"/>
          <w:szCs w:val="20"/>
          <w:color w:val="auto"/>
        </w:rPr>
      </w:pPr>
    </w:p>
    <w:p>
      <w:pPr>
        <w:ind w:left="1260" w:right="699" w:firstLine="360"/>
        <w:spacing w:after="0" w:line="285" w:lineRule="auto"/>
        <w:rPr>
          <w:sz w:val="20"/>
          <w:szCs w:val="20"/>
          <w:color w:val="auto"/>
        </w:rPr>
      </w:pPr>
      <w:r>
        <w:rPr>
          <w:rFonts w:ascii="Arial" w:cs="Arial" w:eastAsia="Arial" w:hAnsi="Arial"/>
          <w:sz w:val="16"/>
          <w:szCs w:val="16"/>
          <w:color w:val="auto"/>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The requirements of being a public company, including compliance with the reporting requirements of the</w:t>
      </w:r>
    </w:p>
    <w:p>
      <w:pPr>
        <w:spacing w:after="0" w:line="21" w:lineRule="exact"/>
        <w:rPr>
          <w:sz w:val="20"/>
          <w:szCs w:val="20"/>
          <w:color w:val="auto"/>
        </w:rPr>
      </w:pPr>
    </w:p>
    <w:p>
      <w:pPr>
        <w:ind w:left="1260" w:right="839"/>
        <w:spacing w:after="0" w:line="228" w:lineRule="auto"/>
        <w:rPr>
          <w:sz w:val="20"/>
          <w:szCs w:val="20"/>
          <w:color w:val="auto"/>
        </w:rPr>
      </w:pPr>
      <w:r>
        <w:rPr>
          <w:rFonts w:ascii="Arial" w:cs="Arial" w:eastAsia="Arial" w:hAnsi="Arial"/>
          <w:sz w:val="18"/>
          <w:szCs w:val="18"/>
          <w:b w:val="1"/>
          <w:bCs w:val="1"/>
          <w:i w:val="1"/>
          <w:iCs w:val="1"/>
          <w:color w:val="auto"/>
        </w:rPr>
        <w:t>Exchange Act and the requirements of the Sarbanes-Oxley Act and , may strain our resources, increase our costs and divert management’s attention, and we may be unable to comply with these requirements in a timely or cost-effective manner.</w:t>
      </w:r>
    </w:p>
    <w:p>
      <w:pPr>
        <w:spacing w:after="0" w:line="8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a public company, we will be subject to the reporting requirements of the Exchange Act, and the</w:t>
      </w:r>
    </w:p>
    <w:p>
      <w:pPr>
        <w:spacing w:after="0" w:line="35" w:lineRule="exact"/>
        <w:rPr>
          <w:sz w:val="20"/>
          <w:szCs w:val="20"/>
          <w:color w:val="auto"/>
        </w:rPr>
      </w:pPr>
    </w:p>
    <w:p>
      <w:pPr>
        <w:ind w:left="1260" w:right="879"/>
        <w:spacing w:after="0" w:line="281" w:lineRule="auto"/>
        <w:rPr>
          <w:sz w:val="20"/>
          <w:szCs w:val="20"/>
          <w:color w:val="auto"/>
        </w:rPr>
      </w:pPr>
      <w:r>
        <w:rPr>
          <w:rFonts w:ascii="Arial" w:cs="Arial" w:eastAsia="Arial" w:hAnsi="Arial"/>
          <w:sz w:val="16"/>
          <w:szCs w:val="16"/>
          <w:color w:val="auto"/>
        </w:rPr>
        <w:t>corporate governance standards of the Sarbanes-Oxley Act and . These requirements will place a strain on our management, systems and resources and we will incur significant legal, accounting, insurance and other expenses that we have not incurred as a private company. The Exchange Act will require us to file annual, quarterly and current reports with respect to our business and financial condition within specified time periods and to prepare a proxy statement with respect to our annual meeting of stockholders. The Sarbanes-Oxley Act will require that we maintain effective disclosure controls and procedures and internal controls over financial</w:t>
      </w:r>
    </w:p>
    <w:p>
      <w:pPr>
        <w:spacing w:after="0" w:line="4" w:lineRule="exact"/>
        <w:rPr>
          <w:sz w:val="20"/>
          <w:szCs w:val="20"/>
          <w:color w:val="auto"/>
        </w:rPr>
      </w:pPr>
    </w:p>
    <w:p>
      <w:pPr>
        <w:ind w:left="1260" w:right="739"/>
        <w:spacing w:after="0" w:line="281" w:lineRule="auto"/>
        <w:rPr>
          <w:sz w:val="20"/>
          <w:szCs w:val="20"/>
          <w:color w:val="auto"/>
        </w:rPr>
      </w:pPr>
      <w:r>
        <w:rPr>
          <w:rFonts w:ascii="Arial" w:cs="Arial" w:eastAsia="Arial" w:hAnsi="Arial"/>
          <w:sz w:val="16"/>
          <w:szCs w:val="16"/>
          <w:color w:val="auto"/>
        </w:rPr>
        <w:t>reporting. will require that we comply with various corporate governance requirements. To maintain and improve the effectiveness of our disclosure controls and procedures and internal controls over financial reporting</w:t>
      </w:r>
    </w:p>
    <w:p>
      <w:pPr>
        <w:spacing w:after="0" w:line="1" w:lineRule="exact"/>
        <w:rPr>
          <w:sz w:val="20"/>
          <w:szCs w:val="20"/>
          <w:color w:val="auto"/>
        </w:rPr>
      </w:pPr>
    </w:p>
    <w:p>
      <w:pPr>
        <w:ind w:left="1260" w:right="759"/>
        <w:spacing w:after="0" w:line="253" w:lineRule="auto"/>
        <w:rPr>
          <w:sz w:val="20"/>
          <w:szCs w:val="20"/>
          <w:color w:val="auto"/>
        </w:rPr>
      </w:pPr>
      <w:r>
        <w:rPr>
          <w:rFonts w:ascii="Arial" w:cs="Arial" w:eastAsia="Arial" w:hAnsi="Arial"/>
          <w:sz w:val="18"/>
          <w:szCs w:val="18"/>
          <w:color w:val="auto"/>
        </w:rPr>
        <w:t>and comply with the Exchange Act and requirements, significant resources and management oversight will be required. This may divert management’s attention from other business concerns and lead to significant costs associated with compliance, which could have a material adverse effect on us and the price of our Class A common stock.</w:t>
      </w:r>
    </w:p>
    <w:p>
      <w:pPr>
        <w:spacing w:after="0" w:line="85"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spacing w:after="0" w:line="255" w:lineRule="auto"/>
        <w:rPr>
          <w:sz w:val="20"/>
          <w:szCs w:val="20"/>
          <w:color w:val="auto"/>
        </w:rPr>
      </w:pPr>
      <w:r>
        <w:rPr>
          <w:rFonts w:ascii="Arial" w:cs="Arial" w:eastAsia="Arial" w:hAnsi="Arial"/>
          <w:sz w:val="18"/>
          <w:szCs w:val="18"/>
          <w:color w:val="auto"/>
        </w:rPr>
        <w:t>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15" w:lineRule="exact"/>
        <w:rPr>
          <w:sz w:val="20"/>
          <w:szCs w:val="20"/>
          <w:color w:val="auto"/>
        </w:rPr>
      </w:pPr>
    </w:p>
    <w:p>
      <w:pPr>
        <w:ind w:left="1260" w:right="959" w:firstLine="360"/>
        <w:spacing w:after="0" w:line="296" w:lineRule="auto"/>
        <w:rPr>
          <w:sz w:val="20"/>
          <w:szCs w:val="20"/>
          <w:color w:val="auto"/>
        </w:rPr>
      </w:pPr>
      <w:r>
        <w:rPr>
          <w:rFonts w:ascii="Arial" w:cs="Arial" w:eastAsia="Arial" w:hAnsi="Arial"/>
          <w:sz w:val="16"/>
          <w:szCs w:val="16"/>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This prospectus contains forward-looking statements.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growth of our various markets and expansion into new markets, and our expectations, beliefs, plans, strategies, objectives, prospects, assumptions, or future events or performance contained in this prospectus under the headings “Prospectus Summary,” “Risk Factors,” “Management’s Discussion and Analysis of Financial Condition and Results of Operations” and “Business” are forward-looking statements.</w:t>
      </w:r>
    </w:p>
    <w:p>
      <w:pPr>
        <w:spacing w:after="0" w:line="8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prospectus under the headings “Prospectus Summary,” “Risk Factors,” “Management’s Discussion and Analysis of Financial Condition and Results of Operations” and “Business,”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100" w:lineRule="exact"/>
        <w:rPr>
          <w:sz w:val="20"/>
          <w:szCs w:val="20"/>
          <w:color w:val="auto"/>
        </w:rPr>
      </w:pPr>
    </w:p>
    <w:p>
      <w:pPr>
        <w:ind w:left="1980" w:right="1199" w:hanging="352"/>
        <w:spacing w:after="0" w:line="277"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inability to maintain and grow the capacity of our trading platforms, systems and infrastructure;</w:t>
      </w:r>
    </w:p>
    <w:p>
      <w:pPr>
        <w:spacing w:after="0" w:line="169" w:lineRule="exact"/>
        <w:rPr>
          <w:rFonts w:ascii="Arial" w:cs="Arial" w:eastAsia="Arial" w:hAnsi="Arial"/>
          <w:sz w:val="17"/>
          <w:szCs w:val="17"/>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55" w:lineRule="exact"/>
        <w:rPr>
          <w:rFonts w:ascii="Arial" w:cs="Arial" w:eastAsia="Arial" w:hAnsi="Arial"/>
          <w:sz w:val="17"/>
          <w:szCs w:val="17"/>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57"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dependence on distributions from TWM LLC to pay our taxes and expenses;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risk factors described under “Risk Factors.”</w:t>
      </w:r>
    </w:p>
    <w:p>
      <w:pPr>
        <w:spacing w:after="0" w:line="117"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in this prospectus are not guarantees of future performance and our actual results of operations, financial condition, and liquidity, and the development of the industry in which we operate, may differ materially from the forward-looking</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1019"/>
        <w:spacing w:after="0" w:line="311" w:lineRule="auto"/>
        <w:rPr>
          <w:sz w:val="20"/>
          <w:szCs w:val="20"/>
          <w:color w:val="auto"/>
        </w:rPr>
      </w:pPr>
      <w:r>
        <w:rPr>
          <w:rFonts w:ascii="Arial" w:cs="Arial" w:eastAsia="Arial" w:hAnsi="Arial"/>
          <w:sz w:val="16"/>
          <w:szCs w:val="16"/>
          <w:color w:val="auto"/>
        </w:rPr>
        <w:t>statements contained in this prospectus. In addition, even if our results of operations, financial condition, and liquidity, and events in the industry in which we operate, are consistent with the forward-looking statements contained in this prospectus, they may not be predictive of results or developments in future periods.</w:t>
      </w:r>
    </w:p>
    <w:p>
      <w:pPr>
        <w:spacing w:after="0" w:line="41"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Any forward-looking statement that we make in this prospectus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THE REORGANIZATION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Existing Organization</w:t>
      </w:r>
    </w:p>
    <w:p>
      <w:pPr>
        <w:spacing w:after="0" w:line="108"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Prior to the completion of this offering and the organizational transactions described below, the Original LLC Owners are the only members of TWM LLC. TWM LLC is treated as a partnership for U.S. federal income tax purposes and, as such, is not subject to any U.S. federal entity-level income taxes. Rather, taxable income or loss is included in the U.S. federal income tax returns of TWM LLC’s members.</w:t>
      </w:r>
    </w:p>
    <w:p>
      <w:pPr>
        <w:spacing w:after="0" w:line="6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Tradeweb Markets Inc. was incorporated as a Delaware corporation on November 7, 2018 to serve as the issuer of the Class A common stock offered hereby.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Reorganization Transactions</w:t>
      </w:r>
    </w:p>
    <w:p>
      <w:pPr>
        <w:spacing w:after="0" w:line="108" w:lineRule="exact"/>
        <w:rPr>
          <w:sz w:val="20"/>
          <w:szCs w:val="20"/>
          <w:color w:val="auto"/>
        </w:rPr>
      </w:pPr>
    </w:p>
    <w:p>
      <w:pPr>
        <w:ind w:left="1260" w:right="1559" w:firstLine="360"/>
        <w:spacing w:after="0" w:line="277" w:lineRule="auto"/>
        <w:rPr>
          <w:sz w:val="20"/>
          <w:szCs w:val="20"/>
          <w:color w:val="auto"/>
        </w:rPr>
      </w:pPr>
      <w:r>
        <w:rPr>
          <w:rFonts w:ascii="Arial" w:cs="Arial" w:eastAsia="Arial" w:hAnsi="Arial"/>
          <w:sz w:val="18"/>
          <w:szCs w:val="18"/>
          <w:color w:val="auto"/>
        </w:rPr>
        <w:t>In connection with the closing of this offering, we will consummate the following organizational transactions, which we refer to as the “Reorganization Transactions”:</w:t>
      </w:r>
    </w:p>
    <w:p>
      <w:pPr>
        <w:spacing w:after="0" w:line="76" w:lineRule="exact"/>
        <w:rPr>
          <w:sz w:val="20"/>
          <w:szCs w:val="20"/>
          <w:color w:val="auto"/>
        </w:rPr>
      </w:pPr>
    </w:p>
    <w:p>
      <w:pPr>
        <w:ind w:left="1980" w:right="799" w:hanging="352"/>
        <w:spacing w:after="0" w:line="259"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amend and restate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92" w:lineRule="exact"/>
        <w:rPr>
          <w:rFonts w:ascii="Arial" w:cs="Arial" w:eastAsia="Arial" w:hAnsi="Arial"/>
          <w:sz w:val="18"/>
          <w:szCs w:val="18"/>
          <w:color w:val="auto"/>
        </w:rPr>
      </w:pPr>
    </w:p>
    <w:p>
      <w:pPr>
        <w:ind w:left="1980" w:right="759" w:hanging="352"/>
        <w:spacing w:after="0" w:line="270" w:lineRule="auto"/>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91" w:lineRule="exact"/>
        <w:rPr>
          <w:sz w:val="20"/>
          <w:szCs w:val="20"/>
          <w:color w:val="auto"/>
        </w:rPr>
      </w:pPr>
    </w:p>
    <w:tbl>
      <w:tblPr>
        <w:tblLayout w:type="fixed"/>
        <w:tblInd w:w="2520" w:type="dxa"/>
        <w:tblCellMar>
          <w:top w:w="0" w:type="dxa"/>
          <w:left w:w="0" w:type="dxa"/>
          <w:bottom w:w="0" w:type="dxa"/>
          <w:right w:w="0" w:type="dxa"/>
        </w:tblCellMar>
      </w:tblPr>
      <w:tr>
        <w:trPr>
          <w:trHeight w:val="186"/>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25"/>
        </w:trPr>
        <w:tc>
          <w:tcPr>
            <w:tcW w:w="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3160" w:type="dxa"/>
            <w:vAlign w:val="bottom"/>
            <w:gridSpan w:val="3"/>
          </w:tcPr>
          <w:p>
            <w:pPr>
              <w:spacing w:after="0"/>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6"/>
        </w:trPr>
        <w:tc>
          <w:tcPr>
            <w:tcW w:w="2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70"/>
        </w:trPr>
        <w:tc>
          <w:tcPr>
            <w:tcW w:w="3160" w:type="dxa"/>
            <w:vAlign w:val="bottom"/>
            <w:gridSpan w:val="3"/>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-668020</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-668020</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1" w:lineRule="exact"/>
        <w:rPr>
          <w:sz w:val="20"/>
          <w:szCs w:val="20"/>
          <w:color w:val="auto"/>
        </w:rPr>
      </w:pPr>
    </w:p>
    <w:p>
      <w:pPr>
        <w:ind w:left="1980" w:right="819"/>
        <w:spacing w:after="0" w:line="311"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ectPr>
          <w:pgSz w:w="11900" w:h="16838" w:orient="portrait"/>
          <w:cols w:equalWidth="0" w:num="1">
            <w:col w:w="10139"/>
          </w:cols>
          <w:pgMar w:left="320" w:top="132" w:right="1440" w:bottom="1440" w:gutter="0" w:footer="0" w:header="0"/>
        </w:sectPr>
      </w:pP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899"/>
        <w:spacing w:after="0" w:line="277" w:lineRule="auto"/>
        <w:rPr>
          <w:sz w:val="20"/>
          <w:szCs w:val="20"/>
          <w:color w:val="auto"/>
        </w:rPr>
      </w:pPr>
      <w:r>
        <w:rPr>
          <w:rFonts w:ascii="Arial" w:cs="Arial" w:eastAsia="Arial" w:hAnsi="Arial"/>
          <w:sz w:val="18"/>
          <w:szCs w:val="18"/>
          <w:color w:val="auto"/>
        </w:rPr>
        <w:t>we will issue shares of Class D common stock to the Continuing LLC Owners, on a one-to-one basis with the number of LLC Interests they own, for nominal consideration;</w:t>
      </w:r>
    </w:p>
    <w:p>
      <w:pPr>
        <w:spacing w:after="0" w:line="76" w:lineRule="exact"/>
        <w:rPr>
          <w:sz w:val="20"/>
          <w:szCs w:val="20"/>
          <w:color w:val="auto"/>
        </w:rPr>
      </w:pPr>
    </w:p>
    <w:p>
      <w:pPr>
        <w:sectPr>
          <w:pgSz w:w="11900" w:h="16838" w:orient="portrait"/>
          <w:cols w:equalWidth="0" w:num="2">
            <w:col w:w="1700" w:space="280"/>
            <w:col w:w="8159"/>
          </w:cols>
          <w:pgMar w:left="320" w:top="132"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39"/>
        <w:spacing w:after="0" w:line="279" w:lineRule="auto"/>
        <w:rPr>
          <w:sz w:val="20"/>
          <w:szCs w:val="20"/>
          <w:color w:val="auto"/>
        </w:rPr>
      </w:pPr>
      <w:r>
        <w:rPr>
          <w:rFonts w:ascii="Arial" w:cs="Arial" w:eastAsia="Arial" w:hAnsi="Arial"/>
          <w:sz w:val="17"/>
          <w:szCs w:val="17"/>
          <w:color w:val="auto"/>
        </w:rPr>
        <w:t>we will issue shares of our Class A common stock to the purchasers in this offering in exchange for net proceeds of approximately $ million, assuming the shares are offered at $ per share (the midpoint of the price range set forth on the cover page of this prospectus), after deducting underwriting discounts and commissions but before deducting offering expenses;</w:t>
      </w:r>
    </w:p>
    <w:p>
      <w:pPr>
        <w:spacing w:after="0" w:line="77" w:lineRule="exact"/>
        <w:rPr>
          <w:sz w:val="20"/>
          <w:szCs w:val="20"/>
          <w:color w:val="auto"/>
        </w:rPr>
      </w:pPr>
    </w:p>
    <w:p>
      <w:pPr>
        <w:sectPr>
          <w:pgSz w:w="11900" w:h="16838" w:orient="portrait"/>
          <w:cols w:equalWidth="0" w:num="2">
            <w:col w:w="1700" w:space="280"/>
            <w:col w:w="8159"/>
          </w:cols>
          <w:pgMar w:left="320" w:top="132" w:right="1440" w:bottom="1440" w:gutter="0" w:footer="0" w:header="0"/>
          <w:type w:val="continuous"/>
        </w:sectPr>
      </w:pPr>
    </w:p>
    <w:p>
      <w:pPr>
        <w:ind w:left="1980" w:right="879" w:hanging="352"/>
        <w:spacing w:after="0" w:line="287" w:lineRule="auto"/>
        <w:tabs>
          <w:tab w:leader="none" w:pos="1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intend to use the net proceeds from the sale of Class A common stock by us in this offering to acquire an equivalent number of issued and outstanding LLC Interests from certain of the Other LLC Owners at a purchase price per interest equal to the initial public offering price per share of Class A</w:t>
      </w:r>
    </w:p>
    <w:p>
      <w:pPr>
        <w:spacing w:after="0" w:line="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common stock (and cancel an equal number of shares of Class D common stock), less the underwriting</w:t>
      </w:r>
    </w:p>
    <w:p>
      <w:pPr>
        <w:spacing w:after="0" w:line="32" w:lineRule="exact"/>
        <w:rPr>
          <w:sz w:val="20"/>
          <w:szCs w:val="20"/>
          <w:color w:val="auto"/>
        </w:rPr>
      </w:pPr>
    </w:p>
    <w:p>
      <w:pPr>
        <w:ind w:left="1980" w:right="1399"/>
        <w:spacing w:after="0" w:line="260" w:lineRule="auto"/>
        <w:rPr>
          <w:sz w:val="20"/>
          <w:szCs w:val="20"/>
          <w:color w:val="auto"/>
        </w:rPr>
      </w:pPr>
      <w:r>
        <w:rPr>
          <w:rFonts w:ascii="Arial" w:cs="Arial" w:eastAsia="Arial" w:hAnsi="Arial"/>
          <w:sz w:val="18"/>
          <w:szCs w:val="18"/>
          <w:color w:val="auto"/>
        </w:rPr>
        <w:t>discounts and commissions payable thereon, collectively representing % of TWM LLC’s outstanding LLC Interests;</w:t>
      </w:r>
    </w:p>
    <w:p>
      <w:pPr>
        <w:spacing w:after="0" w:line="91" w:lineRule="exact"/>
        <w:rPr>
          <w:sz w:val="20"/>
          <w:szCs w:val="20"/>
          <w:color w:val="auto"/>
        </w:rPr>
      </w:pPr>
    </w:p>
    <w:p>
      <w:pPr>
        <w:ind w:left="2400" w:right="1279" w:hanging="772"/>
        <w:spacing w:after="0" w:line="277" w:lineRule="auto"/>
        <w:tabs>
          <w:tab w:leader="none" w:pos="19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Refinitiv Direct Owners will exchange with us their indirect ownership of LLC Interests for shares of Class B common stock on a one-to-one basis;</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1280" w:hanging="352"/>
        <w:spacing w:after="0" w:line="279"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Continuing LLC Owners will continue to own the LLC Interests they received in exchange for their existing membership interests in TWM LLC and will have no economic interests in Tradeweb despite their ownership of Class D common stock (where “economic interests” means the right to receive any distributions or dividends, whether cash or stock, in connection with common stock);</w:t>
      </w:r>
    </w:p>
    <w:p>
      <w:pPr>
        <w:sectPr>
          <w:pgSz w:w="11900" w:h="16838" w:orient="portrait"/>
          <w:cols w:equalWidth="0" w:num="1">
            <w:col w:w="10720"/>
          </w:cols>
          <w:pgMar w:left="320" w:top="132" w:right="859" w:bottom="1440" w:gutter="0" w:footer="0" w:header="0"/>
        </w:sectPr>
      </w:pPr>
    </w:p>
    <w:p>
      <w:pPr>
        <w:spacing w:after="0" w:line="1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020"/>
        <w:spacing w:after="0" w:line="258" w:lineRule="auto"/>
        <w:rPr>
          <w:sz w:val="20"/>
          <w:szCs w:val="20"/>
          <w:color w:val="auto"/>
        </w:rPr>
      </w:pPr>
      <w:r>
        <w:rPr>
          <w:rFonts w:ascii="Arial" w:cs="Arial" w:eastAsia="Arial" w:hAnsi="Arial"/>
          <w:sz w:val="18"/>
          <w:szCs w:val="18"/>
          <w:color w:val="auto"/>
        </w:rPr>
        <w:t>Tradeweb will enter into (i) the Stockholders Agreement with , and (ii) the Registration Rights Agreement with . For a description of the terms of the</w:t>
      </w:r>
    </w:p>
    <w:p>
      <w:pPr>
        <w:spacing w:after="0" w:line="1" w:lineRule="exact"/>
        <w:rPr>
          <w:sz w:val="20"/>
          <w:szCs w:val="20"/>
          <w:color w:val="auto"/>
        </w:rPr>
      </w:pPr>
    </w:p>
    <w:p>
      <w:pPr>
        <w:sectPr>
          <w:pgSz w:w="11900" w:h="16838" w:orient="portrait"/>
          <w:cols w:equalWidth="0" w:num="2">
            <w:col w:w="1700" w:space="280"/>
            <w:col w:w="8740"/>
          </w:cols>
          <w:pgMar w:left="320" w:top="132" w:right="859" w:bottom="1440" w:gutter="0" w:footer="0" w:header="0"/>
          <w:type w:val="continuous"/>
        </w:sectPr>
      </w:pPr>
    </w:p>
    <w:p>
      <w:pPr>
        <w:ind w:left="1980" w:right="1800"/>
        <w:spacing w:after="0" w:line="260" w:lineRule="auto"/>
        <w:rPr>
          <w:sz w:val="20"/>
          <w:szCs w:val="20"/>
          <w:color w:val="auto"/>
        </w:rPr>
      </w:pPr>
      <w:r>
        <w:rPr>
          <w:rFonts w:ascii="Arial" w:cs="Arial" w:eastAsia="Arial" w:hAnsi="Arial"/>
          <w:sz w:val="18"/>
          <w:szCs w:val="18"/>
          <w:color w:val="auto"/>
        </w:rPr>
        <w:t>Stockholders Agreement and the Registration Rights Agreement, see “Certain Relationships and Related Party Transactions;” and</w:t>
      </w:r>
    </w:p>
    <w:p>
      <w:pPr>
        <w:spacing w:after="0" w:line="145" w:lineRule="exact"/>
        <w:rPr>
          <w:sz w:val="20"/>
          <w:szCs w:val="20"/>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Tradeweb will not enter into a tax receivable agreement with any of the Continuing LLC Owners.</w:t>
      </w:r>
    </w:p>
    <w:p>
      <w:pPr>
        <w:spacing w:after="0" w:line="72"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b w:val="1"/>
          <w:bCs w:val="1"/>
          <w:color w:val="auto"/>
        </w:rPr>
        <w:t>Organizational Structure Following this Offering</w:t>
      </w:r>
    </w:p>
    <w:p>
      <w:pPr>
        <w:spacing w:after="0" w:line="5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Immediately following the completion of the Reorganization Transactions, including this offering:</w:t>
      </w:r>
    </w:p>
    <w:p>
      <w:pPr>
        <w:spacing w:after="0" w:line="184" w:lineRule="exact"/>
        <w:rPr>
          <w:rFonts w:ascii="Arial" w:cs="Arial" w:eastAsia="Arial" w:hAnsi="Arial"/>
          <w:sz w:val="18"/>
          <w:szCs w:val="18"/>
          <w:color w:val="auto"/>
        </w:rPr>
      </w:pPr>
    </w:p>
    <w:p>
      <w:pPr>
        <w:ind w:left="1980" w:right="1360" w:hanging="352"/>
        <w:spacing w:after="0" w:line="259"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Tradeweb will be a holding company whose principal asset will be LLC Interests of TWM LLC that it acquires from certain of the Other LLC Owners using the net proceeds from this offering and the LLC Interests that it receives from the Refinitiv Direct Owners in exchange for shares of Class B common stock issued by Tradeweb;</w:t>
      </w:r>
    </w:p>
    <w:p>
      <w:pPr>
        <w:spacing w:after="0" w:line="146" w:lineRule="exact"/>
        <w:rPr>
          <w:rFonts w:ascii="Arial" w:cs="Arial" w:eastAsia="Arial" w:hAnsi="Arial"/>
          <w:sz w:val="18"/>
          <w:szCs w:val="18"/>
          <w:color w:val="auto"/>
        </w:rPr>
      </w:pPr>
    </w:p>
    <w:p>
      <w:pPr>
        <w:ind w:left="1980" w:right="1440"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Tradeweb will be the sole manager of TWM LLC and will operate and control all of the business and affairs of TWM LLC and its subsidiaries;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and the TWM LLC Agreement will require that</w:t>
      </w:r>
    </w:p>
    <w:p>
      <w:pPr>
        <w:spacing w:after="0" w:line="23" w:lineRule="exact"/>
        <w:rPr>
          <w:rFonts w:ascii="Arial" w:cs="Arial" w:eastAsia="Arial" w:hAnsi="Arial"/>
          <w:sz w:val="18"/>
          <w:szCs w:val="18"/>
          <w:color w:val="auto"/>
        </w:rPr>
      </w:pPr>
    </w:p>
    <w:p>
      <w:pPr>
        <w:ind w:left="1980" w:right="1360"/>
        <w:spacing w:after="0" w:line="251" w:lineRule="auto"/>
        <w:rPr>
          <w:rFonts w:ascii="Arial" w:cs="Arial" w:eastAsia="Arial" w:hAnsi="Arial"/>
          <w:sz w:val="18"/>
          <w:szCs w:val="18"/>
          <w:color w:val="auto"/>
        </w:rPr>
      </w:pPr>
      <w:r>
        <w:rPr>
          <w:rFonts w:ascii="Arial" w:cs="Arial" w:eastAsia="Arial" w:hAnsi="Arial"/>
          <w:sz w:val="18"/>
          <w:szCs w:val="18"/>
          <w:color w:val="auto"/>
        </w:rPr>
        <w:t>(i) we at all times maintain a ratio of one LLC Interest owned by us for each share of Class A common stock and Class B common stock issued by us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17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gridSpan w:val="4"/>
          </w:tcPr>
          <w:p>
            <w:pPr>
              <w:ind w:left="140"/>
              <w:spacing w:after="0"/>
              <w:rPr>
                <w:sz w:val="20"/>
                <w:szCs w:val="20"/>
                <w:color w:val="auto"/>
              </w:rPr>
            </w:pPr>
            <w:r>
              <w:rPr>
                <w:rFonts w:ascii="Arial" w:cs="Arial" w:eastAsia="Arial" w:hAnsi="Arial"/>
                <w:sz w:val="18"/>
                <w:szCs w:val="18"/>
                <w:color w:val="auto"/>
                <w:w w:val="91"/>
              </w:rPr>
              <w:t>Tradeweb will own LLC Interests representing a</w:t>
            </w:r>
          </w:p>
        </w:tc>
        <w:tc>
          <w:tcPr>
            <w:tcW w:w="3460" w:type="dxa"/>
            <w:vAlign w:val="bottom"/>
            <w:gridSpan w:val="2"/>
          </w:tcPr>
          <w:p>
            <w:pPr>
              <w:ind w:left="400"/>
              <w:spacing w:after="0"/>
              <w:rPr>
                <w:sz w:val="20"/>
                <w:szCs w:val="20"/>
                <w:color w:val="auto"/>
              </w:rPr>
            </w:pPr>
            <w:r>
              <w:rPr>
                <w:rFonts w:ascii="Arial" w:cs="Arial" w:eastAsia="Arial" w:hAnsi="Arial"/>
                <w:sz w:val="18"/>
                <w:szCs w:val="18"/>
                <w:color w:val="auto"/>
              </w:rPr>
              <w:t>% economic interest in TWM LLC (or</w:t>
            </w:r>
          </w:p>
        </w:tc>
        <w:tc>
          <w:tcPr>
            <w:tcW w:w="460" w:type="dxa"/>
            <w:vAlign w:val="bottom"/>
          </w:tcPr>
          <w:p>
            <w:pPr>
              <w:ind w:left="120"/>
              <w:spacing w:after="0"/>
              <w:rPr>
                <w:sz w:val="20"/>
                <w:szCs w:val="20"/>
                <w:color w:val="auto"/>
              </w:rPr>
            </w:pPr>
            <w:r>
              <w:rPr>
                <w:rFonts w:ascii="Arial" w:cs="Arial" w:eastAsia="Arial" w:hAnsi="Arial"/>
                <w:sz w:val="18"/>
                <w:szCs w:val="18"/>
                <w:color w:val="auto"/>
                <w:w w:val="96"/>
              </w:rPr>
              <w:t>LLC</w:t>
            </w:r>
          </w:p>
        </w:tc>
      </w:tr>
      <w:tr>
        <w:trPr>
          <w:trHeight w:val="216"/>
        </w:trPr>
        <w:tc>
          <w:tcPr>
            <w:tcW w:w="220" w:type="dxa"/>
            <w:vAlign w:val="bottom"/>
          </w:tcPr>
          <w:p>
            <w:pPr>
              <w:spacing w:after="0"/>
              <w:rPr>
                <w:sz w:val="18"/>
                <w:szCs w:val="18"/>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w w:val="97"/>
              </w:rPr>
              <w:t>Interests, representing a</w:t>
            </w:r>
          </w:p>
        </w:tc>
        <w:tc>
          <w:tcPr>
            <w:tcW w:w="5500" w:type="dxa"/>
            <w:vAlign w:val="bottom"/>
            <w:gridSpan w:val="5"/>
          </w:tcPr>
          <w:p>
            <w:pPr>
              <w:jc w:val="center"/>
              <w:spacing w:after="0"/>
              <w:rPr>
                <w:sz w:val="20"/>
                <w:szCs w:val="20"/>
                <w:color w:val="auto"/>
              </w:rPr>
            </w:pPr>
            <w:r>
              <w:rPr>
                <w:rFonts w:ascii="Arial" w:cs="Arial" w:eastAsia="Arial" w:hAnsi="Arial"/>
                <w:sz w:val="18"/>
                <w:szCs w:val="18"/>
                <w:color w:val="auto"/>
                <w:w w:val="93"/>
              </w:rPr>
              <w:t>% economic interest in TWM LLC, if the underwriters exercise in full</w:t>
            </w:r>
          </w:p>
        </w:tc>
      </w:tr>
      <w:tr>
        <w:trPr>
          <w:trHeight w:val="230"/>
        </w:trPr>
        <w:tc>
          <w:tcPr>
            <w:tcW w:w="220" w:type="dxa"/>
            <w:vAlign w:val="bottom"/>
          </w:tcPr>
          <w:p>
            <w:pPr>
              <w:spacing w:after="0"/>
              <w:rPr>
                <w:sz w:val="20"/>
                <w:szCs w:val="20"/>
                <w:color w:val="auto"/>
              </w:rPr>
            </w:pPr>
          </w:p>
        </w:tc>
        <w:tc>
          <w:tcPr>
            <w:tcW w:w="6580" w:type="dxa"/>
            <w:vAlign w:val="bottom"/>
            <w:gridSpan w:val="5"/>
          </w:tcPr>
          <w:p>
            <w:pPr>
              <w:ind w:left="140"/>
              <w:spacing w:after="0"/>
              <w:rPr>
                <w:sz w:val="20"/>
                <w:szCs w:val="20"/>
                <w:color w:val="auto"/>
              </w:rPr>
            </w:pPr>
            <w:r>
              <w:rPr>
                <w:rFonts w:ascii="Arial" w:cs="Arial" w:eastAsia="Arial" w:hAnsi="Arial"/>
                <w:sz w:val="18"/>
                <w:szCs w:val="18"/>
                <w:color w:val="auto"/>
              </w:rPr>
              <w:t>their option to purchase additional shares of Class A common stock);</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7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3"/>
          </w:tcPr>
          <w:p>
            <w:pPr>
              <w:ind w:left="140"/>
              <w:spacing w:after="0"/>
              <w:rPr>
                <w:sz w:val="20"/>
                <w:szCs w:val="20"/>
                <w:color w:val="auto"/>
              </w:rPr>
            </w:pPr>
            <w:r>
              <w:rPr>
                <w:rFonts w:ascii="Arial" w:cs="Arial" w:eastAsia="Arial" w:hAnsi="Arial"/>
                <w:sz w:val="18"/>
                <w:szCs w:val="18"/>
                <w:color w:val="auto"/>
                <w:w w:val="94"/>
              </w:rPr>
              <w:t>the purchasers in this offering (i) will own</w:t>
            </w:r>
          </w:p>
        </w:tc>
        <w:tc>
          <w:tcPr>
            <w:tcW w:w="42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w w:val="92"/>
              </w:rPr>
              <w:t>shares of Class A common stock, representing</w:t>
            </w:r>
          </w:p>
        </w:tc>
        <w:tc>
          <w:tcPr>
            <w:tcW w:w="46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approximately</w:t>
            </w:r>
          </w:p>
        </w:tc>
        <w:tc>
          <w:tcPr>
            <w:tcW w:w="5720" w:type="dxa"/>
            <w:vAlign w:val="bottom"/>
            <w:gridSpan w:val="5"/>
          </w:tcPr>
          <w:p>
            <w:pPr>
              <w:ind w:left="220"/>
              <w:spacing w:after="0"/>
              <w:rPr>
                <w:sz w:val="20"/>
                <w:szCs w:val="20"/>
                <w:color w:val="auto"/>
              </w:rPr>
            </w:pPr>
            <w:r>
              <w:rPr>
                <w:rFonts w:ascii="Arial" w:cs="Arial" w:eastAsia="Arial" w:hAnsi="Arial"/>
                <w:sz w:val="18"/>
                <w:szCs w:val="18"/>
                <w:color w:val="auto"/>
                <w:w w:val="96"/>
              </w:rPr>
              <w:t>% of the combined voting power of all of Tradeweb’s common stock (or</w:t>
            </w:r>
          </w:p>
        </w:tc>
        <w:tc>
          <w:tcPr>
            <w:tcW w:w="4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approximately</w:t>
            </w:r>
          </w:p>
        </w:tc>
        <w:tc>
          <w:tcPr>
            <w:tcW w:w="6180" w:type="dxa"/>
            <w:vAlign w:val="bottom"/>
            <w:gridSpan w:val="6"/>
          </w:tcPr>
          <w:p>
            <w:pPr>
              <w:ind w:left="220"/>
              <w:spacing w:after="0"/>
              <w:rPr>
                <w:sz w:val="20"/>
                <w:szCs w:val="20"/>
                <w:color w:val="auto"/>
              </w:rPr>
            </w:pPr>
            <w:r>
              <w:rPr>
                <w:rFonts w:ascii="Arial" w:cs="Arial" w:eastAsia="Arial" w:hAnsi="Arial"/>
                <w:sz w:val="18"/>
                <w:szCs w:val="18"/>
                <w:color w:val="auto"/>
                <w:w w:val="93"/>
              </w:rPr>
              <w:t>% if the underwriters exercise in full their option to purchase additional shares of</w:t>
            </w:r>
          </w:p>
        </w:tc>
      </w:tr>
      <w:tr>
        <w:trPr>
          <w:trHeight w:val="216"/>
        </w:trPr>
        <w:tc>
          <w:tcPr>
            <w:tcW w:w="220" w:type="dxa"/>
            <w:vAlign w:val="bottom"/>
          </w:tcPr>
          <w:p>
            <w:pPr>
              <w:spacing w:after="0"/>
              <w:rPr>
                <w:sz w:val="18"/>
                <w:szCs w:val="18"/>
                <w:color w:val="auto"/>
              </w:rPr>
            </w:pPr>
          </w:p>
        </w:tc>
        <w:tc>
          <w:tcPr>
            <w:tcW w:w="3220" w:type="dxa"/>
            <w:vAlign w:val="bottom"/>
            <w:gridSpan w:val="3"/>
          </w:tcPr>
          <w:p>
            <w:pPr>
              <w:ind w:left="140"/>
              <w:spacing w:after="0"/>
              <w:rPr>
                <w:sz w:val="20"/>
                <w:szCs w:val="20"/>
                <w:color w:val="auto"/>
              </w:rPr>
            </w:pPr>
            <w:r>
              <w:rPr>
                <w:rFonts w:ascii="Arial" w:cs="Arial" w:eastAsia="Arial" w:hAnsi="Arial"/>
                <w:sz w:val="18"/>
                <w:szCs w:val="18"/>
                <w:color w:val="auto"/>
              </w:rPr>
              <w:t>Class A common stock), (ii) will own</w:t>
            </w:r>
          </w:p>
        </w:tc>
        <w:tc>
          <w:tcPr>
            <w:tcW w:w="3360" w:type="dxa"/>
            <w:vAlign w:val="bottom"/>
            <w:gridSpan w:val="2"/>
          </w:tcPr>
          <w:p>
            <w:pPr>
              <w:jc w:val="center"/>
              <w:ind w:right="70"/>
              <w:spacing w:after="0"/>
              <w:rPr>
                <w:sz w:val="20"/>
                <w:szCs w:val="20"/>
                <w:color w:val="auto"/>
              </w:rPr>
            </w:pPr>
            <w:r>
              <w:rPr>
                <w:rFonts w:ascii="Arial" w:cs="Arial" w:eastAsia="Arial" w:hAnsi="Arial"/>
                <w:sz w:val="18"/>
                <w:szCs w:val="18"/>
                <w:color w:val="auto"/>
                <w:w w:val="90"/>
              </w:rPr>
              <w:t>% of the economic interest in Tradeweb (or</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 if the</w:t>
            </w:r>
          </w:p>
        </w:tc>
      </w:tr>
      <w:tr>
        <w:trPr>
          <w:trHeight w:val="230"/>
        </w:trPr>
        <w:tc>
          <w:tcPr>
            <w:tcW w:w="220" w:type="dxa"/>
            <w:vAlign w:val="bottom"/>
          </w:tcPr>
          <w:p>
            <w:pPr>
              <w:spacing w:after="0"/>
              <w:rPr>
                <w:sz w:val="20"/>
                <w:szCs w:val="20"/>
                <w:color w:val="auto"/>
              </w:rPr>
            </w:pPr>
          </w:p>
        </w:tc>
        <w:tc>
          <w:tcPr>
            <w:tcW w:w="7560" w:type="dxa"/>
            <w:vAlign w:val="bottom"/>
            <w:gridSpan w:val="7"/>
          </w:tcPr>
          <w:p>
            <w:pPr>
              <w:ind w:left="140"/>
              <w:spacing w:after="0"/>
              <w:rPr>
                <w:sz w:val="20"/>
                <w:szCs w:val="20"/>
                <w:color w:val="auto"/>
              </w:rPr>
            </w:pPr>
            <w:r>
              <w:rPr>
                <w:rFonts w:ascii="Arial" w:cs="Arial" w:eastAsia="Arial" w:hAnsi="Arial"/>
                <w:sz w:val="18"/>
                <w:szCs w:val="18"/>
                <w:color w:val="auto"/>
                <w:w w:val="92"/>
              </w:rPr>
              <w:t>underwriters exercise in full their option to purchase additional shares of Class A common stock) and</w:t>
            </w:r>
          </w:p>
        </w:tc>
      </w:tr>
    </w:tbl>
    <w:p>
      <w:pPr>
        <w:ind w:left="1980" w:right="1400" w:firstLine="8"/>
        <w:spacing w:after="0" w:line="281" w:lineRule="auto"/>
        <w:tabs>
          <w:tab w:leader="none" w:pos="22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through Tradeweb’s ownership of LLC Interests, indirectly will hold (applying the percentages in the preceding clause (ii) to Tradeweb’s percentage economic interest in TWM LLC) approximately</w:t>
      </w: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3940" w:type="dxa"/>
            <w:vAlign w:val="bottom"/>
            <w:gridSpan w:val="3"/>
          </w:tcPr>
          <w:p>
            <w:pPr>
              <w:ind w:left="500"/>
              <w:spacing w:after="0" w:line="203" w:lineRule="exact"/>
              <w:rPr>
                <w:sz w:val="20"/>
                <w:szCs w:val="20"/>
                <w:color w:val="auto"/>
              </w:rPr>
            </w:pPr>
            <w:r>
              <w:rPr>
                <w:rFonts w:ascii="Arial" w:cs="Arial" w:eastAsia="Arial" w:hAnsi="Arial"/>
                <w:sz w:val="18"/>
                <w:szCs w:val="18"/>
                <w:color w:val="auto"/>
                <w:w w:val="99"/>
              </w:rPr>
              <w:t>% of the economic interest in TWM LLC (or</w:t>
            </w:r>
          </w:p>
        </w:tc>
        <w:tc>
          <w:tcPr>
            <w:tcW w:w="4940" w:type="dxa"/>
            <w:vAlign w:val="bottom"/>
            <w:gridSpan w:val="3"/>
          </w:tcPr>
          <w:p>
            <w:pPr>
              <w:ind w:left="220"/>
              <w:spacing w:after="0" w:line="203" w:lineRule="exact"/>
              <w:rPr>
                <w:sz w:val="20"/>
                <w:szCs w:val="20"/>
                <w:color w:val="auto"/>
              </w:rPr>
            </w:pPr>
            <w:r>
              <w:rPr>
                <w:rFonts w:ascii="Arial" w:cs="Arial" w:eastAsia="Arial" w:hAnsi="Arial"/>
                <w:sz w:val="18"/>
                <w:szCs w:val="18"/>
                <w:color w:val="auto"/>
              </w:rPr>
              <w:t>% if the underwriters exercise in full their</w:t>
            </w:r>
          </w:p>
        </w:tc>
      </w:tr>
      <w:tr>
        <w:trPr>
          <w:trHeight w:val="230"/>
        </w:trPr>
        <w:tc>
          <w:tcPr>
            <w:tcW w:w="1840" w:type="dxa"/>
            <w:vAlign w:val="bottom"/>
          </w:tcPr>
          <w:p>
            <w:pPr>
              <w:spacing w:after="0"/>
              <w:rPr>
                <w:sz w:val="20"/>
                <w:szCs w:val="20"/>
                <w:color w:val="auto"/>
              </w:rPr>
            </w:pPr>
          </w:p>
        </w:tc>
        <w:tc>
          <w:tcPr>
            <w:tcW w:w="5160" w:type="dxa"/>
            <w:vAlign w:val="bottom"/>
            <w:gridSpan w:val="4"/>
          </w:tcPr>
          <w:p>
            <w:pPr>
              <w:ind w:left="140"/>
              <w:spacing w:after="0"/>
              <w:rPr>
                <w:sz w:val="20"/>
                <w:szCs w:val="20"/>
                <w:color w:val="auto"/>
              </w:rPr>
            </w:pPr>
            <w:r>
              <w:rPr>
                <w:rFonts w:ascii="Arial" w:cs="Arial" w:eastAsia="Arial" w:hAnsi="Arial"/>
                <w:sz w:val="18"/>
                <w:szCs w:val="18"/>
                <w:color w:val="auto"/>
                <w:w w:val="98"/>
              </w:rPr>
              <w:t>option to purchase additional shares of Class A common stock);</w:t>
            </w:r>
          </w:p>
        </w:tc>
        <w:tc>
          <w:tcPr>
            <w:tcW w:w="17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77"/>
        </w:trPr>
        <w:tc>
          <w:tcPr>
            <w:tcW w:w="1840" w:type="dxa"/>
            <w:vAlign w:val="bottom"/>
          </w:tcPr>
          <w:p>
            <w:pPr>
              <w:ind w:left="1620"/>
              <w:spacing w:after="0"/>
              <w:rPr>
                <w:sz w:val="20"/>
                <w:szCs w:val="20"/>
                <w:color w:val="auto"/>
              </w:rPr>
            </w:pPr>
            <w:r>
              <w:rPr>
                <w:rFonts w:ascii="Arial" w:cs="Arial" w:eastAsia="Arial" w:hAnsi="Arial"/>
                <w:sz w:val="18"/>
                <w:szCs w:val="18"/>
                <w:color w:val="auto"/>
              </w:rPr>
              <w:t>•</w:t>
            </w: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w w:val="99"/>
              </w:rPr>
              <w:t>the Refinitiv Direct Owners (i) will own</w:t>
            </w:r>
          </w:p>
        </w:tc>
        <w:tc>
          <w:tcPr>
            <w:tcW w:w="3720" w:type="dxa"/>
            <w:vAlign w:val="bottom"/>
            <w:gridSpan w:val="3"/>
          </w:tcPr>
          <w:p>
            <w:pPr>
              <w:ind w:left="340"/>
              <w:spacing w:after="0"/>
              <w:rPr>
                <w:sz w:val="20"/>
                <w:szCs w:val="20"/>
                <w:color w:val="auto"/>
              </w:rPr>
            </w:pPr>
            <w:r>
              <w:rPr>
                <w:rFonts w:ascii="Arial" w:cs="Arial" w:eastAsia="Arial" w:hAnsi="Arial"/>
                <w:sz w:val="18"/>
                <w:szCs w:val="18"/>
                <w:color w:val="auto"/>
                <w:w w:val="91"/>
              </w:rPr>
              <w:t>shares of Class B common stock representing</w:t>
            </w:r>
          </w:p>
        </w:tc>
        <w:tc>
          <w:tcPr>
            <w:tcW w:w="200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auto"/>
              </w:rPr>
              <w:t>approximately</w:t>
            </w:r>
          </w:p>
        </w:tc>
        <w:tc>
          <w:tcPr>
            <w:tcW w:w="548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 of the combined voting power of all of Tradeweb’s common stock and</w:t>
            </w:r>
          </w:p>
        </w:tc>
        <w:tc>
          <w:tcPr>
            <w:tcW w:w="2000" w:type="dxa"/>
            <w:vAlign w:val="bottom"/>
          </w:tcPr>
          <w:p>
            <w:pPr>
              <w:ind w:left="380"/>
              <w:spacing w:after="0"/>
              <w:rPr>
                <w:sz w:val="20"/>
                <w:szCs w:val="20"/>
                <w:color w:val="auto"/>
              </w:rPr>
            </w:pPr>
            <w:r>
              <w:rPr>
                <w:rFonts w:ascii="Arial" w:cs="Arial" w:eastAsia="Arial" w:hAnsi="Arial"/>
                <w:sz w:val="18"/>
                <w:szCs w:val="18"/>
                <w:color w:val="auto"/>
              </w:rPr>
              <w:t>% of</w:t>
            </w:r>
          </w:p>
        </w:tc>
      </w:tr>
      <w:tr>
        <w:trPr>
          <w:trHeight w:val="216"/>
        </w:trPr>
        <w:tc>
          <w:tcPr>
            <w:tcW w:w="1840" w:type="dxa"/>
            <w:vAlign w:val="bottom"/>
          </w:tcPr>
          <w:p>
            <w:pPr>
              <w:spacing w:after="0"/>
              <w:rPr>
                <w:sz w:val="18"/>
                <w:szCs w:val="18"/>
                <w:color w:val="auto"/>
              </w:rPr>
            </w:pPr>
          </w:p>
        </w:tc>
        <w:tc>
          <w:tcPr>
            <w:tcW w:w="8880" w:type="dxa"/>
            <w:vAlign w:val="bottom"/>
            <w:gridSpan w:val="6"/>
          </w:tcPr>
          <w:p>
            <w:pPr>
              <w:ind w:left="140"/>
              <w:spacing w:after="0"/>
              <w:rPr>
                <w:sz w:val="20"/>
                <w:szCs w:val="20"/>
                <w:color w:val="auto"/>
              </w:rPr>
            </w:pPr>
            <w:r>
              <w:rPr>
                <w:rFonts w:ascii="Arial" w:cs="Arial" w:eastAsia="Arial" w:hAnsi="Arial"/>
                <w:sz w:val="18"/>
                <w:szCs w:val="18"/>
                <w:color w:val="auto"/>
              </w:rPr>
              <w:t>the economic interest in Tradeweb and (ii) through Tradeweb’s ownership of LLC Interests, indirectly</w:t>
            </w:r>
          </w:p>
        </w:tc>
      </w:tr>
      <w:tr>
        <w:trPr>
          <w:trHeight w:val="216"/>
        </w:trPr>
        <w:tc>
          <w:tcPr>
            <w:tcW w:w="1840" w:type="dxa"/>
            <w:vAlign w:val="bottom"/>
          </w:tcPr>
          <w:p>
            <w:pPr>
              <w:spacing w:after="0"/>
              <w:rPr>
                <w:sz w:val="18"/>
                <w:szCs w:val="18"/>
                <w:color w:val="auto"/>
              </w:rPr>
            </w:pPr>
          </w:p>
        </w:tc>
        <w:tc>
          <w:tcPr>
            <w:tcW w:w="8880" w:type="dxa"/>
            <w:vAlign w:val="bottom"/>
            <w:gridSpan w:val="6"/>
          </w:tcPr>
          <w:p>
            <w:pPr>
              <w:ind w:left="140"/>
              <w:spacing w:after="0"/>
              <w:rPr>
                <w:sz w:val="20"/>
                <w:szCs w:val="20"/>
                <w:color w:val="auto"/>
              </w:rPr>
            </w:pPr>
            <w:r>
              <w:rPr>
                <w:rFonts w:ascii="Arial" w:cs="Arial" w:eastAsia="Arial" w:hAnsi="Arial"/>
                <w:sz w:val="18"/>
                <w:szCs w:val="18"/>
                <w:color w:val="auto"/>
              </w:rPr>
              <w:t>will hold (applying the percentages in the preceding clause (i) to Tradeweb’s percentage economic</w:t>
            </w:r>
          </w:p>
        </w:tc>
      </w:tr>
      <w:tr>
        <w:trPr>
          <w:trHeight w:val="216"/>
        </w:trPr>
        <w:tc>
          <w:tcPr>
            <w:tcW w:w="184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interest in TWM LLC) approximately</w:t>
            </w:r>
          </w:p>
        </w:tc>
        <w:tc>
          <w:tcPr>
            <w:tcW w:w="3720" w:type="dxa"/>
            <w:vAlign w:val="bottom"/>
            <w:gridSpan w:val="3"/>
          </w:tcPr>
          <w:p>
            <w:pPr>
              <w:ind w:left="120"/>
              <w:spacing w:after="0"/>
              <w:rPr>
                <w:sz w:val="20"/>
                <w:szCs w:val="20"/>
                <w:color w:val="auto"/>
              </w:rPr>
            </w:pPr>
            <w:r>
              <w:rPr>
                <w:rFonts w:ascii="Arial" w:cs="Arial" w:eastAsia="Arial" w:hAnsi="Arial"/>
                <w:sz w:val="18"/>
                <w:szCs w:val="18"/>
                <w:color w:val="auto"/>
              </w:rPr>
              <w:t>% of the economic interest in TWM LLC (or</w:t>
            </w:r>
          </w:p>
        </w:tc>
        <w:tc>
          <w:tcPr>
            <w:tcW w:w="2000" w:type="dxa"/>
            <w:vAlign w:val="bottom"/>
          </w:tcPr>
          <w:p>
            <w:pPr>
              <w:ind w:left="40"/>
              <w:spacing w:after="0"/>
              <w:rPr>
                <w:sz w:val="20"/>
                <w:szCs w:val="20"/>
                <w:color w:val="auto"/>
              </w:rPr>
            </w:pPr>
            <w:r>
              <w:rPr>
                <w:rFonts w:ascii="Arial" w:cs="Arial" w:eastAsia="Arial" w:hAnsi="Arial"/>
                <w:sz w:val="18"/>
                <w:szCs w:val="18"/>
                <w:color w:val="auto"/>
              </w:rPr>
              <w:t>% if the</w:t>
            </w:r>
          </w:p>
        </w:tc>
      </w:tr>
      <w:tr>
        <w:trPr>
          <w:trHeight w:val="230"/>
        </w:trPr>
        <w:tc>
          <w:tcPr>
            <w:tcW w:w="1840" w:type="dxa"/>
            <w:vAlign w:val="bottom"/>
          </w:tcPr>
          <w:p>
            <w:pPr>
              <w:spacing w:after="0"/>
              <w:rPr>
                <w:sz w:val="20"/>
                <w:szCs w:val="20"/>
                <w:color w:val="auto"/>
              </w:rPr>
            </w:pPr>
          </w:p>
        </w:tc>
        <w:tc>
          <w:tcPr>
            <w:tcW w:w="8880" w:type="dxa"/>
            <w:vAlign w:val="bottom"/>
            <w:gridSpan w:val="6"/>
          </w:tcPr>
          <w:p>
            <w:pPr>
              <w:ind w:left="140"/>
              <w:spacing w:after="0"/>
              <w:rPr>
                <w:sz w:val="20"/>
                <w:szCs w:val="20"/>
                <w:color w:val="auto"/>
              </w:rPr>
            </w:pPr>
            <w:r>
              <w:rPr>
                <w:rFonts w:ascii="Arial" w:cs="Arial" w:eastAsia="Arial" w:hAnsi="Arial"/>
                <w:sz w:val="18"/>
                <w:szCs w:val="18"/>
                <w:color w:val="auto"/>
              </w:rPr>
              <w:t>underwriters exercise in full their option to purchase additional shares of Class A common stock);</w:t>
            </w:r>
          </w:p>
        </w:tc>
      </w:tr>
      <w:tr>
        <w:trPr>
          <w:trHeight w:val="391"/>
        </w:trPr>
        <w:tc>
          <w:tcPr>
            <w:tcW w:w="1840" w:type="dxa"/>
            <w:vAlign w:val="bottom"/>
          </w:tcPr>
          <w:p>
            <w:pPr>
              <w:ind w:left="1620"/>
              <w:spacing w:after="0"/>
              <w:rPr>
                <w:sz w:val="20"/>
                <w:szCs w:val="20"/>
                <w:color w:val="auto"/>
              </w:rPr>
            </w:pPr>
            <w:r>
              <w:rPr>
                <w:rFonts w:ascii="Arial" w:cs="Arial" w:eastAsia="Arial" w:hAnsi="Arial"/>
                <w:sz w:val="18"/>
                <w:szCs w:val="18"/>
                <w:color w:val="auto"/>
              </w:rPr>
              <w:t>•</w:t>
            </w:r>
          </w:p>
        </w:tc>
        <w:tc>
          <w:tcPr>
            <w:tcW w:w="5160" w:type="dxa"/>
            <w:vAlign w:val="bottom"/>
            <w:gridSpan w:val="4"/>
          </w:tcPr>
          <w:p>
            <w:pPr>
              <w:ind w:left="140"/>
              <w:spacing w:after="0"/>
              <w:rPr>
                <w:sz w:val="20"/>
                <w:szCs w:val="20"/>
                <w:color w:val="auto"/>
              </w:rPr>
            </w:pPr>
            <w:r>
              <w:rPr>
                <w:rFonts w:ascii="Arial" w:cs="Arial" w:eastAsia="Arial" w:hAnsi="Arial"/>
                <w:sz w:val="18"/>
                <w:szCs w:val="18"/>
                <w:color w:val="auto"/>
                <w:w w:val="97"/>
              </w:rPr>
              <w:t>the Refinitiv LLC Owners will own (i) LLC Interests, representing</w:t>
            </w: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 of the economic interest in</w:t>
            </w:r>
          </w:p>
        </w:tc>
      </w:tr>
      <w:tr>
        <w:trPr>
          <w:trHeight w:val="230"/>
        </w:trPr>
        <w:tc>
          <w:tcPr>
            <w:tcW w:w="1840" w:type="dxa"/>
            <w:vAlign w:val="bottom"/>
          </w:tcPr>
          <w:p>
            <w:pPr>
              <w:spacing w:after="0"/>
              <w:rPr>
                <w:sz w:val="20"/>
                <w:szCs w:val="20"/>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auto"/>
              </w:rPr>
              <w:t>TWM LLC (or</w:t>
            </w:r>
          </w:p>
        </w:tc>
        <w:tc>
          <w:tcPr>
            <w:tcW w:w="5480" w:type="dxa"/>
            <w:vAlign w:val="bottom"/>
            <w:gridSpan w:val="4"/>
          </w:tcPr>
          <w:p>
            <w:pPr>
              <w:jc w:val="center"/>
              <w:ind w:left="50"/>
              <w:spacing w:after="0"/>
              <w:rPr>
                <w:sz w:val="20"/>
                <w:szCs w:val="20"/>
                <w:color w:val="auto"/>
              </w:rPr>
            </w:pPr>
            <w:r>
              <w:rPr>
                <w:rFonts w:ascii="Arial" w:cs="Arial" w:eastAsia="Arial" w:hAnsi="Arial"/>
                <w:sz w:val="18"/>
                <w:szCs w:val="18"/>
                <w:color w:val="auto"/>
                <w:w w:val="92"/>
              </w:rPr>
              <w:t>% if the underwriters exercise in full their option to purchase additional</w:t>
            </w:r>
          </w:p>
        </w:tc>
        <w:tc>
          <w:tcPr>
            <w:tcW w:w="2000" w:type="dxa"/>
            <w:vAlign w:val="bottom"/>
          </w:tcPr>
          <w:p>
            <w:pPr>
              <w:spacing w:after="0"/>
              <w:rPr>
                <w:sz w:val="20"/>
                <w:szCs w:val="20"/>
                <w:color w:val="auto"/>
              </w:rPr>
            </w:pPr>
          </w:p>
        </w:tc>
      </w:tr>
      <w:tr>
        <w:trPr>
          <w:trHeight w:val="486"/>
        </w:trPr>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85"/>
        </w:trPr>
        <w:tc>
          <w:tcPr>
            <w:tcW w:w="1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6790055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shares of Class A common stock) and (ii) through their ownership of shares of Class D common stock,</w:t>
      </w:r>
    </w:p>
    <w:p>
      <w:pPr>
        <w:spacing w:after="0" w:line="41"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auto"/>
              </w:rPr>
              <w:t>approximately</w:t>
            </w: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 of the combined voting power of all of Tradeweb’s common stock (or</w:t>
            </w:r>
          </w:p>
        </w:tc>
      </w:tr>
      <w:tr>
        <w:trPr>
          <w:trHeight w:val="216"/>
        </w:trPr>
        <w:tc>
          <w:tcPr>
            <w:tcW w:w="220" w:type="dxa"/>
            <w:vAlign w:val="bottom"/>
          </w:tcPr>
          <w:p>
            <w:pPr>
              <w:spacing w:after="0"/>
              <w:rPr>
                <w:sz w:val="18"/>
                <w:szCs w:val="18"/>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auto"/>
              </w:rPr>
              <w:t>approximately</w:t>
            </w: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w w:val="91"/>
              </w:rPr>
              <w:t>% if the underwriters exercise in full their option to purchase additional shares of</w:t>
            </w:r>
          </w:p>
        </w:tc>
      </w:tr>
      <w:tr>
        <w:trPr>
          <w:trHeight w:val="230"/>
        </w:trPr>
        <w:tc>
          <w:tcPr>
            <w:tcW w:w="220" w:type="dxa"/>
            <w:vAlign w:val="bottom"/>
          </w:tcPr>
          <w:p>
            <w:pPr>
              <w:spacing w:after="0"/>
              <w:rPr>
                <w:sz w:val="20"/>
                <w:szCs w:val="20"/>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Class A common stock);</w:t>
            </w:r>
          </w:p>
        </w:tc>
        <w:tc>
          <w:tcPr>
            <w:tcW w:w="2680" w:type="dxa"/>
            <w:vAlign w:val="bottom"/>
          </w:tcPr>
          <w:p>
            <w:pPr>
              <w:spacing w:after="0"/>
              <w:rPr>
                <w:sz w:val="20"/>
                <w:szCs w:val="20"/>
                <w:color w:val="auto"/>
              </w:rPr>
            </w:pPr>
          </w:p>
        </w:tc>
      </w:tr>
      <w:tr>
        <w:trPr>
          <w:trHeight w:val="33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w w:val="94"/>
              </w:rPr>
              <w:t>the Other LLC Owners will own (i) LLC Interests, representing</w:t>
            </w:r>
          </w:p>
        </w:tc>
        <w:tc>
          <w:tcPr>
            <w:tcW w:w="2680" w:type="dxa"/>
            <w:vAlign w:val="bottom"/>
          </w:tcPr>
          <w:p>
            <w:pPr>
              <w:ind w:left="320"/>
              <w:spacing w:after="0"/>
              <w:rPr>
                <w:sz w:val="20"/>
                <w:szCs w:val="20"/>
                <w:color w:val="auto"/>
              </w:rPr>
            </w:pPr>
            <w:r>
              <w:rPr>
                <w:rFonts w:ascii="Arial" w:cs="Arial" w:eastAsia="Arial" w:hAnsi="Arial"/>
                <w:sz w:val="18"/>
                <w:szCs w:val="18"/>
                <w:color w:val="auto"/>
              </w:rPr>
              <w:t>% of the economic interest in</w:t>
            </w:r>
          </w:p>
        </w:tc>
      </w:tr>
      <w:tr>
        <w:trPr>
          <w:trHeight w:val="216"/>
        </w:trPr>
        <w:tc>
          <w:tcPr>
            <w:tcW w:w="220" w:type="dxa"/>
            <w:vAlign w:val="bottom"/>
          </w:tcPr>
          <w:p>
            <w:pPr>
              <w:spacing w:after="0"/>
              <w:rPr>
                <w:sz w:val="18"/>
                <w:szCs w:val="18"/>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auto"/>
              </w:rPr>
              <w:t>TWM LLC (or</w:t>
            </w:r>
          </w:p>
        </w:tc>
        <w:tc>
          <w:tcPr>
            <w:tcW w:w="6080" w:type="dxa"/>
            <w:vAlign w:val="bottom"/>
            <w:gridSpan w:val="2"/>
          </w:tcPr>
          <w:p>
            <w:pPr>
              <w:ind w:left="240"/>
              <w:spacing w:after="0"/>
              <w:rPr>
                <w:sz w:val="20"/>
                <w:szCs w:val="20"/>
                <w:color w:val="auto"/>
              </w:rPr>
            </w:pPr>
            <w:r>
              <w:rPr>
                <w:rFonts w:ascii="Arial" w:cs="Arial" w:eastAsia="Arial" w:hAnsi="Arial"/>
                <w:sz w:val="18"/>
                <w:szCs w:val="18"/>
                <w:color w:val="auto"/>
                <w:w w:val="91"/>
              </w:rPr>
              <w:t>% if the underwriters exercise in full their option to purchase additional shares of</w:t>
            </w:r>
          </w:p>
        </w:tc>
      </w:tr>
      <w:tr>
        <w:trPr>
          <w:trHeight w:val="216"/>
        </w:trPr>
        <w:tc>
          <w:tcPr>
            <w:tcW w:w="220" w:type="dxa"/>
            <w:vAlign w:val="bottom"/>
          </w:tcPr>
          <w:p>
            <w:pPr>
              <w:spacing w:after="0"/>
              <w:rPr>
                <w:sz w:val="18"/>
                <w:szCs w:val="18"/>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Class A common stock) and (ii) through their ownership of</w:t>
            </w:r>
          </w:p>
        </w:tc>
        <w:tc>
          <w:tcPr>
            <w:tcW w:w="2680" w:type="dxa"/>
            <w:vAlign w:val="bottom"/>
          </w:tcPr>
          <w:p>
            <w:pPr>
              <w:ind w:left="80"/>
              <w:spacing w:after="0"/>
              <w:rPr>
                <w:sz w:val="20"/>
                <w:szCs w:val="20"/>
                <w:color w:val="auto"/>
              </w:rPr>
            </w:pPr>
            <w:r>
              <w:rPr>
                <w:rFonts w:ascii="Arial" w:cs="Arial" w:eastAsia="Arial" w:hAnsi="Arial"/>
                <w:sz w:val="18"/>
                <w:szCs w:val="18"/>
                <w:color w:val="auto"/>
                <w:w w:val="96"/>
              </w:rPr>
              <w:t>shares of Class D common stock,</w:t>
            </w:r>
          </w:p>
        </w:tc>
      </w:tr>
      <w:tr>
        <w:trPr>
          <w:trHeight w:val="216"/>
        </w:trPr>
        <w:tc>
          <w:tcPr>
            <w:tcW w:w="220" w:type="dxa"/>
            <w:vAlign w:val="bottom"/>
          </w:tcPr>
          <w:p>
            <w:pPr>
              <w:spacing w:after="0"/>
              <w:rPr>
                <w:sz w:val="18"/>
                <w:szCs w:val="18"/>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auto"/>
              </w:rPr>
              <w:t>approximately</w:t>
            </w: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 of the combined voting power of all of Tradeweb’s common stock (or</w:t>
            </w:r>
          </w:p>
        </w:tc>
      </w:tr>
      <w:tr>
        <w:trPr>
          <w:trHeight w:val="230"/>
        </w:trPr>
        <w:tc>
          <w:tcPr>
            <w:tcW w:w="220" w:type="dxa"/>
            <w:vAlign w:val="bottom"/>
          </w:tcPr>
          <w:p>
            <w:pPr>
              <w:spacing w:after="0"/>
              <w:rPr>
                <w:sz w:val="20"/>
                <w:szCs w:val="20"/>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auto"/>
              </w:rPr>
              <w:t>approximately</w:t>
            </w: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w w:val="91"/>
              </w:rPr>
              <w:t>% if the underwriters exercise in full their option to purchase additional shares of</w:t>
            </w:r>
          </w:p>
        </w:tc>
      </w:tr>
    </w:tbl>
    <w:p>
      <w:pPr>
        <w:ind w:left="1980"/>
        <w:spacing w:after="0"/>
        <w:rPr>
          <w:sz w:val="20"/>
          <w:szCs w:val="20"/>
          <w:color w:val="auto"/>
        </w:rPr>
      </w:pPr>
      <w:r>
        <w:rPr>
          <w:rFonts w:ascii="Arial" w:cs="Arial" w:eastAsia="Arial" w:hAnsi="Arial"/>
          <w:sz w:val="18"/>
          <w:szCs w:val="18"/>
          <w:color w:val="auto"/>
        </w:rPr>
        <w:t>Class A common stock);</w:t>
      </w:r>
    </w:p>
    <w:p>
      <w:pPr>
        <w:spacing w:after="0" w:line="116" w:lineRule="exact"/>
        <w:rPr>
          <w:sz w:val="20"/>
          <w:szCs w:val="20"/>
          <w:color w:val="auto"/>
        </w:rPr>
      </w:pPr>
    </w:p>
    <w:p>
      <w:pPr>
        <w:ind w:left="1980" w:right="819" w:hanging="352"/>
        <w:spacing w:after="0" w:line="254"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following this offering, each LLC Interest held by the Continuing LLC Owners will be redeemable, at the election of such members, for newly issued shares of Class A common stock or Class B common stock on a one-for-one basis (and such holders’ shares of Class C common stock or Class D common stock, as the case may be, will be cancelled on a one-for-one basis upon any such issuance) . The Continuing LLC Owners may also from time to time exchange all or a portion of their shares of our Class D common stock for newly issued shares of Class C common stock on a one-for-one basis (in which case their shares of Class D common stock will be cancelled on a one-for-one basis upon such issuance);</w:t>
      </w:r>
    </w:p>
    <w:p>
      <w:pPr>
        <w:spacing w:after="0" w:line="97" w:lineRule="exact"/>
        <w:rPr>
          <w:rFonts w:ascii="Arial" w:cs="Arial" w:eastAsia="Arial" w:hAnsi="Arial"/>
          <w:sz w:val="18"/>
          <w:szCs w:val="18"/>
          <w:color w:val="auto"/>
        </w:rPr>
      </w:pPr>
    </w:p>
    <w:p>
      <w:pPr>
        <w:ind w:left="1980" w:right="699" w:hanging="352"/>
        <w:spacing w:after="0" w:line="272" w:lineRule="auto"/>
        <w:tabs>
          <w:tab w:leader="none" w:pos="1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 See “Certain Relationships and Related Party Transactions — TWM LLC Agreement;”</w:t>
      </w:r>
    </w:p>
    <w:p>
      <w:pPr>
        <w:spacing w:after="0" w:line="96" w:lineRule="exact"/>
        <w:rPr>
          <w:rFonts w:ascii="Arial" w:cs="Arial" w:eastAsia="Arial" w:hAnsi="Arial"/>
          <w:sz w:val="17"/>
          <w:szCs w:val="17"/>
          <w:color w:val="auto"/>
        </w:rPr>
      </w:pPr>
    </w:p>
    <w:p>
      <w:pPr>
        <w:ind w:left="1980" w:right="679" w:hanging="352"/>
        <w:spacing w:after="0" w:line="259"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Refinitiv Direct Owners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pacing w:after="0" w:line="92" w:lineRule="exact"/>
        <w:rPr>
          <w:rFonts w:ascii="Arial" w:cs="Arial" w:eastAsia="Arial" w:hAnsi="Arial"/>
          <w:sz w:val="18"/>
          <w:szCs w:val="18"/>
          <w:color w:val="auto"/>
        </w:rPr>
      </w:pPr>
    </w:p>
    <w:p>
      <w:pPr>
        <w:ind w:left="1980" w:right="719" w:hanging="352"/>
        <w:spacing w:after="0" w:line="287" w:lineRule="auto"/>
        <w:tabs>
          <w:tab w:leader="none" w:pos="1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any of its affiliates or permitted transferees, which, in the case of Class D common stock, such sale or other transfer will be limited by the transfer restrictions on LLC Interests contained in the TWM LLC Agreement or (ii) once the Refinitiv Owners and their affiliates together no longer beneficially own a number of shares of our common stock and LLC Interests that together entitle them to at least 10% of our economic interests.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w:t>
      </w:r>
    </w:p>
    <w:p>
      <w:pPr>
        <w:spacing w:after="0" w:line="64"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Immediately following this offering, Tradeweb will be a holding company whose principal asset will be the LLC Interests it acquires from certain of the Other LLC Owners using the net procceds from this offering and the LLC Interests it receives from the Refinitiv Direct Owners in exchange for shares of Class B common stock issued by us. As the sole manager of TWM LLC, we will operate and control all of the business and affairs of TWM LLC and, through TWM LLC and its subsidiaries, conduct our business. We will have the sole voting interest in, and control the management of, TWM LLC. As a result, we will consolidate TWM LLC in our consolidated financial statements and will report a non-controlling interest related to the LLC Interests held by the Continuing LLC Owners on our consolidated financial statements. Tradeweb will have a board of directors and executive officers, but will have no employees. The functions of all of our employees are expected to reside at TWM LLC and its subsidiaries.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239" w:firstLine="360"/>
        <w:spacing w:after="0" w:line="263" w:lineRule="auto"/>
        <w:rPr>
          <w:sz w:val="20"/>
          <w:szCs w:val="20"/>
          <w:color w:val="auto"/>
        </w:rPr>
      </w:pPr>
      <w:r>
        <w:rPr>
          <w:rFonts w:ascii="Arial" w:cs="Arial" w:eastAsia="Arial" w:hAnsi="Arial"/>
          <w:sz w:val="18"/>
          <w:szCs w:val="18"/>
          <w:color w:val="auto"/>
        </w:rPr>
        <w:t>The following diagram shows our organizational structure after giving effect to the Reorganization Transactions, including this offering,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48260</wp:posOffset>
            </wp:positionV>
            <wp:extent cx="5040630" cy="62064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40630"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20" w:right="799" w:hanging="352"/>
        <w:spacing w:after="0" w:line="296" w:lineRule="auto"/>
        <w:tabs>
          <w:tab w:leader="none" w:pos="1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Included among the Continuing LLC Owners is a holding vehicle to which certain members of the Company’s management team contributed the LLC Interests that they held immediately prior to this offering, and through which such executives currently hold their LLC Interests. To facilitate an executive’s sale of LLC Interests, an executive may cause the holding vehicle to distribute to that executive some or all of the LLC Interests that the executive contributed to the holding vehicle prior to this offering.</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979" w:firstLine="360"/>
        <w:spacing w:after="0" w:line="274" w:lineRule="auto"/>
        <w:rPr>
          <w:sz w:val="20"/>
          <w:szCs w:val="20"/>
          <w:color w:val="auto"/>
        </w:rPr>
      </w:pPr>
      <w:r>
        <w:rPr>
          <w:rFonts w:ascii="Arial" w:cs="Arial" w:eastAsia="Arial" w:hAnsi="Arial"/>
          <w:sz w:val="17"/>
          <w:szCs w:val="17"/>
          <w:color w:val="auto"/>
        </w:rPr>
        <w:t>We estimate that the net proceeds to us from our sale of shares of Class A common stock in this offering will be approximately $ million, based on the assumed initial public offering price of $ per</w:t>
      </w:r>
    </w:p>
    <w:p>
      <w:pPr>
        <w:ind w:left="1260" w:right="779"/>
        <w:spacing w:after="0" w:line="187" w:lineRule="auto"/>
        <w:rPr>
          <w:sz w:val="20"/>
          <w:szCs w:val="20"/>
          <w:color w:val="auto"/>
        </w:rPr>
      </w:pPr>
      <w:r>
        <w:rPr>
          <w:rFonts w:ascii="Arial" w:cs="Arial" w:eastAsia="Arial" w:hAnsi="Arial"/>
          <w:sz w:val="16"/>
          <w:szCs w:val="16"/>
          <w:color w:val="auto"/>
        </w:rPr>
        <w:t>share, which is the midpoint of the price range set forth on the cover page of this prospectus, and after deducting underwriting discounts and commissions and estimated offering expenses payable by us. If the underwriters exercise in full their option to purchase additional shares of Class A common stock, we expect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60"/>
        <w:spacing w:after="0"/>
        <w:tabs>
          <w:tab w:leader="none" w:pos="28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of net proceeds.</w:t>
      </w:r>
    </w:p>
    <w:p>
      <w:pPr>
        <w:spacing w:after="0" w:line="117" w:lineRule="exact"/>
        <w:rPr>
          <w:sz w:val="20"/>
          <w:szCs w:val="20"/>
          <w:color w:val="auto"/>
        </w:rPr>
      </w:pPr>
    </w:p>
    <w:p>
      <w:pPr>
        <w:ind w:left="1260" w:right="779" w:firstLine="360"/>
        <w:spacing w:after="0" w:line="274" w:lineRule="auto"/>
        <w:rPr>
          <w:sz w:val="20"/>
          <w:szCs w:val="20"/>
          <w:color w:val="auto"/>
        </w:rPr>
      </w:pPr>
      <w:r>
        <w:rPr>
          <w:rFonts w:ascii="Arial" w:cs="Arial" w:eastAsia="Arial" w:hAnsi="Arial"/>
          <w:sz w:val="17"/>
          <w:szCs w:val="17"/>
          <w:color w:val="auto"/>
        </w:rPr>
        <w:t>We intend to use the net proceeds to us from this offering to purchase issued and outstanding LLC Interests from certain of the Other LLC Owners (or LLC Interests if the underwriters exercise in full their</w:t>
      </w:r>
    </w:p>
    <w:p>
      <w:pPr>
        <w:ind w:left="1260" w:right="699"/>
        <w:spacing w:after="0" w:line="255" w:lineRule="auto"/>
        <w:rPr>
          <w:sz w:val="20"/>
          <w:szCs w:val="20"/>
          <w:color w:val="auto"/>
        </w:rPr>
      </w:pPr>
      <w:r>
        <w:rPr>
          <w:rFonts w:ascii="Arial" w:cs="Arial" w:eastAsia="Arial" w:hAnsi="Arial"/>
          <w:sz w:val="18"/>
          <w:szCs w:val="18"/>
          <w:color w:val="auto"/>
        </w:rPr>
        <w:t>option to purchase additional shares of Class A common stock), at a purchase price per interest equal to the initial public offering price per share of Class A common stock, less the underwriting discounts and commissions payable thereon.</w:t>
      </w:r>
    </w:p>
    <w:p>
      <w:pPr>
        <w:spacing w:after="0" w:line="82"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price range set forth on the cover page of this prospectus, would increase (decrease) the net proceeds to us</w:t>
      </w:r>
    </w:p>
    <w:p>
      <w:pPr>
        <w:ind w:left="1260" w:right="699"/>
        <w:spacing w:after="0" w:line="281" w:lineRule="auto"/>
        <w:rPr>
          <w:sz w:val="20"/>
          <w:szCs w:val="20"/>
          <w:color w:val="auto"/>
        </w:rPr>
      </w:pPr>
      <w:r>
        <w:rPr>
          <w:rFonts w:ascii="Arial" w:cs="Arial" w:eastAsia="Arial" w:hAnsi="Arial"/>
          <w:sz w:val="16"/>
          <w:szCs w:val="16"/>
          <w:color w:val="auto"/>
        </w:rPr>
        <w:t>from this offering by approximately $ million, assuming the number of shares offered by us, as set forth on the cover page of this prospectus, remains the same, and after deducting underwriting discounts and commissions payable by us. Each increase (decrease) of 1.0 million shares in the number of shares sold by us in this offering, as set forth on the cover page of this prospectus, would increase (decrease) the net proceeds to us from this</w:t>
      </w:r>
    </w:p>
    <w:p>
      <w:pPr>
        <w:spacing w:after="0" w:line="2"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offering by approximately $ million, assuming the assumed initial public offering price of $ per share, the midpoint of the price range set forth on the cover page of this prospectus, remains the same, and after deducting underwriting discounts and commissions payable by us. The information discussed above is illustrative only and will adjust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6"/>
          <w:szCs w:val="16"/>
          <w:color w:val="auto"/>
        </w:rPr>
        <w:t>We do not currently expect to pay any cash dividends on our Class A common stock or Class B common stock for the foreseeable future. Instead, we intend to retain future earnings, if any, for the future operation and expansion of our business.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 Because our business is conducted through our subsidiaries, dividends, distributions and other payments from, and cash generated by, our subsidiaries will be our principal sources of cash to fund operations and pay dividends. Accordingly, our ability to pay dividends to our stockholders is dependent on the earnings and distributions of funds from our subsidiaries. Our ability to pay dividends may also be restricted by the terms of any future credit agreement or any future debt or preferred equity securities of Tradeweb or its subsidiaries. See “Risk Factors — Risks Relating to the Company and Our Organizational Structure — Our principal asset after the completion of this offering will be our interest in TWM LLC, and, accordingly, we will depend on distributions from TWM LLC to pay our taxes and expenses” and “Risk Factors — Risks Relating to This Offering and Ownership of our Class A Common Stock — We do not currently expect to pay any cash dividends.”</w:t>
      </w:r>
    </w:p>
    <w:p>
      <w:pPr>
        <w:spacing w:after="0" w:line="63"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In February, June and September 2018, Tradeweb Markets LLC made cash distributions to its equityholders in aggregate amounts of $25.0 million, $55.0 million and $59.4 million, respectively.</w:t>
      </w:r>
    </w:p>
    <w:p>
      <w:pPr>
        <w:spacing w:after="0" w:line="62" w:lineRule="exact"/>
        <w:rPr>
          <w:sz w:val="20"/>
          <w:szCs w:val="20"/>
          <w:color w:val="auto"/>
        </w:rPr>
      </w:pPr>
    </w:p>
    <w:p>
      <w:pPr>
        <w:ind w:left="1260" w:right="1339" w:firstLine="360"/>
        <w:spacing w:after="0" w:line="263" w:lineRule="auto"/>
        <w:rPr>
          <w:sz w:val="20"/>
          <w:szCs w:val="20"/>
          <w:color w:val="auto"/>
        </w:rPr>
      </w:pPr>
      <w:r>
        <w:rPr>
          <w:rFonts w:ascii="Arial" w:cs="Arial" w:eastAsia="Arial" w:hAnsi="Arial"/>
          <w:sz w:val="18"/>
          <w:szCs w:val="18"/>
          <w:color w:val="auto"/>
        </w:rPr>
        <w:t>In March, June, August and November 2017, Tradeweb Markets LLC made cash distributions to its equityholders in aggregate amounts of $20.0 million, $50.0 million, $45.0 million and $37.0 million, respectively.</w:t>
      </w:r>
    </w:p>
    <w:p>
      <w:pPr>
        <w:spacing w:after="0" w:line="76" w:lineRule="exact"/>
        <w:rPr>
          <w:sz w:val="20"/>
          <w:szCs w:val="20"/>
          <w:color w:val="auto"/>
        </w:rPr>
      </w:pPr>
    </w:p>
    <w:p>
      <w:pPr>
        <w:ind w:left="1260" w:right="1259" w:firstLine="360"/>
        <w:spacing w:after="0" w:line="263" w:lineRule="auto"/>
        <w:rPr>
          <w:sz w:val="20"/>
          <w:szCs w:val="20"/>
          <w:color w:val="auto"/>
        </w:rPr>
      </w:pPr>
      <w:r>
        <w:rPr>
          <w:rFonts w:ascii="Arial" w:cs="Arial" w:eastAsia="Arial" w:hAnsi="Arial"/>
          <w:sz w:val="18"/>
          <w:szCs w:val="18"/>
          <w:color w:val="auto"/>
        </w:rPr>
        <w:t>In February, May, August and November 2016, Tradeweb Markets LLC made cash distribution to its equityholders in aggregate amounts of $20.0 million, $45.0 million, $35.0 million and $30.0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 following table sets forth the cash and cash equivalents and the total capitalization as of December 31, 2017:</w:t>
      </w:r>
    </w:p>
    <w:p>
      <w:pPr>
        <w:spacing w:after="0" w:line="103" w:lineRule="exact"/>
        <w:rPr>
          <w:sz w:val="20"/>
          <w:szCs w:val="20"/>
          <w:color w:val="auto"/>
        </w:rPr>
      </w:pPr>
    </w:p>
    <w:p>
      <w:pPr>
        <w:ind w:left="1980" w:hanging="352"/>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 Tradeweb Markets LLC and its subsidiaries on an actual basis; and</w:t>
      </w:r>
    </w:p>
    <w:p>
      <w:pPr>
        <w:spacing w:after="0" w:line="157" w:lineRule="exact"/>
        <w:rPr>
          <w:rFonts w:ascii="Arial" w:cs="Arial" w:eastAsia="Arial" w:hAnsi="Arial"/>
          <w:sz w:val="18"/>
          <w:szCs w:val="18"/>
          <w:color w:val="auto"/>
        </w:rPr>
      </w:pPr>
    </w:p>
    <w:p>
      <w:pPr>
        <w:jc w:val="both"/>
        <w:ind w:left="1980" w:right="779" w:hanging="352"/>
        <w:spacing w:after="0" w:line="291" w:lineRule="auto"/>
        <w:tabs>
          <w:tab w:leader="none" w:pos="1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of Tradeweb Markets Inc. and its subsidiaries on a pro forma basis to give effect to the Reorganization Transactions, including our issuance and sale of shares of Class A common stock in this offering at an</w:t>
      </w:r>
    </w:p>
    <w:p>
      <w:pPr>
        <w:ind w:left="1980" w:right="679"/>
        <w:spacing w:after="0" w:line="253" w:lineRule="auto"/>
        <w:rPr>
          <w:rFonts w:ascii="Arial" w:cs="Arial" w:eastAsia="Arial" w:hAnsi="Arial"/>
          <w:sz w:val="16"/>
          <w:szCs w:val="16"/>
          <w:color w:val="auto"/>
        </w:rPr>
      </w:pPr>
      <w:r>
        <w:rPr>
          <w:rFonts w:ascii="Arial" w:cs="Arial" w:eastAsia="Arial" w:hAnsi="Arial"/>
          <w:sz w:val="18"/>
          <w:szCs w:val="18"/>
          <w:color w:val="auto"/>
        </w:rPr>
        <w:t>assumed initial public offering price of $ per share, the midpoint of the price range set forth on the cover page of this prospectus, after (i) deducting the estimated underwriting discounts and commissions and estimated offering expenses payable by us and (ii) the application of the proceeds from this offering, each as described under “Use of Proceeds.”</w:t>
      </w:r>
    </w:p>
    <w:p>
      <w:pPr>
        <w:spacing w:after="0" w:line="85" w:lineRule="exact"/>
        <w:rPr>
          <w:sz w:val="20"/>
          <w:szCs w:val="20"/>
          <w:color w:val="auto"/>
        </w:rPr>
      </w:pPr>
    </w:p>
    <w:p>
      <w:pPr>
        <w:ind w:left="1260" w:right="959" w:firstLine="360"/>
        <w:spacing w:after="0" w:line="275" w:lineRule="auto"/>
        <w:rPr>
          <w:sz w:val="20"/>
          <w:szCs w:val="20"/>
          <w:color w:val="auto"/>
        </w:rPr>
      </w:pPr>
      <w:r>
        <w:rPr>
          <w:rFonts w:ascii="Arial" w:cs="Arial" w:eastAsia="Arial" w:hAnsi="Arial"/>
          <w:sz w:val="17"/>
          <w:szCs w:val="17"/>
          <w:color w:val="auto"/>
        </w:rPr>
        <w:t>For more information, please see “The Reorganization Transactions,” “Use of Proceeds” and “Unaudited Pro Forma Consolidated Financial Information.” You should read this information in conjunction with our consolidated financial statements and related notes thereto included elsewhere in this prospectus and the “Management’s Discussion and Analysis of Financial Condition and Results of Operations” section and other financial information contained in this prospectus.</w:t>
      </w:r>
    </w:p>
    <w:p>
      <w:pPr>
        <w:spacing w:after="0" w:line="8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As of December 31, 2017</w:t>
            </w: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Historical</w:t>
            </w: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Tradeweb</w:t>
            </w:r>
          </w:p>
        </w:tc>
        <w:tc>
          <w:tcPr>
            <w:tcW w:w="13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Tradeweb</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jc w:val="center"/>
              <w:ind w:right="600"/>
              <w:spacing w:after="0" w:line="158" w:lineRule="exact"/>
              <w:rPr>
                <w:sz w:val="20"/>
                <w:szCs w:val="20"/>
                <w:color w:val="auto"/>
              </w:rPr>
            </w:pPr>
            <w:r>
              <w:rPr>
                <w:rFonts w:ascii="Arial" w:cs="Arial" w:eastAsia="Arial" w:hAnsi="Arial"/>
                <w:sz w:val="14"/>
                <w:szCs w:val="14"/>
                <w:b w:val="1"/>
                <w:bCs w:val="1"/>
                <w:color w:val="auto"/>
                <w:w w:val="98"/>
              </w:rPr>
              <w:t>Markets</w:t>
            </w:r>
          </w:p>
        </w:tc>
        <w:tc>
          <w:tcPr>
            <w:tcW w:w="134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Markets</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rPr>
              <w:t>LLC</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440"/>
              <w:spacing w:after="0" w:line="230" w:lineRule="exact"/>
              <w:rPr>
                <w:sz w:val="20"/>
                <w:szCs w:val="20"/>
                <w:color w:val="auto"/>
              </w:rPr>
            </w:pPr>
            <w:r>
              <w:rPr>
                <w:rFonts w:ascii="Arial" w:cs="Arial" w:eastAsia="Arial" w:hAnsi="Arial"/>
                <w:sz w:val="14"/>
                <w:szCs w:val="14"/>
                <w:b w:val="1"/>
                <w:bCs w:val="1"/>
                <w:color w:val="auto"/>
                <w:w w:val="87"/>
              </w:rPr>
              <w:t>Inc.</w:t>
            </w:r>
            <w:r>
              <w:rPr>
                <w:rFonts w:ascii="Arial" w:cs="Arial" w:eastAsia="Arial" w:hAnsi="Arial"/>
                <w:sz w:val="21"/>
                <w:szCs w:val="21"/>
                <w:b w:val="1"/>
                <w:bCs w:val="1"/>
                <w:color w:val="auto"/>
                <w:w w:val="87"/>
                <w:vertAlign w:val="superscript"/>
              </w:rPr>
              <w:t>(1)</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9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0" w:type="dxa"/>
            <w:vAlign w:val="bottom"/>
          </w:tcPr>
          <w:p>
            <w:pPr>
              <w:spacing w:after="0"/>
              <w:rPr>
                <w:sz w:val="1"/>
                <w:szCs w:val="1"/>
                <w:color w:val="auto"/>
              </w:rPr>
            </w:pPr>
          </w:p>
        </w:tc>
      </w:tr>
      <w:tr>
        <w:trPr>
          <w:trHeight w:val="277"/>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$ 352,598</w:t>
            </w: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Members’ capital/stockholders’ equity:</w:t>
            </w:r>
          </w:p>
        </w:tc>
        <w:tc>
          <w:tcPr>
            <w:tcW w:w="1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80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Members’ capital</w:t>
            </w: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$ 999,735</w:t>
            </w:r>
          </w:p>
        </w:tc>
        <w:tc>
          <w:tcPr>
            <w:tcW w:w="2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0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Pr>
          <w:p>
            <w:pPr>
              <w:spacing w:after="0"/>
              <w:rPr>
                <w:sz w:val="23"/>
                <w:szCs w:val="23"/>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(13,267)</w:t>
            </w: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3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Class A common stock, par value $0.01 per share; no shares</w:t>
            </w: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w:t>
            </w:r>
          </w:p>
        </w:tc>
        <w:tc>
          <w:tcPr>
            <w:tcW w:w="3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issued and outstanding, pro forma</w:t>
            </w:r>
          </w:p>
        </w:tc>
        <w:tc>
          <w:tcPr>
            <w:tcW w:w="3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00" w:type="dxa"/>
            <w:vAlign w:val="bottom"/>
            <w:gridSpan w:val="4"/>
          </w:tcPr>
          <w:p>
            <w:pPr>
              <w:ind w:left="180"/>
              <w:spacing w:after="0"/>
              <w:rPr>
                <w:sz w:val="20"/>
                <w:szCs w:val="20"/>
                <w:color w:val="auto"/>
              </w:rPr>
            </w:pPr>
            <w:r>
              <w:rPr>
                <w:rFonts w:ascii="Arial" w:cs="Arial" w:eastAsia="Arial" w:hAnsi="Arial"/>
                <w:sz w:val="18"/>
                <w:szCs w:val="18"/>
                <w:color w:val="auto"/>
              </w:rPr>
              <w:t>Class B common stock, par value $0.01 per share; no shares</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500" w:type="dxa"/>
            <w:vAlign w:val="bottom"/>
          </w:tcPr>
          <w:p>
            <w:pPr>
              <w:ind w:left="26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Pr>
          <w:p>
            <w:pPr>
              <w:ind w:left="360"/>
              <w:spacing w:after="0"/>
              <w:rPr>
                <w:sz w:val="20"/>
                <w:szCs w:val="20"/>
                <w:color w:val="auto"/>
              </w:rPr>
            </w:pPr>
            <w:r>
              <w:rPr>
                <w:rFonts w:ascii="Arial" w:cs="Arial" w:eastAsia="Arial" w:hAnsi="Arial"/>
                <w:sz w:val="18"/>
                <w:szCs w:val="18"/>
                <w:color w:val="auto"/>
              </w:rPr>
              <w:t>authorized,</w:t>
            </w:r>
          </w:p>
        </w:tc>
        <w:tc>
          <w:tcPr>
            <w:tcW w:w="3680" w:type="dxa"/>
            <w:vAlign w:val="bottom"/>
            <w:gridSpan w:val="3"/>
          </w:tcPr>
          <w:p>
            <w:pPr>
              <w:ind w:left="180"/>
              <w:spacing w:after="0"/>
              <w:rPr>
                <w:sz w:val="20"/>
                <w:szCs w:val="20"/>
                <w:color w:val="auto"/>
              </w:rPr>
            </w:pPr>
            <w:r>
              <w:rPr>
                <w:rFonts w:ascii="Arial" w:cs="Arial" w:eastAsia="Arial" w:hAnsi="Arial"/>
                <w:sz w:val="18"/>
                <w:szCs w:val="18"/>
                <w:color w:val="auto"/>
              </w:rPr>
              <w:t>issued and outstanding, pro forma</w:t>
            </w:r>
          </w:p>
        </w:tc>
        <w:tc>
          <w:tcPr>
            <w:tcW w:w="300" w:type="dxa"/>
            <w:vAlign w:val="bottom"/>
          </w:tcPr>
          <w:p>
            <w:pPr>
              <w:spacing w:after="0"/>
              <w:rPr>
                <w:sz w:val="20"/>
                <w:szCs w:val="20"/>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Class C common stock, par value $0.01 per share; no shares</w:t>
            </w: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authorized, no shares issued and outstanding, pro forma</w:t>
            </w:r>
          </w:p>
        </w:tc>
        <w:tc>
          <w:tcPr>
            <w:tcW w:w="3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300" w:type="dxa"/>
            <w:vAlign w:val="bottom"/>
            <w:gridSpan w:val="4"/>
          </w:tcPr>
          <w:p>
            <w:pPr>
              <w:ind w:left="180"/>
              <w:spacing w:after="0"/>
              <w:rPr>
                <w:sz w:val="20"/>
                <w:szCs w:val="20"/>
                <w:color w:val="auto"/>
              </w:rPr>
            </w:pPr>
            <w:r>
              <w:rPr>
                <w:rFonts w:ascii="Arial" w:cs="Arial" w:eastAsia="Arial" w:hAnsi="Arial"/>
                <w:sz w:val="18"/>
                <w:szCs w:val="18"/>
                <w:color w:val="auto"/>
              </w:rPr>
              <w:t>Class D common stock, par value $0.01 per share; no shares</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ind w:left="360"/>
              <w:spacing w:after="0"/>
              <w:rPr>
                <w:sz w:val="20"/>
                <w:szCs w:val="20"/>
                <w:color w:val="auto"/>
              </w:rPr>
            </w:pPr>
            <w:r>
              <w:rPr>
                <w:rFonts w:ascii="Arial" w:cs="Arial" w:eastAsia="Arial" w:hAnsi="Arial"/>
                <w:sz w:val="18"/>
                <w:szCs w:val="18"/>
                <w:color w:val="auto"/>
                <w:w w:val="99"/>
              </w:rPr>
              <w:t>authorized, issued and outstanding, actual;</w:t>
            </w:r>
          </w:p>
        </w:tc>
        <w:tc>
          <w:tcPr>
            <w:tcW w:w="1500" w:type="dxa"/>
            <w:vAlign w:val="bottom"/>
          </w:tcPr>
          <w:p>
            <w:pPr>
              <w:ind w:left="26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Pr>
          <w:p>
            <w:pPr>
              <w:ind w:left="360"/>
              <w:spacing w:after="0"/>
              <w:rPr>
                <w:sz w:val="20"/>
                <w:szCs w:val="20"/>
                <w:color w:val="auto"/>
              </w:rPr>
            </w:pPr>
            <w:r>
              <w:rPr>
                <w:rFonts w:ascii="Arial" w:cs="Arial" w:eastAsia="Arial" w:hAnsi="Arial"/>
                <w:sz w:val="18"/>
                <w:szCs w:val="18"/>
                <w:color w:val="auto"/>
              </w:rPr>
              <w:t>authorized,</w:t>
            </w:r>
          </w:p>
        </w:tc>
        <w:tc>
          <w:tcPr>
            <w:tcW w:w="3680" w:type="dxa"/>
            <w:vAlign w:val="bottom"/>
            <w:gridSpan w:val="3"/>
          </w:tcPr>
          <w:p>
            <w:pPr>
              <w:ind w:left="180"/>
              <w:spacing w:after="0"/>
              <w:rPr>
                <w:sz w:val="20"/>
                <w:szCs w:val="20"/>
                <w:color w:val="auto"/>
              </w:rPr>
            </w:pPr>
            <w:r>
              <w:rPr>
                <w:rFonts w:ascii="Arial" w:cs="Arial" w:eastAsia="Arial" w:hAnsi="Arial"/>
                <w:sz w:val="18"/>
                <w:szCs w:val="18"/>
                <w:color w:val="auto"/>
              </w:rPr>
              <w:t>issued and outstanding, pro forma</w:t>
            </w:r>
          </w:p>
        </w:tc>
        <w:tc>
          <w:tcPr>
            <w:tcW w:w="300" w:type="dxa"/>
            <w:vAlign w:val="bottom"/>
          </w:tcPr>
          <w:p>
            <w:pPr>
              <w:spacing w:after="0"/>
              <w:rPr>
                <w:sz w:val="20"/>
                <w:szCs w:val="20"/>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00" w:type="dxa"/>
            <w:vAlign w:val="bottom"/>
            <w:gridSpan w:val="4"/>
          </w:tcPr>
          <w:p>
            <w:pPr>
              <w:ind w:left="180"/>
              <w:spacing w:after="0"/>
              <w:rPr>
                <w:sz w:val="20"/>
                <w:szCs w:val="20"/>
                <w:color w:val="auto"/>
              </w:rPr>
            </w:pPr>
            <w:r>
              <w:rPr>
                <w:rFonts w:ascii="Arial" w:cs="Arial" w:eastAsia="Arial" w:hAnsi="Arial"/>
                <w:sz w:val="18"/>
                <w:szCs w:val="18"/>
                <w:color w:val="auto"/>
              </w:rPr>
              <w:t>Total stockholders’ equity attributable to Tradeweb Markets Inc.</w:t>
            </w:r>
          </w:p>
        </w:tc>
        <w:tc>
          <w:tcPr>
            <w:tcW w:w="300" w:type="dxa"/>
            <w:vAlign w:val="bottom"/>
          </w:tcPr>
          <w:p>
            <w:pPr>
              <w:spacing w:after="0"/>
              <w:rPr>
                <w:sz w:val="24"/>
                <w:szCs w:val="24"/>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r>
              <w:rPr>
                <w:rFonts w:ascii="Arial" w:cs="Arial" w:eastAsia="Arial" w:hAnsi="Arial"/>
                <w:sz w:val="26"/>
                <w:szCs w:val="26"/>
                <w:color w:val="auto"/>
                <w:vertAlign w:val="superscript"/>
              </w:rPr>
              <w:t>(2)</w:t>
            </w:r>
          </w:p>
        </w:tc>
        <w:tc>
          <w:tcPr>
            <w:tcW w:w="1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800" w:type="dxa"/>
            <w:vAlign w:val="bottom"/>
            <w:gridSpan w:val="3"/>
          </w:tcPr>
          <w:p>
            <w:pPr>
              <w:ind w:left="360"/>
              <w:spacing w:after="0"/>
              <w:rPr>
                <w:sz w:val="20"/>
                <w:szCs w:val="20"/>
                <w:color w:val="auto"/>
              </w:rPr>
            </w:pPr>
            <w:r>
              <w:rPr>
                <w:rFonts w:ascii="Arial" w:cs="Arial" w:eastAsia="Arial" w:hAnsi="Arial"/>
                <w:sz w:val="18"/>
                <w:szCs w:val="18"/>
                <w:color w:val="auto"/>
                <w:w w:val="99"/>
              </w:rPr>
              <w:t>Total members’ capital/stockholders’ equity</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986,468</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986,468</w:t>
            </w: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-385445</wp:posOffset>
            </wp:positionV>
            <wp:extent cx="52120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-3805555</wp:posOffset>
            </wp:positionV>
            <wp:extent cx="1714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41" w:lineRule="exact"/>
        <w:rPr>
          <w:sz w:val="20"/>
          <w:szCs w:val="20"/>
          <w:color w:val="auto"/>
        </w:rPr>
      </w:pPr>
    </w:p>
    <w:p>
      <w:pPr>
        <w:jc w:val="both"/>
        <w:ind w:left="1620" w:right="679" w:hanging="359"/>
        <w:spacing w:after="0" w:line="287" w:lineRule="auto"/>
        <w:tabs>
          <w:tab w:leader="none" w:pos="1600" w:val="left"/>
        </w:tabs>
        <w:rPr>
          <w:sz w:val="20"/>
          <w:szCs w:val="20"/>
          <w:color w:val="auto"/>
        </w:rPr>
      </w:pPr>
      <w:r>
        <w:rPr>
          <w:rFonts w:ascii="Arial" w:cs="Arial" w:eastAsia="Arial" w:hAnsi="Arial"/>
          <w:sz w:val="16"/>
          <w:szCs w:val="16"/>
          <w:color w:val="auto"/>
        </w:rPr>
        <w:t>(1)</w:t>
        <w:tab/>
        <w:t>Each $1.00 increase (decrease) in the assumed initial public offering price of $ per share, the midpoint of the price range set forth on the cover page of this prospectus, would increase (decrease) each of additional paid-in-capital, total stockholders’ equity and total capitalization on a pro forma basis by approximately</w:t>
      </w:r>
    </w:p>
    <w:p>
      <w:pPr>
        <w:spacing w:after="0" w:line="2" w:lineRule="exact"/>
        <w:rPr>
          <w:sz w:val="20"/>
          <w:szCs w:val="20"/>
          <w:color w:val="auto"/>
        </w:rPr>
      </w:pPr>
    </w:p>
    <w:p>
      <w:pPr>
        <w:ind w:left="2080" w:hanging="452"/>
        <w:spacing w:after="0"/>
        <w:tabs>
          <w:tab w:leader="none" w:pos="2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assuming the number of shares of common stock offered by us, as set</w:t>
      </w:r>
    </w:p>
    <w:p>
      <w:pPr>
        <w:sectPr>
          <w:pgSz w:w="11900" w:h="16838" w:orient="portrait"/>
          <w:cols w:equalWidth="0" w:num="1">
            <w:col w:w="10139"/>
          </w:cols>
          <w:pgMar w:left="320" w:top="132" w:right="1440" w:bottom="1440" w:gutter="0" w:footer="0" w:header="0"/>
        </w:sectPr>
      </w:pPr>
    </w:p>
    <w:p>
      <w:pPr>
        <w:spacing w:after="0" w:line="27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699"/>
        <w:spacing w:after="0" w:line="286" w:lineRule="auto"/>
        <w:rPr>
          <w:sz w:val="20"/>
          <w:szCs w:val="20"/>
          <w:color w:val="auto"/>
        </w:rPr>
      </w:pPr>
      <w:r>
        <w:rPr>
          <w:rFonts w:ascii="Arial" w:cs="Arial" w:eastAsia="Arial" w:hAnsi="Arial"/>
          <w:sz w:val="16"/>
          <w:szCs w:val="16"/>
          <w:color w:val="auto"/>
        </w:rPr>
        <w:t>forth on the cover page of this prospectus, remains the same, and after deducting underwriting discounts and commissions payable by us. Each increase (decrease) of 1.0 million shares in the number of shares of common stock sold in this offering by us, as set forth on the cover page of this prospectus, would increase (decrease) each of additional paid-in-capital, total stockholders’ equity and total capitalization on a</w:t>
      </w:r>
    </w:p>
    <w:p>
      <w:pPr>
        <w:spacing w:after="0" w:line="1" w:lineRule="exact"/>
        <w:rPr>
          <w:sz w:val="20"/>
          <w:szCs w:val="20"/>
          <w:color w:val="auto"/>
        </w:rPr>
      </w:pPr>
    </w:p>
    <w:p>
      <w:pPr>
        <w:ind w:left="1620" w:right="919"/>
        <w:spacing w:after="0" w:line="255" w:lineRule="auto"/>
        <w:rPr>
          <w:sz w:val="20"/>
          <w:szCs w:val="20"/>
          <w:color w:val="auto"/>
        </w:rPr>
      </w:pPr>
      <w:r>
        <w:rPr>
          <w:rFonts w:ascii="Arial" w:cs="Arial" w:eastAsia="Arial" w:hAnsi="Arial"/>
          <w:sz w:val="18"/>
          <w:szCs w:val="18"/>
          <w:color w:val="auto"/>
        </w:rPr>
        <w:t>pro forma basis by approximately $ , assuming an initial public offering price of $ per share, the midpoint of the price range set forth on the cover page of this prospectus, remains the same, and after deducting underwriting discounts and commissions payable by us.</w:t>
      </w:r>
    </w:p>
    <w:p>
      <w:pPr>
        <w:spacing w:after="0" w:line="163" w:lineRule="exact"/>
        <w:rPr>
          <w:sz w:val="20"/>
          <w:szCs w:val="20"/>
          <w:color w:val="auto"/>
        </w:rPr>
      </w:pPr>
    </w:p>
    <w:p>
      <w:pPr>
        <w:ind w:left="1620" w:right="719" w:hanging="359"/>
        <w:spacing w:after="0" w:line="257" w:lineRule="auto"/>
        <w:tabs>
          <w:tab w:leader="none" w:pos="1600" w:val="left"/>
        </w:tabs>
        <w:rPr>
          <w:sz w:val="20"/>
          <w:szCs w:val="20"/>
          <w:color w:val="auto"/>
        </w:rPr>
      </w:pPr>
      <w:r>
        <w:rPr>
          <w:rFonts w:ascii="Arial" w:cs="Arial" w:eastAsia="Arial" w:hAnsi="Arial"/>
          <w:sz w:val="18"/>
          <w:szCs w:val="18"/>
          <w:color w:val="auto"/>
        </w:rPr>
        <w:t>(2)</w:t>
        <w:tab/>
        <w:t>On a pro forma basis, includes the LLC Interests not owned by us, which represents % of TWM LLC’s outstanding common equity. The Refinitiv LLC Owners and the Other LLC Owners will hold the non-controlling interests in TWM LLC. Tradeweb will hold % of the economic interests in TWM LLC, the Refinitiv LLC Owners will hold % of the economic interests in TWM LLC and the Other LLC Owners will hold % of the economic interests in TWM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color w:val="auto"/>
        </w:rPr>
        <w:t>The Continuing LLC Owners will maintain their LLC Interests in TWM LLC after the Reorganization Transactions. Because the Continuing LLC Owners do not own any Class A common stock or have any right to receive distributions from Tradeweb, we have presented dilution in pro forma net tangible book value per share assuming that all of the holders of LLC Interests (other than Tradeweb) had their LLC Interests redeemed for newly issued shares of Class A common stock or Class B common stock on a one-for-one basis (rather than for cash) and the cancellation for no consideration of all of their shares of Class D common stock (which are not entitled to receive distributions or dividends, whether cash or stock, from Tradeweb) in order to more meaningfully present the dilutive impact on the investors in this offering. We refer to the assumed redemption of all LLC Interests as described in the previous sentence as the “Assumed Redemption.”</w:t>
      </w:r>
    </w:p>
    <w:p>
      <w:pPr>
        <w:spacing w:after="0" w:line="58" w:lineRule="exact"/>
        <w:rPr>
          <w:sz w:val="20"/>
          <w:szCs w:val="20"/>
          <w:color w:val="auto"/>
        </w:rPr>
      </w:pPr>
    </w:p>
    <w:p>
      <w:pPr>
        <w:jc w:val="both"/>
        <w:ind w:left="1260" w:right="1019" w:firstLine="360"/>
        <w:spacing w:after="0" w:line="286" w:lineRule="auto"/>
        <w:rPr>
          <w:sz w:val="20"/>
          <w:szCs w:val="20"/>
          <w:color w:val="auto"/>
        </w:rPr>
      </w:pPr>
      <w:r>
        <w:rPr>
          <w:rFonts w:ascii="Arial" w:cs="Arial" w:eastAsia="Arial" w:hAnsi="Arial"/>
          <w:sz w:val="17"/>
          <w:szCs w:val="17"/>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57"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Pro forma net tangible book value per share is determined at any date by dividing our pro forma net tangible book value, which is total tangible assets less total liabilities, by the number of shares of common stock outstanding, after giving effect to the Reorganization Transactions, including this offering, and the Assumed Redemption. Our pro forma net tangible book value as of December 31, 2017 after this offering, would have been</w:t>
      </w:r>
    </w:p>
    <w:p>
      <w:pPr>
        <w:spacing w:after="0" w:line="1" w:lineRule="exact"/>
        <w:rPr>
          <w:sz w:val="20"/>
          <w:szCs w:val="20"/>
          <w:color w:val="auto"/>
        </w:rPr>
      </w:pPr>
    </w:p>
    <w:p>
      <w:pPr>
        <w:ind w:left="1260"/>
        <w:spacing w:after="0"/>
        <w:tabs>
          <w:tab w:leader="none" w:pos="2820" w:val="left"/>
          <w:tab w:leader="none" w:pos="41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per share. This amount represents an immediate increase in pro forma net</w:t>
      </w:r>
    </w:p>
    <w:p>
      <w:pPr>
        <w:spacing w:after="0" w:line="9" w:lineRule="exact"/>
        <w:rPr>
          <w:sz w:val="20"/>
          <w:szCs w:val="20"/>
          <w:color w:val="auto"/>
        </w:rPr>
      </w:pPr>
    </w:p>
    <w:p>
      <w:pPr>
        <w:ind w:left="1260"/>
        <w:spacing w:after="0"/>
        <w:tabs>
          <w:tab w:leader="none" w:pos="3440" w:val="left"/>
        </w:tabs>
        <w:rPr>
          <w:sz w:val="20"/>
          <w:szCs w:val="20"/>
          <w:color w:val="auto"/>
        </w:rPr>
      </w:pPr>
      <w:r>
        <w:rPr>
          <w:rFonts w:ascii="Arial" w:cs="Arial" w:eastAsia="Arial" w:hAnsi="Arial"/>
          <w:sz w:val="18"/>
          <w:szCs w:val="18"/>
          <w:color w:val="auto"/>
        </w:rPr>
        <w:t>tangible book value of $</w:t>
      </w:r>
      <w:r>
        <w:rPr>
          <w:sz w:val="20"/>
          <w:szCs w:val="20"/>
          <w:color w:val="auto"/>
        </w:rPr>
        <w:tab/>
      </w:r>
      <w:r>
        <w:rPr>
          <w:rFonts w:ascii="Arial" w:cs="Arial" w:eastAsia="Arial" w:hAnsi="Arial"/>
          <w:sz w:val="16"/>
          <w:szCs w:val="16"/>
          <w:color w:val="auto"/>
        </w:rPr>
        <w:t>per share to our existing stockholders and an immediate dilution in pro forma net</w:t>
      </w:r>
    </w:p>
    <w:p>
      <w:pPr>
        <w:spacing w:after="0" w:line="9" w:lineRule="exact"/>
        <w:rPr>
          <w:sz w:val="20"/>
          <w:szCs w:val="20"/>
          <w:color w:val="auto"/>
        </w:rPr>
      </w:pPr>
    </w:p>
    <w:p>
      <w:pPr>
        <w:ind w:left="1260" w:right="799"/>
        <w:spacing w:after="0" w:line="277" w:lineRule="auto"/>
        <w:rPr>
          <w:sz w:val="20"/>
          <w:szCs w:val="20"/>
          <w:color w:val="auto"/>
        </w:rPr>
      </w:pPr>
      <w:r>
        <w:rPr>
          <w:rFonts w:ascii="Arial" w:cs="Arial" w:eastAsia="Arial" w:hAnsi="Arial"/>
          <w:sz w:val="17"/>
          <w:szCs w:val="17"/>
          <w:color w:val="auto"/>
        </w:rPr>
        <w:t>tangible book value of approximately $ per share to new investors purchasing shares of Class A common stock in this offering. We determine dilution by subtracting the pro forma net tangible book value per share after this offering from the amount of cash that a new investor paid for a share of Class A common stock.</w:t>
      </w:r>
    </w:p>
    <w:p>
      <w:pPr>
        <w:spacing w:after="0" w:line="65"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Assumed initial public offering price per share</w:t>
            </w:r>
          </w:p>
        </w:tc>
        <w:tc>
          <w:tcPr>
            <w:tcW w:w="11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7060" w:type="dxa"/>
            <w:vAlign w:val="bottom"/>
            <w:gridSpan w:val="2"/>
          </w:tcPr>
          <w:p>
            <w:pPr>
              <w:ind w:left="180"/>
              <w:spacing w:after="0" w:line="283" w:lineRule="exact"/>
              <w:rPr>
                <w:sz w:val="20"/>
                <w:szCs w:val="20"/>
                <w:color w:val="auto"/>
              </w:rPr>
            </w:pPr>
            <w:r>
              <w:rPr>
                <w:rFonts w:ascii="Arial" w:cs="Arial" w:eastAsia="Arial" w:hAnsi="Arial"/>
                <w:sz w:val="18"/>
                <w:szCs w:val="18"/>
                <w:color w:val="auto"/>
                <w:w w:val="93"/>
              </w:rPr>
              <w:t>Pro forma net tangible book value per share as of December 31, 2017 before this offering</w:t>
            </w:r>
            <w:r>
              <w:rPr>
                <w:rFonts w:ascii="Arial" w:cs="Arial" w:eastAsia="Arial" w:hAnsi="Arial"/>
                <w:sz w:val="26"/>
                <w:szCs w:val="26"/>
                <w:color w:val="auto"/>
                <w:w w:val="93"/>
                <w:vertAlign w:val="superscript"/>
              </w:rPr>
              <w:t>(1)</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investors in this offering</w:t>
            </w:r>
          </w:p>
        </w:tc>
        <w:tc>
          <w:tcPr>
            <w:tcW w:w="48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Pro forma net tangible book value per share after this offering</w:t>
            </w:r>
          </w:p>
        </w:tc>
        <w:tc>
          <w:tcPr>
            <w:tcW w:w="4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auto"/>
            </w:tcBorders>
          </w:tcPr>
          <w:p>
            <w:pPr>
              <w:spacing w:after="0"/>
              <w:rPr>
                <w:sz w:val="21"/>
                <w:szCs w:val="21"/>
                <w:color w:val="auto"/>
              </w:rPr>
            </w:pPr>
          </w:p>
        </w:tc>
        <w:tc>
          <w:tcPr>
            <w:tcW w:w="5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-385445</wp:posOffset>
            </wp:positionV>
            <wp:extent cx="4946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182" w:lineRule="exact"/>
        <w:rPr>
          <w:sz w:val="20"/>
          <w:szCs w:val="20"/>
          <w:color w:val="auto"/>
        </w:rPr>
      </w:pPr>
    </w:p>
    <w:p>
      <w:pPr>
        <w:ind w:left="1620" w:right="1239" w:hanging="352"/>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December 31, 2017 before this offering is set forth below:</w:t>
      </w:r>
    </w:p>
    <w:p>
      <w:pPr>
        <w:spacing w:after="0" w:line="81"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23495</wp:posOffset>
            </wp:positionV>
            <wp:extent cx="429450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94505" cy="154305"/>
                    </a:xfrm>
                    <a:prstGeom prst="rect">
                      <a:avLst/>
                    </a:prstGeom>
                    <a:noFill/>
                  </pic:spPr>
                </pic:pic>
              </a:graphicData>
            </a:graphic>
          </wp:anchor>
        </w:drawing>
      </w:r>
    </w:p>
    <w:p>
      <w:pPr>
        <w:spacing w:after="0" w:line="4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Numerator</w:t>
      </w:r>
    </w:p>
    <w:p>
      <w:pPr>
        <w:spacing w:after="0" w:line="36" w:lineRule="exact"/>
        <w:rPr>
          <w:sz w:val="20"/>
          <w:szCs w:val="20"/>
          <w:color w:val="auto"/>
        </w:rPr>
      </w:pPr>
    </w:p>
    <w:tbl>
      <w:tblPr>
        <w:tblLayout w:type="fixed"/>
        <w:tblInd w:w="19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Book value of tangible assets</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r>
      <w:tr>
        <w:trPr>
          <w:trHeight w:val="257"/>
        </w:trPr>
        <w:tc>
          <w:tcPr>
            <w:tcW w:w="20" w:type="dxa"/>
            <w:vAlign w:val="bottom"/>
          </w:tcPr>
          <w:p>
            <w:pPr>
              <w:spacing w:after="0"/>
              <w:rPr>
                <w:sz w:val="22"/>
                <w:szCs w:val="22"/>
                <w:color w:val="auto"/>
              </w:rPr>
            </w:pPr>
          </w:p>
        </w:tc>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total liabilities</w:t>
            </w:r>
          </w:p>
        </w:tc>
        <w:tc>
          <w:tcPr>
            <w:tcW w:w="460" w:type="dxa"/>
            <w:vAlign w:val="bottom"/>
            <w:tcBorders>
              <w:bottom w:val="single" w:sz="8" w:color="auto"/>
            </w:tcBorders>
            <w:shd w:val="clear" w:color="auto" w:fill="CCEEFF"/>
          </w:tcPr>
          <w:p>
            <w:pPr>
              <w:spacing w:after="0"/>
              <w:rPr>
                <w:sz w:val="22"/>
                <w:szCs w:val="22"/>
                <w:color w:val="auto"/>
              </w:rPr>
            </w:pPr>
          </w:p>
        </w:tc>
      </w:tr>
      <w:tr>
        <w:trPr>
          <w:trHeight w:val="290"/>
        </w:trPr>
        <w:tc>
          <w:tcPr>
            <w:tcW w:w="20" w:type="dxa"/>
            <w:vAlign w:val="bottom"/>
          </w:tcPr>
          <w:p>
            <w:pPr>
              <w:spacing w:after="0"/>
              <w:rPr>
                <w:sz w:val="24"/>
                <w:szCs w:val="24"/>
                <w:color w:val="auto"/>
              </w:rPr>
            </w:pPr>
          </w:p>
        </w:tc>
        <w:tc>
          <w:tcPr>
            <w:tcW w:w="6300" w:type="dxa"/>
            <w:vAlign w:val="bottom"/>
            <w:tcBorders>
              <w:bottom w:val="single" w:sz="8" w:color="CCEEFF"/>
            </w:tcBorders>
            <w:gridSpan w:val="2"/>
          </w:tcPr>
          <w:p>
            <w:pPr>
              <w:ind w:left="340"/>
              <w:spacing w:after="0" w:line="250" w:lineRule="exact"/>
              <w:rPr>
                <w:sz w:val="20"/>
                <w:szCs w:val="20"/>
                <w:color w:val="auto"/>
              </w:rPr>
            </w:pPr>
            <w:r>
              <w:rPr>
                <w:rFonts w:ascii="Arial" w:cs="Arial" w:eastAsia="Arial" w:hAnsi="Arial"/>
                <w:sz w:val="18"/>
                <w:szCs w:val="18"/>
                <w:color w:val="auto"/>
              </w:rPr>
              <w:t>Pro forma net tangible book value</w:t>
            </w:r>
            <w:r>
              <w:rPr>
                <w:rFonts w:ascii="Arial" w:cs="Arial" w:eastAsia="Arial" w:hAnsi="Arial"/>
                <w:sz w:val="26"/>
                <w:szCs w:val="26"/>
                <w:color w:val="auto"/>
                <w:vertAlign w:val="superscript"/>
              </w:rPr>
              <w:t>(a)</w:t>
            </w: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r>
      <w:tr>
        <w:trPr>
          <w:trHeight w:val="183"/>
        </w:trPr>
        <w:tc>
          <w:tcPr>
            <w:tcW w:w="20" w:type="dxa"/>
            <w:vAlign w:val="bottom"/>
          </w:tcPr>
          <w:p>
            <w:pPr>
              <w:spacing w:after="0"/>
              <w:rPr>
                <w:sz w:val="15"/>
                <w:szCs w:val="15"/>
                <w:color w:val="auto"/>
              </w:rPr>
            </w:pPr>
          </w:p>
        </w:tc>
        <w:tc>
          <w:tcPr>
            <w:tcW w:w="63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Denominator</w:t>
            </w:r>
          </w:p>
        </w:tc>
        <w:tc>
          <w:tcPr>
            <w:tcW w:w="460" w:type="dxa"/>
            <w:vAlign w:val="bottom"/>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Shares of common stock to be outstanding after this offering</w:t>
            </w:r>
          </w:p>
        </w:tc>
        <w:tc>
          <w:tcPr>
            <w:tcW w:w="46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Assumed Redemption</w:t>
            </w:r>
          </w:p>
        </w:tc>
        <w:tc>
          <w:tcPr>
            <w:tcW w:w="460" w:type="dxa"/>
            <w:vAlign w:val="bottom"/>
            <w:tcBorders>
              <w:bottom w:val="single" w:sz="8" w:color="auto"/>
            </w:tcBorders>
            <w:shd w:val="clear" w:color="auto" w:fill="CCEEFF"/>
          </w:tcPr>
          <w:p>
            <w:pPr>
              <w:spacing w:after="0"/>
              <w:rPr>
                <w:sz w:val="22"/>
                <w:szCs w:val="22"/>
                <w:color w:val="auto"/>
              </w:rPr>
            </w:pPr>
          </w:p>
        </w:tc>
      </w:tr>
      <w:tr>
        <w:trPr>
          <w:trHeight w:val="276"/>
        </w:trPr>
        <w:tc>
          <w:tcPr>
            <w:tcW w:w="20" w:type="dxa"/>
            <w:vAlign w:val="bottom"/>
          </w:tcPr>
          <w:p>
            <w:pPr>
              <w:spacing w:after="0"/>
              <w:rPr>
                <w:sz w:val="24"/>
                <w:szCs w:val="24"/>
                <w:color w:val="auto"/>
              </w:rPr>
            </w:pPr>
          </w:p>
        </w:tc>
        <w:tc>
          <w:tcPr>
            <w:tcW w:w="6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net tangible book value per share</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436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202" w:lineRule="exact"/>
        <w:rPr>
          <w:sz w:val="20"/>
          <w:szCs w:val="20"/>
          <w:color w:val="auto"/>
        </w:rPr>
      </w:pPr>
    </w:p>
    <w:p>
      <w:pPr>
        <w:ind w:left="2340" w:right="1219" w:hanging="352"/>
        <w:spacing w:after="0" w:line="277" w:lineRule="auto"/>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Gives pro forma effect to the Reorganization Transactions (other than this offering) and the Assumed Redemption.</w:t>
      </w: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Each $1.00 increase (decrease) in the assumed initial offering price of $ per share, the midpoint of the price range set forth on the cover page of this prospectus, would affect our pro forma net tangible book value</w:t>
      </w:r>
    </w:p>
    <w:p>
      <w:pPr>
        <w:ind w:left="1260" w:right="679"/>
        <w:spacing w:after="0" w:line="265" w:lineRule="auto"/>
        <w:rPr>
          <w:sz w:val="20"/>
          <w:szCs w:val="20"/>
          <w:color w:val="auto"/>
        </w:rPr>
      </w:pPr>
      <w:r>
        <w:rPr>
          <w:rFonts w:ascii="Arial" w:cs="Arial" w:eastAsia="Arial" w:hAnsi="Arial"/>
          <w:sz w:val="17"/>
          <w:szCs w:val="17"/>
          <w:color w:val="auto"/>
        </w:rPr>
        <w:t>after this offering by approximately $ million, the pro forma net tangible book value per share after this offering by $ per share, and the dilution per share to new investors by $ per share, assuming the number</w:t>
      </w:r>
    </w:p>
    <w:p>
      <w:pPr>
        <w:ind w:left="1260" w:right="899"/>
        <w:spacing w:after="0" w:line="281" w:lineRule="auto"/>
        <w:rPr>
          <w:sz w:val="20"/>
          <w:szCs w:val="20"/>
          <w:color w:val="auto"/>
        </w:rPr>
      </w:pPr>
      <w:r>
        <w:rPr>
          <w:rFonts w:ascii="Arial" w:cs="Arial" w:eastAsia="Arial" w:hAnsi="Arial"/>
          <w:sz w:val="16"/>
          <w:szCs w:val="16"/>
          <w:color w:val="auto"/>
        </w:rPr>
        <w:t>of shares offered by us, as set forth on the cover page of this prospectus, remains the same, and after deducting underwriting discounts and commissions payable by us. Each increase (decrease) of 1.0 million shares in the number of shares sold by us in this offering, as set forth on the cover page of this prospectus, would affect our</w:t>
      </w:r>
    </w:p>
    <w:p>
      <w:pPr>
        <w:spacing w:after="0" w:line="2" w:lineRule="exact"/>
        <w:rPr>
          <w:sz w:val="20"/>
          <w:szCs w:val="20"/>
          <w:color w:val="auto"/>
        </w:rPr>
      </w:pPr>
    </w:p>
    <w:p>
      <w:pPr>
        <w:ind w:left="1260"/>
        <w:spacing w:after="0"/>
        <w:tabs>
          <w:tab w:leader="none" w:pos="6840" w:val="left"/>
        </w:tabs>
        <w:rPr>
          <w:sz w:val="20"/>
          <w:szCs w:val="20"/>
          <w:color w:val="auto"/>
        </w:rPr>
      </w:pPr>
      <w:r>
        <w:rPr>
          <w:rFonts w:ascii="Arial" w:cs="Arial" w:eastAsia="Arial" w:hAnsi="Arial"/>
          <w:sz w:val="18"/>
          <w:szCs w:val="18"/>
          <w:color w:val="auto"/>
        </w:rPr>
        <w:t>pro forma net tangible book value after this offering by approximately $</w:t>
      </w:r>
      <w:r>
        <w:rPr>
          <w:sz w:val="20"/>
          <w:szCs w:val="20"/>
          <w:color w:val="auto"/>
        </w:rPr>
        <w:tab/>
      </w:r>
      <w:r>
        <w:rPr>
          <w:rFonts w:ascii="Arial" w:cs="Arial" w:eastAsia="Arial" w:hAnsi="Arial"/>
          <w:sz w:val="16"/>
          <w:szCs w:val="16"/>
          <w:color w:val="auto"/>
        </w:rPr>
        <w:t>million, the pro forma net tangible</w:t>
      </w:r>
    </w:p>
    <w:p>
      <w:pPr>
        <w:spacing w:after="0" w:line="9" w:lineRule="exact"/>
        <w:rPr>
          <w:sz w:val="20"/>
          <w:szCs w:val="20"/>
          <w:color w:val="auto"/>
        </w:rPr>
      </w:pPr>
    </w:p>
    <w:p>
      <w:pPr>
        <w:ind w:left="1260"/>
        <w:spacing w:after="0"/>
        <w:tabs>
          <w:tab w:leader="none" w:pos="4800" w:val="left"/>
        </w:tabs>
        <w:rPr>
          <w:sz w:val="20"/>
          <w:szCs w:val="20"/>
          <w:color w:val="auto"/>
        </w:rPr>
      </w:pPr>
      <w:r>
        <w:rPr>
          <w:rFonts w:ascii="Arial" w:cs="Arial" w:eastAsia="Arial" w:hAnsi="Arial"/>
          <w:sz w:val="18"/>
          <w:szCs w:val="18"/>
          <w:color w:val="auto"/>
        </w:rPr>
        <w:t>book value per share after this offering by $</w:t>
      </w:r>
      <w:r>
        <w:rPr>
          <w:sz w:val="20"/>
          <w:szCs w:val="20"/>
          <w:color w:val="auto"/>
        </w:rPr>
        <w:tab/>
      </w:r>
      <w:r>
        <w:rPr>
          <w:rFonts w:ascii="Arial" w:cs="Arial" w:eastAsia="Arial" w:hAnsi="Arial"/>
          <w:sz w:val="16"/>
          <w:szCs w:val="16"/>
          <w:color w:val="auto"/>
        </w:rPr>
        <w:t>per share, and the dilution per share to new investors by $</w:t>
      </w:r>
    </w:p>
    <w:p>
      <w:pPr>
        <w:spacing w:after="0" w:line="9" w:lineRule="exact"/>
        <w:rPr>
          <w:sz w:val="20"/>
          <w:szCs w:val="20"/>
          <w:color w:val="auto"/>
        </w:rPr>
      </w:pPr>
    </w:p>
    <w:p>
      <w:pPr>
        <w:ind w:left="1260"/>
        <w:spacing w:after="0"/>
        <w:tabs>
          <w:tab w:leader="none" w:pos="6360" w:val="left"/>
        </w:tabs>
        <w:rPr>
          <w:sz w:val="20"/>
          <w:szCs w:val="20"/>
          <w:color w:val="auto"/>
        </w:rPr>
      </w:pPr>
      <w:r>
        <w:rPr>
          <w:rFonts w:ascii="Arial" w:cs="Arial" w:eastAsia="Arial" w:hAnsi="Arial"/>
          <w:sz w:val="18"/>
          <w:szCs w:val="18"/>
          <w:color w:val="auto"/>
        </w:rPr>
        <w:t>per share, assuming the assumed initial public offering price of $</w:t>
      </w:r>
      <w:r>
        <w:rPr>
          <w:sz w:val="20"/>
          <w:szCs w:val="20"/>
          <w:color w:val="auto"/>
        </w:rPr>
        <w:tab/>
      </w:r>
      <w:r>
        <w:rPr>
          <w:rFonts w:ascii="Arial" w:cs="Arial" w:eastAsia="Arial" w:hAnsi="Arial"/>
          <w:sz w:val="16"/>
          <w:szCs w:val="16"/>
          <w:color w:val="auto"/>
        </w:rPr>
        <w:t>per share, the midpoint of the price range</w:t>
      </w:r>
    </w:p>
    <w:p>
      <w:pPr>
        <w:spacing w:after="0" w:line="9" w:lineRule="exact"/>
        <w:rPr>
          <w:sz w:val="20"/>
          <w:szCs w:val="20"/>
          <w:color w:val="auto"/>
        </w:rPr>
      </w:pPr>
    </w:p>
    <w:p>
      <w:pPr>
        <w:ind w:left="1260" w:right="819"/>
        <w:spacing w:after="0" w:line="260" w:lineRule="auto"/>
        <w:rPr>
          <w:sz w:val="20"/>
          <w:szCs w:val="20"/>
          <w:color w:val="auto"/>
        </w:rPr>
      </w:pPr>
      <w:r>
        <w:rPr>
          <w:rFonts w:ascii="Arial" w:cs="Arial" w:eastAsia="Arial" w:hAnsi="Arial"/>
          <w:sz w:val="18"/>
          <w:szCs w:val="18"/>
          <w:color w:val="auto"/>
        </w:rPr>
        <w:t>set forth on the cover page of this prospectus, remains the same, and after deducting underwriting discounts and commissions payable by us.</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If the underwriters exercise in full their option to purchase additional shares of Class A common stock, the</w:t>
      </w:r>
    </w:p>
    <w:p>
      <w:pPr>
        <w:spacing w:after="0" w:line="46" w:lineRule="exact"/>
        <w:rPr>
          <w:sz w:val="20"/>
          <w:szCs w:val="20"/>
          <w:color w:val="auto"/>
        </w:rPr>
      </w:pPr>
    </w:p>
    <w:p>
      <w:pPr>
        <w:ind w:left="1260" w:right="699"/>
        <w:spacing w:after="0" w:line="265" w:lineRule="auto"/>
        <w:rPr>
          <w:sz w:val="20"/>
          <w:szCs w:val="20"/>
          <w:color w:val="auto"/>
        </w:rPr>
      </w:pPr>
      <w:r>
        <w:rPr>
          <w:rFonts w:ascii="Arial" w:cs="Arial" w:eastAsia="Arial" w:hAnsi="Arial"/>
          <w:sz w:val="17"/>
          <w:szCs w:val="17"/>
          <w:color w:val="auto"/>
        </w:rPr>
        <w:t>pro forma net tangible book value after the offering would be $ per share, the increase in pro forma net tangible book value per share to existing stockholders would be $ and the dilution per share to new investors would be $ per share, in each case assuming an initial public offering price of $ per share, which is the</w:t>
      </w:r>
    </w:p>
    <w:p>
      <w:pPr>
        <w:ind w:left="1260"/>
        <w:spacing w:after="0"/>
        <w:rPr>
          <w:sz w:val="20"/>
          <w:szCs w:val="20"/>
          <w:color w:val="auto"/>
        </w:rPr>
      </w:pPr>
      <w:r>
        <w:rPr>
          <w:rFonts w:ascii="Arial" w:cs="Arial" w:eastAsia="Arial" w:hAnsi="Arial"/>
          <w:sz w:val="18"/>
          <w:szCs w:val="18"/>
          <w:color w:val="auto"/>
        </w:rPr>
        <w:t>midpoint of the price range listed on the cover page of this prospectus.</w:t>
      </w:r>
    </w:p>
    <w:p>
      <w:pPr>
        <w:spacing w:after="0" w:line="103" w:lineRule="exact"/>
        <w:rPr>
          <w:sz w:val="20"/>
          <w:szCs w:val="20"/>
          <w:color w:val="auto"/>
        </w:rPr>
      </w:pPr>
    </w:p>
    <w:p>
      <w:pPr>
        <w:ind w:left="1260" w:right="1499" w:firstLine="360"/>
        <w:spacing w:after="0" w:line="308" w:lineRule="auto"/>
        <w:rPr>
          <w:sz w:val="20"/>
          <w:szCs w:val="20"/>
          <w:color w:val="auto"/>
        </w:rPr>
      </w:pPr>
      <w:r>
        <w:rPr>
          <w:rFonts w:ascii="Arial" w:cs="Arial" w:eastAsia="Arial" w:hAnsi="Arial"/>
          <w:sz w:val="17"/>
          <w:szCs w:val="17"/>
          <w:color w:val="auto"/>
        </w:rPr>
        <w:t>The following table summarizes, as of December 31, 2017, after giving effect to this offering, the differences between the Original LLC Owners and new investors in this offering with regard to:</w:t>
      </w:r>
    </w:p>
    <w:p>
      <w:pPr>
        <w:spacing w:after="0" w:line="119" w:lineRule="exact"/>
        <w:rPr>
          <w:sz w:val="20"/>
          <w:szCs w:val="20"/>
          <w:color w:val="auto"/>
        </w:rPr>
      </w:pPr>
    </w:p>
    <w:p>
      <w:pPr>
        <w:ind w:left="1980" w:right="779" w:hanging="352"/>
        <w:spacing w:after="0" w:line="342" w:lineRule="auto"/>
        <w:tabs>
          <w:tab w:leader="none" w:pos="1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number of shares of Class A common stock purchased from us by investors in this offering and the number of shares issued to the Original LLC Owners after giving effect to the Assumed Redemption;</w:t>
      </w:r>
    </w:p>
    <w:p>
      <w:pPr>
        <w:spacing w:after="0" w:line="83" w:lineRule="exact"/>
        <w:rPr>
          <w:rFonts w:ascii="Arial" w:cs="Arial" w:eastAsia="Arial" w:hAnsi="Arial"/>
          <w:sz w:val="16"/>
          <w:szCs w:val="16"/>
          <w:color w:val="auto"/>
        </w:rPr>
      </w:pPr>
    </w:p>
    <w:p>
      <w:pPr>
        <w:ind w:left="1980" w:right="939" w:hanging="352"/>
        <w:spacing w:after="0" w:line="308"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total consideration paid to us in cash by investors purchasing shares of Class A common stock in this offering and by the Original LLC Owners including historical cash contributions; and</w:t>
      </w:r>
    </w:p>
    <w:p>
      <w:pPr>
        <w:spacing w:after="0" w:line="105" w:lineRule="exact"/>
        <w:rPr>
          <w:rFonts w:ascii="Arial" w:cs="Arial" w:eastAsia="Arial" w:hAnsi="Arial"/>
          <w:sz w:val="17"/>
          <w:szCs w:val="17"/>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average price per share that such Original LLC Owners and new investors paid.</w:t>
      </w:r>
    </w:p>
    <w:p>
      <w:pPr>
        <w:spacing w:after="0" w:line="149"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7"/>
              </w:rPr>
              <w:t>Average Price</w:t>
            </w:r>
          </w:p>
        </w:tc>
      </w:t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Shares Purchased</w:t>
            </w:r>
          </w:p>
        </w:tc>
        <w:tc>
          <w:tcPr>
            <w:tcW w:w="13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Consideration</w:t>
            </w:r>
          </w:p>
        </w:tc>
        <w:tc>
          <w:tcPr>
            <w:tcW w:w="900" w:type="dxa"/>
            <w:vAlign w:val="bottom"/>
          </w:tcPr>
          <w:p>
            <w:pPr>
              <w:jc w:val="right"/>
              <w:ind w:right="79"/>
              <w:spacing w:after="0"/>
              <w:rPr>
                <w:sz w:val="20"/>
                <w:szCs w:val="20"/>
                <w:color w:val="auto"/>
              </w:rPr>
            </w:pPr>
            <w:r>
              <w:rPr>
                <w:rFonts w:ascii="Arial" w:cs="Arial" w:eastAsia="Arial" w:hAnsi="Arial"/>
                <w:sz w:val="14"/>
                <w:szCs w:val="14"/>
                <w:b w:val="1"/>
                <w:bCs w:val="1"/>
                <w:color w:val="auto"/>
              </w:rPr>
              <w:t>Per Share</w:t>
            </w:r>
          </w:p>
        </w:tc>
      </w:tr>
      <w:tr>
        <w:trPr>
          <w:trHeight w:val="25"/>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w w:val="94"/>
              </w:rPr>
              <w:t>Number</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3"/>
              </w:rPr>
              <w:t>Amount</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900" w:type="dxa"/>
            <w:vAlign w:val="bottom"/>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Original LLC Owners</w:t>
            </w:r>
          </w:p>
        </w:tc>
        <w:tc>
          <w:tcPr>
            <w:tcW w:w="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r>
      <w:tr>
        <w:trPr>
          <w:trHeight w:val="263"/>
        </w:trPr>
        <w:tc>
          <w:tcPr>
            <w:tcW w:w="354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90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-196215</wp:posOffset>
            </wp:positionV>
            <wp:extent cx="42691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6910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-539115</wp:posOffset>
            </wp:positionV>
            <wp:extent cx="6858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-539115</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-539115</wp:posOffset>
            </wp:positionV>
            <wp:extent cx="137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-539115</wp:posOffset>
            </wp:positionV>
            <wp:extent cx="23831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22"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Each $1.00 increase (decrease) in the assumed initial offering price of $ per share, the midpoint of the price range set forth on the cover page of this prospectus, would increase (decrease) total consideration paid by new investors, total consideration paid by all stockholders and average price per share paid by all stockholders by</w:t>
      </w:r>
    </w:p>
    <w:p>
      <w:pPr>
        <w:spacing w:after="0" w:line="2" w:lineRule="exact"/>
        <w:rPr>
          <w:sz w:val="20"/>
          <w:szCs w:val="20"/>
          <w:color w:val="auto"/>
        </w:rPr>
      </w:pPr>
    </w:p>
    <w:p>
      <w:pPr>
        <w:ind w:left="1260" w:right="819"/>
        <w:spacing w:after="0" w:line="281" w:lineRule="auto"/>
        <w:rPr>
          <w:sz w:val="20"/>
          <w:szCs w:val="20"/>
          <w:color w:val="auto"/>
        </w:rPr>
      </w:pPr>
      <w:r>
        <w:rPr>
          <w:rFonts w:ascii="Arial" w:cs="Arial" w:eastAsia="Arial" w:hAnsi="Arial"/>
          <w:sz w:val="16"/>
          <w:szCs w:val="16"/>
          <w:color w:val="auto"/>
        </w:rPr>
        <w:t>$ , $ and $ per share, respectively, assuming the number of shares offered by us, as set forth on the cover page of this prospectus, remains the same, and after deducting underwriting discounts and commissions payable by us. Each increase (decrease) of 1.0 million shares in the number of shares sold in this offering, as set forth on the cover page of this prospectus, would increase (decrease) total consideration paid by new investors, total consideration paid by all stockholders and average price per share paid by all stockholders by $ ,</w:t>
      </w:r>
    </w:p>
    <w:p>
      <w:pPr>
        <w:spacing w:after="0" w:line="3" w:lineRule="exact"/>
        <w:rPr>
          <w:sz w:val="20"/>
          <w:szCs w:val="20"/>
          <w:color w:val="auto"/>
        </w:rPr>
      </w:pPr>
    </w:p>
    <w:p>
      <w:pPr>
        <w:ind w:left="1260"/>
        <w:spacing w:after="0"/>
        <w:tabs>
          <w:tab w:leader="none" w:pos="1700" w:val="left"/>
          <w:tab w:leader="none" w:pos="2460" w:val="left"/>
          <w:tab w:leader="none" w:pos="8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 respectively, assuming the assumed initial public offering price of $</w:t>
      </w:r>
      <w:r>
        <w:rPr>
          <w:sz w:val="20"/>
          <w:szCs w:val="20"/>
          <w:color w:val="auto"/>
        </w:rPr>
        <w:tab/>
      </w:r>
      <w:r>
        <w:rPr>
          <w:rFonts w:ascii="Arial" w:cs="Arial" w:eastAsia="Arial" w:hAnsi="Arial"/>
          <w:sz w:val="15"/>
          <w:szCs w:val="15"/>
          <w:color w:val="auto"/>
        </w:rPr>
        <w:t>per share,</w:t>
      </w:r>
    </w:p>
    <w:p>
      <w:pPr>
        <w:spacing w:after="0" w:line="9" w:lineRule="exact"/>
        <w:rPr>
          <w:sz w:val="20"/>
          <w:szCs w:val="20"/>
          <w:color w:val="auto"/>
        </w:rPr>
      </w:pPr>
    </w:p>
    <w:p>
      <w:pPr>
        <w:ind w:left="1260" w:right="1319"/>
        <w:spacing w:after="0" w:line="260" w:lineRule="auto"/>
        <w:rPr>
          <w:sz w:val="20"/>
          <w:szCs w:val="20"/>
          <w:color w:val="auto"/>
        </w:rPr>
      </w:pPr>
      <w:r>
        <w:rPr>
          <w:rFonts w:ascii="Arial" w:cs="Arial" w:eastAsia="Arial" w:hAnsi="Arial"/>
          <w:sz w:val="18"/>
          <w:szCs w:val="18"/>
          <w:color w:val="auto"/>
        </w:rPr>
        <w:t>the midpoint of the price range set forth on the cover page of this prospectus, remains the same, and after deducting underwriting discounts and commissions payable by us.</w:t>
      </w:r>
    </w:p>
    <w:p>
      <w:pPr>
        <w:spacing w:after="0" w:line="77"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If the underwriters exercise in full their option to purchase additional shares of Class A common stock, there will be further dilution to investors in this offering.</w:t>
      </w:r>
    </w:p>
    <w:p>
      <w:pPr>
        <w:spacing w:after="0" w:line="62"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Except as otherwise indicated, the discussion and the tables above assume no exercise of the underwriters’ option to purchase additional shares of Class A common stock. In addition, the discussion and tables above exclude shares of Class C common stock and Class D common stock, because holders of the Class C common stock and Class D common stock are not entitled to distributions or dividends,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whether cash or stock, from Tradeweb. The number of shares of our Class A common stock to be outstanding</w:t>
      </w:r>
    </w:p>
    <w:p>
      <w:pPr>
        <w:spacing w:after="0" w:line="46" w:lineRule="exact"/>
        <w:rPr>
          <w:sz w:val="20"/>
          <w:szCs w:val="20"/>
          <w:color w:val="auto"/>
        </w:rPr>
      </w:pPr>
    </w:p>
    <w:p>
      <w:pPr>
        <w:ind w:left="1260" w:right="739"/>
        <w:spacing w:after="0" w:line="260" w:lineRule="auto"/>
        <w:rPr>
          <w:sz w:val="20"/>
          <w:szCs w:val="20"/>
          <w:color w:val="auto"/>
        </w:rPr>
      </w:pPr>
      <w:r>
        <w:rPr>
          <w:rFonts w:ascii="Arial" w:cs="Arial" w:eastAsia="Arial" w:hAnsi="Arial"/>
          <w:sz w:val="18"/>
          <w:szCs w:val="18"/>
          <w:color w:val="auto"/>
        </w:rPr>
        <w:t>after this offering is based on the membership interests of TWM LLC outstanding as of , 2018, after giving effect to the Reorganization Transactions and the Assumed Redemption, and excludes:</w:t>
      </w:r>
    </w:p>
    <w:p>
      <w:pPr>
        <w:spacing w:after="0" w:line="158" w:lineRule="exact"/>
        <w:rPr>
          <w:sz w:val="20"/>
          <w:szCs w:val="20"/>
          <w:color w:val="auto"/>
        </w:rPr>
      </w:pPr>
    </w:p>
    <w:p>
      <w:pPr>
        <w:ind w:left="2400" w:hanging="772"/>
        <w:spacing w:after="0"/>
        <w:tabs>
          <w:tab w:leader="none" w:pos="24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shares of Class A common stock issuable upon the exercise of options outstanding under our</w:t>
      </w:r>
    </w:p>
    <w:p>
      <w:pPr>
        <w:sectPr>
          <w:pgSz w:w="11900" w:h="16838" w:orient="portrait"/>
          <w:cols w:equalWidth="0" w:num="1">
            <w:col w:w="10139"/>
          </w:cols>
          <w:pgMar w:left="320" w:top="132" w:right="1440" w:bottom="1440" w:gutter="0" w:footer="0" w:header="0"/>
        </w:sectPr>
      </w:pPr>
    </w:p>
    <w:p>
      <w:pPr>
        <w:spacing w:after="0" w:line="46" w:lineRule="exact"/>
        <w:rPr>
          <w:sz w:val="20"/>
          <w:szCs w:val="20"/>
          <w:color w:val="auto"/>
        </w:rPr>
      </w:pPr>
    </w:p>
    <w:p>
      <w:pPr>
        <w:ind w:left="1980" w:right="759"/>
        <w:spacing w:after="0" w:line="260" w:lineRule="auto"/>
        <w:rPr>
          <w:sz w:val="20"/>
          <w:szCs w:val="20"/>
          <w:color w:val="auto"/>
        </w:rPr>
      </w:pPr>
      <w:r>
        <w:rPr>
          <w:rFonts w:ascii="Arial" w:cs="Arial" w:eastAsia="Arial" w:hAnsi="Arial"/>
          <w:sz w:val="18"/>
          <w:szCs w:val="18"/>
          <w:color w:val="auto"/>
        </w:rPr>
        <w:t>Option Plan as of , 2018 at an exercise price of $ per share, which options may be exercised on a cashless or net settlement basis;</w:t>
      </w:r>
    </w:p>
    <w:p>
      <w:pPr>
        <w:sectPr>
          <w:pgSz w:w="11900" w:h="16838" w:orient="portrait"/>
          <w:cols w:equalWidth="0" w:num="1">
            <w:col w:w="10139"/>
          </w:cols>
          <w:pgMar w:left="320" w:top="132" w:right="1440" w:bottom="1440" w:gutter="0" w:footer="0" w:header="0"/>
          <w:type w:val="continuous"/>
        </w:sectPr>
      </w:pPr>
    </w:p>
    <w:p>
      <w:pPr>
        <w:spacing w:after="0" w:line="145" w:lineRule="exact"/>
        <w:rPr>
          <w:sz w:val="20"/>
          <w:szCs w:val="20"/>
          <w:color w:val="auto"/>
        </w:rPr>
      </w:pPr>
    </w:p>
    <w:p>
      <w:pPr>
        <w:ind w:left="1980" w:right="759" w:hanging="352"/>
        <w:spacing w:after="0" w:line="277" w:lineRule="auto"/>
        <w:tabs>
          <w:tab w:leader="none" w:pos="23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of Class A common stock underlying cash settled performance based restricted share units issued under our PRSU Plan;</w:t>
      </w:r>
    </w:p>
    <w:p>
      <w:pPr>
        <w:spacing w:after="0" w:line="129" w:lineRule="exact"/>
        <w:rPr>
          <w:rFonts w:ascii="Arial" w:cs="Arial" w:eastAsia="Arial" w:hAnsi="Arial"/>
          <w:sz w:val="18"/>
          <w:szCs w:val="18"/>
          <w:color w:val="auto"/>
        </w:rPr>
      </w:pPr>
    </w:p>
    <w:p>
      <w:pPr>
        <w:ind w:left="1980" w:right="719" w:hanging="352"/>
        <w:spacing w:after="0" w:line="277" w:lineRule="auto"/>
        <w:tabs>
          <w:tab w:leader="none" w:pos="23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Option Plan and our 2019 Omnibus Equity Incentive Plan; and</w:t>
      </w:r>
    </w:p>
    <w:p>
      <w:pPr>
        <w:spacing w:after="0" w:line="143" w:lineRule="exact"/>
        <w:rPr>
          <w:rFonts w:ascii="Arial" w:cs="Arial" w:eastAsia="Arial" w:hAnsi="Arial"/>
          <w:sz w:val="18"/>
          <w:szCs w:val="18"/>
          <w:color w:val="auto"/>
        </w:rPr>
      </w:pPr>
    </w:p>
    <w:p>
      <w:pPr>
        <w:jc w:val="both"/>
        <w:ind w:left="1980" w:right="679" w:hanging="352"/>
        <w:spacing w:after="0" w:line="259" w:lineRule="auto"/>
        <w:tabs>
          <w:tab w:leader="none" w:pos="23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(i) exchange of Class B common stock by the Refinitiv Direct Owners and other future holders of Class B common stock, (ii) redemption or exchange of LLC interests by the Continuing LLC Owners or (iii) conversion of the Class B common stock.</w:t>
      </w:r>
    </w:p>
    <w:p>
      <w:pPr>
        <w:spacing w:after="0" w:line="79" w:lineRule="exact"/>
        <w:rPr>
          <w:sz w:val="20"/>
          <w:szCs w:val="20"/>
          <w:color w:val="auto"/>
        </w:rPr>
      </w:pPr>
    </w:p>
    <w:p>
      <w:pPr>
        <w:jc w:val="both"/>
        <w:ind w:left="1260" w:right="839" w:firstLine="360"/>
        <w:spacing w:after="0" w:line="277" w:lineRule="auto"/>
        <w:rPr>
          <w:sz w:val="20"/>
          <w:szCs w:val="20"/>
          <w:color w:val="auto"/>
        </w:rPr>
      </w:pPr>
      <w:r>
        <w:rPr>
          <w:rFonts w:ascii="Arial" w:cs="Arial" w:eastAsia="Arial" w:hAnsi="Arial"/>
          <w:sz w:val="18"/>
          <w:szCs w:val="18"/>
          <w:color w:val="auto"/>
        </w:rPr>
        <w:t>To the extent any options are granted and exercised, or any restricted stock units are granted and settled, in the future, there may be additional economic dilution to new investors.</w:t>
      </w:r>
    </w:p>
    <w:p>
      <w:pPr>
        <w:spacing w:after="0" w:line="62" w:lineRule="exact"/>
        <w:rPr>
          <w:sz w:val="20"/>
          <w:szCs w:val="20"/>
          <w:color w:val="auto"/>
        </w:rPr>
      </w:pPr>
    </w:p>
    <w:p>
      <w:pPr>
        <w:jc w:val="both"/>
        <w:ind w:left="1260" w:right="859" w:firstLine="360"/>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SELECTED HISTORICAL CONSOLIDATED FINANCIAL AND OTHER DATA</w:t>
      </w:r>
    </w:p>
    <w:p>
      <w:pPr>
        <w:spacing w:after="0" w:line="108"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The following table presents the selected historical consolidated financial data for Tradeweb Markets LLC and its subsidiaries. Tradeweb Markets LLC is the predecessor of the issuer, Tradeweb Markets Inc., for financial reporting purposes. The selected consolidated statement of operations data for each of the years in the two-year period ended December 31, 2017 and the selected consolidated statement of financial condition data as of December 31, 2017 and December 31, 2016 are derived from the audited consolidated financial statements of Tradeweb Markets LLC and its subsidiaries included elsewhere in this prospectus.</w:t>
      </w:r>
    </w:p>
    <w:p>
      <w:pPr>
        <w:spacing w:after="0" w:line="70"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The results of operations for the periods presented below are not necessarily indicative of the results to be expected for any future period. The information set forth below should be read together with the “Management’s Discussion and Analysis of Financial Condition and Results of Operations” section and the consolidated financial statements and related notes thereto included elsewhere in this prospectus.</w:t>
      </w:r>
    </w:p>
    <w:p>
      <w:pPr>
        <w:spacing w:after="0" w:line="63" w:lineRule="exact"/>
        <w:rPr>
          <w:sz w:val="20"/>
          <w:szCs w:val="20"/>
          <w:color w:val="auto"/>
        </w:rPr>
      </w:pPr>
    </w:p>
    <w:p>
      <w:pPr>
        <w:ind w:left="1260" w:right="1119" w:firstLine="360"/>
        <w:spacing w:after="0" w:line="263" w:lineRule="auto"/>
        <w:rPr>
          <w:sz w:val="20"/>
          <w:szCs w:val="20"/>
          <w:color w:val="auto"/>
        </w:rPr>
      </w:pPr>
      <w:r>
        <w:rPr>
          <w:rFonts w:ascii="Arial" w:cs="Arial" w:eastAsia="Arial" w:hAnsi="Arial"/>
          <w:sz w:val="18"/>
          <w:szCs w:val="18"/>
          <w:color w:val="auto"/>
        </w:rPr>
        <w:t>The selected historical financial data of Tradeweb Markets Inc. have not been presented as Tradeweb Markets Inc. is a newly incorporated entity, has had no business transactions or activities to date and had no assets or liabilities during the periods presented in this section.</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7"/>
              </w:rPr>
              <w:t>Tradeweb Markets LLC</w:t>
            </w:r>
          </w:p>
        </w:tc>
      </w:tr>
      <w:tr>
        <w:trPr>
          <w:trHeight w:val="26"/>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r>
      <w:tr>
        <w:trPr>
          <w:trHeight w:val="26"/>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6"/>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6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(in thousands, except share</w:t>
            </w:r>
          </w:p>
        </w:tc>
      </w:tr>
      <w:tr>
        <w:trPr>
          <w:trHeight w:val="185"/>
        </w:trPr>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and per share data)</w:t>
            </w:r>
          </w:p>
        </w:tc>
      </w:tr>
      <w:tr>
        <w:trPr>
          <w:trHeight w:val="257"/>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3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267,020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230,171</w:t>
            </w:r>
          </w:p>
        </w:tc>
        <w:tc>
          <w:tcPr>
            <w:tcW w:w="60" w:type="dxa"/>
            <w:vAlign w:val="bottom"/>
          </w:tcPr>
          <w:p>
            <w:pPr>
              <w:spacing w:after="0"/>
              <w:rPr>
                <w:sz w:val="22"/>
                <w:szCs w:val="22"/>
                <w:color w:val="auto"/>
              </w:rPr>
            </w:pPr>
          </w:p>
        </w:tc>
      </w:tr>
      <w:tr>
        <w:trPr>
          <w:trHeight w:val="270"/>
        </w:trPr>
        <w:tc>
          <w:tcPr>
            <w:tcW w:w="6300" w:type="dxa"/>
            <w:vAlign w:val="bottom"/>
          </w:tcPr>
          <w:p>
            <w:pPr>
              <w:spacing w:after="0" w:line="270"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194,534</w:t>
            </w: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191,983</w:t>
            </w:r>
          </w:p>
        </w:tc>
      </w:tr>
      <w:tr>
        <w:trPr>
          <w:trHeight w:val="25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96,745</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91,663</w:t>
            </w:r>
          </w:p>
        </w:tc>
        <w:tc>
          <w:tcPr>
            <w:tcW w:w="60" w:type="dxa"/>
            <w:vAlign w:val="bottom"/>
          </w:tcPr>
          <w:p>
            <w:pPr>
              <w:spacing w:after="0"/>
              <w:rPr>
                <w:sz w:val="22"/>
                <w:szCs w:val="22"/>
                <w:color w:val="auto"/>
              </w:rPr>
            </w:pPr>
          </w:p>
        </w:tc>
      </w:tr>
      <w:tr>
        <w:trPr>
          <w:trHeight w:val="263"/>
        </w:trPr>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4,669</w:t>
            </w:r>
          </w:p>
        </w:tc>
        <w:tc>
          <w:tcPr>
            <w:tcW w:w="12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4,587</w:t>
            </w:r>
          </w:p>
        </w:tc>
      </w:tr>
      <w:tr>
        <w:trPr>
          <w:trHeight w:val="20"/>
        </w:trPr>
        <w:tc>
          <w:tcPr>
            <w:tcW w:w="6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revenue</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562,968</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518,404</w:t>
            </w:r>
          </w:p>
        </w:tc>
        <w:tc>
          <w:tcPr>
            <w:tcW w:w="60" w:type="dxa"/>
            <w:vAlign w:val="bottom"/>
          </w:tcPr>
          <w:p>
            <w:pPr>
              <w:spacing w:after="0"/>
              <w:rPr>
                <w:sz w:val="22"/>
                <w:szCs w:val="22"/>
                <w:color w:val="auto"/>
              </w:rPr>
            </w:pPr>
          </w:p>
        </w:tc>
      </w:tr>
      <w:tr>
        <w:trPr>
          <w:trHeight w:val="283"/>
        </w:trPr>
        <w:tc>
          <w:tcPr>
            <w:tcW w:w="6300" w:type="dxa"/>
            <w:vAlign w:val="bottom"/>
          </w:tcPr>
          <w:p>
            <w:pPr>
              <w:spacing w:after="0" w:line="283"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6"/>
                <w:szCs w:val="26"/>
                <w:color w:val="auto"/>
                <w:vertAlign w:val="superscript"/>
              </w:rPr>
              <w:t>(2)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(58,520)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(26,224)</w:t>
            </w:r>
          </w:p>
        </w:tc>
      </w:tr>
      <w:tr>
        <w:trPr>
          <w:trHeight w:val="20"/>
        </w:trPr>
        <w:tc>
          <w:tcPr>
            <w:tcW w:w="6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504,448</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492,180</w:t>
            </w:r>
          </w:p>
        </w:tc>
        <w:tc>
          <w:tcPr>
            <w:tcW w:w="60" w:type="dxa"/>
            <w:vAlign w:val="bottom"/>
          </w:tcPr>
          <w:p>
            <w:pPr>
              <w:spacing w:after="0"/>
              <w:rPr>
                <w:sz w:val="22"/>
                <w:szCs w:val="22"/>
                <w:color w:val="auto"/>
              </w:rPr>
            </w:pPr>
          </w:p>
        </w:tc>
      </w:tr>
      <w:tr>
        <w:trPr>
          <w:trHeight w:val="256"/>
        </w:trPr>
        <w:tc>
          <w:tcPr>
            <w:tcW w:w="63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248,963</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228,584</w:t>
            </w:r>
          </w:p>
        </w:tc>
        <w:tc>
          <w:tcPr>
            <w:tcW w:w="60" w:type="dxa"/>
            <w:vAlign w:val="bottom"/>
          </w:tcPr>
          <w:p>
            <w:pPr>
              <w:spacing w:after="0"/>
              <w:rPr>
                <w:sz w:val="22"/>
                <w:szCs w:val="22"/>
                <w:color w:val="auto"/>
              </w:rPr>
            </w:pP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68,615</w:t>
            </w:r>
          </w:p>
        </w:tc>
        <w:tc>
          <w:tcPr>
            <w:tcW w:w="12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80,859</w:t>
            </w:r>
          </w:p>
        </w:tc>
      </w:tr>
      <w:tr>
        <w:trPr>
          <w:trHeight w:val="25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33,973</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w:t>
            </w:r>
          </w:p>
        </w:tc>
        <w:tc>
          <w:tcPr>
            <w:tcW w:w="60" w:type="dxa"/>
            <w:vAlign w:val="bottom"/>
          </w:tcPr>
          <w:p>
            <w:pPr>
              <w:spacing w:after="0"/>
              <w:rPr>
                <w:sz w:val="22"/>
                <w:szCs w:val="22"/>
                <w:color w:val="auto"/>
              </w:rPr>
            </w:pP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30,013</w:t>
            </w:r>
          </w:p>
        </w:tc>
        <w:tc>
          <w:tcPr>
            <w:tcW w:w="12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28,239</w:t>
            </w:r>
          </w:p>
        </w:tc>
      </w:tr>
      <w:tr>
        <w:trPr>
          <w:trHeight w:val="25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19,351</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60" w:type="dxa"/>
            <w:vAlign w:val="bottom"/>
          </w:tcPr>
          <w:p>
            <w:pPr>
              <w:spacing w:after="0"/>
              <w:rPr>
                <w:sz w:val="22"/>
                <w:szCs w:val="22"/>
                <w:color w:val="auto"/>
              </w:rPr>
            </w:pPr>
          </w:p>
        </w:tc>
      </w:tr>
      <w:tr>
        <w:trPr>
          <w:trHeight w:val="263"/>
        </w:trPr>
        <w:tc>
          <w:tcPr>
            <w:tcW w:w="6300" w:type="dxa"/>
            <w:vAlign w:val="bottom"/>
          </w:tcPr>
          <w:p>
            <w:pPr>
              <w:spacing w:after="0"/>
              <w:rPr>
                <w:sz w:val="20"/>
                <w:szCs w:val="20"/>
                <w:color w:val="auto"/>
              </w:rPr>
            </w:pPr>
            <w:r>
              <w:rPr>
                <w:rFonts w:ascii="Arial" w:cs="Arial" w:eastAsia="Arial" w:hAnsi="Arial"/>
                <w:sz w:val="18"/>
                <w:szCs w:val="18"/>
                <w:color w:val="auto"/>
              </w:rPr>
              <w:t>Occupancy</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14,441</w:t>
            </w:r>
          </w:p>
        </w:tc>
        <w:tc>
          <w:tcPr>
            <w:tcW w:w="12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15,817</w:t>
            </w:r>
          </w:p>
        </w:tc>
      </w:tr>
      <w:tr>
        <w:trPr>
          <w:trHeight w:val="20"/>
        </w:trPr>
        <w:tc>
          <w:tcPr>
            <w:tcW w:w="6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415,356</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399,049</w:t>
            </w:r>
          </w:p>
        </w:tc>
        <w:tc>
          <w:tcPr>
            <w:tcW w:w="60" w:type="dxa"/>
            <w:vAlign w:val="bottom"/>
          </w:tcPr>
          <w:p>
            <w:pPr>
              <w:spacing w:after="0"/>
              <w:rPr>
                <w:sz w:val="22"/>
                <w:szCs w:val="22"/>
                <w:color w:val="auto"/>
              </w:rPr>
            </w:pPr>
          </w:p>
        </w:tc>
      </w:tr>
      <w:tr>
        <w:trPr>
          <w:trHeight w:val="20"/>
        </w:trPr>
        <w:tc>
          <w:tcPr>
            <w:tcW w:w="6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30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89,092</w:t>
            </w:r>
          </w:p>
        </w:tc>
        <w:tc>
          <w:tcPr>
            <w:tcW w:w="12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93,131</w:t>
            </w:r>
          </w:p>
        </w:tc>
      </w:tr>
      <w:tr>
        <w:trPr>
          <w:trHeight w:val="20"/>
        </w:trPr>
        <w:tc>
          <w:tcPr>
            <w:tcW w:w="6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0" w:type="dxa"/>
            <w:vAlign w:val="bottom"/>
          </w:tcPr>
          <w:p>
            <w:pPr>
              <w:spacing w:after="0"/>
              <w:rPr>
                <w:sz w:val="22"/>
                <w:szCs w:val="22"/>
                <w:color w:val="auto"/>
              </w:rPr>
            </w:pPr>
          </w:p>
        </w:tc>
      </w:tr>
      <w:tr>
        <w:trPr>
          <w:trHeight w:val="277"/>
        </w:trPr>
        <w:tc>
          <w:tcPr>
            <w:tcW w:w="630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(1,339)</w:t>
            </w:r>
          </w:p>
        </w:tc>
      </w:tr>
      <w:tr>
        <w:trPr>
          <w:trHeight w:val="20"/>
        </w:trPr>
        <w:tc>
          <w:tcPr>
            <w:tcW w:w="6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taxes</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89,777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92,436</w:t>
            </w:r>
          </w:p>
        </w:tc>
        <w:tc>
          <w:tcPr>
            <w:tcW w:w="60" w:type="dxa"/>
            <w:vAlign w:val="bottom"/>
          </w:tcPr>
          <w:p>
            <w:pPr>
              <w:spacing w:after="0"/>
              <w:rPr>
                <w:sz w:val="23"/>
                <w:szCs w:val="23"/>
                <w:color w:val="auto"/>
              </w:rPr>
            </w:pPr>
          </w:p>
        </w:tc>
      </w:tr>
      <w:tr>
        <w:trPr>
          <w:trHeight w:val="277"/>
        </w:trPr>
        <w:tc>
          <w:tcPr>
            <w:tcW w:w="6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6,129</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(725)</w:t>
            </w:r>
          </w:p>
        </w:tc>
      </w:tr>
      <w:tr>
        <w:trPr>
          <w:trHeight w:val="20"/>
        </w:trPr>
        <w:tc>
          <w:tcPr>
            <w:tcW w:w="6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60" w:type="dxa"/>
            <w:vAlign w:val="bottom"/>
          </w:tcPr>
          <w:p>
            <w:pPr>
              <w:spacing w:after="0"/>
              <w:rPr>
                <w:sz w:val="23"/>
                <w:szCs w:val="23"/>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47491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-565150</wp:posOffset>
            </wp:positionV>
            <wp:extent cx="47491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-916305</wp:posOffset>
            </wp:positionV>
            <wp:extent cx="47491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-1276350</wp:posOffset>
            </wp:positionV>
            <wp:extent cx="47491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-2613660</wp:posOffset>
            </wp:positionV>
            <wp:extent cx="47491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-2965450</wp:posOffset>
            </wp:positionV>
            <wp:extent cx="47491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-4199890</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Tradeweb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32385</wp:posOffset>
            </wp:positionV>
            <wp:extent cx="10801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62"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32385</wp:posOffset>
            </wp:positionV>
            <wp:extent cx="10801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6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jc w:val="center"/>
              <w:ind w:right="568"/>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6"/>
                <w:szCs w:val="16"/>
                <w:color w:val="auto"/>
              </w:rPr>
            </w:pPr>
          </w:p>
        </w:tc>
      </w:tr>
      <w:tr>
        <w:trPr>
          <w:trHeight w:val="26"/>
        </w:trPr>
        <w:tc>
          <w:tcPr>
            <w:tcW w:w="6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r>
      <w:tr>
        <w:trPr>
          <w:trHeight w:val="173"/>
        </w:trPr>
        <w:tc>
          <w:tcPr>
            <w:tcW w:w="6280" w:type="dxa"/>
            <w:vAlign w:val="bottom"/>
          </w:tcPr>
          <w:p>
            <w:pPr>
              <w:spacing w:after="0"/>
              <w:rPr>
                <w:sz w:val="15"/>
                <w:szCs w:val="15"/>
                <w:color w:val="auto"/>
              </w:rPr>
            </w:pPr>
          </w:p>
        </w:tc>
        <w:tc>
          <w:tcPr>
            <w:tcW w:w="19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(in thousands, except share</w:t>
            </w:r>
          </w:p>
        </w:tc>
      </w:tr>
      <w:tr>
        <w:trPr>
          <w:trHeight w:val="192"/>
        </w:trPr>
        <w:tc>
          <w:tcPr>
            <w:tcW w:w="6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and per share data)</w:t>
            </w:r>
          </w:p>
        </w:tc>
      </w:tr>
      <w:tr>
        <w:trPr>
          <w:trHeight w:val="276"/>
        </w:trPr>
        <w:tc>
          <w:tcPr>
            <w:tcW w:w="6280" w:type="dxa"/>
            <w:vAlign w:val="bottom"/>
            <w:shd w:val="clear" w:color="auto" w:fill="CCEEFF"/>
          </w:tcPr>
          <w:p>
            <w:pPr>
              <w:spacing w:after="0" w:line="276" w:lineRule="exact"/>
              <w:rPr>
                <w:sz w:val="20"/>
                <w:szCs w:val="20"/>
                <w:color w:val="auto"/>
              </w:rPr>
            </w:pPr>
            <w:r>
              <w:rPr>
                <w:rFonts w:ascii="Arial" w:cs="Arial" w:eastAsia="Arial" w:hAnsi="Arial"/>
                <w:sz w:val="18"/>
                <w:szCs w:val="18"/>
                <w:color w:val="auto"/>
              </w:rPr>
              <w:t>Pro forma net income per share data</w:t>
            </w:r>
            <w:r>
              <w:rPr>
                <w:rFonts w:ascii="Arial" w:cs="Arial" w:eastAsia="Arial" w:hAnsi="Arial"/>
                <w:sz w:val="26"/>
                <w:szCs w:val="26"/>
                <w:color w:val="auto"/>
                <w:vertAlign w:val="superscript"/>
              </w:rPr>
              <w:t>(3)</w:t>
            </w: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color w:val="auto"/>
              </w:rPr>
              <w:t>Pro forma weighted average shares of Class A common stock outstanding</w:t>
            </w: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Diluted</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7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to Class A common stock per share</w:t>
            </w:r>
          </w:p>
        </w:tc>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Basic</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353"/>
        </w:trPr>
        <w:tc>
          <w:tcPr>
            <w:tcW w:w="6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Tradeweb Markets LLC</w:t>
            </w:r>
          </w:p>
        </w:tc>
      </w:tr>
      <w:tr>
        <w:trPr>
          <w:trHeight w:val="26"/>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r>
      <w:tr>
        <w:trPr>
          <w:trHeight w:val="198"/>
        </w:trPr>
        <w:tc>
          <w:tcPr>
            <w:tcW w:w="6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As of December 31,</w:t>
            </w:r>
          </w:p>
        </w:tc>
      </w:tr>
      <w:tr>
        <w:trPr>
          <w:trHeight w:val="26"/>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7"/>
        </w:trPr>
        <w:tc>
          <w:tcPr>
            <w:tcW w:w="62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16510</wp:posOffset>
            </wp:positionV>
            <wp:extent cx="12001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7"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23495</wp:posOffset>
            </wp:positionV>
            <wp:extent cx="521208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Financial Condition Data:</w:t>
      </w:r>
    </w:p>
    <w:p>
      <w:pPr>
        <w:sectPr>
          <w:pgSz w:w="11900" w:h="16838" w:orient="portrait"/>
          <w:cols w:equalWidth="0" w:num="1">
            <w:col w:w="10139"/>
          </w:cols>
          <w:pgMar w:left="320" w:top="132" w:right="1440" w:bottom="1440" w:gutter="0" w:footer="0" w:header="0"/>
        </w:sectPr>
      </w:pPr>
    </w:p>
    <w:p>
      <w:pPr>
        <w:spacing w:after="0" w:line="5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36830</wp:posOffset>
            </wp:positionV>
            <wp:extent cx="52120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21208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members’ capital</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236" w:hanging="236"/>
        <w:spacing w:after="0"/>
        <w:tabs>
          <w:tab w:leader="none" w:pos="236" w:val="left"/>
        </w:tabs>
        <w:numPr>
          <w:ilvl w:val="0"/>
          <w:numId w:val="57"/>
        </w:numPr>
        <w:rPr>
          <w:rFonts w:ascii="Arial" w:cs="Arial" w:eastAsia="Arial" w:hAnsi="Arial"/>
          <w:sz w:val="17"/>
          <w:szCs w:val="17"/>
          <w:color w:val="auto"/>
        </w:rPr>
      </w:pPr>
      <w:r>
        <w:rPr>
          <w:rFonts w:ascii="Arial" w:cs="Arial" w:eastAsia="Arial" w:hAnsi="Arial"/>
          <w:sz w:val="17"/>
          <w:szCs w:val="17"/>
          <w:color w:val="auto"/>
        </w:rPr>
        <w:t>352,598   $  324,074</w:t>
      </w:r>
    </w:p>
    <w:p>
      <w:pPr>
        <w:spacing w:after="0" w:line="74" w:lineRule="exact"/>
        <w:rPr>
          <w:rFonts w:ascii="Arial" w:cs="Arial" w:eastAsia="Arial" w:hAnsi="Arial"/>
          <w:sz w:val="17"/>
          <w:szCs w:val="17"/>
          <w:color w:val="auto"/>
        </w:rPr>
      </w:pPr>
    </w:p>
    <w:p>
      <w:pPr>
        <w:ind w:left="96"/>
        <w:spacing w:after="0"/>
        <w:rPr>
          <w:rFonts w:ascii="Arial" w:cs="Arial" w:eastAsia="Arial" w:hAnsi="Arial"/>
          <w:sz w:val="17"/>
          <w:szCs w:val="17"/>
          <w:color w:val="auto"/>
        </w:rPr>
      </w:pPr>
      <w:r>
        <w:rPr>
          <w:rFonts w:ascii="Arial" w:cs="Arial" w:eastAsia="Arial" w:hAnsi="Arial"/>
          <w:sz w:val="18"/>
          <w:szCs w:val="18"/>
          <w:color w:val="auto"/>
        </w:rPr>
        <w:t>1,316,887</w:t>
      </w:r>
      <w:r>
        <w:rPr>
          <w:rFonts w:ascii="Arial" w:cs="Arial" w:eastAsia="Arial" w:hAnsi="Arial"/>
          <w:sz w:val="16"/>
          <w:szCs w:val="16"/>
          <w:color w:val="auto"/>
        </w:rPr>
        <w:t>1,320,732</w:t>
      </w:r>
    </w:p>
    <w:p>
      <w:pPr>
        <w:spacing w:after="0" w:line="63" w:lineRule="exact"/>
        <w:rPr>
          <w:rFonts w:ascii="Arial" w:cs="Arial" w:eastAsia="Arial" w:hAnsi="Arial"/>
          <w:sz w:val="17"/>
          <w:szCs w:val="17"/>
          <w:color w:val="auto"/>
        </w:rPr>
      </w:pPr>
    </w:p>
    <w:p>
      <w:pPr>
        <w:ind w:left="236"/>
        <w:spacing w:after="0"/>
        <w:rPr>
          <w:rFonts w:ascii="Arial" w:cs="Arial" w:eastAsia="Arial" w:hAnsi="Arial"/>
          <w:sz w:val="17"/>
          <w:szCs w:val="17"/>
          <w:color w:val="auto"/>
        </w:rPr>
      </w:pPr>
      <w:r>
        <w:rPr>
          <w:rFonts w:ascii="Arial" w:cs="Arial" w:eastAsia="Arial" w:hAnsi="Arial"/>
          <w:sz w:val="18"/>
          <w:szCs w:val="18"/>
          <w:color w:val="auto"/>
        </w:rPr>
        <w:t>317,118</w:t>
      </w:r>
      <w:r>
        <w:rPr>
          <w:rFonts w:ascii="Arial" w:cs="Arial" w:eastAsia="Arial" w:hAnsi="Arial"/>
          <w:sz w:val="16"/>
          <w:szCs w:val="16"/>
          <w:color w:val="auto"/>
        </w:rPr>
        <w:t>283,319</w:t>
      </w:r>
    </w:p>
    <w:p>
      <w:pPr>
        <w:spacing w:after="0" w:line="63" w:lineRule="exact"/>
        <w:rPr>
          <w:rFonts w:ascii="Arial" w:cs="Arial" w:eastAsia="Arial" w:hAnsi="Arial"/>
          <w:sz w:val="17"/>
          <w:szCs w:val="17"/>
          <w:color w:val="auto"/>
        </w:rPr>
      </w:pPr>
    </w:p>
    <w:p>
      <w:pPr>
        <w:ind w:left="236"/>
        <w:spacing w:after="0"/>
        <w:rPr>
          <w:rFonts w:ascii="Arial" w:cs="Arial" w:eastAsia="Arial" w:hAnsi="Arial"/>
          <w:sz w:val="17"/>
          <w:szCs w:val="17"/>
          <w:color w:val="auto"/>
        </w:rPr>
      </w:pPr>
      <w:r>
        <w:rPr>
          <w:rFonts w:ascii="Arial" w:cs="Arial" w:eastAsia="Arial" w:hAnsi="Arial"/>
          <w:sz w:val="18"/>
          <w:szCs w:val="18"/>
          <w:color w:val="auto"/>
        </w:rPr>
        <w:t>986,468</w:t>
      </w:r>
      <w:r>
        <w:rPr>
          <w:rFonts w:ascii="Arial" w:cs="Arial" w:eastAsia="Arial" w:hAnsi="Arial"/>
          <w:sz w:val="16"/>
          <w:szCs w:val="16"/>
          <w:color w:val="auto"/>
        </w:rPr>
        <w:t>1,024,759</w:t>
      </w:r>
    </w:p>
    <w:p>
      <w:pPr>
        <w:spacing w:after="0" w:line="190" w:lineRule="exact"/>
        <w:rPr>
          <w:sz w:val="20"/>
          <w:szCs w:val="20"/>
          <w:color w:val="auto"/>
        </w:rPr>
      </w:pPr>
    </w:p>
    <w:p>
      <w:pPr>
        <w:ind w:left="76"/>
        <w:spacing w:after="0"/>
        <w:rPr>
          <w:sz w:val="20"/>
          <w:szCs w:val="20"/>
          <w:color w:val="auto"/>
        </w:rPr>
      </w:pPr>
      <w:r>
        <w:rPr>
          <w:rFonts w:ascii="Arial" w:cs="Arial" w:eastAsia="Arial" w:hAnsi="Arial"/>
          <w:sz w:val="14"/>
          <w:szCs w:val="14"/>
          <w:b w:val="1"/>
          <w:bCs w:val="1"/>
          <w:color w:val="auto"/>
        </w:rPr>
        <w:t>Tradeweb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wp:posOffset>
            </wp:positionV>
            <wp:extent cx="13201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62" w:lineRule="exact"/>
        <w:rPr>
          <w:sz w:val="20"/>
          <w:szCs w:val="20"/>
          <w:color w:val="auto"/>
        </w:rPr>
      </w:pPr>
    </w:p>
    <w:p>
      <w:pPr>
        <w:ind w:left="36"/>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wp:posOffset>
            </wp:positionV>
            <wp:extent cx="13201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62" w:lineRule="exact"/>
        <w:rPr>
          <w:sz w:val="20"/>
          <w:szCs w:val="20"/>
          <w:color w:val="auto"/>
        </w:rPr>
      </w:pPr>
    </w:p>
    <w:p>
      <w:pPr>
        <w:ind w:left="96"/>
        <w:spacing w:after="0"/>
        <w:tabs>
          <w:tab w:leader="none" w:pos="1215"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wp:posOffset>
            </wp:positionV>
            <wp:extent cx="13201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62" w:lineRule="exact"/>
        <w:rPr>
          <w:sz w:val="20"/>
          <w:szCs w:val="20"/>
          <w:color w:val="auto"/>
        </w:rPr>
      </w:pPr>
    </w:p>
    <w:p>
      <w:pPr>
        <w:ind w:left="396"/>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6884" w:space="720"/>
            <w:col w:w="2535"/>
          </w:cols>
          <w:pgMar w:left="32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48"/>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and Operating Data:</w:t>
            </w:r>
          </w:p>
        </w:tc>
        <w:tc>
          <w:tcPr>
            <w:tcW w:w="26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70"/>
        </w:trPr>
        <w:tc>
          <w:tcPr>
            <w:tcW w:w="4560" w:type="dxa"/>
            <w:vAlign w:val="bottom"/>
          </w:tcPr>
          <w:p>
            <w:pPr>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6"/>
                <w:szCs w:val="26"/>
                <w:color w:val="auto"/>
                <w:vertAlign w:val="superscript"/>
              </w:rPr>
              <w:t>(4)</w:t>
            </w:r>
          </w:p>
        </w:tc>
        <w:tc>
          <w:tcPr>
            <w:tcW w:w="2660" w:type="dxa"/>
            <w:vAlign w:val="bottom"/>
          </w:tcPr>
          <w:p>
            <w:pPr>
              <w:jc w:val="right"/>
              <w:ind w:right="210"/>
              <w:spacing w:after="0"/>
              <w:rPr>
                <w:sz w:val="20"/>
                <w:szCs w:val="20"/>
                <w:color w:val="auto"/>
              </w:rPr>
            </w:pPr>
            <w:r>
              <w:rPr>
                <w:rFonts w:ascii="Arial" w:cs="Arial" w:eastAsia="Arial" w:hAnsi="Arial"/>
                <w:sz w:val="18"/>
                <w:szCs w:val="18"/>
                <w:color w:val="auto"/>
              </w:rPr>
              <w:t>$183,962</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$136,496</w:t>
            </w:r>
          </w:p>
        </w:tc>
      </w:tr>
      <w:tr>
        <w:trPr>
          <w:trHeight w:val="270"/>
        </w:trPr>
        <w:tc>
          <w:tcPr>
            <w:tcW w:w="45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(5)</w:t>
            </w:r>
          </w:p>
        </w:tc>
        <w:tc>
          <w:tcPr>
            <w:tcW w:w="2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$215,863</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$202,086</w:t>
            </w:r>
          </w:p>
        </w:tc>
      </w:tr>
      <w:tr>
        <w:trPr>
          <w:trHeight w:val="270"/>
        </w:trPr>
        <w:tc>
          <w:tcPr>
            <w:tcW w:w="4560" w:type="dxa"/>
            <w:vAlign w:val="bottom"/>
          </w:tcPr>
          <w:p>
            <w:pPr>
              <w:spacing w:after="0" w:line="27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(5)</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38.3%</w:t>
            </w: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0"/>
        </w:trPr>
        <w:tc>
          <w:tcPr>
            <w:tcW w:w="45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6"/>
                <w:szCs w:val="26"/>
                <w:color w:val="auto"/>
                <w:vertAlign w:val="superscript"/>
              </w:rPr>
              <w:t>(5)</w:t>
            </w:r>
          </w:p>
        </w:tc>
        <w:tc>
          <w:tcPr>
            <w:tcW w:w="2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$173,040</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$162,382</w:t>
            </w:r>
          </w:p>
        </w:tc>
      </w:tr>
      <w:tr>
        <w:trPr>
          <w:trHeight w:val="365"/>
        </w:trPr>
        <w:tc>
          <w:tcPr>
            <w:tcW w:w="4560" w:type="dxa"/>
            <w:vAlign w:val="bottom"/>
          </w:tcPr>
          <w:p>
            <w:pPr>
              <w:spacing w:after="0"/>
              <w:rPr>
                <w:sz w:val="20"/>
                <w:szCs w:val="20"/>
                <w:color w:val="auto"/>
              </w:rPr>
            </w:pPr>
            <w:r>
              <w:rPr>
                <w:rFonts w:ascii="Arial" w:cs="Arial" w:eastAsia="Arial" w:hAnsi="Arial"/>
                <w:sz w:val="18"/>
                <w:szCs w:val="18"/>
                <w:b w:val="1"/>
                <w:bCs w:val="1"/>
                <w:color w:val="auto"/>
              </w:rPr>
              <w:t>Average Daily Volumes (in millions):</w:t>
            </w:r>
          </w:p>
        </w:tc>
        <w:tc>
          <w:tcPr>
            <w:tcW w:w="26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2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255,152</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220,535</w:t>
            </w:r>
          </w:p>
        </w:tc>
      </w:tr>
      <w:tr>
        <w:trPr>
          <w:trHeight w:val="270"/>
        </w:trPr>
        <w:tc>
          <w:tcPr>
            <w:tcW w:w="4560" w:type="dxa"/>
            <w:vAlign w:val="bottom"/>
          </w:tcPr>
          <w:p>
            <w:pPr>
              <w:spacing w:after="0"/>
              <w:rPr>
                <w:sz w:val="20"/>
                <w:szCs w:val="20"/>
                <w:color w:val="auto"/>
              </w:rPr>
            </w:pPr>
            <w:r>
              <w:rPr>
                <w:rFonts w:ascii="Arial" w:cs="Arial" w:eastAsia="Arial" w:hAnsi="Arial"/>
                <w:sz w:val="18"/>
                <w:szCs w:val="18"/>
                <w:color w:val="auto"/>
              </w:rPr>
              <w:t>Credit</w:t>
            </w:r>
          </w:p>
        </w:tc>
        <w:tc>
          <w:tcPr>
            <w:tcW w:w="2660" w:type="dxa"/>
            <w:vAlign w:val="bottom"/>
          </w:tcPr>
          <w:p>
            <w:pPr>
              <w:jc w:val="right"/>
              <w:ind w:right="210"/>
              <w:spacing w:after="0"/>
              <w:rPr>
                <w:sz w:val="20"/>
                <w:szCs w:val="20"/>
                <w:color w:val="auto"/>
              </w:rPr>
            </w:pPr>
            <w:r>
              <w:rPr>
                <w:rFonts w:ascii="Arial" w:cs="Arial" w:eastAsia="Arial" w:hAnsi="Arial"/>
                <w:sz w:val="18"/>
                <w:szCs w:val="18"/>
                <w:color w:val="auto"/>
              </w:rPr>
              <w:t>7,552</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5,960</w:t>
            </w:r>
          </w:p>
        </w:tc>
      </w:tr>
      <w:tr>
        <w:trPr>
          <w:trHeight w:val="27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2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132,105</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94,315</w:t>
            </w:r>
          </w:p>
        </w:tc>
      </w:tr>
      <w:tr>
        <w:trPr>
          <w:trHeight w:val="270"/>
        </w:trPr>
        <w:tc>
          <w:tcPr>
            <w:tcW w:w="4560" w:type="dxa"/>
            <w:vAlign w:val="bottom"/>
          </w:tcPr>
          <w:p>
            <w:pPr>
              <w:spacing w:after="0"/>
              <w:rPr>
                <w:sz w:val="20"/>
                <w:szCs w:val="20"/>
                <w:color w:val="auto"/>
              </w:rPr>
            </w:pPr>
            <w:r>
              <w:rPr>
                <w:rFonts w:ascii="Arial" w:cs="Arial" w:eastAsia="Arial" w:hAnsi="Arial"/>
                <w:sz w:val="18"/>
                <w:szCs w:val="18"/>
                <w:color w:val="auto"/>
              </w:rPr>
              <w:t>Equities</w:t>
            </w:r>
          </w:p>
        </w:tc>
        <w:tc>
          <w:tcPr>
            <w:tcW w:w="2660" w:type="dxa"/>
            <w:vAlign w:val="bottom"/>
          </w:tcPr>
          <w:p>
            <w:pPr>
              <w:jc w:val="right"/>
              <w:ind w:right="210"/>
              <w:spacing w:after="0"/>
              <w:rPr>
                <w:sz w:val="20"/>
                <w:szCs w:val="20"/>
                <w:color w:val="auto"/>
              </w:rPr>
            </w:pPr>
            <w:r>
              <w:rPr>
                <w:rFonts w:ascii="Arial" w:cs="Arial" w:eastAsia="Arial" w:hAnsi="Arial"/>
                <w:sz w:val="18"/>
                <w:szCs w:val="18"/>
                <w:color w:val="auto"/>
              </w:rPr>
              <w:t>4,817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163195</wp:posOffset>
            </wp:positionV>
            <wp:extent cx="12344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620" w:right="719" w:hanging="352"/>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143" w:lineRule="exact"/>
        <w:rPr>
          <w:rFonts w:ascii="Arial" w:cs="Arial" w:eastAsia="Arial" w:hAnsi="Arial"/>
          <w:sz w:val="18"/>
          <w:szCs w:val="18"/>
          <w:color w:val="auto"/>
        </w:rPr>
      </w:pPr>
    </w:p>
    <w:p>
      <w:pPr>
        <w:ind w:left="1620" w:right="839" w:hanging="352"/>
        <w:spacing w:after="0" w:line="25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right="1039" w:hanging="352"/>
        <w:spacing w:after="0" w:line="311" w:lineRule="auto"/>
        <w:tabs>
          <w:tab w:leader="none" w:pos="1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40" w:lineRule="exact"/>
        <w:rPr>
          <w:rFonts w:ascii="Arial" w:cs="Arial" w:eastAsia="Arial" w:hAnsi="Arial"/>
          <w:sz w:val="16"/>
          <w:szCs w:val="16"/>
          <w:color w:val="auto"/>
        </w:rPr>
      </w:pPr>
    </w:p>
    <w:p>
      <w:pPr>
        <w:ind w:left="1620" w:right="979" w:hanging="352"/>
        <w:spacing w:after="0" w:line="259"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20" w:right="759"/>
        <w:spacing w:after="0" w:line="259"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20" w:right="679"/>
        <w:spacing w:after="0" w:line="254" w:lineRule="auto"/>
        <w:rPr>
          <w:rFonts w:ascii="Arial" w:cs="Arial" w:eastAsia="Arial" w:hAnsi="Arial"/>
          <w:sz w:val="18"/>
          <w:szCs w:val="18"/>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3" w:lineRule="exact"/>
        <w:rPr>
          <w:rFonts w:ascii="Arial" w:cs="Arial" w:eastAsia="Arial" w:hAnsi="Arial"/>
          <w:sz w:val="18"/>
          <w:szCs w:val="18"/>
          <w:color w:val="auto"/>
        </w:rPr>
      </w:pPr>
    </w:p>
    <w:p>
      <w:pPr>
        <w:ind w:left="1620" w:right="939"/>
        <w:spacing w:after="0" w:line="277" w:lineRule="auto"/>
        <w:rPr>
          <w:rFonts w:ascii="Arial" w:cs="Arial" w:eastAsia="Arial" w:hAnsi="Arial"/>
          <w:sz w:val="18"/>
          <w:szCs w:val="18"/>
          <w:color w:val="auto"/>
        </w:rPr>
      </w:pPr>
      <w:r>
        <w:rPr>
          <w:rFonts w:ascii="Arial" w:cs="Arial" w:eastAsia="Arial" w:hAnsi="Arial"/>
          <w:sz w:val="18"/>
          <w:szCs w:val="18"/>
          <w:color w:val="auto"/>
        </w:rPr>
        <w:t>The table set forth below presents a reconciliation of our cash flow from operating activities to Free Cash Flow for the years ended December 31, 2017 and 2016:</w:t>
      </w:r>
    </w:p>
    <w:p>
      <w:pPr>
        <w:spacing w:after="0" w:line="6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Tradeweb Markets LLC</w:t>
            </w:r>
          </w:p>
        </w:tc>
      </w:tr>
      <w:tr>
        <w:trPr>
          <w:trHeight w:val="26"/>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25"/>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7"/>
                <w:szCs w:val="17"/>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5"/>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$224,580</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$171,845</w:t>
            </w:r>
          </w:p>
        </w:tc>
        <w:tc>
          <w:tcPr>
            <w:tcW w:w="60" w:type="dxa"/>
            <w:vAlign w:val="bottom"/>
          </w:tcPr>
          <w:p>
            <w:pPr>
              <w:spacing w:after="0"/>
              <w:rPr>
                <w:sz w:val="22"/>
                <w:szCs w:val="22"/>
                <w:color w:val="auto"/>
              </w:rPr>
            </w:pPr>
          </w:p>
        </w:tc>
      </w:tr>
      <w:tr>
        <w:trPr>
          <w:trHeight w:val="257"/>
        </w:trPr>
        <w:tc>
          <w:tcPr>
            <w:tcW w:w="5880" w:type="dxa"/>
            <w:vAlign w:val="bottom"/>
            <w:gridSpan w:val="2"/>
          </w:tcPr>
          <w:p>
            <w:pPr>
              <w:spacing w:after="0"/>
              <w:rPr>
                <w:sz w:val="20"/>
                <w:szCs w:val="20"/>
                <w:color w:val="auto"/>
              </w:rPr>
            </w:pPr>
            <w:r>
              <w:rPr>
                <w:rFonts w:ascii="Arial" w:cs="Arial" w:eastAsia="Arial" w:hAnsi="Arial"/>
                <w:sz w:val="18"/>
                <w:szCs w:val="18"/>
                <w:color w:val="auto"/>
              </w:rPr>
              <w:t>Less: Capitalization of software development costs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(27,157)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(25,351)</w:t>
            </w: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furniture, equipment and leasehold improvements</w:t>
            </w:r>
          </w:p>
        </w:tc>
        <w:tc>
          <w:tcPr>
            <w:tcW w:w="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(13,461)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60" w:type="dxa"/>
            <w:vAlign w:val="bottom"/>
          </w:tcPr>
          <w:p>
            <w:pPr>
              <w:spacing w:after="0"/>
              <w:rPr>
                <w:sz w:val="22"/>
                <w:szCs w:val="22"/>
                <w:color w:val="auto"/>
              </w:rPr>
            </w:pPr>
          </w:p>
        </w:tc>
      </w:tr>
      <w:tr>
        <w:trPr>
          <w:trHeight w:val="257"/>
        </w:trPr>
        <w:tc>
          <w:tcPr>
            <w:tcW w:w="58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Free Cash Flow</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183,962</w:t>
            </w:r>
          </w:p>
        </w:tc>
        <w:tc>
          <w:tcPr>
            <w:tcW w:w="240" w:type="dxa"/>
            <w:vAlign w:val="bottom"/>
            <w:tcBorders>
              <w:top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136,496</w:t>
            </w:r>
          </w:p>
        </w:tc>
        <w:tc>
          <w:tcPr>
            <w:tcW w:w="60" w:type="dxa"/>
            <w:vAlign w:val="bottom"/>
          </w:tcPr>
          <w:p>
            <w:pPr>
              <w:spacing w:after="0"/>
              <w:rPr>
                <w:sz w:val="22"/>
                <w:szCs w:val="22"/>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-822325</wp:posOffset>
            </wp:positionV>
            <wp:extent cx="137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5" w:lineRule="exact"/>
        <w:rPr>
          <w:sz w:val="20"/>
          <w:szCs w:val="20"/>
          <w:color w:val="auto"/>
        </w:rPr>
      </w:pPr>
    </w:p>
    <w:p>
      <w:pPr>
        <w:ind w:left="1620" w:right="819" w:hanging="352"/>
        <w:spacing w:after="0" w:line="308" w:lineRule="auto"/>
        <w:tabs>
          <w:tab w:leader="none" w:pos="1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8" w:lineRule="exact"/>
        <w:rPr>
          <w:rFonts w:ascii="Arial" w:cs="Arial" w:eastAsia="Arial" w:hAnsi="Arial"/>
          <w:sz w:val="17"/>
          <w:szCs w:val="17"/>
          <w:color w:val="auto"/>
        </w:rPr>
      </w:pPr>
    </w:p>
    <w:p>
      <w:pPr>
        <w:ind w:left="1620" w:right="679"/>
        <w:spacing w:after="0" w:line="286" w:lineRule="auto"/>
        <w:rPr>
          <w:rFonts w:ascii="Arial" w:cs="Arial" w:eastAsia="Arial" w:hAnsi="Arial"/>
          <w:sz w:val="17"/>
          <w:szCs w:val="17"/>
          <w:color w:val="auto"/>
        </w:rPr>
      </w:pPr>
      <w:r>
        <w:rPr>
          <w:rFonts w:ascii="Arial" w:cs="Arial" w:eastAsia="Arial" w:hAnsi="Arial"/>
          <w:sz w:val="16"/>
          <w:szCs w:val="16"/>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62" w:lineRule="exact"/>
        <w:rPr>
          <w:rFonts w:ascii="Arial" w:cs="Arial" w:eastAsia="Arial" w:hAnsi="Arial"/>
          <w:sz w:val="17"/>
          <w:szCs w:val="17"/>
          <w:color w:val="auto"/>
        </w:rPr>
      </w:pPr>
    </w:p>
    <w:p>
      <w:pPr>
        <w:ind w:left="1620" w:right="1079"/>
        <w:spacing w:after="0" w:line="342" w:lineRule="auto"/>
        <w:rPr>
          <w:rFonts w:ascii="Arial" w:cs="Arial" w:eastAsia="Arial" w:hAnsi="Arial"/>
          <w:sz w:val="17"/>
          <w:szCs w:val="17"/>
          <w:color w:val="auto"/>
        </w:rPr>
      </w:pPr>
      <w:r>
        <w:rPr>
          <w:rFonts w:ascii="Arial" w:cs="Arial" w:eastAsia="Arial" w:hAnsi="Arial"/>
          <w:sz w:val="16"/>
          <w:szCs w:val="16"/>
          <w:color w:val="auto"/>
        </w:rPr>
        <w:t>Management and our board of directors use Adjusted EBITDA to assess our financial performance and believe it is helpful in highlighting trends in our core operating performance, while other measures</w:t>
      </w:r>
    </w:p>
    <w:p>
      <w:pPr>
        <w:spacing w:after="0" w:line="17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799"/>
        <w:spacing w:after="0" w:line="263" w:lineRule="auto"/>
        <w:rPr>
          <w:sz w:val="20"/>
          <w:szCs w:val="20"/>
          <w:color w:val="auto"/>
        </w:rPr>
      </w:pPr>
      <w:r>
        <w:rPr>
          <w:rFonts w:ascii="Arial" w:cs="Arial" w:eastAsia="Arial" w:hAnsi="Arial"/>
          <w:sz w:val="18"/>
          <w:szCs w:val="18"/>
          <w:color w:val="auto"/>
        </w:rPr>
        <w:t>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76" w:lineRule="exact"/>
        <w:rPr>
          <w:sz w:val="20"/>
          <w:szCs w:val="20"/>
          <w:color w:val="auto"/>
        </w:rPr>
      </w:pPr>
    </w:p>
    <w:p>
      <w:pPr>
        <w:ind w:left="1620" w:right="1119"/>
        <w:spacing w:after="0" w:line="277" w:lineRule="auto"/>
        <w:rPr>
          <w:sz w:val="20"/>
          <w:szCs w:val="20"/>
          <w:color w:val="auto"/>
        </w:rPr>
      </w:pPr>
      <w:r>
        <w:rPr>
          <w:rFonts w:ascii="Arial" w:cs="Arial" w:eastAsia="Arial" w:hAnsi="Arial"/>
          <w:sz w:val="18"/>
          <w:szCs w:val="18"/>
          <w:color w:val="auto"/>
        </w:rPr>
        <w:t>Adjusted EBITDA margin is defined as Adjusted EBITDA divided by gross revenue for the applicable period.</w:t>
      </w:r>
    </w:p>
    <w:p>
      <w:pPr>
        <w:spacing w:after="0" w:line="62" w:lineRule="exact"/>
        <w:rPr>
          <w:sz w:val="20"/>
          <w:szCs w:val="20"/>
          <w:color w:val="auto"/>
        </w:rPr>
      </w:pPr>
    </w:p>
    <w:p>
      <w:pPr>
        <w:ind w:left="1620" w:right="679"/>
        <w:spacing w:after="0" w:line="269" w:lineRule="auto"/>
        <w:rPr>
          <w:sz w:val="20"/>
          <w:szCs w:val="20"/>
          <w:color w:val="auto"/>
        </w:rPr>
      </w:pPr>
      <w:r>
        <w:rPr>
          <w:rFonts w:ascii="Arial" w:cs="Arial" w:eastAsia="Arial" w:hAnsi="Arial"/>
          <w:sz w:val="17"/>
          <w:szCs w:val="17"/>
          <w:color w:val="auto"/>
        </w:rPr>
        <w:t>Adjusted Net Income is defined as net income before contingent consideration, acquisition related intangible amortization, unrealized foreign exchange gains/losses and stock-based compensation expense.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amortization of acquisition related intangible assets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71" w:lineRule="exact"/>
        <w:rPr>
          <w:sz w:val="20"/>
          <w:szCs w:val="20"/>
          <w:color w:val="auto"/>
        </w:rPr>
      </w:pPr>
    </w:p>
    <w:p>
      <w:pPr>
        <w:ind w:left="1620" w:right="659"/>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table set forth below presents a reconciliation of net income to Adjusted EBITDA for the years ended</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December 31, 2017 and 2016:</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7"/>
              </w:rPr>
              <w:t>Tradeweb Markets LLC</w:t>
            </w:r>
          </w:p>
        </w:tc>
      </w:tr>
      <w:tr>
        <w:trPr>
          <w:trHeight w:val="25"/>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25"/>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5"/>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60" w:type="dxa"/>
            <w:vAlign w:val="bottom"/>
          </w:tcPr>
          <w:p>
            <w:pPr>
              <w:spacing w:after="0"/>
              <w:rPr>
                <w:sz w:val="22"/>
                <w:szCs w:val="22"/>
                <w:color w:val="auto"/>
              </w:rPr>
            </w:pP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26,224</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22"/>
                <w:szCs w:val="22"/>
                <w:color w:val="auto"/>
              </w:rPr>
            </w:pP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68,615</w:t>
            </w:r>
          </w:p>
        </w:tc>
        <w:tc>
          <w:tcPr>
            <w:tcW w:w="10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80,859</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Pr>
          <w:p>
            <w:pPr>
              <w:spacing w:after="0"/>
              <w:rPr>
                <w:sz w:val="22"/>
                <w:szCs w:val="22"/>
                <w:color w:val="auto"/>
              </w:rPr>
            </w:pPr>
          </w:p>
        </w:tc>
      </w:tr>
      <w:tr>
        <w:trPr>
          <w:trHeight w:val="263"/>
        </w:trPr>
        <w:tc>
          <w:tcPr>
            <w:tcW w:w="588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0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60" w:type="dxa"/>
            <w:vAlign w:val="bottom"/>
          </w:tcPr>
          <w:p>
            <w:pPr>
              <w:spacing w:after="0"/>
              <w:rPr>
                <w:sz w:val="22"/>
                <w:szCs w:val="22"/>
                <w:color w:val="auto"/>
              </w:rPr>
            </w:pPr>
          </w:p>
        </w:tc>
      </w:tr>
      <w:tr>
        <w:trPr>
          <w:trHeight w:val="257"/>
        </w:trPr>
        <w:tc>
          <w:tcPr>
            <w:tcW w:w="5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215,863</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202,086</w:t>
            </w:r>
          </w:p>
        </w:tc>
        <w:tc>
          <w:tcPr>
            <w:tcW w:w="60" w:type="dxa"/>
            <w:vAlign w:val="bottom"/>
          </w:tcPr>
          <w:p>
            <w:pPr>
              <w:spacing w:after="0"/>
              <w:rPr>
                <w:sz w:val="22"/>
                <w:szCs w:val="22"/>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-196215</wp:posOffset>
            </wp:positionV>
            <wp:extent cx="43116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-1310640</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table set forth below presents a reconciliation of net income to Adjusted Net Income for the years ended</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December 31, 2017 and 2016:</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Tradeweb Markets LLC</w:t>
            </w:r>
          </w:p>
        </w:tc>
      </w:tr>
      <w:tr>
        <w:trPr>
          <w:trHeight w:val="26"/>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r>
      <w:tr>
        <w:trPr>
          <w:trHeight w:val="17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3"/>
              </w:rPr>
              <w:t>Year Ended</w:t>
            </w:r>
          </w:p>
        </w:tc>
      </w:t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7"/>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r>
      <w:tr>
        <w:trPr>
          <w:trHeight w:val="26"/>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r>
      <w:tr>
        <w:trPr>
          <w:trHeight w:val="18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1"/>
              </w:rPr>
              <w:t>(in thousands)</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r>
      <w:tr>
        <w:trPr>
          <w:trHeight w:val="257"/>
        </w:trPr>
        <w:tc>
          <w:tcPr>
            <w:tcW w:w="58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related intangible amortization</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31,236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41,125</w:t>
            </w:r>
          </w:p>
        </w:tc>
      </w:tr>
      <w:tr>
        <w:trPr>
          <w:trHeight w:val="263"/>
        </w:trPr>
        <w:tc>
          <w:tcPr>
            <w:tcW w:w="588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0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r>
      <w:tr>
        <w:trPr>
          <w:trHeight w:val="256"/>
        </w:trPr>
        <w:tc>
          <w:tcPr>
            <w:tcW w:w="5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173,040</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162,382</w:t>
            </w: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-196850</wp:posOffset>
            </wp:positionV>
            <wp:extent cx="43116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-985520</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08"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The following unaudited pro forma consolidated statement of operations for the year ended December 31, 2017 gives effect to the Transactions, including this offering, as if the same had occurred on January 1, 2017. The unaudited pro forma consolidated statement of financial condition as of December 31, 2017 gives effect to the Transactions, including this offering, as if the same had occurred on December 31, 2017.</w:t>
      </w:r>
    </w:p>
    <w:p>
      <w:pPr>
        <w:spacing w:after="0" w:line="63"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have derived the unaudited pro forma consolidated financial information as of and for the year ended December 31, 2017 from the audited consolidated financial statements of Tradeweb Markets LLC included elsewhere in this prospectus. The pro forma adjustments are based on available information and certain assumptions that management believes are reasonable under the circumstances. The assumptions underlying the pro forma adjustments are described in the accompanying notes, which should be read in conjunction with these unaudited pro forma combined financial statements. The pro forma financial information is qualified in its entirety by reference to, and should be read in conjunction with, “Management’s Discussion and Analysis of Financial Condition and Results of Operations” and our consolidated financial statements and the related notes included elsewhere in this prospectus.</w:t>
      </w:r>
    </w:p>
    <w:p>
      <w:pPr>
        <w:spacing w:after="0" w:line="73"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6"/>
          <w:szCs w:val="16"/>
          <w:color w:val="auto"/>
        </w:rPr>
        <w:t>The pro forma adjustments related to the Refinitiv Transaction, which we refer to as the “Refinitiv Adjustments,” are described in the notes to the unaudited pro forma consolidated financial information, and principally include the consummation of the Refinitiv Transaction and the application of pushdown accounting. As a result of the Refinitiv Transaction, we revalued our assets and liabilities based on their fair values as of the closing date of the Refinitiv Transaction in accordance with the acquisition method of accounting. The unaudited pro forma consolidated financial information presented, including the allocation of the total purchase price of the Refinitiv Transaction attributable to the purchase of our assets and liabilities, are based on preliminary estimates of the fair values of our assets and our liabilities, available information as of the date of this prospectus and management assumptions, and will be revised as additional information becomes available. The final purchase price allocation is dependent on, among other things, the finalization of the asset and liability valuations by our independent third-party valuation firm. The actual adjustments to our consolidated financial statements following the closing of the Refinitiv Transaction will depend on a number of factors. Therefore, the actual adjustments will differ from the pro forma adjustments, and the differences may be material. Any final adjustments will change the allocation of purchase price, which could affect the fair value assigned to our assets and liabilities and could result in a change to the unaudited pro forma consolidated financial information, including a change to goodwill.</w:t>
      </w:r>
    </w:p>
    <w:p>
      <w:pPr>
        <w:spacing w:after="0" w:line="59"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pro forma adjustments related to the Reorganization Transactions other than this offering, which we refer to as the “Reorganization Adjustments,” are described in the notes to the unaudited pro forma consolidated financial information, and principally include the following:</w:t>
      </w:r>
    </w:p>
    <w:p>
      <w:pPr>
        <w:spacing w:after="0" w:line="157" w:lineRule="exact"/>
        <w:rPr>
          <w:sz w:val="20"/>
          <w:szCs w:val="20"/>
          <w:color w:val="auto"/>
        </w:rPr>
      </w:pPr>
    </w:p>
    <w:p>
      <w:pPr>
        <w:ind w:left="1980" w:right="919" w:hanging="352"/>
        <w:spacing w:after="0" w:line="274" w:lineRule="auto"/>
        <w:tabs>
          <w:tab w:leader="none" w:pos="1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amendment and restatement of the TWM LLC Agreement to, among other things, (i) provide for LLC Interests that will be the single class of common membership interests in TWM LLC,</w:t>
      </w:r>
    </w:p>
    <w:p>
      <w:pPr>
        <w:ind w:left="1980" w:right="999" w:firstLine="8"/>
        <w:spacing w:after="0" w:line="260" w:lineRule="auto"/>
        <w:tabs>
          <w:tab w:leader="none" w:pos="22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exchange all of the Original LLC Owners existing membership interests in TWM LLC for LLC Interests and (iii) appoint Tradeweb as the sole manager of TWM LLC;</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amendment and restatement of Tradeweb’s certificate of incorporation to, among other things,</w:t>
      </w:r>
    </w:p>
    <w:p>
      <w:pPr>
        <w:spacing w:after="0" w:line="34" w:lineRule="exact"/>
        <w:rPr>
          <w:rFonts w:ascii="Arial" w:cs="Arial" w:eastAsia="Arial" w:hAnsi="Arial"/>
          <w:sz w:val="17"/>
          <w:szCs w:val="17"/>
          <w:color w:val="auto"/>
        </w:rPr>
      </w:pPr>
    </w:p>
    <w:p>
      <w:pPr>
        <w:jc w:val="both"/>
        <w:ind w:left="1980" w:right="1039" w:firstLine="8"/>
        <w:spacing w:after="0" w:line="302" w:lineRule="auto"/>
        <w:tabs>
          <w:tab w:leader="none" w:pos="2195" w:val="left"/>
        </w:tabs>
        <w:numPr>
          <w:ilvl w:val="1"/>
          <w:numId w:val="62"/>
        </w:numPr>
        <w:rPr>
          <w:rFonts w:ascii="Arial" w:cs="Arial" w:eastAsia="Arial" w:hAnsi="Arial"/>
          <w:sz w:val="16"/>
          <w:szCs w:val="16"/>
          <w:color w:val="auto"/>
        </w:rPr>
      </w:pPr>
      <w:r>
        <w:rPr>
          <w:rFonts w:ascii="Arial" w:cs="Arial" w:eastAsia="Arial" w:hAnsi="Arial"/>
          <w:sz w:val="16"/>
          <w:szCs w:val="16"/>
          <w:color w:val="auto"/>
        </w:rPr>
        <w:t>provide for Class A common stock, Class B common stock, Class C common stock and Class D common stock and (ii) issue shares of Class D common stock to the Continuing LLC Owners, on a one-to-one basis with the number of LLC Interests they own, for nominal consideration;</w:t>
      </w:r>
    </w:p>
    <w:p>
      <w:pPr>
        <w:sectPr>
          <w:pgSz w:w="11900" w:h="16838" w:orient="portrait"/>
          <w:cols w:equalWidth="0" w:num="1">
            <w:col w:w="10139"/>
          </w:cols>
          <w:pgMar w:left="320" w:top="131" w:right="1440" w:bottom="1440" w:gutter="0" w:footer="0" w:header="0"/>
        </w:sectPr>
      </w:pP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exchange by the Refinitiv Direct Owners of their LLC Interests for stock on a one-to-one basis; and</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B common</w:t>
      </w:r>
    </w:p>
    <w:p>
      <w:pPr>
        <w:spacing w:after="0" w:line="436" w:lineRule="exact"/>
        <w:rPr>
          <w:sz w:val="20"/>
          <w:szCs w:val="20"/>
          <w:color w:val="auto"/>
        </w:rPr>
      </w:pPr>
    </w:p>
    <w:p>
      <w:pPr>
        <w:sectPr>
          <w:pgSz w:w="11900" w:h="16838" w:orient="portrait"/>
          <w:cols w:equalWidth="0" w:num="3">
            <w:col w:w="1700" w:space="280"/>
            <w:col w:w="5080" w:space="460"/>
            <w:col w:w="2619"/>
          </w:cols>
          <w:pgMar w:left="320" w:top="131" w:right="1440" w:bottom="1440" w:gutter="0" w:footer="0" w:header="0"/>
          <w:type w:val="continuous"/>
        </w:sectPr>
      </w:pPr>
    </w:p>
    <w:p>
      <w:pPr>
        <w:ind w:left="1980" w:hanging="352"/>
        <w:spacing w:after="0"/>
        <w:tabs>
          <w:tab w:leader="none" w:pos="1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provision for federal and state income taxes of Tradeweb as a taxable corporation at an effective rate</w:t>
      </w:r>
    </w:p>
    <w:p>
      <w:pPr>
        <w:spacing w:after="0" w:line="46" w:lineRule="exact"/>
        <w:rPr>
          <w:sz w:val="20"/>
          <w:szCs w:val="20"/>
          <w:color w:val="auto"/>
        </w:rPr>
      </w:pPr>
    </w:p>
    <w:p>
      <w:pPr>
        <w:ind w:left="1980"/>
        <w:spacing w:after="0"/>
        <w:tabs>
          <w:tab w:leader="none" w:pos="25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for the year ended December 31, 2017.</w:t>
      </w:r>
    </w:p>
    <w:p>
      <w:pPr>
        <w:spacing w:after="0" w:line="2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pro forma adjustments related to this offering, which we refer to as the “Offering Adjustments,” are described in the notes to the unaudited pro forma consolidated financial information, and principally include the following:</w:t>
      </w:r>
    </w:p>
    <w:p>
      <w:pPr>
        <w:spacing w:after="0" w:line="157" w:lineRule="exact"/>
        <w:rPr>
          <w:sz w:val="20"/>
          <w:szCs w:val="20"/>
          <w:color w:val="auto"/>
        </w:rPr>
      </w:pPr>
    </w:p>
    <w:p>
      <w:pPr>
        <w:ind w:left="1980" w:hanging="352"/>
        <w:spacing w:after="0"/>
        <w:tabs>
          <w:tab w:leader="none" w:pos="1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issuance of shares of our Class A common stock to the purchasers in this offering in exchange for</w:t>
      </w:r>
    </w:p>
    <w:p>
      <w:pPr>
        <w:spacing w:after="0" w:line="46" w:lineRule="exact"/>
        <w:rPr>
          <w:sz w:val="20"/>
          <w:szCs w:val="20"/>
          <w:color w:val="auto"/>
        </w:rPr>
      </w:pPr>
    </w:p>
    <w:p>
      <w:pPr>
        <w:ind w:left="1980" w:right="879"/>
        <w:spacing w:after="0" w:line="255" w:lineRule="auto"/>
        <w:rPr>
          <w:sz w:val="20"/>
          <w:szCs w:val="20"/>
          <w:color w:val="auto"/>
        </w:rPr>
      </w:pPr>
      <w:r>
        <w:rPr>
          <w:rFonts w:ascii="Arial" w:cs="Arial" w:eastAsia="Arial" w:hAnsi="Arial"/>
          <w:sz w:val="18"/>
          <w:szCs w:val="18"/>
          <w:color w:val="auto"/>
        </w:rPr>
        <w:t>net proceeds of approximately $ million, assuming that the shares are offered at $ per share (the midpoint of the price range set forth on the cover page of this prospectus), after deducting underwriting discounts and commissions but before deducting offering expenses;</w:t>
      </w:r>
    </w:p>
    <w:p>
      <w:pPr>
        <w:spacing w:after="0" w:line="149" w:lineRule="exact"/>
        <w:rPr>
          <w:sz w:val="20"/>
          <w:szCs w:val="20"/>
          <w:color w:val="auto"/>
        </w:rPr>
      </w:pPr>
    </w:p>
    <w:p>
      <w:pPr>
        <w:ind w:left="1980" w:right="999" w:hanging="352"/>
        <w:spacing w:after="0" w:line="259"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application of all of the net proceeds from this offering to purchase issued and outstanding LLC Interests from certain of the Other LLC Owners at a purchase price per interest equal to the initial public offering price of Class A common stock, less the underwriting discounts and commissions payable thereon; and</w:t>
      </w:r>
    </w:p>
    <w:p>
      <w:pPr>
        <w:spacing w:after="0" w:line="146" w:lineRule="exact"/>
        <w:rPr>
          <w:rFonts w:ascii="Arial" w:cs="Arial" w:eastAsia="Arial" w:hAnsi="Arial"/>
          <w:sz w:val="18"/>
          <w:szCs w:val="18"/>
          <w:color w:val="auto"/>
        </w:rPr>
      </w:pPr>
    </w:p>
    <w:p>
      <w:pPr>
        <w:ind w:left="1980" w:hanging="352"/>
        <w:spacing w:after="0"/>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payment of fees and expenses related to this offering.</w:t>
      </w:r>
    </w:p>
    <w:p>
      <w:pPr>
        <w:spacing w:after="0" w:line="117" w:lineRule="exact"/>
        <w:rPr>
          <w:sz w:val="20"/>
          <w:szCs w:val="20"/>
          <w:color w:val="auto"/>
        </w:rPr>
      </w:pPr>
    </w:p>
    <w:p>
      <w:pPr>
        <w:ind w:left="1260" w:right="819" w:firstLine="360"/>
        <w:spacing w:after="0" w:line="342" w:lineRule="auto"/>
        <w:rPr>
          <w:sz w:val="20"/>
          <w:szCs w:val="20"/>
          <w:color w:val="auto"/>
        </w:rPr>
      </w:pPr>
      <w:r>
        <w:rPr>
          <w:rFonts w:ascii="Arial" w:cs="Arial" w:eastAsia="Arial" w:hAnsi="Arial"/>
          <w:sz w:val="16"/>
          <w:szCs w:val="16"/>
          <w:color w:val="auto"/>
        </w:rPr>
        <w:t>Except as otherwise indicated, the unaudited pro forma consolidated financial information presented assumes no exercise by the underwriters of their option to purchase additional shares of Class A common stock.</w:t>
      </w:r>
    </w:p>
    <w:p>
      <w:pPr>
        <w:spacing w:after="0" w:line="16"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We refer to the transactions related to the Refinitiv Adjustments, the Reorganization Adjustments and the Offering Adjustments collectively as the “Transactions.”</w:t>
      </w:r>
    </w:p>
    <w:p>
      <w:pPr>
        <w:spacing w:after="0" w:line="62"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84"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The pro forma adjustments are based upon available information and methodologies that are factually supportable and directly related to the Transactions, including this offering. The unaudited pro forma consolidated financial information includes various estimates which are subject to material change and may not be indicative of what our operations or financial position would have been had the Transactions, including this offering, taken place on the dates indicated, or that may be expected to occur in the future. For further discussion of these matters, see “Management’s Discussion and Analysis of Financial Condition and Results of Operations” and the historical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 Pro Forma Consolidated Statements of Financial Condition as of December 31, 2017</w:t>
      </w:r>
    </w:p>
    <w:p>
      <w:pPr>
        <w:spacing w:after="0" w:line="31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Historical</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92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Tradeweb</w:t>
            </w:r>
          </w:p>
        </w:tc>
        <w:tc>
          <w:tcPr>
            <w:tcW w:w="8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7"/>
              </w:rPr>
              <w:t>Refinitiv</w:t>
            </w: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Reorganization</w:t>
            </w:r>
          </w:p>
        </w:tc>
        <w:tc>
          <w:tcPr>
            <w:tcW w:w="880" w:type="dxa"/>
            <w:vAlign w:val="bottom"/>
            <w:vMerge w:val="continue"/>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Markets</w:t>
            </w:r>
          </w:p>
        </w:tc>
        <w:tc>
          <w:tcPr>
            <w:tcW w:w="8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Before this</w:t>
            </w:r>
          </w:p>
        </w:tc>
        <w:tc>
          <w:tcPr>
            <w:tcW w:w="9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Tradeweb</w:t>
            </w: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LLC</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TWM LLC</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Markets Inc.</w:t>
            </w: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w w:val="93"/>
              </w:rPr>
              <w:t>(in thousands)</w:t>
            </w: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352,598</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340" w:type="dxa"/>
            <w:vAlign w:val="bottom"/>
          </w:tcPr>
          <w:p>
            <w:pPr>
              <w:spacing w:after="0" w:line="179" w:lineRule="exact"/>
              <w:rPr>
                <w:sz w:val="20"/>
                <w:szCs w:val="20"/>
                <w:color w:val="auto"/>
              </w:rPr>
            </w:pPr>
            <w:r>
              <w:rPr>
                <w:rFonts w:ascii="Arial" w:cs="Arial" w:eastAsia="Arial" w:hAnsi="Arial"/>
                <w:sz w:val="16"/>
                <w:szCs w:val="16"/>
                <w:color w:val="auto"/>
                <w:w w:val="94"/>
              </w:rPr>
              <w:t>Receivable from brokers and dealers and clearing</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4,324</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40" w:type="dxa"/>
            <w:vAlign w:val="bottom"/>
          </w:tcPr>
          <w:p>
            <w:pPr>
              <w:ind w:left="180"/>
              <w:spacing w:after="0"/>
              <w:rPr>
                <w:sz w:val="20"/>
                <w:szCs w:val="20"/>
                <w:color w:val="auto"/>
              </w:rPr>
            </w:pPr>
            <w:r>
              <w:rPr>
                <w:rFonts w:ascii="Arial" w:cs="Arial" w:eastAsia="Arial" w:hAnsi="Arial"/>
                <w:sz w:val="16"/>
                <w:szCs w:val="16"/>
                <w:color w:val="auto"/>
              </w:rPr>
              <w:t>organizations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Deposits with clearing organizations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9,926</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69,662</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3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Furniture, equipment, purchased software and</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27,031</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leasehold improvements, net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6"/>
                <w:szCs w:val="16"/>
                <w:color w:val="auto"/>
              </w:rPr>
              <w:t>Software development costs, net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41,181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222,219</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563,421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Receivable from affiliates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24,950</w:t>
            </w:r>
          </w:p>
        </w:tc>
        <w:tc>
          <w:tcPr>
            <w:tcW w:w="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1,316,887</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280" w:type="dxa"/>
            <w:vAlign w:val="bottom"/>
            <w:gridSpan w:val="6"/>
          </w:tcPr>
          <w:p>
            <w:pPr>
              <w:spacing w:after="0"/>
              <w:rPr>
                <w:sz w:val="20"/>
                <w:szCs w:val="20"/>
                <w:color w:val="auto"/>
              </w:rPr>
            </w:pPr>
            <w:r>
              <w:rPr>
                <w:rFonts w:ascii="Arial" w:cs="Arial" w:eastAsia="Arial" w:hAnsi="Arial"/>
                <w:sz w:val="16"/>
                <w:szCs w:val="16"/>
                <w:b w:val="1"/>
                <w:bCs w:val="1"/>
                <w:color w:val="auto"/>
              </w:rPr>
              <w:t>Liabilities and Members’ Capital/Stockholders’ Equity</w:t>
            </w:r>
          </w:p>
        </w:tc>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340" w:type="dxa"/>
            <w:vAlign w:val="bottom"/>
          </w:tcPr>
          <w:p>
            <w:pPr>
              <w:spacing w:after="0" w:line="179" w:lineRule="exact"/>
              <w:rPr>
                <w:sz w:val="20"/>
                <w:szCs w:val="20"/>
                <w:color w:val="auto"/>
              </w:rPr>
            </w:pPr>
            <w:r>
              <w:rPr>
                <w:rFonts w:ascii="Arial" w:cs="Arial" w:eastAsia="Arial" w:hAnsi="Arial"/>
                <w:sz w:val="16"/>
                <w:szCs w:val="16"/>
                <w:color w:val="auto"/>
              </w:rPr>
              <w:t>Payable to brokers and dealers and clearing</w:t>
            </w:r>
          </w:p>
        </w:tc>
        <w:tc>
          <w:tcPr>
            <w:tcW w:w="2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4,322</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40" w:type="dxa"/>
            <w:vAlign w:val="bottom"/>
          </w:tcPr>
          <w:p>
            <w:pPr>
              <w:ind w:left="180"/>
              <w:spacing w:after="0"/>
              <w:rPr>
                <w:sz w:val="20"/>
                <w:szCs w:val="20"/>
                <w:color w:val="auto"/>
              </w:rPr>
            </w:pPr>
            <w:r>
              <w:rPr>
                <w:rFonts w:ascii="Arial" w:cs="Arial" w:eastAsia="Arial" w:hAnsi="Arial"/>
                <w:sz w:val="16"/>
                <w:szCs w:val="16"/>
                <w:color w:val="auto"/>
              </w:rPr>
              <w:t>organizations</w:t>
            </w:r>
          </w:p>
        </w:tc>
        <w:tc>
          <w:tcPr>
            <w:tcW w:w="220" w:type="dxa"/>
            <w:vAlign w:val="bottom"/>
            <w:gridSpan w:val="3"/>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89,769</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29,673</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w w:val="91"/>
              </w:rPr>
              <w:t>Contingent consideration payable to related parties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129,393</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340" w:type="dxa"/>
            <w:vAlign w:val="bottom"/>
          </w:tcPr>
          <w:p>
            <w:pPr>
              <w:spacing w:after="0" w:line="179" w:lineRule="exact"/>
              <w:rPr>
                <w:sz w:val="20"/>
                <w:szCs w:val="20"/>
                <w:color w:val="auto"/>
              </w:rPr>
            </w:pPr>
            <w:r>
              <w:rPr>
                <w:rFonts w:ascii="Arial" w:cs="Arial" w:eastAsia="Arial" w:hAnsi="Arial"/>
                <w:sz w:val="16"/>
                <w:szCs w:val="16"/>
                <w:color w:val="auto"/>
                <w:w w:val="98"/>
              </w:rPr>
              <w:t>Accounts payable, accrued expenses and other</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27,364</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40" w:type="dxa"/>
            <w:vAlign w:val="bottom"/>
          </w:tcPr>
          <w:p>
            <w:pPr>
              <w:ind w:left="18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Employee equity compensation payable</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31,019</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6"/>
                <w:szCs w:val="16"/>
                <w:color w:val="auto"/>
              </w:rPr>
              <w:t>Convertible term note payable to related party</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Payable to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5,578</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317,118</w:t>
            </w:r>
          </w:p>
        </w:tc>
        <w:tc>
          <w:tcPr>
            <w:tcW w:w="6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Mezzanine Capital</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6"/>
                <w:szCs w:val="16"/>
                <w:color w:val="auto"/>
              </w:rPr>
              <w:t>Class C Shares and Class P(C) Shares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13,301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Members’ Capital/Stockholders’ Equity</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6"/>
                <w:szCs w:val="16"/>
                <w:color w:val="auto"/>
              </w:rPr>
              <w:t>Members’ capital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999,735</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6"/>
                <w:szCs w:val="16"/>
                <w:color w:val="auto"/>
              </w:rPr>
              <w:t>Class B common stock</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Class C common stock</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6"/>
                <w:szCs w:val="16"/>
                <w:color w:val="auto"/>
              </w:rPr>
              <w:t>Class D common stock</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 in capital</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(13,267)</w:t>
            </w: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3340" w:type="dxa"/>
            <w:vAlign w:val="bottom"/>
            <w:tcBorders>
              <w:top w:val="single" w:sz="8" w:color="CCEEFF"/>
            </w:tcBorders>
            <w:shd w:val="clear" w:color="auto" w:fill="CCEEFF"/>
          </w:tcPr>
          <w:p>
            <w:pPr>
              <w:ind w:left="180"/>
              <w:spacing w:after="0" w:line="159" w:lineRule="exact"/>
              <w:rPr>
                <w:sz w:val="20"/>
                <w:szCs w:val="20"/>
                <w:color w:val="auto"/>
              </w:rPr>
            </w:pPr>
            <w:r>
              <w:rPr>
                <w:rFonts w:ascii="Arial" w:cs="Arial" w:eastAsia="Arial" w:hAnsi="Arial"/>
                <w:sz w:val="16"/>
                <w:szCs w:val="16"/>
                <w:color w:val="auto"/>
              </w:rPr>
              <w:t>Total members’ capital/stockholders’ equity</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986,468</w:t>
            </w: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attributable to Tradeweb Markets Inc.</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 and members’ capital/</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1,316,887</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stockholders’ equity</w:t>
            </w:r>
          </w:p>
        </w:tc>
        <w:tc>
          <w:tcPr>
            <w:tcW w:w="220" w:type="dxa"/>
            <w:vAlign w:val="bottom"/>
            <w:gridSpan w:val="3"/>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-659130</wp:posOffset>
            </wp:positionV>
            <wp:extent cx="26917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9176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-2219325</wp:posOffset>
            </wp:positionV>
            <wp:extent cx="2691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91765"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-2382520</wp:posOffset>
            </wp:positionV>
            <wp:extent cx="171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-4251325</wp:posOffset>
            </wp:positionV>
            <wp:extent cx="26917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9176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-6231255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-6231255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-6231255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-6231255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-6231255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-6231255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320" w:top="131" w:right="1339"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Unaudited Pro Forma Consolidated Statement of Operation for the Year Ended December 31, 2017</w:t>
      </w:r>
    </w:p>
    <w:p>
      <w:pPr>
        <w:spacing w:after="0" w:line="329"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Historical</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9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rPr>
              <w:t>Tradeweb</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Refinitiv</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Pro Forma</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w w:val="96"/>
              </w:rPr>
              <w:t>Reorganization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Before this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Tradeweb</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9"/>
              </w:rPr>
              <w:t>Markets LLC</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TWM LLC</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Markets Inc.</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6"/>
                <w:szCs w:val="16"/>
                <w:color w:val="auto"/>
              </w:rPr>
              <w:t>Transaction fees</w:t>
            </w: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w w:val="86"/>
              </w:rPr>
              <w:t>267,020</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Subscription fees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144,409</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6"/>
                <w:szCs w:val="16"/>
                <w:color w:val="auto"/>
              </w:rPr>
              <w:t>Commissions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96,745</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Thomson Reuters market data fees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50,125</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40" w:type="dxa"/>
            <w:vAlign w:val="bottom"/>
          </w:tcPr>
          <w:p>
            <w:pPr>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4,669</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Gross revenue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562,968</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4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(58,520)</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revenue</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504,448</w:t>
            </w:r>
          </w:p>
        </w:tc>
        <w:tc>
          <w:tcPr>
            <w:tcW w:w="8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274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Expenses</w:t>
            </w: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Employee compensation and benefits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248,963</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68,615</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33,973</w:t>
            </w: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6"/>
                <w:szCs w:val="16"/>
                <w:color w:val="auto"/>
              </w:rPr>
              <w:t>Technology and communications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30,013</w:t>
            </w: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19,351</w:t>
            </w: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740" w:type="dxa"/>
            <w:vAlign w:val="bottom"/>
          </w:tcPr>
          <w:p>
            <w:pPr>
              <w:spacing w:after="0"/>
              <w:rPr>
                <w:sz w:val="20"/>
                <w:szCs w:val="20"/>
                <w:color w:val="auto"/>
              </w:rPr>
            </w:pPr>
            <w:r>
              <w:rPr>
                <w:rFonts w:ascii="Arial" w:cs="Arial" w:eastAsia="Arial" w:hAnsi="Arial"/>
                <w:sz w:val="16"/>
                <w:szCs w:val="16"/>
                <w:color w:val="auto"/>
              </w:rPr>
              <w:t>Occupancy</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14,441</w:t>
            </w: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2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415,356</w:t>
            </w:r>
          </w:p>
        </w:tc>
        <w:tc>
          <w:tcPr>
            <w:tcW w:w="8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2740" w:type="dxa"/>
            <w:vAlign w:val="bottom"/>
          </w:tcPr>
          <w:p>
            <w:pPr>
              <w:ind w:left="180"/>
              <w:spacing w:after="0"/>
              <w:rPr>
                <w:sz w:val="20"/>
                <w:szCs w:val="20"/>
                <w:color w:val="auto"/>
              </w:rPr>
            </w:pPr>
            <w:r>
              <w:rPr>
                <w:rFonts w:ascii="Arial" w:cs="Arial" w:eastAsia="Arial" w:hAnsi="Arial"/>
                <w:sz w:val="16"/>
                <w:szCs w:val="16"/>
                <w:color w:val="auto"/>
              </w:rPr>
              <w:t>Operating income</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89,092</w:t>
            </w: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1,140</w:t>
            </w: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740" w:type="dxa"/>
            <w:vAlign w:val="bottom"/>
          </w:tcPr>
          <w:p>
            <w:pPr>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(455)</w:t>
            </w: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before taxes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89,777</w:t>
            </w:r>
          </w:p>
        </w:tc>
        <w:tc>
          <w:tcPr>
            <w:tcW w:w="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7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6,129</w:t>
            </w: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83,648</w:t>
            </w: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income attributable to non-</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740" w:type="dxa"/>
            <w:vAlign w:val="bottom"/>
          </w:tcPr>
          <w:p>
            <w:pPr>
              <w:ind w:left="180"/>
              <w:spacing w:after="0"/>
              <w:rPr>
                <w:sz w:val="20"/>
                <w:szCs w:val="20"/>
                <w:color w:val="auto"/>
              </w:rPr>
            </w:pPr>
            <w:r>
              <w:rPr>
                <w:rFonts w:ascii="Arial" w:cs="Arial" w:eastAsia="Arial" w:hAnsi="Arial"/>
                <w:sz w:val="16"/>
                <w:szCs w:val="16"/>
                <w:color w:val="auto"/>
              </w:rPr>
              <w:t>controlling interest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attributable to Tradeweb</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Markets Inc.</w:t>
            </w: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-334010</wp:posOffset>
            </wp:positionV>
            <wp:extent cx="23660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6601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-805180</wp:posOffset>
            </wp:positionV>
            <wp:extent cx="23660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-1148080</wp:posOffset>
            </wp:positionV>
            <wp:extent cx="23660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-1490980</wp:posOffset>
            </wp:positionV>
            <wp:extent cx="23660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-1868170</wp:posOffset>
            </wp:positionV>
            <wp:extent cx="23660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6601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-3205480</wp:posOffset>
            </wp:positionV>
            <wp:extent cx="23660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-3531235</wp:posOffset>
            </wp:positionV>
            <wp:extent cx="23660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-4577080</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-4577080</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-4577080</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-4577080</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-4577080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-4577080</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Pro forma net income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3175</wp:posOffset>
            </wp:positionV>
            <wp:extent cx="5760720" cy="2825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60720" cy="282575"/>
                    </a:xfrm>
                    <a:prstGeom prst="rect">
                      <a:avLst/>
                    </a:prstGeom>
                    <a:noFill/>
                  </pic:spPr>
                </pic:pic>
              </a:graphicData>
            </a:graphic>
          </wp:anchor>
        </w:drawing>
      </w:r>
    </w:p>
    <w:p>
      <w:pPr>
        <w:spacing w:after="0" w:line="4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Weighted-average shares of Class A</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common stock outstanding</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635</wp:posOffset>
            </wp:positionV>
            <wp:extent cx="57607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Diluted</w:t>
      </w:r>
    </w:p>
    <w:p>
      <w:pPr>
        <w:spacing w:after="0" w:line="5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Net income available to Class A</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common stock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635</wp:posOffset>
            </wp:positionV>
            <wp:extent cx="57607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Basic</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88" w:lineRule="exact"/>
        <w:rPr>
          <w:sz w:val="20"/>
          <w:szCs w:val="20"/>
          <w:color w:val="auto"/>
        </w:rPr>
      </w:pPr>
    </w:p>
    <w:p>
      <w:pPr>
        <w:ind w:left="1260" w:right="719" w:firstLine="360"/>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sections titled “Selected Historical Consolidated Financial and Other Data” and “Unaudited Pro Forma Consolidated Financial Information” and our consolidated financial statements and related notes and other information included elsewhere in this prospectus.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prospectus.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institutional, wholesale and retail clients, including many of the largest global asset managers, insurance companies, central banks, banks and dealers, proprietary trading firms and retail brokerage and financial advisory firms. Our marketplaces facilitate trading across asset classes including rates, credit, money markets and equities. We are a global company serving clients in 62 countries with offices in North America, Europe and Asia. Our proprietary technology and culture of collaborative innovation allow us to adapt our offerings to enter new markets, create new products and adjust to regulations quickly and efficiently. We support our clients and provide solutions across the trade lifecycle, including pre-trade, execution, post-trade and data.</w:t>
      </w:r>
    </w:p>
    <w:p>
      <w:pPr>
        <w:spacing w:after="0" w:line="73" w:lineRule="exact"/>
        <w:rPr>
          <w:sz w:val="20"/>
          <w:szCs w:val="20"/>
          <w:color w:val="auto"/>
        </w:rPr>
      </w:pPr>
    </w:p>
    <w:p>
      <w:pPr>
        <w:ind w:left="1260" w:right="739" w:firstLine="360"/>
        <w:spacing w:after="0" w:line="301" w:lineRule="auto"/>
        <w:rPr>
          <w:sz w:val="20"/>
          <w:szCs w:val="20"/>
          <w:color w:val="auto"/>
        </w:rPr>
      </w:pPr>
      <w:r>
        <w:rPr>
          <w:rFonts w:ascii="Arial" w:cs="Arial" w:eastAsia="Arial" w:hAnsi="Arial"/>
          <w:sz w:val="16"/>
          <w:szCs w:val="16"/>
          <w:color w:val="auto"/>
        </w:rPr>
        <w:t>Our institutional client sector serves institutional investors in 37 markets across 22 currencies, and in 62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49"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In our wholesale client sector, we provide a broad range of electronic, voice and hybrid platforms to more than 300 dealers and financial institutions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80"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68"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6"/>
          <w:szCs w:val="16"/>
          <w:color w:val="auto"/>
        </w:rPr>
        <w:t>Our markets are large and growing. Electronic trading continues to develop from client demand for greater transparency, higher execution quality, operational efficiency, lower costs, as well as regulatory changes. Our deep client relationships, asset class breadth, geographic reach, regulatory knowledge and scalable technology position us to continue to be at the forefront of the evolution of electronic trading. Our platforms provide transparent, efficient, cost-effective and compliant trading environments across multiple regions and regulatory regimes. As market participants seek to reduce their costs of trading and the importance of data to support trading increases, we believe the demand for our platforms and electronic trading solutions will grow.</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04"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Our business is impacted by the overall market activity and, in particular, trading volumes and market volatility. A significant percentage of our revenues are tied directly to overall trading volumes in the rates, credit, money markets and equities asset classes. The average daily volumes and total volumes on our trading platforms by asset class for the years ended December 31, 2017 and 2016 were as follows: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60" w:type="dxa"/>
            <w:vAlign w:val="bottom"/>
            <w:gridSpan w:val="5"/>
          </w:tcPr>
          <w:p>
            <w:pPr>
              <w:ind w:left="82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6"/>
                <w:szCs w:val="16"/>
                <w:color w:val="auto"/>
              </w:rPr>
            </w:pPr>
          </w:p>
        </w:tc>
      </w:tr>
      <w:tr>
        <w:trPr>
          <w:trHeight w:val="26"/>
        </w:trPr>
        <w:tc>
          <w:tcPr>
            <w:tcW w:w="36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8"/>
        </w:trPr>
        <w:tc>
          <w:tcPr>
            <w:tcW w:w="3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ind w:right="579"/>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jc w:val="right"/>
              <w:ind w:right="596"/>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6"/>
        </w:trPr>
        <w:tc>
          <w:tcPr>
            <w:tcW w:w="36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7"/>
        </w:trPr>
        <w:tc>
          <w:tcPr>
            <w:tcW w:w="3660" w:type="dxa"/>
            <w:vAlign w:val="bottom"/>
          </w:tcPr>
          <w:p>
            <w:pPr>
              <w:spacing w:after="0"/>
              <w:rPr>
                <w:sz w:val="17"/>
                <w:szCs w:val="17"/>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ADV</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Volume</w:t>
            </w: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ADV</w:t>
            </w:r>
          </w:p>
        </w:tc>
        <w:tc>
          <w:tcPr>
            <w:tcW w:w="1200" w:type="dxa"/>
            <w:vAlign w:val="bottom"/>
            <w:gridSpan w:val="2"/>
          </w:tcPr>
          <w:p>
            <w:pPr>
              <w:ind w:left="360"/>
              <w:spacing w:after="0"/>
              <w:rPr>
                <w:sz w:val="20"/>
                <w:szCs w:val="20"/>
                <w:color w:val="auto"/>
              </w:rPr>
            </w:pPr>
            <w:r>
              <w:rPr>
                <w:rFonts w:ascii="Arial" w:cs="Arial" w:eastAsia="Arial" w:hAnsi="Arial"/>
                <w:sz w:val="14"/>
                <w:szCs w:val="14"/>
                <w:b w:val="1"/>
                <w:bCs w:val="1"/>
                <w:color w:val="auto"/>
              </w:rPr>
              <w:t>Volume</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6"/>
              </w:rPr>
              <w:t>ADV Change</w:t>
            </w:r>
          </w:p>
        </w:tc>
      </w:tr>
      <w:tr>
        <w:trPr>
          <w:trHeight w:val="26"/>
        </w:trPr>
        <w:tc>
          <w:tcPr>
            <w:tcW w:w="36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4"/>
        </w:trPr>
        <w:tc>
          <w:tcPr>
            <w:tcW w:w="3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7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255,152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63,932,620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220,535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55,255,429</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r>
      <w:tr>
        <w:trPr>
          <w:trHeight w:val="257"/>
        </w:trPr>
        <w:tc>
          <w:tcPr>
            <w:tcW w:w="3660" w:type="dxa"/>
            <w:vAlign w:val="bottom"/>
          </w:tcPr>
          <w:p>
            <w:pPr>
              <w:spacing w:after="0"/>
              <w:rPr>
                <w:sz w:val="20"/>
                <w:szCs w:val="20"/>
                <w:color w:val="auto"/>
              </w:rPr>
            </w:pPr>
            <w:r>
              <w:rPr>
                <w:rFonts w:ascii="Arial" w:cs="Arial" w:eastAsia="Arial" w:hAnsi="Arial"/>
                <w:sz w:val="18"/>
                <w:szCs w:val="18"/>
                <w:color w:val="auto"/>
              </w:rPr>
              <w:t>Credit</w:t>
            </w:r>
          </w:p>
        </w:tc>
        <w:tc>
          <w:tcPr>
            <w:tcW w:w="660" w:type="dxa"/>
            <w:vAlign w:val="bottom"/>
          </w:tcPr>
          <w:p>
            <w:pPr>
              <w:jc w:val="right"/>
              <w:spacing w:after="0"/>
              <w:rPr>
                <w:sz w:val="20"/>
                <w:szCs w:val="20"/>
                <w:color w:val="auto"/>
              </w:rPr>
            </w:pPr>
            <w:r>
              <w:rPr>
                <w:rFonts w:ascii="Arial" w:cs="Arial" w:eastAsia="Arial" w:hAnsi="Arial"/>
                <w:sz w:val="18"/>
                <w:szCs w:val="18"/>
                <w:color w:val="auto"/>
              </w:rPr>
              <w:t>7,552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1,864,069</w:t>
            </w:r>
          </w:p>
        </w:tc>
        <w:tc>
          <w:tcPr>
            <w:tcW w:w="660" w:type="dxa"/>
            <w:vAlign w:val="bottom"/>
          </w:tcPr>
          <w:p>
            <w:pPr>
              <w:jc w:val="right"/>
              <w:spacing w:after="0"/>
              <w:rPr>
                <w:sz w:val="20"/>
                <w:szCs w:val="20"/>
                <w:color w:val="auto"/>
              </w:rPr>
            </w:pPr>
            <w:r>
              <w:rPr>
                <w:rFonts w:ascii="Arial" w:cs="Arial" w:eastAsia="Arial" w:hAnsi="Arial"/>
                <w:sz w:val="18"/>
                <w:szCs w:val="18"/>
                <w:color w:val="auto"/>
              </w:rPr>
              <w:t>5,960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1,503,475</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26.7%</w:t>
            </w:r>
          </w:p>
        </w:tc>
      </w:tr>
      <w:tr>
        <w:trPr>
          <w:trHeight w:val="27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132,105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33,060,673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23,591,318</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40.1%</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Equities</w:t>
            </w:r>
          </w:p>
        </w:tc>
        <w:tc>
          <w:tcPr>
            <w:tcW w:w="660" w:type="dxa"/>
            <w:vAlign w:val="bottom"/>
          </w:tcPr>
          <w:p>
            <w:pPr>
              <w:jc w:val="right"/>
              <w:spacing w:after="0"/>
              <w:rPr>
                <w:sz w:val="20"/>
                <w:szCs w:val="20"/>
                <w:color w:val="auto"/>
              </w:rPr>
            </w:pPr>
            <w:r>
              <w:rPr>
                <w:rFonts w:ascii="Arial" w:cs="Arial" w:eastAsia="Arial" w:hAnsi="Arial"/>
                <w:sz w:val="18"/>
                <w:szCs w:val="18"/>
                <w:color w:val="auto"/>
              </w:rPr>
              <w:t>4,817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1,214,098</w:t>
            </w:r>
          </w:p>
        </w:tc>
        <w:tc>
          <w:tcPr>
            <w:tcW w:w="660" w:type="dxa"/>
            <w:vAlign w:val="bottom"/>
          </w:tcPr>
          <w:p>
            <w:pPr>
              <w:jc w:val="right"/>
              <w:spacing w:after="0"/>
              <w:rPr>
                <w:sz w:val="20"/>
                <w:szCs w:val="20"/>
                <w:color w:val="auto"/>
              </w:rPr>
            </w:pPr>
            <w:r>
              <w:rPr>
                <w:rFonts w:ascii="Arial" w:cs="Arial" w:eastAsia="Arial" w:hAnsi="Arial"/>
                <w:sz w:val="18"/>
                <w:szCs w:val="18"/>
                <w:color w:val="auto"/>
              </w:rPr>
              <w:t>4,576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1,144,390</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-822325</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-822325</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-822325</wp:posOffset>
            </wp:positionV>
            <wp:extent cx="137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We believe the increases in average daily volumes in the year ended December 31, 2017 compared to the year ended December 31, 2016 can be attributed to various factors, including: further electronification of trading activities, increase in market share, new products and new clients. In addition, we believe that certain trading volumes increased in the year ended December 31, 2017 as customers began adapting to electronic trading in order to comply with their upcoming heightened obligations pursuant to MiFID II, which was implemented by regulatory bodies in Europe in January 2018.</w:t>
      </w:r>
    </w:p>
    <w:p>
      <w:pPr>
        <w:spacing w:after="0" w:line="70"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Our operating performance is also sensitive to market volatility. In particular, lower volatility is correlated to lower liquidity, which may result in lower trading volume for our clients and may negatively impact our operating performance. As a result, our business is sensitive to slow trading environments and the continuity of conservative monetary policies of central banks internationally, which tend to lessen volatility.</w:t>
      </w:r>
    </w:p>
    <w:p>
      <w:pPr>
        <w:spacing w:after="0" w:line="6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will offset market volatility risk.</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04"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Our business is subject to extensive regulations in the United States and internationally, which may expose us to significant regulatory risk and cause additional legal costs to ensure compliance. See “Business — Regulation.”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presidential administration. The impact of any reform efforts on us and our operations remains uncertain. In addition, as a result of the referendum in favor of the United Kingdom’s withdrawal from the European Union (“Brexit”) in June 2016, we expect to incur additional costs to comply with the new regulations in Europe as well as to address the effects of Brexit. Compliance with regulations may require us to dedicate additional financial and operational resources, which may adversely affect our profitability. In addition, compliance with regulations may require our customers to dedicate significant financial and operational resources, which may negatively affect their ability to pay our fees and use our platforms and, as a result, our profitability.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04"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In addition, when either a client</w:t>
      </w: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63" w:lineRule="auto"/>
        <w:rPr>
          <w:sz w:val="20"/>
          <w:szCs w:val="20"/>
          <w:color w:val="auto"/>
        </w:rPr>
      </w:pPr>
      <w:r>
        <w:rPr>
          <w:rFonts w:ascii="Arial" w:cs="Arial" w:eastAsia="Arial" w:hAnsi="Arial"/>
          <w:sz w:val="18"/>
          <w:szCs w:val="18"/>
          <w:color w:val="auto"/>
        </w:rPr>
        <w:t>wants to trade in a new product or we want to introduce a new product, trading protocol, or other solution, clients are already familiar with Tradeweb’s integrated offerings as well as the integration to their OMS’s and back offices. See “Business — Competition” for more detail on our competitors.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0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business and its success are largely impacted by the introduction of increasingly complex technology, sophisticated systems,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focus on technology infrastructure initiatives and continually improve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10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earn revenues, pay expenses, hold assets and incur liabilities in currencies other than the U.S. dollar. During the year ended December 31, 2017, approximately 24.7% of our gross revenues and 15.6% of our operating expenses were denominated in currencies other than the U.S. dollar, almost entirely the Euro for gross revenues and the British pound sterling for operating expenses.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 Quantitative and Qualitative Disclosures About Market Risk — Foreign Currency and Derivative Risk.”</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Pushdown Accounting on our Financial Statements</w:t>
      </w:r>
    </w:p>
    <w:p>
      <w:pPr>
        <w:spacing w:after="0" w:line="10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Our financial statements in the future will vary from the historical financial statements included elsewhere in this prospectus. As a result of the Refinitiv Transaction and the application of pushdown accounting, our assets and liabilities will be adjusted to their estimated fair market values as of October 1, 2018, the closing date of the Refinitiv Transaction. We anticipate these adjusted valuations will result in an increase in our other operating expenses due to the increased carrying value of our assets and the related increase in depreciation of tangible assets and amortization of our intangible assets. Additionally, the excess of the portion of the total purchase price of the Refinitiv Transaction attributable to the purchase of our assets and liabilities over their estimated fair value as of the closing date of the Refinitiv Transaction will be allocated to goodwill. A preliminary assessment of the estimated fair value of our assets indicates that the value at which we carry our goodwill and intangible assets will increase significantly. Goodwill will be subject to annual impairment testing. Amounts allocated to intangible assets with definite lives will be subject to amortization over the estimated useful life of the asset. As a result of the purchase price allocation, deferred revenues may be written down, resulting in lower revenue recognition in succeeding periods. See “Unaudited Pro Forma Consolidated Financial Information.”</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Post-Offering Taxation and Public Company Expenses</w:t>
      </w:r>
    </w:p>
    <w:p>
      <w:pPr>
        <w:spacing w:after="0" w:line="108" w:lineRule="exact"/>
        <w:rPr>
          <w:sz w:val="20"/>
          <w:szCs w:val="20"/>
          <w:color w:val="auto"/>
        </w:rPr>
      </w:pPr>
    </w:p>
    <w:p>
      <w:pPr>
        <w:ind w:left="1260" w:right="919" w:firstLine="360"/>
        <w:spacing w:after="0" w:line="311" w:lineRule="auto"/>
        <w:rPr>
          <w:sz w:val="20"/>
          <w:szCs w:val="20"/>
          <w:color w:val="auto"/>
        </w:rPr>
      </w:pPr>
      <w:r>
        <w:rPr>
          <w:rFonts w:ascii="Arial" w:cs="Arial" w:eastAsia="Arial" w:hAnsi="Arial"/>
          <w:sz w:val="16"/>
          <w:szCs w:val="16"/>
          <w:color w:val="auto"/>
        </w:rPr>
        <w:t>After the consummation of this offering, we will become subject to U.S. federal, state and local income taxes with respect to our allocable share of any taxable income of Tradeweb Markets LLC and will be taxed at prevailing corporate tax rates. Our actual effective tax rate will be impacted by our ownership share of</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39"/>
        <w:spacing w:after="0" w:line="275" w:lineRule="auto"/>
        <w:rPr>
          <w:sz w:val="20"/>
          <w:szCs w:val="20"/>
          <w:color w:val="auto"/>
        </w:rPr>
      </w:pPr>
      <w:r>
        <w:rPr>
          <w:rFonts w:ascii="Arial" w:cs="Arial" w:eastAsia="Arial" w:hAnsi="Arial"/>
          <w:sz w:val="17"/>
          <w:szCs w:val="17"/>
          <w:color w:val="auto"/>
        </w:rPr>
        <w:t>Tradeweb Markets LLC, which will increase over time as the Continuing LLC Owners exchange their LLC Interests for shares of Class A common stock or Class B common stock, as applicable. In addition to tax expenses, we also will incur expenses related to our operations. We intend to cause Tradeweb Markets LLC to make distributions in an amount sufficient to allow us to pay our tax obligations and operating expenses. See “Certain Relationships and Related Party Transactions — TWM LLC Agreement.”</w:t>
      </w:r>
    </w:p>
    <w:p>
      <w:pPr>
        <w:spacing w:after="0" w:line="68"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Historically, Thomson Reuters and related entities provided certain services and activities to support our business, including human resources, finance, tax and accounting services, client services, technology services, sales and customer support services and real estate and facilities support. Following this offering, we expect Refinitiv will continue to provide data and insurance and, at least in the near term, office space and related services. We do not anticipate that we will incur any material increased expenses if we do transition away from Refinitiv for these services in the future.</w:t>
      </w:r>
    </w:p>
    <w:p>
      <w:pPr>
        <w:spacing w:after="0" w:line="7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addition, as a public company, we will be implementing additional procedures and processes for the purpose of addressing the standards and requirements applicable to public companies. In particular, we expect our accounting, legal and personnel-related expenses and directors’ and officers’ insurance costs to increase as we establish more comprehensive compliance and governance functions, establish, maintain and review internal controls over financial reporting in accordance with the Sarbanes-Oxley Act and prepare and distribute periodic reports in accordance with SEC rules. Our financial statements following this offering will reflect the impact of these expenses.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Our gross revenue is derived primarily from transaction fees, subscription fees, commissions and market data fees. Each period our gross revenue is offset by contingent consideration recognized as a contra-revenue adjustment related to the achievement of specific revenue earnout milestones, as further described below. We believe that gross revenue is the key driver of our operating performance and therefore is the revenue measure we utilize to assess our business on a period by period basis.</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Transaction Fees</w:t>
      </w:r>
    </w:p>
    <w:p>
      <w:pPr>
        <w:spacing w:after="0" w:line="10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We earn transaction fees from transactions executed on our markets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 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Subscription Fees</w:t>
      </w:r>
    </w:p>
    <w:p>
      <w:pPr>
        <w:spacing w:after="0" w:line="104"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76"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For purposes of our discussion of our results of operations, we include Thomson Reuters market data fees in subscription fees. We earn fixed license fees of $41.0 million per year from our market data license agreement with Refinitiv, formerly Thomson Reuters, which was renewed effective November 1, 2018 with</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4" w:lineRule="auto"/>
        <w:rPr>
          <w:sz w:val="20"/>
          <w:szCs w:val="20"/>
          <w:color w:val="auto"/>
        </w:rPr>
      </w:pPr>
      <w:r>
        <w:rPr>
          <w:rFonts w:ascii="Arial" w:cs="Arial" w:eastAsia="Arial" w:hAnsi="Arial"/>
          <w:sz w:val="18"/>
          <w:szCs w:val="18"/>
          <w:color w:val="auto"/>
        </w:rPr>
        <w:t>different terms for a minimum of six years. Pursuant to this agreement, we provide Refinitiv with real-time market data feeds for 20 fixed income and derivatives products and Refinitiv redistributes such data to its customers on its Eikon platform. We also earn royalties from Refinitiv for referrals of new Eikon customers based on customer conversion rates. Royalties may fluctuate from period to period depending on the numbers of customer conversions achieved by Refinitiv during the applicable royalty fee earning period, which is typically five years from the date of the initial referral. See “Certain Relationships and Related Party Transactions — Transactions with Refinitiv/Thomson Reuters.”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Commissions</w:t>
      </w:r>
    </w:p>
    <w:p>
      <w:pPr>
        <w:spacing w:after="0" w:line="10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on our wholesale market, we also generate revenue from fixed commissions that are generally invoiced monthly.</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Contingent Consideration</w:t>
      </w:r>
    </w:p>
    <w:p>
      <w:pPr>
        <w:spacing w:after="0" w:line="104"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 July 31, 2018 upon the achievement of specific revenue earnout milestones related to the growth of specified credit products (the “Credit Initiative Earnout”). Prior to the July 31, 2018 vesting, we recognized contingent consideration with respect to the Credit Initiative Earnout as a contra-revenue adjustment, which partially offset gross revenue for the years ended December 31, 2017 and 2016. See “— Critical Accounting Policies and Estimates — Contingent Consideration” for a discussion of the calculation of contingent consideration. The value of the contingent consideration of $156.2 million was finalized and contributed to Members’ Capital or Mezzanine Capital on July 31, 2018 and we therefore will no longer recognize any contra-revenue adjustments from the Credit Initiative Earnout subsequent to that date.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Employee Compensation and Benefits</w:t>
      </w:r>
    </w:p>
    <w:p>
      <w:pPr>
        <w:spacing w:after="0" w:line="104"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and stock-based compensation cost. Factors that influence employee compensation and benefits expense include revenue growth, hiring new employees, trading activity which generates broker commissions and, following this offering, the share price of our Class A common stock. We expect performance based employee compensation and benefits expense to increase as we grow our business and hire additional employees and as our revenues and earnings grow, which may increase our stock-based compensation cost. As a result, employee compensation and benefits can vary from period to period.</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Depreciation and amortization expense consists of costs relating to the depreciation and amortization of other intangible assets, acquired and internally developed software, leasehold improvements furniture and equipment. As discussed in “— Effect of Pushdown Accounting on our Financial Statements,” we elected to apply pushdown accounting as a result of the Refinitiv Transaction and therefore depreciation and amortization in future reporting periods will differ from amounts reported in prior periods.</w:t>
      </w:r>
    </w:p>
    <w:p>
      <w:pPr>
        <w:spacing w:after="0" w:line="16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Technology and Communications</w:t>
      </w:r>
    </w:p>
    <w:p>
      <w:pPr>
        <w:spacing w:after="0" w:line="10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Technology and communications expense consists of costs relating to software and hardware maintenance, our internal network connections, data center costs, clearance costs and data feeds provided by third-party service providers. Factors that influence technology and communications expense include the growth of our client base and product offerings.</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Professional Fees</w:t>
      </w:r>
    </w:p>
    <w:p>
      <w:pPr>
        <w:spacing w:after="0" w:line="10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Accounting, tax and legal fees may grow as a result of the changes in our structure and operations that we will implement in connection with becoming a publicly traded company. Factors that influence technology and software consulting expense include the growth of our client base and product offerings.</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Occupancy</w:t>
      </w:r>
    </w:p>
    <w:p>
      <w:pPr>
        <w:spacing w:after="0" w:line="104"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Occupancy expense consists of operating lease rent and related costs for office space leased in the United States and the United Kingdom. Fees incurred by us under a shared services agreement with Refinitiv for office space are also included in occupancy expense. We expect occupancy expense to increase as we expand the number of our employees and grow our operations.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04" w:lineRule="exact"/>
        <w:rPr>
          <w:sz w:val="20"/>
          <w:szCs w:val="20"/>
          <w:color w:val="auto"/>
        </w:rPr>
      </w:pPr>
    </w:p>
    <w:p>
      <w:pPr>
        <w:ind w:left="1260" w:right="739" w:firstLine="360"/>
        <w:spacing w:after="0" w:line="311" w:lineRule="auto"/>
        <w:rPr>
          <w:sz w:val="20"/>
          <w:szCs w:val="20"/>
          <w:color w:val="auto"/>
        </w:rPr>
      </w:pPr>
      <w:r>
        <w:rPr>
          <w:rFonts w:ascii="Arial" w:cs="Arial" w:eastAsia="Arial" w:hAnsi="Arial"/>
          <w:sz w:val="16"/>
          <w:szCs w:val="16"/>
          <w:color w:val="auto"/>
        </w:rPr>
        <w:t>Interest income consists of interest earned from our cash deposited with large commercial banks and money market funds. Interest expense consists of interest payable to Thomson Reuters under a convertible term note. Thomson Reuters converted all outstanding borrowings under this note to equity of the Company in May 2017.</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19" w:firstLine="360"/>
        <w:spacing w:after="0" w:line="290" w:lineRule="auto"/>
        <w:rPr>
          <w:sz w:val="20"/>
          <w:szCs w:val="20"/>
          <w:color w:val="auto"/>
        </w:rPr>
      </w:pPr>
      <w:r>
        <w:rPr>
          <w:rFonts w:ascii="Arial" w:cs="Arial" w:eastAsia="Arial" w:hAnsi="Arial"/>
          <w:sz w:val="16"/>
          <w:szCs w:val="16"/>
          <w:color w:val="auto"/>
        </w:rPr>
        <w:t>We are currently a multiple member limited liability company taxed as a partnership and accordingly we are not required to maintain an income tax provision on our earnings. Income taxes consist of unincorporated business taxes on income earned or losses incurred by conducting business in certain state and local jurisdictions. Income taxes also includes income taxes on income earned in foreign jurisdictions on certain of our operations as well as federal and state income taxes on income earned or losses incurred, both current and deferred, from subsidiaries that are taxed as corporations for U.S. tax purposes. After the consummation of this offering, we will become subject to U.S. federal, state and local income taxes with respect to our allocable share of any taxable income of Tradeweb Markets LLC and will be taxed at prevailing corporate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a summary of our statements of income for the years ended December 31,</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and 2016, and the resulting dollar and percentage changes: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Change</w:t>
            </w:r>
          </w:p>
        </w:tc>
        <w:tc>
          <w:tcPr>
            <w:tcW w:w="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 Change</w:t>
            </w:r>
          </w:p>
        </w:tc>
      </w:tr>
      <w:tr>
        <w:trPr>
          <w:trHeight w:val="26"/>
        </w:trPr>
        <w:tc>
          <w:tcPr>
            <w:tcW w:w="4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3"/>
        </w:trPr>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70"/>
        </w:trPr>
        <w:tc>
          <w:tcPr>
            <w:tcW w:w="484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562,968</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$518,404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44,564</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8.6%</w:t>
            </w:r>
          </w:p>
        </w:tc>
      </w:tr>
      <w:tr>
        <w:trPr>
          <w:trHeight w:val="26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(58,520)</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(26,224)</w:t>
            </w: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(32,296)</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123.2%</w:t>
            </w: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504,448</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492,180</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12,268</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2.5%</w:t>
            </w:r>
          </w:p>
        </w:tc>
      </w:tr>
      <w:tr>
        <w:trPr>
          <w:trHeight w:val="263"/>
        </w:trPr>
        <w:tc>
          <w:tcPr>
            <w:tcW w:w="48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415,356</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399,049</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16,307</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89,092</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93,131</w:t>
            </w: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(4,039)</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4840" w:type="dxa"/>
            <w:vAlign w:val="bottom"/>
            <w:gridSpan w:val="2"/>
          </w:tcPr>
          <w:p>
            <w:pPr>
              <w:spacing w:after="0"/>
              <w:rPr>
                <w:sz w:val="20"/>
                <w:szCs w:val="20"/>
                <w:color w:val="auto"/>
              </w:rPr>
            </w:pPr>
            <w:r>
              <w:rPr>
                <w:rFonts w:ascii="Arial" w:cs="Arial" w:eastAsia="Arial" w:hAnsi="Arial"/>
                <w:sz w:val="18"/>
                <w:szCs w:val="18"/>
                <w:color w:val="auto"/>
              </w:rPr>
              <w:t>Net interest income (expense)</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(198.6)%</w:t>
            </w: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89,777</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92,436</w:t>
            </w: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(2,659)</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6,129</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6,854</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(945.4)%</w:t>
            </w: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83,648</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$ 93,161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(9,513)</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-1567815</wp:posOffset>
            </wp:positionV>
            <wp:extent cx="52120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-539115</wp:posOffset>
            </wp:positionV>
            <wp:extent cx="521208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-882015</wp:posOffset>
            </wp:positionV>
            <wp:extent cx="521208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-1224915</wp:posOffset>
            </wp:positionV>
            <wp:extent cx="52120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-1696720</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-1696720</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3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Gross revenue increased by $44.6 million or 8.6% to $563.0 million for the year ended December 31, 2017 from $518.4 million for the year ended December 31, 2016. This increase in gross revenue was mainly due to higher trading volumes resulting in a $36.8 million increase in transaction fees and a $5.1 million increase in commissions. Net revenue increased by $12.3 million or 2.5% to $504.4 million in for the year ended December 31, 2017 from $492.2 million for the year ended December 31, 2016. The $44.6 million increase in gross revenue was offset by a $32.3 million increase in non-cash contingent consideration as a result of higher projected revenues related to the Credit Initiative Earnout.</w:t>
      </w:r>
    </w:p>
    <w:p>
      <w:pPr>
        <w:spacing w:after="0" w:line="69" w:lineRule="exact"/>
        <w:rPr>
          <w:sz w:val="20"/>
          <w:szCs w:val="20"/>
          <w:color w:val="auto"/>
        </w:rPr>
      </w:pPr>
    </w:p>
    <w:p>
      <w:pPr>
        <w:jc w:val="both"/>
        <w:ind w:left="1260" w:right="779" w:firstLine="360"/>
        <w:spacing w:after="0" w:line="279" w:lineRule="auto"/>
        <w:rPr>
          <w:sz w:val="20"/>
          <w:szCs w:val="20"/>
          <w:color w:val="auto"/>
        </w:rPr>
      </w:pPr>
      <w:r>
        <w:rPr>
          <w:rFonts w:ascii="Arial" w:cs="Arial" w:eastAsia="Arial" w:hAnsi="Arial"/>
          <w:sz w:val="17"/>
          <w:szCs w:val="17"/>
          <w:color w:val="auto"/>
        </w:rPr>
        <w:t>Total expenses increased by $16.3 million or 4.1% to $415.4 million for the year ended December 31, 2017 from $399.0 million for the year ended December 31, 2016. This increase was primarily due to higher employee compensation and benefits expense of $20.4 million and higher general and administrative expense of $6.6 million offset by lower depreciation and amortization expense of $12.2 million.</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Income before taxes decreased by $2.7 million or (2.9)% to $89.8 million for the year ended December 31,</w:t>
      </w:r>
    </w:p>
    <w:p>
      <w:pPr>
        <w:spacing w:after="0" w:line="46" w:lineRule="exact"/>
        <w:rPr>
          <w:sz w:val="20"/>
          <w:szCs w:val="20"/>
          <w:color w:val="auto"/>
        </w:rPr>
      </w:pPr>
    </w:p>
    <w:p>
      <w:pPr>
        <w:ind w:left="1260" w:right="1279"/>
        <w:spacing w:after="0" w:line="302" w:lineRule="auto"/>
        <w:rPr>
          <w:sz w:val="20"/>
          <w:szCs w:val="20"/>
          <w:color w:val="auto"/>
        </w:rPr>
      </w:pPr>
      <w:r>
        <w:rPr>
          <w:rFonts w:ascii="Arial" w:cs="Arial" w:eastAsia="Arial" w:hAnsi="Arial"/>
          <w:sz w:val="16"/>
          <w:szCs w:val="16"/>
          <w:color w:val="auto"/>
        </w:rPr>
        <w:t>2017 from $92.4 million for the year ended December 31, 2016. Net income decreased by $9.5 million or (10.2)% to $83.6 million for the year ended December 31, 2017 from $93.2 million for the year ended December 31, 2016. These decreases were due to the increase in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Our revenues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Revenue</w:t>
            </w:r>
          </w:p>
        </w:tc>
        <w:tc>
          <w:tcPr>
            <w:tcW w:w="8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Revenue</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500" w:type="dxa"/>
            <w:vAlign w:val="bottom"/>
            <w:gridSpan w:val="2"/>
          </w:tcPr>
          <w:p>
            <w:pPr>
              <w:spacing w:after="0" w:line="192" w:lineRule="exact"/>
              <w:rPr>
                <w:sz w:val="20"/>
                <w:szCs w:val="20"/>
                <w:color w:val="auto"/>
              </w:rPr>
            </w:pPr>
            <w:r>
              <w:rPr>
                <w:rFonts w:ascii="Arial" w:cs="Arial" w:eastAsia="Arial" w:hAnsi="Arial"/>
                <w:sz w:val="18"/>
                <w:szCs w:val="18"/>
                <w:color w:val="auto"/>
              </w:rPr>
              <w:t>Transaction fees</w:t>
            </w:r>
          </w:p>
        </w:tc>
        <w:tc>
          <w:tcPr>
            <w:tcW w:w="880" w:type="dxa"/>
            <w:vAlign w:val="bottom"/>
            <w:gridSpan w:val="2"/>
          </w:tcPr>
          <w:p>
            <w:pPr>
              <w:jc w:val="right"/>
              <w:ind w:right="180"/>
              <w:spacing w:after="0" w:line="192" w:lineRule="exact"/>
              <w:rPr>
                <w:sz w:val="20"/>
                <w:szCs w:val="20"/>
                <w:color w:val="auto"/>
              </w:rPr>
            </w:pPr>
            <w:r>
              <w:rPr>
                <w:rFonts w:ascii="Arial" w:cs="Arial" w:eastAsia="Arial" w:hAnsi="Arial"/>
                <w:sz w:val="18"/>
                <w:szCs w:val="18"/>
                <w:color w:val="auto"/>
                <w:w w:val="90"/>
              </w:rPr>
              <w:t>$267,020</w:t>
            </w:r>
          </w:p>
        </w:tc>
        <w:tc>
          <w:tcPr>
            <w:tcW w:w="68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47.4%</w:t>
            </w:r>
          </w:p>
        </w:tc>
        <w:tc>
          <w:tcPr>
            <w:tcW w:w="1000" w:type="dxa"/>
            <w:vAlign w:val="bottom"/>
            <w:gridSpan w:val="3"/>
          </w:tcPr>
          <w:p>
            <w:pPr>
              <w:jc w:val="right"/>
              <w:ind w:right="200"/>
              <w:spacing w:after="0" w:line="192" w:lineRule="exact"/>
              <w:rPr>
                <w:sz w:val="20"/>
                <w:szCs w:val="20"/>
                <w:color w:val="auto"/>
              </w:rPr>
            </w:pPr>
            <w:r>
              <w:rPr>
                <w:rFonts w:ascii="Arial" w:cs="Arial" w:eastAsia="Arial" w:hAnsi="Arial"/>
                <w:sz w:val="18"/>
                <w:szCs w:val="18"/>
                <w:color w:val="auto"/>
              </w:rPr>
              <w:t>$230,171</w:t>
            </w:r>
          </w:p>
        </w:tc>
        <w:tc>
          <w:tcPr>
            <w:tcW w:w="780" w:type="dxa"/>
            <w:vAlign w:val="bottom"/>
            <w:gridSpan w:val="2"/>
          </w:tcPr>
          <w:p>
            <w:pPr>
              <w:jc w:val="right"/>
              <w:ind w:right="120"/>
              <w:spacing w:after="0" w:line="192" w:lineRule="exact"/>
              <w:rPr>
                <w:sz w:val="20"/>
                <w:szCs w:val="20"/>
                <w:color w:val="auto"/>
              </w:rPr>
            </w:pPr>
            <w:r>
              <w:rPr>
                <w:rFonts w:ascii="Arial" w:cs="Arial" w:eastAsia="Arial" w:hAnsi="Arial"/>
                <w:sz w:val="18"/>
                <w:szCs w:val="18"/>
                <w:color w:val="auto"/>
              </w:rPr>
              <w:t>44.4%</w:t>
            </w:r>
          </w:p>
        </w:tc>
        <w:tc>
          <w:tcPr>
            <w:tcW w:w="820" w:type="dxa"/>
            <w:vAlign w:val="bottom"/>
            <w:gridSpan w:val="2"/>
          </w:tcPr>
          <w:p>
            <w:pPr>
              <w:jc w:val="right"/>
              <w:ind w:right="140"/>
              <w:spacing w:after="0" w:line="192" w:lineRule="exact"/>
              <w:rPr>
                <w:sz w:val="20"/>
                <w:szCs w:val="20"/>
                <w:color w:val="auto"/>
              </w:rPr>
            </w:pPr>
            <w:r>
              <w:rPr>
                <w:rFonts w:ascii="Arial" w:cs="Arial" w:eastAsia="Arial" w:hAnsi="Arial"/>
                <w:sz w:val="18"/>
                <w:szCs w:val="18"/>
                <w:color w:val="auto"/>
                <w:w w:val="94"/>
              </w:rPr>
              <w:t>$ 36,849</w:t>
            </w:r>
          </w:p>
        </w:tc>
        <w:tc>
          <w:tcPr>
            <w:tcW w:w="62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4"/>
        </w:trPr>
        <w:tc>
          <w:tcPr>
            <w:tcW w:w="3500" w:type="dxa"/>
            <w:vAlign w:val="bottom"/>
            <w:gridSpan w:val="2"/>
          </w:tcPr>
          <w:p>
            <w:pPr>
              <w:spacing w:after="0" w:line="253"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194,534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191,983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96,745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91,663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4,669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4,587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562,968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518,404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44,564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right w:val="single" w:sz="8" w:color="CCEEFF"/>
            </w:tcBorders>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(58,520)</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(26,224)</w:t>
            </w: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(32,296)</w:t>
            </w:r>
          </w:p>
        </w:tc>
        <w:tc>
          <w:tcPr>
            <w:tcW w:w="5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504,448</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492,180</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$ 12,268</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line="172" w:lineRule="exact"/>
              <w:rPr>
                <w:sz w:val="20"/>
                <w:szCs w:val="20"/>
                <w:color w:val="auto"/>
              </w:rPr>
            </w:pPr>
            <w:r>
              <w:rPr>
                <w:rFonts w:ascii="Arial" w:cs="Arial" w:eastAsia="Arial" w:hAnsi="Arial"/>
                <w:sz w:val="18"/>
                <w:szCs w:val="18"/>
                <w:color w:val="auto"/>
              </w:rPr>
              <w:t>Components of gross revenue growth:</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5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Constant currency growth</w:t>
            </w:r>
            <w:r>
              <w:rPr>
                <w:rFonts w:ascii="Arial" w:cs="Arial" w:eastAsia="Arial" w:hAnsi="Arial"/>
                <w:sz w:val="26"/>
                <w:szCs w:val="26"/>
                <w:color w:val="auto"/>
                <w:vertAlign w:val="superscript"/>
              </w:rPr>
              <w:t>(1)</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Foreign currency impact</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Total gross revenue growth</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-1517015</wp:posOffset>
            </wp:positionV>
            <wp:extent cx="521208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-1233805</wp:posOffset>
            </wp:positionV>
            <wp:extent cx="521208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-582295</wp:posOffset>
            </wp:positionV>
            <wp:extent cx="5212080" cy="291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2080" cy="29146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5212080" cy="146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-1919605</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-1919605</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-1919605</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-1919605</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-1919605</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162560</wp:posOffset>
            </wp:positionV>
            <wp:extent cx="12344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620" w:right="719" w:hanging="352"/>
        <w:spacing w:after="0" w:line="277"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129" w:lineRule="exact"/>
        <w:rPr>
          <w:rFonts w:ascii="Arial" w:cs="Arial" w:eastAsia="Arial" w:hAnsi="Arial"/>
          <w:sz w:val="18"/>
          <w:szCs w:val="18"/>
          <w:color w:val="auto"/>
        </w:rPr>
      </w:pPr>
    </w:p>
    <w:p>
      <w:pPr>
        <w:ind w:left="1620" w:right="859" w:hanging="352"/>
        <w:spacing w:after="0" w:line="311" w:lineRule="auto"/>
        <w:tabs>
          <w:tab w:leader="none" w:pos="1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pacing w:after="0" w:line="41"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Our revenues by fee type for the years ended December 31, 2017 and 2016, and the resulting dollar and percentage changes, were as follows:</w:t>
      </w:r>
    </w:p>
    <w:p>
      <w:pPr>
        <w:spacing w:after="0" w:line="6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r>
      <w:tr>
        <w:trPr>
          <w:trHeight w:val="196"/>
        </w:trPr>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Fixed</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Fixed</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Variable</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Fixed</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Variable</w:t>
            </w:r>
          </w:p>
        </w:tc>
        <w:tc>
          <w:tcPr>
            <w:tcW w:w="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Fixed</w:t>
            </w:r>
          </w:p>
        </w:tc>
      </w:tr>
      <w:tr>
        <w:trPr>
          <w:trHeight w:val="175"/>
        </w:trPr>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1"/>
              </w:rPr>
              <w:t>(in thousands)</w:t>
            </w: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1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Transaction fees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$210,198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56,822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$176,060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54,111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$34,139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$2,710</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19.4%</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980" w:type="dxa"/>
            <w:vAlign w:val="bottom"/>
            <w:gridSpan w:val="2"/>
          </w:tcPr>
          <w:p>
            <w:pPr>
              <w:spacing w:after="0" w:line="230" w:lineRule="exact"/>
              <w:rPr>
                <w:sz w:val="20"/>
                <w:szCs w:val="20"/>
                <w:color w:val="auto"/>
              </w:rPr>
            </w:pPr>
            <w:r>
              <w:rPr>
                <w:rFonts w:ascii="Arial" w:cs="Arial" w:eastAsia="Arial" w:hAnsi="Arial"/>
                <w:sz w:val="18"/>
                <w:szCs w:val="18"/>
                <w:color w:val="auto"/>
              </w:rPr>
              <w:t>Subscription fees</w:t>
            </w:r>
            <w:r>
              <w:rPr>
                <w:rFonts w:ascii="Arial" w:cs="Arial" w:eastAsia="Arial" w:hAnsi="Arial"/>
                <w:sz w:val="26"/>
                <w:szCs w:val="26"/>
                <w:color w:val="auto"/>
                <w:vertAlign w:val="superscript"/>
              </w:rPr>
              <w:t>(1)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192,959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190,487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2,472</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5.3%</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57,118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39,627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54,194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37,469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2,924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2,158</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5.4%</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4,633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4,557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6</w:t>
            </w:r>
            <w:r>
              <w:rPr>
                <w:rFonts w:ascii="Arial" w:cs="Arial" w:eastAsia="Arial" w:hAnsi="Arial"/>
                <w:sz w:val="18"/>
                <w:szCs w:val="18"/>
                <w:color w:val="auto"/>
              </w:rPr>
              <w:t>%   1.</w:t>
            </w:r>
            <w:r>
              <w:rPr>
                <w:rFonts w:ascii="Arial" w:cs="Arial" w:eastAsia="Arial" w:hAnsi="Arial"/>
                <w:sz w:val="18"/>
                <w:szCs w:val="18"/>
                <w:u w:val="single" w:color="auto"/>
                <w:color w:val="auto"/>
              </w:rPr>
              <w:t>7</w:t>
            </w:r>
            <w:r>
              <w:rPr>
                <w:rFonts w:ascii="Arial" w:cs="Arial" w:eastAsia="Arial" w:hAnsi="Arial"/>
                <w:sz w:val="18"/>
                <w:szCs w:val="18"/>
                <w:color w:val="auto"/>
              </w:rPr>
              <w:t>%</w:t>
            </w:r>
          </w:p>
        </w:tc>
      </w:tr>
      <w:tr>
        <w:trPr>
          <w:trHeight w:val="20"/>
        </w:trPr>
        <w:tc>
          <w:tcPr>
            <w:tcW w:w="17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98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268,928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294,040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231,779</w:t>
            </w: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286,625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37,149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7,416</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w:t>
            </w:r>
            <w:r>
              <w:rPr>
                <w:rFonts w:ascii="Arial" w:cs="Arial" w:eastAsia="Arial" w:hAnsi="Arial"/>
                <w:sz w:val="18"/>
                <w:szCs w:val="18"/>
                <w:color w:val="auto"/>
              </w:rPr>
              <w:t>%</w:t>
            </w:r>
          </w:p>
        </w:tc>
      </w:tr>
      <w:tr>
        <w:trPr>
          <w:trHeight w:val="20"/>
        </w:trPr>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17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-814070</wp:posOffset>
            </wp:positionV>
            <wp:extent cx="521208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-530860</wp:posOffset>
            </wp:positionV>
            <wp:extent cx="521208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-1207770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-1207770</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-1207770</wp:posOffset>
            </wp:positionV>
            <wp:extent cx="137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-1207770</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-1207770</wp:posOffset>
            </wp:positionV>
            <wp:extent cx="1200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-1207770</wp:posOffset>
            </wp:positionV>
            <wp:extent cx="120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-1207770</wp:posOffset>
            </wp:positionV>
            <wp:extent cx="120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8" w:lineRule="exact"/>
        <w:rPr>
          <w:sz w:val="20"/>
          <w:szCs w:val="20"/>
          <w:color w:val="auto"/>
        </w:rPr>
      </w:pPr>
    </w:p>
    <w:p>
      <w:pPr>
        <w:ind w:left="1620" w:right="719" w:hanging="352"/>
        <w:spacing w:after="0" w:line="27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62"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$36.8 million or 16.0% to $267.0 million for the year ended December 31, 2017 from $230.2 million for the year ended December 31, 2016. Approximately $31.9 million of the increase was derived primarily from increased Institutional transactional volumes for European credit products, derivative products led by Dollar swaps, European interest rate swaps and Japanese Yen swaps, European governments, U.S. and European ETF and U.S. Treasury, as well as adjustments to contracts in anticipation of MiFID II and the product launch of China bonds. The launch of a new U.S. credit product led to an increase in the number of clients and volumes for U.S. credit products over the prior year, which also contributed to the $31.9 million increase.</w:t>
      </w:r>
    </w:p>
    <w:p>
      <w:pPr>
        <w:sectPr>
          <w:pgSz w:w="11900" w:h="16838" w:orient="portrait"/>
          <w:cols w:equalWidth="0" w:num="1">
            <w:col w:w="10139"/>
          </w:cols>
          <w:pgMar w:left="320" w:top="131" w:right="1440" w:bottom="1440" w:gutter="0" w:footer="0" w:header="0"/>
        </w:sectPr>
      </w:pP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u w:val="single" w:color="auto"/>
          <w:color w:val="auto"/>
        </w:rPr>
        <w:t>Subscription fees</w:t>
      </w:r>
      <w:r>
        <w:rPr>
          <w:rFonts w:ascii="Arial" w:cs="Arial" w:eastAsia="Arial" w:hAnsi="Arial"/>
          <w:sz w:val="17"/>
          <w:szCs w:val="17"/>
          <w:color w:val="auto"/>
        </w:rPr>
        <w:t>. Subscription fees increased by $2.6 million or 1.3% to $194.5 million for the year ended December 31, 2017 from $192.0 million for the year ended December 31, 2016 due primarily to an increase in Institutional dealer subscription fees on contract renewals for European products as certain clients expanded the terms of their existing contracts in preparation for the implementation of MiFID II.</w:t>
      </w:r>
    </w:p>
    <w:p>
      <w:pPr>
        <w:spacing w:after="0" w:line="63"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$5.1 million or 5.5% to $96.7 million for the year ended December 31, 2017 from $91.7 million for the year ended December 31, 2016 due primarily to $8.0 million from increased trading volumes for repurchase agreements and U.S. Treasury and increased Retail trading volume. The increase was partially offset by $2.9 million of lower revenues, in part due to fewer dealers participating in, and fee changes in, the TBA-MBS market.</w:t>
      </w:r>
    </w:p>
    <w:p>
      <w:pPr>
        <w:spacing w:after="0" w:line="80"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$0.1 million or 1.8% to $4.7 million for the year ended December 31, 2017 from $4.6 million for the year ended December 31, 2016. Other revenues primarily consisted of fees from a third party for certain licensing and development in Canada.</w:t>
      </w:r>
    </w:p>
    <w:p>
      <w:pPr>
        <w:spacing w:after="0" w:line="76"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Contingent consideration increased by $32.3 million or 123.2% to $58.5 million for the year ended December 31, 2017 from $26.2 million for the year ended December 31, 2016. The increase was a result of higher projected revenues related to the Credit Initiative Earnout during the year ended December 31, 2017 compared to the year ended December 31, 2016.</w:t>
      </w:r>
    </w:p>
    <w:p>
      <w:pPr>
        <w:spacing w:after="0" w:line="79"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Our gross revenue by client sector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 Change</w:t>
            </w:r>
          </w:p>
        </w:tc>
      </w:tr>
      <w:tr>
        <w:trPr>
          <w:trHeight w:val="26"/>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56"/>
        </w:trPr>
        <w:tc>
          <w:tcPr>
            <w:tcW w:w="4900" w:type="dxa"/>
            <w:vAlign w:val="bottom"/>
          </w:tcPr>
          <w:p>
            <w:pPr>
              <w:spacing w:after="0"/>
              <w:rPr>
                <w:sz w:val="20"/>
                <w:szCs w:val="20"/>
                <w:color w:val="auto"/>
              </w:rPr>
            </w:pPr>
            <w:r>
              <w:rPr>
                <w:rFonts w:ascii="Arial" w:cs="Arial" w:eastAsia="Arial" w:hAnsi="Arial"/>
                <w:sz w:val="18"/>
                <w:szCs w:val="18"/>
                <w:color w:val="auto"/>
              </w:rPr>
              <w:t>Institutional</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$318,038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$285,801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$32,237</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118,451</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109,945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8,506</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56"/>
        </w:trPr>
        <w:tc>
          <w:tcPr>
            <w:tcW w:w="4900" w:type="dxa"/>
            <w:vAlign w:val="bottom"/>
          </w:tcPr>
          <w:p>
            <w:pPr>
              <w:spacing w:after="0"/>
              <w:rPr>
                <w:sz w:val="20"/>
                <w:szCs w:val="20"/>
                <w:color w:val="auto"/>
              </w:rPr>
            </w:pPr>
            <w:r>
              <w:rPr>
                <w:rFonts w:ascii="Arial" w:cs="Arial" w:eastAsia="Arial" w:hAnsi="Arial"/>
                <w:sz w:val="18"/>
                <w:szCs w:val="18"/>
                <w:color w:val="auto"/>
              </w:rPr>
              <w:t>Retail</w:t>
            </w:r>
          </w:p>
        </w:tc>
        <w:tc>
          <w:tcPr>
            <w:tcW w:w="740" w:type="dxa"/>
            <w:vAlign w:val="bottom"/>
          </w:tcPr>
          <w:p>
            <w:pPr>
              <w:jc w:val="right"/>
              <w:spacing w:after="0"/>
              <w:rPr>
                <w:sz w:val="20"/>
                <w:szCs w:val="20"/>
                <w:color w:val="auto"/>
              </w:rPr>
            </w:pPr>
            <w:r>
              <w:rPr>
                <w:rFonts w:ascii="Arial" w:cs="Arial" w:eastAsia="Arial" w:hAnsi="Arial"/>
                <w:sz w:val="18"/>
                <w:szCs w:val="18"/>
                <w:color w:val="auto"/>
              </w:rPr>
              <w:t>70,857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67,471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3,386</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Market Data</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55,622</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49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6"/>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-1156970</wp:posOffset>
            </wp:positionV>
            <wp:extent cx="137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-1156970</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$32.2 million or 11.3%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$318.0 million for the year ended December 31, 2017 from $285.8 million for the year ended December 31, 2016</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primarily due to increased transactional volumes for U.S. and European credit products, derivative products led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by Dollar swaps, European interest rate swaps and Japanese Yen swaps, European governments, U.S.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European ETF and U.S. Treasury, as well as the product launch of China bonds and due to an increase in dealer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subscription fees on contract renewals for European products as a result of MiFID II.</w:t>
      </w:r>
    </w:p>
    <w:p>
      <w:pPr>
        <w:spacing w:after="0" w:line="103"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u w:val="single" w:color="auto"/>
          <w:color w:val="auto"/>
        </w:rPr>
        <w:t>Wholesale</w:t>
      </w:r>
      <w:r>
        <w:rPr>
          <w:rFonts w:ascii="Arial" w:cs="Arial" w:eastAsia="Arial" w:hAnsi="Arial"/>
          <w:sz w:val="16"/>
          <w:szCs w:val="16"/>
          <w:color w:val="auto"/>
        </w:rPr>
        <w:t>. Revenues from our Wholesale client sector increased by $8.5 million or 7.7% to $118.5 million for the year ended December 31, 2017 from $109.9 million for the year ended December 31, 2016 due to higher trading volumes of European credit products, repurchase agreements and U.S. Treasury. The revenue increase was partially offset by lower TBA-MBS fees due to fewer dealers participating in this market and fee changes.</w:t>
      </w:r>
    </w:p>
    <w:p>
      <w:pPr>
        <w:spacing w:after="0" w:line="49"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$3.4 million or 5.0% to $70.9 million for the year ended December 31, 2017 from $67.5 million for the year ended December 31, 2016 due to strong Alternative Trading System (“ATS”) and middle markets trading volumes.</w:t>
      </w:r>
    </w:p>
    <w:p>
      <w:pPr>
        <w:spacing w:after="0" w:line="76" w:lineRule="exact"/>
        <w:rPr>
          <w:sz w:val="20"/>
          <w:szCs w:val="20"/>
          <w:color w:val="auto"/>
        </w:rPr>
      </w:pPr>
    </w:p>
    <w:p>
      <w:pPr>
        <w:jc w:val="center"/>
        <w:ind w:right="-120"/>
        <w:spacing w:after="0"/>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$0.4 million or 0.8% to</w:t>
      </w:r>
    </w:p>
    <w:p>
      <w:pPr>
        <w:spacing w:after="0" w:line="23" w:lineRule="exact"/>
        <w:rPr>
          <w:sz w:val="20"/>
          <w:szCs w:val="20"/>
          <w:color w:val="auto"/>
        </w:rPr>
      </w:pPr>
    </w:p>
    <w:p>
      <w:pPr>
        <w:jc w:val="both"/>
        <w:ind w:left="1260" w:right="819"/>
        <w:spacing w:after="0" w:line="253" w:lineRule="auto"/>
        <w:rPr>
          <w:sz w:val="20"/>
          <w:szCs w:val="20"/>
          <w:color w:val="auto"/>
        </w:rPr>
      </w:pPr>
      <w:r>
        <w:rPr>
          <w:rFonts w:ascii="Arial" w:cs="Arial" w:eastAsia="Arial" w:hAnsi="Arial"/>
          <w:sz w:val="18"/>
          <w:szCs w:val="18"/>
          <w:color w:val="auto"/>
        </w:rPr>
        <w:t>$55.6 million for the year ended December 31, 2017 from $55.2 million for the year ended December 31, 2016 due to increased market data subscriptions, and as a result subscription fees increased, offset by lower Thomson Reuters royalty fees due to fewer customer conversions and the expiration of the royalty fee earning period for certain Eikon referrals from prior years.</w:t>
      </w:r>
    </w:p>
    <w:p>
      <w:pPr>
        <w:spacing w:after="0" w:line="24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Our gross revenues by asset class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 Change</w:t>
            </w:r>
          </w:p>
        </w:tc>
      </w:tr>
      <w:tr>
        <w:trPr>
          <w:trHeight w:val="26"/>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56"/>
        </w:trPr>
        <w:tc>
          <w:tcPr>
            <w:tcW w:w="4900" w:type="dxa"/>
            <w:vAlign w:val="bottom"/>
          </w:tcPr>
          <w:p>
            <w:pPr>
              <w:spacing w:after="0"/>
              <w:rPr>
                <w:sz w:val="20"/>
                <w:szCs w:val="20"/>
                <w:color w:val="auto"/>
              </w:rPr>
            </w:pPr>
            <w:r>
              <w:rPr>
                <w:rFonts w:ascii="Arial" w:cs="Arial" w:eastAsia="Arial" w:hAnsi="Arial"/>
                <w:sz w:val="18"/>
                <w:szCs w:val="18"/>
                <w:color w:val="auto"/>
              </w:rPr>
              <w:t>Rates</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$324,302</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$308,081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$16,221</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105,336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88,630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16,705</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Equities</w:t>
            </w:r>
          </w:p>
        </w:tc>
        <w:tc>
          <w:tcPr>
            <w:tcW w:w="740" w:type="dxa"/>
            <w:vAlign w:val="bottom"/>
          </w:tcPr>
          <w:p>
            <w:pPr>
              <w:jc w:val="right"/>
              <w:spacing w:after="0"/>
              <w:rPr>
                <w:sz w:val="20"/>
                <w:szCs w:val="20"/>
                <w:color w:val="auto"/>
              </w:rPr>
            </w:pPr>
            <w:r>
              <w:rPr>
                <w:rFonts w:ascii="Arial" w:cs="Arial" w:eastAsia="Arial" w:hAnsi="Arial"/>
                <w:sz w:val="18"/>
                <w:szCs w:val="18"/>
                <w:color w:val="auto"/>
              </w:rPr>
              <w:t>23,681</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18,626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5,055</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27.1%</w:t>
            </w: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28,633</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24,532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4,102</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Market Data</w:t>
            </w:r>
          </w:p>
        </w:tc>
        <w:tc>
          <w:tcPr>
            <w:tcW w:w="740" w:type="dxa"/>
            <w:vAlign w:val="bottom"/>
          </w:tcPr>
          <w:p>
            <w:pPr>
              <w:jc w:val="right"/>
              <w:spacing w:after="0"/>
              <w:rPr>
                <w:sz w:val="20"/>
                <w:szCs w:val="20"/>
                <w:color w:val="auto"/>
              </w:rPr>
            </w:pPr>
            <w:r>
              <w:rPr>
                <w:rFonts w:ascii="Arial" w:cs="Arial" w:eastAsia="Arial" w:hAnsi="Arial"/>
                <w:sz w:val="18"/>
                <w:szCs w:val="18"/>
                <w:color w:val="auto"/>
              </w:rPr>
              <w:t>55,622</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55,187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25,394</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23,347</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0"/>
        </w:trPr>
        <w:tc>
          <w:tcPr>
            <w:tcW w:w="49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70"/>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-1490980</wp:posOffset>
            </wp:positionV>
            <wp:extent cx="137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-1490980</wp:posOffset>
            </wp:positionV>
            <wp:extent cx="137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6"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Rates increased by $16.2 million or 5.3% to $324.3 million for the year ended December 31, 2017 from $308.1 million for the year ended December 31, 2016 primarily due to increased Institutional and Wholesale transactional volumes for derivative products led by Dollar swaps, European interest rate swaps and Japanese Yen swaps, European governments and U.S. Treasury. The revenue increase was partially offset by lower Wholesale TBA-MBS fees due to fewer dealers participating in this market and fee changes.</w:t>
      </w:r>
    </w:p>
    <w:p>
      <w:pPr>
        <w:spacing w:after="0" w:line="84"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u w:val="single" w:color="auto"/>
          <w:color w:val="auto"/>
        </w:rPr>
        <w:t>Credit</w:t>
      </w:r>
      <w:r>
        <w:rPr>
          <w:rFonts w:ascii="Arial" w:cs="Arial" w:eastAsia="Arial" w:hAnsi="Arial"/>
          <w:sz w:val="17"/>
          <w:szCs w:val="17"/>
          <w:color w:val="auto"/>
        </w:rPr>
        <w:t>. Revenues from Credit increased by $16.7 million or 18.8% to $105.3 million for the year ended December 31, 2017 from $88.6 million for the year ended December 31, 2016 primarily due to increased Institutional and Wholesale transactional volumes for U.S. and European credit products, the product launch of China bonds and increased Retail transactional volumes for structured products.</w:t>
      </w:r>
    </w:p>
    <w:p>
      <w:pPr>
        <w:spacing w:after="0" w:line="63"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Equities increased by $5.1 million or 27.1% to $23.7 million for the year ended December 31, 2017 from $18.6 million for the year ended December 31, 2016 primarily due to increased Institutional transactional volumes for U.S. and European ETF.</w:t>
      </w:r>
    </w:p>
    <w:p>
      <w:pPr>
        <w:spacing w:after="0" w:line="76"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Money Market increased by $4.1 million or 16.7% to $28.6 million for the year ended December 31, 2017 from $24.5 million for the year ended December 31, 2016 primarily due to increased Wholesale transactional volumes for repurchase agreements, increased Retail transactional volumes for certificates of deposit and structured products and higher Institutional transactional volumes for European repurchase agreements.</w:t>
      </w:r>
    </w:p>
    <w:p>
      <w:pPr>
        <w:spacing w:after="0" w:line="80"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Market Data increased by $0.4 million or 0.8% to $55.6 million for the year ended December 31, 2017 from $55.2 million for the year ended December 31, 2016 primarily as a result of an $0.8 million increase in European governments historical data feed subscriptions, partially offset by a $0.4 million decrease in royalty fees due to fewer customer conversions and the expiration of the royalty fee earning period for certain Eikon referrals from prior years.</w:t>
      </w:r>
    </w:p>
    <w:p>
      <w:pPr>
        <w:spacing w:after="0" w:line="6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$2.0 million or 8.8% to $25.4 million for the year ended December 31, 2017 from $23.3 million for the year ended December 31, 2016 primarily due to increased Retail fixed transaction fees and increased fees from a third party for certain licensing and development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Our gross revenue by geography (based on client location)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 Change</w:t>
            </w:r>
          </w:p>
        </w:tc>
      </w:tr>
      <w:tr>
        <w:trPr>
          <w:trHeight w:val="26"/>
        </w:trPr>
        <w:tc>
          <w:tcPr>
            <w:tcW w:w="4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56"/>
        </w:trPr>
        <w:tc>
          <w:tcPr>
            <w:tcW w:w="4900" w:type="dxa"/>
            <w:vAlign w:val="bottom"/>
          </w:tcPr>
          <w:p>
            <w:pPr>
              <w:spacing w:after="0"/>
              <w:rPr>
                <w:sz w:val="20"/>
                <w:szCs w:val="20"/>
                <w:color w:val="auto"/>
              </w:rPr>
            </w:pPr>
            <w:r>
              <w:rPr>
                <w:rFonts w:ascii="Arial" w:cs="Arial" w:eastAsia="Arial" w:hAnsi="Arial"/>
                <w:sz w:val="18"/>
                <w:szCs w:val="18"/>
                <w:color w:val="auto"/>
              </w:rPr>
              <w:t>U.S.</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$385,176</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$365,308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$19,868</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177,792</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153,096</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24,696</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16.1%</w:t>
            </w:r>
          </w:p>
        </w:tc>
      </w:tr>
      <w:tr>
        <w:trPr>
          <w:trHeight w:val="20"/>
        </w:trPr>
        <w:tc>
          <w:tcPr>
            <w:tcW w:w="49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6"/>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-830580</wp:posOffset>
            </wp:positionV>
            <wp:extent cx="137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-830580</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$19.9 million or 5.4% to $385.2 million for the year ended December 31, 2017 from $365.3 million for the year ended December 31, 2016 due to increased transactional volumes from our Institutional client sector for U.S. credit products, U.S. ETF and U.S. Treasury, due to higher trading volumes from our Wholesale client sector for repurchase agreements and U.S. Treasury and due to strong ATS and middle markets trading volumes in our Retail client sector.</w:t>
      </w:r>
    </w:p>
    <w:p>
      <w:pPr>
        <w:spacing w:after="0" w:line="68"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Revenues from International clients increased by $24.7 million or 16.1% to $177.8 million for the year ended December 31, 2017 from $153.1 million for the year ended December 31, 2016 due to increased transactional volumes from our Institutional client sector for European Credit Products, derivative products led by European interest rate swaps, Dollar swaps and Japanese Yen swaps, European governments, European ETF, the product launch of China Bonds and an increase in dealer subscription fees on contract renewals as a result of MiFID II and due to higher trading volumes of European credit products in our Wholesale client sector. Fluctuations in foreign currency rates also increased our International gross revenue by $1.2 million.</w:t>
      </w:r>
    </w:p>
    <w:p>
      <w:pPr>
        <w:spacing w:after="0" w:line="15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Our expenses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9"/>
              </w:rPr>
              <w:t>Year Ended December 31,</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484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 Change</w:t>
            </w:r>
          </w:p>
        </w:tc>
        <w:tc>
          <w:tcPr>
            <w:tcW w:w="7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7"/>
              </w:rPr>
              <w:t>% Change</w:t>
            </w:r>
          </w:p>
        </w:tc>
      </w:tr>
      <w:tr>
        <w:trPr>
          <w:trHeight w:val="175"/>
        </w:trPr>
        <w:tc>
          <w:tcPr>
            <w:tcW w:w="48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$248,963</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$228,584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$ 20,379</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68,615</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80,859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jc w:val="right"/>
              <w:spacing w:after="0"/>
              <w:rPr>
                <w:sz w:val="20"/>
                <w:szCs w:val="20"/>
                <w:color w:val="auto"/>
              </w:rPr>
            </w:pPr>
            <w:r>
              <w:rPr>
                <w:rFonts w:ascii="Arial" w:cs="Arial" w:eastAsia="Arial" w:hAnsi="Arial"/>
                <w:sz w:val="18"/>
                <w:szCs w:val="18"/>
                <w:color w:val="auto"/>
              </w:rPr>
              <w:t>33,973</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27,392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6,581</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30,013</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28,239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Professional fees</w:t>
            </w:r>
          </w:p>
        </w:tc>
        <w:tc>
          <w:tcPr>
            <w:tcW w:w="740" w:type="dxa"/>
            <w:vAlign w:val="bottom"/>
          </w:tcPr>
          <w:p>
            <w:pPr>
              <w:jc w:val="right"/>
              <w:spacing w:after="0"/>
              <w:rPr>
                <w:sz w:val="20"/>
                <w:szCs w:val="20"/>
                <w:color w:val="auto"/>
              </w:rPr>
            </w:pPr>
            <w:r>
              <w:rPr>
                <w:rFonts w:ascii="Arial" w:cs="Arial" w:eastAsia="Arial" w:hAnsi="Arial"/>
                <w:sz w:val="18"/>
                <w:szCs w:val="18"/>
                <w:color w:val="auto"/>
              </w:rPr>
              <w:t>19,351</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18,158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1,193</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Occupancy</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15,817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1"/>
                <w:szCs w:val="21"/>
                <w:color w:val="auto"/>
              </w:rPr>
            </w:pPr>
          </w:p>
        </w:tc>
      </w:tr>
      <w:tr>
        <w:trPr>
          <w:trHeight w:val="20"/>
        </w:trPr>
        <w:tc>
          <w:tcPr>
            <w:tcW w:w="48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8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415,356</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399,049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$ 16,307</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4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-1285240</wp:posOffset>
            </wp:positionV>
            <wp:extent cx="137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-1285240</wp:posOffset>
            </wp:positionV>
            <wp:extent cx="1371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Employee compensation and benefits expense increased by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$20.4 million or 8.9% to $249.0 million for the year ended December 31, 2017 from $228.6 million for the year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ended December 31, 2016. The increase was due to a $2.7 million increase in salaries and benefits, primarily due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an increase in employee headcount, an increase in annual incentive compensation of $10.6 million and 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increase in equity compensation of $7.1 million, each of which are based on operating performance, primarily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due to our financial results. Total employee headcount increased to 857 as of December 31, 2017 from 814 as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2016.</w:t>
      </w:r>
    </w:p>
    <w:p>
      <w:pPr>
        <w:spacing w:after="0" w:line="103" w:lineRule="exact"/>
        <w:rPr>
          <w:sz w:val="20"/>
          <w:szCs w:val="20"/>
          <w:color w:val="auto"/>
        </w:rPr>
      </w:pPr>
    </w:p>
    <w:p>
      <w:pPr>
        <w:ind w:left="1260" w:right="1099" w:firstLine="360"/>
        <w:spacing w:after="0" w:line="311"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Depreciation and amortization expense decreased by $12.2 million or 15.1% to $68.6 million for the year ended December 31, 2017 from $80.8 million for the year ended December 31, 2016. The decrease was as a result of certain intangible assets becoming fully amortized.</w:t>
      </w:r>
    </w:p>
    <w:p>
      <w:pPr>
        <w:spacing w:after="0" w:line="41" w:lineRule="exact"/>
        <w:rPr>
          <w:sz w:val="20"/>
          <w:szCs w:val="20"/>
          <w:color w:val="auto"/>
        </w:rPr>
      </w:pPr>
    </w:p>
    <w:p>
      <w:pPr>
        <w:ind w:left="1260" w:right="999" w:firstLine="360"/>
        <w:spacing w:after="0" w:line="308"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General and administrative expense increased by $6.6 million or 24.0% to $34.0 million for the year ended December 31, 2017 from $27.4 million for the year ended</w:t>
      </w:r>
    </w:p>
    <w:p>
      <w:pPr>
        <w:spacing w:after="0" w:line="2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75" w:lineRule="auto"/>
        <w:rPr>
          <w:sz w:val="20"/>
          <w:szCs w:val="20"/>
          <w:color w:val="auto"/>
        </w:rPr>
      </w:pPr>
      <w:r>
        <w:rPr>
          <w:rFonts w:ascii="Arial" w:cs="Arial" w:eastAsia="Arial" w:hAnsi="Arial"/>
          <w:sz w:val="17"/>
          <w:szCs w:val="17"/>
          <w:color w:val="auto"/>
        </w:rPr>
        <w:t>December 31, 2016. The increase was a result of a one-time $3.6 million reversal of New Jersey incentive grants, a $1.5 million increase in marketing expenses due to increased marketing efforts for key growth, client acquisition and regulatory initiatives, a $1.3 million increase in value-added taxes, and $1.0 million increase in travel and entertainment expenses due to increased corporate services provided to employees and increased sales efforts, offset by a reduction in foreign exchange losses of $1.4 million.</w:t>
      </w:r>
    </w:p>
    <w:p>
      <w:pPr>
        <w:spacing w:after="0" w:line="6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$1.8 million or 6.3% to $30.0 million for the year ended December 31, 2017 from $28.2 million for the year ended December 31, 2016 due primarily to increases in third-party software and technology maintenance and support as a result of certain cybersecurity and infrastructure initiatives.</w:t>
      </w:r>
    </w:p>
    <w:p>
      <w:pPr>
        <w:spacing w:after="0" w:line="79"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increased $1.2 million or 6.6% to $19.4 million for the year ended December 31, 2017 from $18.2 million for the year ended December 31, 2016 due primarily to increased legal fees.</w:t>
      </w:r>
    </w:p>
    <w:p>
      <w:pPr>
        <w:spacing w:after="0" w:line="76" w:lineRule="exact"/>
        <w:rPr>
          <w:sz w:val="20"/>
          <w:szCs w:val="20"/>
          <w:color w:val="auto"/>
        </w:rPr>
      </w:pPr>
    </w:p>
    <w:p>
      <w:pPr>
        <w:jc w:val="both"/>
        <w:ind w:left="1260" w:right="979" w:firstLine="360"/>
        <w:spacing w:after="0" w:line="263"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decreased by $1.4 million or 8.7% to $14.4 million for the year ended December 31, 2017 from $15.8 million for the year ended December 31, 2016 due to the expiration of certain operating leases.</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Net Interest Income (Expense)</w:t>
      </w:r>
    </w:p>
    <w:p>
      <w:pPr>
        <w:spacing w:after="0" w:line="117"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Net interest income (expense) increased by $1.3 million to interest income of $0.6 million for the year ended December 31, 2017 from interest expense of $0.7 million for the year ended December 31, 2016 due to higher average investment balances and an increase in interest rates during 2017 and the conversion of our former convertible notes into equity in May 2017.</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Provision for income taxes increased by $6.9 million to $6.1 million for the year ended December 31, 2017 from a benefit from income taxes of $0.7 million for the year ended December 31, 2016.</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Quarterly Results of Operations</w:t>
      </w:r>
    </w:p>
    <w:p>
      <w:pPr>
        <w:spacing w:after="0" w:line="108"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Our quarterly results have been and will continue to be affected by changes in trading volumes due to market conditions, changes in the number of trading days during certain quarters and seasonal effects caused by slow-downs in trading activity during certain periods. As a result of these and other factors, our financial results for any single quarter or for periods of less than a year are not necessarily indicative of the results that may be achieved for a full fiscal year.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jc w:val="both"/>
        <w:ind w:left="1260" w:right="719" w:firstLine="360"/>
        <w:spacing w:after="0" w:line="259"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their sufficiency to fund our operating and investing activities.</w:t>
      </w:r>
    </w:p>
    <w:p>
      <w:pPr>
        <w:spacing w:after="0" w:line="79"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62" w:lineRule="exact"/>
        <w:rPr>
          <w:sz w:val="20"/>
          <w:szCs w:val="20"/>
          <w:color w:val="auto"/>
        </w:rPr>
      </w:pPr>
    </w:p>
    <w:p>
      <w:pPr>
        <w:ind w:left="1260" w:right="839" w:firstLine="360"/>
        <w:spacing w:after="0" w:line="311" w:lineRule="auto"/>
        <w:rPr>
          <w:sz w:val="20"/>
          <w:szCs w:val="20"/>
          <w:color w:val="auto"/>
        </w:rPr>
      </w:pPr>
      <w:r>
        <w:rPr>
          <w:rFonts w:ascii="Arial" w:cs="Arial" w:eastAsia="Arial" w:hAnsi="Arial"/>
          <w:sz w:val="16"/>
          <w:szCs w:val="16"/>
          <w:color w:val="auto"/>
        </w:rPr>
        <w:t>Our primary cash needs are for day to day operations, working capital requirements and capital expenditures, primarily for software and equipment. Following the consummation of this offering, we expect to fund our liquidity requirements through cash and cash equivalents and cash flows from operations.</w:t>
      </w:r>
    </w:p>
    <w:p>
      <w:pPr>
        <w:spacing w:after="0" w:line="41"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We believe that our projected cash position and cash flows from operations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may require additional capital. In addition, our ability to continue to meet our future liquidity requirements will depend on, among other things, our ability</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7" w:lineRule="auto"/>
        <w:rPr>
          <w:sz w:val="20"/>
          <w:szCs w:val="20"/>
          <w:color w:val="auto"/>
        </w:rPr>
      </w:pPr>
      <w:r>
        <w:rPr>
          <w:rFonts w:ascii="Arial" w:cs="Arial" w:eastAsia="Arial" w:hAnsi="Arial"/>
          <w:sz w:val="18"/>
          <w:szCs w:val="18"/>
          <w:color w:val="auto"/>
        </w:rPr>
        <w:t>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80"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As of December 31, 2017, we had cash and cash equivalents of approximately $352.6 million. All cash and cash equivalents are held with independent financial institutions with a minimum credit rating of A as defined by the three main credit rating agencies. As of December 31, 2017, all cash and cash equivalents were held in accounts with banks such that the funds are immediately available or in fixed term deposits with a maximum maturity of three months.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Indebtedness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2017, we had no outstanding indebtedness.</w:t>
      </w:r>
    </w:p>
    <w:p>
      <w:pPr>
        <w:spacing w:after="0" w:line="117"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In 2013, we issued $29.3 million of convertible notes to a subsidiary of Thomson Reuters in connection with the acquisition of BondDesk Group LLC and subsidiaries. During 2017, Thomson Reuters converted all outstanding convertible notes into equity.</w:t>
      </w:r>
    </w:p>
    <w:p>
      <w:pPr>
        <w:spacing w:after="0" w:line="76"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Historically, the Company has only issued debt in connection with significant investment transactions and all debt issued by the Company has been issued to subsidiaries of Thomson Reuters.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Capital Requirements</w:t>
      </w:r>
    </w:p>
    <w:p>
      <w:pPr>
        <w:spacing w:after="0" w:line="104"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Japanese Financial Services Agency, the Japanese Securities Dealers Association and other foreign regulators, and must maintain financial resources, as defined in the applicable regulations, in excess of the applicable financial resources requirement. As of December 31, 2017, each of our regulated subsidiaries had net capital or financial resources in excess of their minimum requirements which in aggregate was $38.9 million. We often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Fails to Deliver/Fails to Receive</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At times, transactions executed on our Dealerweb platform fail to settle due to the inability of a transaction party to deliver or receive the transacted security. Until the failed transaction settles, we will recognize a receivable from (and a matching payable to) brokers, dealers and clearing organizations for the proceeds from the unsettled transaction. The impact on our liquidity and capital resources is minimal as receivables and payables for failed transactions are usually recognized simultaneously and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Our cash flows for the years ended December 31, 2017 and 2016, and the resulting dollar and percentage changes, were as follows:</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 Change</w:t>
            </w:r>
          </w:p>
        </w:tc>
        <w:tc>
          <w:tcPr>
            <w:tcW w:w="7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7"/>
              </w:rPr>
              <w:t>% Change</w:t>
            </w:r>
          </w:p>
        </w:tc>
      </w:tr>
      <w:tr>
        <w:trPr>
          <w:trHeight w:val="189"/>
        </w:trPr>
        <w:tc>
          <w:tcPr>
            <w:tcW w:w="47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Net cash flows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224,580</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$ 171,845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$ 52,735</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(45,552)</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(50,565)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5,013</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Net cash flows (used in) financing activities</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(153,461)</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(130,521)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(22,940)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17.6%</w:t>
            </w:r>
          </w:p>
        </w:tc>
      </w:tr>
      <w:tr>
        <w:trPr>
          <w:trHeight w:val="270"/>
        </w:trPr>
        <w:tc>
          <w:tcPr>
            <w:tcW w:w="4720" w:type="dxa"/>
            <w:vAlign w:val="bottom"/>
          </w:tcPr>
          <w:p>
            <w:pPr>
              <w:spacing w:after="0"/>
              <w:rPr>
                <w:sz w:val="20"/>
                <w:szCs w:val="20"/>
                <w:color w:val="auto"/>
              </w:rPr>
            </w:pPr>
            <w:r>
              <w:rPr>
                <w:rFonts w:ascii="Arial" w:cs="Arial" w:eastAsia="Arial" w:hAnsi="Arial"/>
                <w:sz w:val="18"/>
                <w:szCs w:val="18"/>
                <w:color w:val="auto"/>
                <w:w w:val="93"/>
              </w:rPr>
              <w:t>Effect of exchange rate changes on cash and cash equivalents</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3,157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(6,200)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9,357</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-150.9%</w:t>
            </w:r>
          </w:p>
        </w:tc>
      </w:tr>
      <w:tr>
        <w:trPr>
          <w:trHeight w:val="20"/>
        </w:trPr>
        <w:tc>
          <w:tcPr>
            <w:tcW w:w="4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 (15,441)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$ 44,165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-286.0%</w:t>
            </w:r>
          </w:p>
        </w:tc>
        <w:tc>
          <w:tcPr>
            <w:tcW w:w="60" w:type="dxa"/>
            <w:vAlign w:val="bottom"/>
          </w:tcPr>
          <w:p>
            <w:pPr>
              <w:spacing w:after="0"/>
              <w:rPr>
                <w:sz w:val="22"/>
                <w:szCs w:val="22"/>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-814070</wp:posOffset>
            </wp:positionV>
            <wp:extent cx="5212080"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-521970</wp:posOffset>
            </wp:positionV>
            <wp:extent cx="5212080" cy="145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-205105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-205105</wp:posOffset>
            </wp:positionV>
            <wp:extent cx="1885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42348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-942340</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-942340</wp:posOffset>
            </wp:positionV>
            <wp:extent cx="137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3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Operating activities consist primarily of net income adjusted for noncash items that include depreciation and amortization, contingent consideration and deferred revenue. Cash flows from operating activities can fluctuate significantly from period-to-period as working capital needs and the timing of payments for accrued compensation (primarily in the first quarter) and other items impact reported cash flows.</w:t>
      </w:r>
    </w:p>
    <w:p>
      <w:pPr>
        <w:spacing w:after="0" w:line="63"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Net cash provided by operating activities increased to $224.6 million for the year ended December 31, 2017 from $171.8 million for the year ended December 31, 2016. The $52.7 million increase was primarily due to increased gross revenue and an improvement in working capital.</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62" w:lineRule="exact"/>
        <w:rPr>
          <w:sz w:val="20"/>
          <w:szCs w:val="20"/>
          <w:color w:val="auto"/>
        </w:rPr>
      </w:pPr>
    </w:p>
    <w:p>
      <w:pPr>
        <w:ind w:left="1260" w:right="779" w:firstLine="360"/>
        <w:spacing w:after="0" w:line="274" w:lineRule="auto"/>
        <w:rPr>
          <w:sz w:val="20"/>
          <w:szCs w:val="20"/>
          <w:color w:val="auto"/>
        </w:rPr>
      </w:pPr>
      <w:r>
        <w:rPr>
          <w:rFonts w:ascii="Arial" w:cs="Arial" w:eastAsia="Arial" w:hAnsi="Arial"/>
          <w:sz w:val="17"/>
          <w:szCs w:val="17"/>
          <w:color w:val="auto"/>
        </w:rPr>
        <w:t>Net cash used in investing activities decreased to $45.6 million for the year ended December 31, 2017 from $50.6 million for the year ended December 31, 2016. The $5.0 million decrease was primarily due to a</w:t>
      </w:r>
    </w:p>
    <w:p>
      <w:pPr>
        <w:jc w:val="both"/>
        <w:ind w:left="1260" w:right="1079"/>
        <w:spacing w:after="0" w:line="255" w:lineRule="auto"/>
        <w:rPr>
          <w:sz w:val="20"/>
          <w:szCs w:val="20"/>
          <w:color w:val="auto"/>
        </w:rPr>
      </w:pPr>
      <w:r>
        <w:rPr>
          <w:rFonts w:ascii="Arial" w:cs="Arial" w:eastAsia="Arial" w:hAnsi="Arial"/>
          <w:sz w:val="18"/>
          <w:szCs w:val="18"/>
          <w:color w:val="auto"/>
        </w:rPr>
        <w:t>$10.3 million reduction in business acquisitions and investments in 2017 offset by a $5.3 million increase in purchases of furniture, equipment, purchased software and leasehold improvements and the capitalization of software development costs.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Financing activities primarily consist of distributions to our existing stockholders.</w:t>
      </w:r>
    </w:p>
    <w:p>
      <w:pPr>
        <w:spacing w:after="0" w:line="117"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Net cash used in financing activities increased to $153.5 million for the year ended December 31, 2017 from $130.5 million for the year ended December 31, 2016. The $22.9 million increase was principally due to an increase in capital distributions of $22.0 million as a result of increased free cash flow.</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04" w:lineRule="exact"/>
        <w:rPr>
          <w:sz w:val="20"/>
          <w:szCs w:val="20"/>
          <w:color w:val="auto"/>
        </w:rPr>
      </w:pPr>
    </w:p>
    <w:p>
      <w:pPr>
        <w:ind w:left="1260" w:right="759" w:firstLine="360"/>
        <w:spacing w:after="0" w:line="311" w:lineRule="auto"/>
        <w:rPr>
          <w:sz w:val="20"/>
          <w:szCs w:val="20"/>
          <w:color w:val="auto"/>
        </w:rPr>
      </w:pPr>
      <w:r>
        <w:rPr>
          <w:rFonts w:ascii="Arial" w:cs="Arial" w:eastAsia="Arial" w:hAnsi="Arial"/>
          <w:sz w:val="16"/>
          <w:szCs w:val="16"/>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41" w:lineRule="exact"/>
        <w:rPr>
          <w:sz w:val="20"/>
          <w:szCs w:val="20"/>
          <w:color w:val="auto"/>
        </w:rPr>
      </w:pPr>
    </w:p>
    <w:p>
      <w:pPr>
        <w:jc w:val="both"/>
        <w:ind w:left="1260" w:right="739" w:firstLine="360"/>
        <w:spacing w:after="0" w:line="311"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20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69"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years ended December 31, 2017 and 2016:</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6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1"/>
              </w:rPr>
              <w:t>Year Ended December 31,</w:t>
            </w:r>
          </w:p>
        </w:tc>
      </w:tr>
      <w:tr>
        <w:trPr>
          <w:trHeight w:val="26"/>
        </w:trPr>
        <w:tc>
          <w:tcPr>
            <w:tcW w:w="66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6600" w:type="dxa"/>
            <w:vAlign w:val="bottom"/>
          </w:tcPr>
          <w:p>
            <w:pPr>
              <w:spacing w:after="0"/>
              <w:rPr>
                <w:sz w:val="17"/>
                <w:szCs w:val="17"/>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660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60" w:type="dxa"/>
            <w:vAlign w:val="bottom"/>
            <w:gridSpan w:val="2"/>
          </w:tcPr>
          <w:p>
            <w:pPr>
              <w:spacing w:after="0"/>
              <w:rPr>
                <w:sz w:val="2"/>
                <w:szCs w:val="2"/>
                <w:color w:val="auto"/>
              </w:rPr>
            </w:pPr>
          </w:p>
        </w:tc>
      </w:tr>
      <w:tr>
        <w:trPr>
          <w:trHeight w:val="183"/>
        </w:trPr>
        <w:tc>
          <w:tcPr>
            <w:tcW w:w="6600" w:type="dxa"/>
            <w:vAlign w:val="bottom"/>
          </w:tcPr>
          <w:p>
            <w:pPr>
              <w:spacing w:after="0"/>
              <w:rPr>
                <w:sz w:val="15"/>
                <w:szCs w:val="15"/>
                <w:color w:val="auto"/>
              </w:rPr>
            </w:pPr>
          </w:p>
        </w:tc>
        <w:tc>
          <w:tcPr>
            <w:tcW w:w="16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(in thousands)</w:t>
            </w:r>
          </w:p>
        </w:tc>
      </w:tr>
      <w:tr>
        <w:trPr>
          <w:trHeight w:val="27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$224,580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$171,845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6"/>
        </w:trPr>
        <w:tc>
          <w:tcPr>
            <w:tcW w:w="6600" w:type="dxa"/>
            <w:vAlign w:val="bottom"/>
          </w:tcPr>
          <w:p>
            <w:pPr>
              <w:spacing w:after="0"/>
              <w:rPr>
                <w:sz w:val="20"/>
                <w:szCs w:val="20"/>
                <w:color w:val="auto"/>
              </w:rPr>
            </w:pPr>
            <w:r>
              <w:rPr>
                <w:rFonts w:ascii="Arial" w:cs="Arial" w:eastAsia="Arial" w:hAnsi="Arial"/>
                <w:sz w:val="18"/>
                <w:szCs w:val="18"/>
                <w:color w:val="auto"/>
              </w:rPr>
              <w:t>Less: Capitalization of software development costs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(27,157)</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(25,351)</w:t>
            </w:r>
          </w:p>
        </w:tc>
      </w:tr>
      <w:tr>
        <w:trPr>
          <w:trHeight w:val="26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furniture, equipment and leasehold improvements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6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Free Cash Flow</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183,962</w:t>
            </w:r>
          </w:p>
        </w:tc>
        <w:tc>
          <w:tcPr>
            <w:tcW w:w="220" w:type="dxa"/>
            <w:vAlign w:val="bottom"/>
            <w:tcBorders>
              <w:top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136,496</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6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-830580</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0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In addition to net income presented in accordance with GAAP, we present Adjusted EBITDA as a measure of our operating performance and Adjusted Net Income as a measure of our profitability.</w:t>
      </w:r>
    </w:p>
    <w:p>
      <w:pPr>
        <w:spacing w:after="0" w:line="6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below under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7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Adjusted Net Income is defined as net income before contingent consideration, acquisition related intangible amortization, unrealized foreign exchange gains/losses and stock-based compensation expense. We use Adjusted Net Income as a supplemental metric to evaluate our business performance in a way that also considers our ability to generate profit without the impact of certain items. In addition excluding contingent consideration for the reasons described above, we believe it is useful to exclude the amortization of acquisition related intangible assets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table set forth below presents a reconciliation of net income to Adjusted EBITDA for the years ended</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2017 and 2016:</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Year ended December 31,</w:t>
            </w:r>
          </w:p>
        </w:tc>
      </w:tr>
      <w:tr>
        <w:trPr>
          <w:trHeight w:val="196"/>
        </w:trPr>
        <w:tc>
          <w:tcPr>
            <w:tcW w:w="58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175"/>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26,224</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68,615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80,859</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Pr>
          <w:p>
            <w:pPr>
              <w:spacing w:after="0"/>
              <w:rPr>
                <w:sz w:val="18"/>
                <w:szCs w:val="18"/>
                <w:color w:val="auto"/>
              </w:rPr>
            </w:pP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60" w:type="dxa"/>
            <w:vAlign w:val="bottom"/>
          </w:tcPr>
          <w:p>
            <w:pPr>
              <w:spacing w:after="0"/>
              <w:rPr>
                <w:sz w:val="21"/>
                <w:szCs w:val="21"/>
                <w:color w:val="auto"/>
              </w:rPr>
            </w:pPr>
          </w:p>
        </w:tc>
      </w:tr>
      <w:tr>
        <w:trPr>
          <w:trHeight w:val="237"/>
        </w:trPr>
        <w:tc>
          <w:tcPr>
            <w:tcW w:w="5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215,863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202,086</w:t>
            </w:r>
          </w:p>
        </w:tc>
        <w:tc>
          <w:tcPr>
            <w:tcW w:w="60" w:type="dxa"/>
            <w:vAlign w:val="bottom"/>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-187960</wp:posOffset>
            </wp:positionV>
            <wp:extent cx="43116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-1148080</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table set forth below provides a reconciliation of net income to Adjusted Net Income for the years ended</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2017 and 2016:</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r>
      <w:tr>
        <w:trPr>
          <w:trHeight w:val="196"/>
        </w:trPr>
        <w:tc>
          <w:tcPr>
            <w:tcW w:w="58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r>
      <w:tr>
        <w:trPr>
          <w:trHeight w:val="175"/>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58,520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related intangible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41,125</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r>
      <w:tr>
        <w:trPr>
          <w:trHeight w:val="237"/>
        </w:trPr>
        <w:tc>
          <w:tcPr>
            <w:tcW w:w="5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173,040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162,382</w:t>
            </w: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-187960</wp:posOffset>
            </wp:positionV>
            <wp:extent cx="431165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-873760</wp:posOffset>
            </wp:positionV>
            <wp:extent cx="137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2017, we had the following contractual obligations: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w w:val="97"/>
              </w:rPr>
              <w:t>Payments due by period</w:t>
            </w: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5"/>
        </w:trPr>
        <w:tc>
          <w:tcPr>
            <w:tcW w:w="3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r>
      <w:tr>
        <w:trPr>
          <w:trHeight w:val="198"/>
        </w:trPr>
        <w:tc>
          <w:tcPr>
            <w:tcW w:w="32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Less than 1 year</w:t>
            </w: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1 to 3 years</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3 to 5 years</w:t>
            </w:r>
          </w:p>
        </w:tc>
        <w:tc>
          <w:tcPr>
            <w:tcW w:w="124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4"/>
              </w:rPr>
              <w:t>More than 5 years</w:t>
            </w:r>
          </w:p>
        </w:tc>
      </w:tr>
      <w:tr>
        <w:trPr>
          <w:trHeight w:val="25"/>
        </w:trPr>
        <w:tc>
          <w:tcPr>
            <w:tcW w:w="3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3"/>
        </w:trPr>
        <w:tc>
          <w:tcPr>
            <w:tcW w:w="3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77"/>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$49,329</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$9,179</w:t>
            </w:r>
          </w:p>
        </w:tc>
        <w:tc>
          <w:tcPr>
            <w:tcW w:w="10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$15,221</w:t>
            </w:r>
          </w:p>
        </w:tc>
        <w:tc>
          <w:tcPr>
            <w:tcW w:w="8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$9,359</w:t>
            </w:r>
          </w:p>
        </w:tc>
        <w:tc>
          <w:tcPr>
            <w:tcW w:w="96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color w:val="auto"/>
                <w:w w:val="89"/>
              </w:rPr>
              <w:t>$15,570</w:t>
            </w:r>
          </w:p>
        </w:tc>
        <w:tc>
          <w:tcPr>
            <w:tcW w:w="280" w:type="dxa"/>
            <w:vAlign w:val="bottom"/>
            <w:shd w:val="clear" w:color="auto" w:fill="CCEEFF"/>
          </w:tcPr>
          <w:p>
            <w:pPr>
              <w:spacing w:after="0"/>
              <w:rPr>
                <w:sz w:val="24"/>
                <w:szCs w:val="24"/>
                <w:color w:val="auto"/>
              </w:rPr>
            </w:pPr>
          </w:p>
        </w:tc>
      </w:tr>
      <w:tr>
        <w:trPr>
          <w:trHeight w:val="20"/>
        </w:trPr>
        <w:tc>
          <w:tcPr>
            <w:tcW w:w="3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6"/>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49,329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9,179</w:t>
            </w:r>
          </w:p>
        </w:tc>
        <w:tc>
          <w:tcPr>
            <w:tcW w:w="1020" w:type="dxa"/>
            <w:vAlign w:val="bottom"/>
            <w:gridSpan w:val="3"/>
          </w:tcPr>
          <w:p>
            <w:pPr>
              <w:jc w:val="center"/>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15,221</w:t>
            </w:r>
          </w:p>
        </w:tc>
        <w:tc>
          <w:tcPr>
            <w:tcW w:w="820" w:type="dxa"/>
            <w:vAlign w:val="bottom"/>
            <w:gridSpan w:val="3"/>
          </w:tcPr>
          <w:p>
            <w:pPr>
              <w:jc w:val="center"/>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9,359</w:t>
            </w:r>
          </w:p>
        </w:tc>
        <w:tc>
          <w:tcPr>
            <w:tcW w:w="960" w:type="dxa"/>
            <w:vAlign w:val="bottom"/>
            <w:gridSpan w:val="2"/>
          </w:tcPr>
          <w:p>
            <w:pPr>
              <w:jc w:val="center"/>
              <w:ind w:left="296"/>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15,570</w:t>
            </w:r>
          </w:p>
        </w:tc>
        <w:tc>
          <w:tcPr>
            <w:tcW w:w="280" w:type="dxa"/>
            <w:vAlign w:val="bottom"/>
          </w:tcPr>
          <w:p>
            <w:pPr>
              <w:spacing w:after="0"/>
              <w:rPr>
                <w:sz w:val="22"/>
                <w:szCs w:val="22"/>
                <w:color w:val="auto"/>
              </w:rPr>
            </w:pPr>
          </w:p>
        </w:tc>
      </w:tr>
      <w:tr>
        <w:trPr>
          <w:trHeight w:val="20"/>
        </w:trPr>
        <w:tc>
          <w:tcPr>
            <w:tcW w:w="3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-505460</wp:posOffset>
            </wp:positionV>
            <wp:extent cx="137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-505460</wp:posOffset>
            </wp:positionV>
            <wp:extent cx="1371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-505460</wp:posOffset>
            </wp:positionV>
            <wp:extent cx="137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-505460</wp:posOffset>
            </wp:positionV>
            <wp:extent cx="137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ind w:left="1260" w:right="939" w:firstLine="360"/>
        <w:spacing w:after="0" w:line="263" w:lineRule="auto"/>
        <w:rPr>
          <w:sz w:val="20"/>
          <w:szCs w:val="20"/>
          <w:color w:val="auto"/>
        </w:rPr>
      </w:pPr>
      <w:r>
        <w:rPr>
          <w:rFonts w:ascii="Arial" w:cs="Arial" w:eastAsia="Arial" w:hAnsi="Arial"/>
          <w:sz w:val="18"/>
          <w:szCs w:val="18"/>
          <w:color w:val="auto"/>
        </w:rPr>
        <w:t>Our operating lease obligations are primarily related to rental payments under lease agreements for office space in the United States and United Kingdom through December 2027. Minimum rent is expensed on a straight-line basis over the term of the lease.</w:t>
      </w:r>
    </w:p>
    <w:p>
      <w:pPr>
        <w:spacing w:after="0" w:line="76"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In the normal course of business, we enter into user agreements with our dealer clients which indemnify such clients from third parties in the event that our network infringes upon the intellectual property or other proprietary right of a third party. Our exposure under these user agreements is unknown as this would involve estimating future claims against the Company that have not yet occurred. However, based on our experience, we expect the risk of a material loss to be remote.</w:t>
      </w:r>
    </w:p>
    <w:p>
      <w:pPr>
        <w:sectPr>
          <w:pgSz w:w="11900" w:h="16838" w:orient="portrait"/>
          <w:cols w:equalWidth="0" w:num="1">
            <w:col w:w="10139"/>
          </w:cols>
          <w:pgMar w:left="320" w:top="131" w:right="1440" w:bottom="1440" w:gutter="0" w:footer="0" w:header="0"/>
        </w:sectPr>
      </w:pP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2017, we did not have any off-balance sheet arrangements.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79"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Summary of Significant Accounting Policies” to our audited consolidated financial statements included elsewhere in this prospectus.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intangible assets, goodwill, software development costs, stock based compensation, contingent consideration payable and current and deferred income taxes.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undiscounted cash flows relating to the asset or asset group is less than the corresponding fair value. Intangible assets are amortized over their estimated useful lives of three to sixteen years.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left="1260" w:right="839" w:firstLine="360"/>
        <w:spacing w:after="0" w:line="290" w:lineRule="auto"/>
        <w:rPr>
          <w:sz w:val="20"/>
          <w:szCs w:val="20"/>
          <w:color w:val="auto"/>
        </w:rPr>
      </w:pPr>
      <w:r>
        <w:rPr>
          <w:rFonts w:ascii="Arial" w:cs="Arial" w:eastAsia="Arial" w:hAnsi="Arial"/>
          <w:sz w:val="16"/>
          <w:szCs w:val="16"/>
          <w:color w:val="auto"/>
        </w:rPr>
        <w:t>Goodwill arises out of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reporting units that we have identified for goodwill impairment testing are Institutional, Wholesale and Retail. The fair value of a reporting unit is calculated using a discounted cash flow or a revenues and earnings multiple approach. We calculate such loss as the difference between the 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04"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4" w:lineRule="auto"/>
        <w:rPr>
          <w:sz w:val="20"/>
          <w:szCs w:val="20"/>
          <w:color w:val="auto"/>
        </w:rPr>
      </w:pPr>
      <w:r>
        <w:rPr>
          <w:rFonts w:ascii="Arial" w:cs="Arial" w:eastAsia="Arial" w:hAnsi="Arial"/>
          <w:sz w:val="18"/>
          <w:szCs w:val="18"/>
          <w:color w:val="auto"/>
        </w:rPr>
        <w:t>consulting costs incurred during the application development stage which directly contribute to such development. Once the product is ready for its intended use, such costs are amortized on a straight-line basis over three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The stock-based compensation that our employees receive is accounted for as liability award. 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 The fair value of the equity instruments is determined in accordance with the American Institute of Certified Public Accountants Practice Aid, Valuation of Privately Held Company Securities Issued as Compensation. Factors that are considered in determining the fair value include forecasted future cash flows, the weighted average cost of capital, and the performance multiples of comparable companies.</w:t>
      </w:r>
    </w:p>
    <w:p>
      <w:pPr>
        <w:spacing w:after="0" w:line="58" w:lineRule="exact"/>
        <w:rPr>
          <w:sz w:val="20"/>
          <w:szCs w:val="20"/>
          <w:color w:val="auto"/>
        </w:rPr>
      </w:pPr>
    </w:p>
    <w:p>
      <w:pPr>
        <w:ind w:left="1260" w:right="659" w:firstLine="360"/>
        <w:spacing w:after="0" w:line="284" w:lineRule="auto"/>
        <w:rPr>
          <w:sz w:val="20"/>
          <w:szCs w:val="20"/>
          <w:color w:val="auto"/>
        </w:rPr>
      </w:pPr>
      <w:r>
        <w:rPr>
          <w:rFonts w:ascii="Arial" w:cs="Arial" w:eastAsia="Arial" w:hAnsi="Arial"/>
          <w:sz w:val="16"/>
          <w:szCs w:val="16"/>
          <w:color w:val="auto"/>
        </w:rPr>
        <w:t>In October 2018, we established the Option Plan following the closing of the Refinitiv Transaction and made a special award of options to management and other employees (the “Special Option Award”). In accounting for the options issued under this plan, we measure and recognize compensation expense for all awards based on their estimated fair values measured as of the grant date. These costs will be recognized as an expense in our consolidated statements of income over the requisite service period, which is typically the vesting period, with an offsetting increase to additional paid-in capital. We expect the non-cash stock-based compensation expense</w:t>
      </w:r>
    </w:p>
    <w:p>
      <w:pPr>
        <w:spacing w:after="0" w:line="4" w:lineRule="exact"/>
        <w:rPr>
          <w:sz w:val="20"/>
          <w:szCs w:val="20"/>
          <w:color w:val="auto"/>
        </w:rPr>
      </w:pPr>
    </w:p>
    <w:p>
      <w:pPr>
        <w:ind w:left="1260" w:right="839"/>
        <w:spacing w:after="0" w:line="253" w:lineRule="auto"/>
        <w:rPr>
          <w:sz w:val="20"/>
          <w:szCs w:val="20"/>
          <w:color w:val="auto"/>
        </w:rPr>
      </w:pPr>
      <w:r>
        <w:rPr>
          <w:rFonts w:ascii="Arial" w:cs="Arial" w:eastAsia="Arial" w:hAnsi="Arial"/>
          <w:sz w:val="18"/>
          <w:szCs w:val="18"/>
          <w:color w:val="auto"/>
        </w:rPr>
        <w:t>associated with the Special Option Award to be between approximately $ and $ , which is expected to be expensed beginning in the fourth quarter of 2018 and continuing over the following three years. For more information, please see “Executive Compensation — Narrative Disclosure to Summary Compensation Table — Amended &amp; Restated Tradeweb Markets Inc. 2018 Share Option Plan.”</w:t>
      </w:r>
    </w:p>
    <w:p>
      <w:pPr>
        <w:spacing w:after="0" w:line="85"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use the Black-Scholes pricing model to value some of our share-based payment awards. Determining the appropriate fair value model and calculating the fair value of the share-based payment awards requires the input of highly subjective assumptions, including the expected life of the share-based payment awards, the number of expected share-based payment awards that will be forfeited prior to the completion of the vesting requirements, and the stock price volatility.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We are currently a multiple member limited liability company taxed as a partnership and accordingly we are not required to maintain an income tax provision on our earnings. Therefore, the remaining tax effects of our activities accrue directly to our partners.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 After the consummation of this offering, we will become subject to U.S. federal, state and local income taxes with respect to our allocable share of any taxable income of Tradeweb Markets LLC and will be taxed at prevailing corporate tax rates.</w:t>
      </w:r>
    </w:p>
    <w:p>
      <w:pPr>
        <w:spacing w:after="0" w:line="77" w:lineRule="exact"/>
        <w:rPr>
          <w:sz w:val="20"/>
          <w:szCs w:val="20"/>
          <w:color w:val="auto"/>
        </w:rPr>
      </w:pPr>
    </w:p>
    <w:p>
      <w:pPr>
        <w:ind w:left="1260" w:right="1039" w:firstLine="360"/>
        <w:spacing w:after="0" w:line="311" w:lineRule="auto"/>
        <w:rPr>
          <w:sz w:val="20"/>
          <w:szCs w:val="20"/>
          <w:color w:val="auto"/>
        </w:rPr>
      </w:pPr>
      <w:r>
        <w:rPr>
          <w:rFonts w:ascii="Arial" w:cs="Arial" w:eastAsia="Arial" w:hAnsi="Arial"/>
          <w:sz w:val="16"/>
          <w:szCs w:val="16"/>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41"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The SEC issued Staff Accounting Bulletin (“SAB 118”) on December 22, 2017, which guides entities on how to account for tax effects resulting from the Tax Act. SAB 118 allows a period of measurement that should not exceed one year from the enactment date of the Tax Act for companies to comply with the</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accounting treatment under ASC 740. SAB 118 also provides guidance to the extent that measurement of the effects of the Tax Act is complete or if it can be reasonably estimated. For income tax effects that have been measured, registrants must reflect the income tax effects. If the tax effects of the Tax Act are reasonably estimable, registrants must record a provisional amount in the financial statements. If the income tax effects cannot be reasonably estimated, registrants should apply ASC 740 on the basis of the provision of the tax laws that were in effect immediately before the enactment of the Tax Act. We believe we are able to make reasonable estimates about the impact of the new taxation legislation. However, the final impact of the Tax Act may differ from these estimates, due to but not limited to, any additional guidance or legislation that may be issued and actions taken by the Company pursuant to the Tax Act</w:t>
      </w:r>
      <w:r>
        <w:rPr>
          <w:rFonts w:ascii="Arial" w:cs="Arial" w:eastAsia="Arial" w:hAnsi="Arial"/>
          <w:sz w:val="17"/>
          <w:szCs w:val="17"/>
          <w:b w:val="1"/>
          <w:bCs w:val="1"/>
          <w:i w:val="1"/>
          <w:iCs w:val="1"/>
          <w:color w:val="auto"/>
        </w:rPr>
        <w: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In 2014, we issued Class A Shares and unvested Class P1-(A) shares to some of the Bank Stockholders as a</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result of a capital contribution to facilitate our expansion into new credit products. In connection with this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investment, certain employees also invested in the Company and were issued Class C Shares and unvested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P1-(C) Shares. The Class P1-(A) Shares and Class P1-(C) Shares vested in July 2018 upon the achievement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of specific revenue earnout milestones related to the growth of our credit products, as defined by the agreement,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from August 2014 through the vesting date of July 2018. Prior to the July 2018 vesting, we recognized contingent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consideration with respect to the potential vesting of Class P1-(A) Shares and Class P1-(C) Shares as a contra-</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revenue adjustment. The contingent consideration for each reporting period was calculated by estimating the final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contingent consideration value using a monte carlo simulation and recognizing that value on a straightline basis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over the 48 month period of the agreement, adjusting at each reporting period for any changes in the final value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estimate. The revenue milestones provided that shares would vest only if certain credit revenue milestones would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be achieved in the twelve months ended July 2016, 2017 and 2018. As a result of achieving these milestones,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final earnout amount was calculated based on the credit revenues during the twelve months ended July 31, 2018.</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jc w:val="both"/>
        <w:ind w:left="1260" w:right="1399" w:firstLine="360"/>
        <w:spacing w:after="0" w:line="342" w:lineRule="auto"/>
        <w:rPr>
          <w:sz w:val="20"/>
          <w:szCs w:val="20"/>
          <w:color w:val="auto"/>
        </w:rPr>
      </w:pPr>
      <w:r>
        <w:rPr>
          <w:rFonts w:ascii="Arial" w:cs="Arial" w:eastAsia="Arial" w:hAnsi="Arial"/>
          <w:sz w:val="16"/>
          <w:szCs w:val="16"/>
          <w:color w:val="auto"/>
        </w:rPr>
        <w:t>See “Note 2 — Summary of Significant Accounting Policies” to our audited consolidated financial statements included elsewhere in this prospectus for a discussion of recent accounting pronouncements.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Effects of Inflation</w:t>
      </w:r>
    </w:p>
    <w:p>
      <w:pPr>
        <w:spacing w:after="0" w:line="108" w:lineRule="exact"/>
        <w:rPr>
          <w:sz w:val="20"/>
          <w:szCs w:val="20"/>
          <w:color w:val="auto"/>
        </w:rPr>
      </w:pPr>
    </w:p>
    <w:p>
      <w:pPr>
        <w:ind w:left="1260" w:right="679" w:firstLine="360"/>
        <w:spacing w:after="0" w:line="311" w:lineRule="auto"/>
        <w:rPr>
          <w:sz w:val="20"/>
          <w:szCs w:val="20"/>
          <w:color w:val="auto"/>
        </w:rPr>
      </w:pPr>
      <w:r>
        <w:rPr>
          <w:rFonts w:ascii="Arial" w:cs="Arial" w:eastAsia="Arial" w:hAnsi="Arial"/>
          <w:sz w:val="16"/>
          <w:szCs w:val="16"/>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04"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 During the year ended December 31, 2017, approximately 24.7% of our gross revenues and 15.6% of our operating expenses were denominated in currencies other than the U.S. dollar, almost entirely the Euro for gross revenues and the British pound sterling for operating expenses.</w:t>
      </w:r>
    </w:p>
    <w:p>
      <w:pPr>
        <w:spacing w:after="0" w:line="80"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firstLine="360"/>
        <w:spacing w:after="0" w:line="296" w:lineRule="auto"/>
        <w:rPr>
          <w:sz w:val="20"/>
          <w:szCs w:val="20"/>
          <w:color w:val="auto"/>
        </w:rPr>
      </w:pPr>
      <w:r>
        <w:rPr>
          <w:rFonts w:ascii="Arial" w:cs="Arial" w:eastAsia="Arial" w:hAnsi="Arial"/>
          <w:sz w:val="16"/>
          <w:szCs w:val="16"/>
          <w:color w:val="auto"/>
        </w:rPr>
        <w:t>Fluctuations in foreign currency rates increased our gross revenues by approximately $1.2 million for the year ended December 31, 2017, and increased our operating income by approximately $4.3 million for the year ended December 31, 2017. Based on actual results for the year ended December 31, 2017, a hypothetical 10% increase or decrease in the U.S. dollar against all other currencies would have increased or decreased gross revenues by approximately $12.6 million and operating income by approximately $6.7 million.</w:t>
      </w:r>
    </w:p>
    <w:p>
      <w:pPr>
        <w:spacing w:after="0" w:line="53"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less than fourteen months. We do not use derivative instruments for trading or speculative purposes. As of December 31, 2017, the fair value of the notional amount of our foreign currency forward contracts was $80.0 million.</w:t>
      </w:r>
    </w:p>
    <w:p>
      <w:pPr>
        <w:spacing w:after="0" w:line="80"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At December 31, 2017, we established an allowance for doubtful accounts of $0.9 million with regard to these receivables.</w:t>
      </w:r>
    </w:p>
    <w:p>
      <w:pPr>
        <w:spacing w:after="0" w:line="76"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84"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08" w:lineRule="exact"/>
        <w:rPr>
          <w:sz w:val="20"/>
          <w:szCs w:val="20"/>
          <w:color w:val="auto"/>
        </w:rPr>
      </w:pPr>
    </w:p>
    <w:p>
      <w:pPr>
        <w:ind w:left="1260" w:right="879" w:firstLine="360"/>
        <w:spacing w:after="0" w:line="301" w:lineRule="auto"/>
        <w:rPr>
          <w:sz w:val="20"/>
          <w:szCs w:val="20"/>
          <w:color w:val="auto"/>
        </w:rPr>
      </w:pPr>
      <w:r>
        <w:rPr>
          <w:rFonts w:ascii="Arial" w:cs="Arial" w:eastAsia="Arial" w:hAnsi="Arial"/>
          <w:sz w:val="16"/>
          <w:szCs w:val="16"/>
          <w:color w:val="auto"/>
        </w:rPr>
        <w:t>The JOBS Act permits us, as an “emerging growth company,” to take advantage of an extended transition period to comply with new or revised accounting standards applicable to public companies. We have elected to use this extended transition period and, as a result, we will adopt new or revised accounting standards on the relevant dates on which adoption of such standards is required for private companies.</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The process of improving our internal controls has required and will continue to require us to expend resources to design, implement and maintain a system of internal controls that is adequate to satisfy our reporting obligations as a public company. There can be no assurance that any actions we take will be completely successful. We will continue to evaluate the effectiveness of our disclosure controls and procedures and internal control over financial reporting on an on-going basis. As part of this process, we may identify specific internal controls as being deficient.</w:t>
      </w:r>
    </w:p>
    <w:p>
      <w:pPr>
        <w:spacing w:after="0" w:line="84"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We continue to evaluate our internal control procedures in order to comply with the requirements of Section 404 of the Sarbanes-Oxley Act. Section 404 requires annual management assessments of the effectiveness of our internal control over financial reporting and a report by our independent auditors addressing these assessments; however, for so long as we qualify as an emerging growth company, we will</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2" w:lineRule="auto"/>
        <w:rPr>
          <w:sz w:val="20"/>
          <w:szCs w:val="20"/>
          <w:color w:val="auto"/>
        </w:rPr>
      </w:pPr>
      <w:r>
        <w:rPr>
          <w:rFonts w:ascii="Arial" w:cs="Arial" w:eastAsia="Arial" w:hAnsi="Arial"/>
          <w:sz w:val="17"/>
          <w:szCs w:val="17"/>
          <w:color w:val="auto"/>
        </w:rPr>
        <w:t>not be required to engage an auditor to report on our internal controls over financial reporting. We will be required to comply with the management certification requirements of Section 404 in our annual report on Form 10-K for the year following our first annual report that is filed with the SEC (subject to any change in applicable SEC rules). We will be required to comply with Section 404 in full (including an auditor attestation on management’s internal controls report) in our annual report on Form 10-K at the later of the year following our first annual report required to be filed with the SEC or the date on which we are no longer an emerging growth company (subject to any change in applicable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60" w:right="659" w:firstLine="360"/>
        <w:spacing w:after="0" w:line="288"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institutional, wholesale and retail clients, including many of the largest global asset managers, insurance companies, central banks, banks and dealers, proprietary trading firms and retail brokerage and financial advisory firms. Our marketplaces facilitate trading across asset classes including rates, credit, money markets and equities. We are a global company serving clients in 62 countries with offices in North America, Europe and Asia. Our proprietary technology and culture of collaborative innovation allow us to adapt our offerings to enter new markets, create new products and adjust to regulations quickly and efficiently. We support our clients and provide solutions across the trade lifecycle, including pre-trade, execution, post-trade and data. Our marketplaces provide deep pools of liquidity with average daily trading volume for the first nine months of 2018 of over $530 billion across more than 40 products.</w:t>
      </w:r>
    </w:p>
    <w:p>
      <w:pPr>
        <w:spacing w:after="0" w:line="60"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protocols and trade lifecycle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82550</wp:posOffset>
            </wp:positionV>
            <wp:extent cx="3385820" cy="2348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8582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Our markets are large and growing. Electronic trading continues to develop as a result of client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environments across multiple regions and regulatory regimes. As market participants seek to reduce their costs of trading and increase the effectiveness of their trading through the use of our data and analytics, we believe the demand for our platforms and electronic trading solutions will grow.</w:t>
      </w:r>
    </w:p>
    <w:p>
      <w:pPr>
        <w:spacing w:after="0" w:line="70"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We have a powerful network of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grows across client sectors, we generate additional transactions and data on our marketplaces, driving a virtuous cycle of greater liquidity and value for our market participants.</w:t>
      </w:r>
    </w:p>
    <w:p>
      <w:pPr>
        <w:spacing w:after="0" w:line="68"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 market structure. We partner closely with our clients to develop customized solutions for their trading and workflow needs. Our technology is deeply integrated with our clients’ risk and order management systems,</w:t>
      </w: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19"/>
        <w:spacing w:after="0" w:line="286" w:lineRule="auto"/>
        <w:rPr>
          <w:sz w:val="20"/>
          <w:szCs w:val="20"/>
          <w:color w:val="auto"/>
        </w:rPr>
      </w:pPr>
      <w:r>
        <w:rPr>
          <w:rFonts w:ascii="Arial" w:cs="Arial" w:eastAsia="Arial" w:hAnsi="Arial"/>
          <w:sz w:val="17"/>
          <w:szCs w:val="17"/>
          <w:color w:val="auto"/>
        </w:rPr>
        <w:t>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57"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2017, we had annual compound trading volume growth of 10.8% and posted annual compound gross revenue growth of 11.5 %. Approximately 52% of our revenues for the year ended December 31, 2017 was fixed and generated from subscription fees, license fees and minimum volume floors. For the years ended December 31, 2017 and 2016, respectively, our gross revenue was $563.0 million and $518.4 million, an increase of 8.6%, our net income was $83.6 million and $93.2 million, our Adjusted EBITDA was $215.9 million and $202.1 million, with an Adjusted EBITDA margin of 38.3% and 39.0%, and our Adjusted Net Income was $173.0 million and $162.4 million. For the definitions of Adjusted EBITDA, Adjusted EBITDA margin and Adjusted Net Income and reconciliations to net income, their most directly comparable financial measure presented in accordance with GAAP, see footnote 5 in “Prospectus Summary — Summary Historical and Pro Forma Consolidated Financial and Other Data.”</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marketplace went live in 1998, and over the next two decades, we leveraged our technology and expertise to expand into additional rates products and other asset classes, such as credit, money markets and certain equities. Client demand for better trading workflow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2005 where our first local product was for Japanese government bonds. We have continued to expand our product and client base in Europe and Asia.</w:t>
      </w:r>
    </w:p>
    <w:p>
      <w:pPr>
        <w:spacing w:after="0" w:line="5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We identified an opportunity to expand our marketplaces to the wholesale and retail client sectors based on our existing relationships with dealers and our strong market position. We developed our wholesale business through our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and scaled our position through our acquisition of BondDesk in 2013, and then leveraged our market and technology expertise to enhance our platforms serving that client sector. Throughout our evolution we have offered many new innovations for our clients that have provided greater pre-trade price transparency, better execution quality and seamless post-trade solutions. Such innovations include pre-trade composite pricing for multi-dealer-to-customer (“D2C”) trading and using the Request-for Quote (“RFQ”) protocol across the fixed income markets. We have also integrated our trading platforms with our proprietary post-trade systems as well as our clients’ systems for seamless post-trade processing. We expect to continue to leverage our success to expand into new products, asset classes and geographies, while growing our powerful network of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311" w:lineRule="auto"/>
        <w:rPr>
          <w:sz w:val="20"/>
          <w:szCs w:val="20"/>
          <w:color w:val="auto"/>
        </w:rPr>
      </w:pPr>
      <w:r>
        <w:rPr>
          <w:rFonts w:ascii="Arial" w:cs="Arial" w:eastAsia="Arial" w:hAnsi="Arial"/>
          <w:sz w:val="16"/>
          <w:szCs w:val="16"/>
          <w:color w:val="auto"/>
        </w:rPr>
        <w:t>We have continued to solve inefficiencies by adding new products across our credit, money markets and equities asset classes, thereby increasing our opportunities and related addressable markets, where average daily trading volumes have grown from $0.6 trillion in 1998 to $3.7 trillion in 2017, according to industry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26670</wp:posOffset>
            </wp:positionV>
            <wp:extent cx="5194935" cy="24174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9493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77" w:lineRule="exact"/>
        <w:rPr>
          <w:sz w:val="20"/>
          <w:szCs w:val="20"/>
          <w:color w:val="auto"/>
        </w:rPr>
      </w:pPr>
    </w:p>
    <w:p>
      <w:pPr>
        <w:ind w:left="1260" w:right="719" w:firstLine="360"/>
        <w:spacing w:after="0" w:line="293" w:lineRule="auto"/>
        <w:rPr>
          <w:sz w:val="20"/>
          <w:szCs w:val="20"/>
          <w:color w:val="auto"/>
        </w:rPr>
      </w:pPr>
      <w:r>
        <w:rPr>
          <w:rFonts w:ascii="Arial" w:cs="Arial" w:eastAsia="Arial" w:hAnsi="Arial"/>
          <w:sz w:val="16"/>
          <w:szCs w:val="16"/>
          <w:color w:val="auto"/>
        </w:rPr>
        <w:t>Based on industry sources, we estimate that global notional value outstanding for rates and credit is approximately $522 trillion at the end of 2017.When combined with the market size for money markets and equities, the market for our solutions increases to an estimated notional value of approximately $537 trillion. The markets in which we participate are actively traded, generating an estimated average daily trading volume of approximately $3.7 trillion in 2017. Major market participants include large banks, asset managers, hedge funds, central banks, dealers, insurance companies, corporations, governments and retail investors.</w:t>
      </w:r>
    </w:p>
    <w:p>
      <w:pPr>
        <w:spacing w:after="0" w:line="29"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6"/>
          <w:szCs w:val="16"/>
          <w:color w:val="auto"/>
        </w:rPr>
        <w:t>Trading activity is influenced by, among other things, the amount of notional securities outstanding, issuance, market volatility, regulation and economic factors such as growth and monetary policy. The U.S. government bond market has experienced substantial growth in notional outstanding growing at 12% annually since 2007, according to SIFMA. The U.S. corporate bond and Chinese bond markets have grown annually at 5% and 21%, respectively, over the last decade according to SIFMA and CFETS. The U.S. and European ETF markets have both grown annually at nearly 20% respectively since 2007 according to etfgi.com and Thomson Reuters. Continuing growth in these markets may be driven by increasing global trading volumes, resulting from increased economic activity, including growing international securities trading, new debt and equity issuances and continued economic growth. Additionally, after a period of historically low interest rates, trading volumes in our rates asset class may benefit from interest rates normalizing to higher levels as global central banks move toward monetary policy normalization. These markets have also migrated to electronic trading platforms at different adoption rates — some gradually over time (e.g., government bonds and credit bonds) and others on a more accelerated basis due to regulation (e.g., interest rate swaps).</w:t>
      </w:r>
    </w:p>
    <w:p>
      <w:pPr>
        <w:spacing w:after="0" w:line="52"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more global. Our markets operate throughout the now global 24 hour trading day as participants have become increasingly global and comprehensive, trading across multiple geographies, asset classes and currencies.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77" w:lineRule="exact"/>
        <w:rPr>
          <w:sz w:val="20"/>
          <w:szCs w:val="20"/>
          <w:color w:val="auto"/>
        </w:rPr>
      </w:pPr>
    </w:p>
    <w:p>
      <w:pPr>
        <w:ind w:left="1260" w:right="879" w:firstLine="360"/>
        <w:spacing w:after="0" w:line="342" w:lineRule="auto"/>
        <w:rPr>
          <w:sz w:val="20"/>
          <w:szCs w:val="20"/>
          <w:color w:val="auto"/>
        </w:rPr>
      </w:pPr>
      <w:r>
        <w:rPr>
          <w:rFonts w:ascii="Arial" w:cs="Arial" w:eastAsia="Arial" w:hAnsi="Arial"/>
          <w:sz w:val="16"/>
          <w:szCs w:val="16"/>
          <w:color w:val="auto"/>
        </w:rPr>
        <w:t>Trading in fixed income and derivative markets historically was a highly manual process. Buyers lacked a centralized source of price discovery and automated post-trade processing solutions, and as a result, were</w:t>
      </w:r>
    </w:p>
    <w:p>
      <w:pPr>
        <w:spacing w:after="0" w:line="17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93" w:lineRule="auto"/>
        <w:rPr>
          <w:sz w:val="20"/>
          <w:szCs w:val="20"/>
          <w:color w:val="auto"/>
        </w:rPr>
      </w:pPr>
      <w:r>
        <w:rPr>
          <w:rFonts w:ascii="Arial" w:cs="Arial" w:eastAsia="Arial" w:hAnsi="Arial"/>
          <w:sz w:val="16"/>
          <w:szCs w:val="16"/>
          <w:color w:val="auto"/>
        </w:rPr>
        <w:t>required to telephone multiple dealers to receive price quotes, compare quotes among multiple dealers, confirm orders via telephone and then engage in manual trade settlement via fax. The process was time-consuming and error-prone, leading to poor price transparency and execution quality, limited connectivity among market participants and high levels of operational risk. Even as other markets, such as the equity, FX and futures markets transitioned to electronic processes, large components of the fixed income and derivative markets have been slower to migrate to electronic execution because of the diversity and heterogeneous nature of those instruments.</w:t>
      </w:r>
    </w:p>
    <w:p>
      <w:pPr>
        <w:spacing w:after="0" w:line="56"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Our clients demand more efficient solutions to improve outcomes and reduce costs. Over the last 20 years, we have been a leader in the electronification of fixed income and other markets, using proprietary and innovative technologies and collaborating hand-in-hand with clients on product innovation. Electronification has made markets more efficient by improving price transparency and execution, while also reducing operational risk and allowing our clients to create organizational cost efficiencies, by reducing front office headcount and by eliminating manual errors.</w:t>
      </w:r>
    </w:p>
    <w:p>
      <w:pPr>
        <w:spacing w:after="0" w:line="8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The process of market electronification is ongoing. Markets — even in asset classes we already offer — continue to have meaningful volumes traded manually, with institutional investors calling multiple liquidity providers for quotes and engaging in manual post-trade processing. Our product innovation is driven by client demand for efficiencies in additional asset classes and geographies combined with the entrepreneurial culture and product expertise we have and are able to attract to Tradeweb.</w:t>
      </w:r>
    </w:p>
    <w:p>
      <w:pPr>
        <w:spacing w:after="0" w:line="68"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post-crisis reforms, such as the Dodd-Frank Act, Basel III and MiFID II, are to increase transparency and reduce systemic risk. These objectives have generally led to increased adoption of electronic trading on regulated markets where price transparency, counterparty credit checks, reporting and clearing are essential components. In addition, higher capital requirements have driven dealers to reduce the size of their balance sheets and utilize the distribution and scale provided by electronic trading venues.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products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protocols. These applications are supported by advancements in technology and the increased prevalence of electronic trading, both of which have made it easier to generate, capture, store and analyze data.</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60" w:right="679" w:firstLine="360"/>
        <w:spacing w:after="0" w:line="289" w:lineRule="auto"/>
        <w:rPr>
          <w:sz w:val="20"/>
          <w:szCs w:val="20"/>
          <w:color w:val="auto"/>
        </w:rPr>
      </w:pPr>
      <w:r>
        <w:rPr>
          <w:rFonts w:ascii="Arial" w:cs="Arial" w:eastAsia="Arial" w:hAnsi="Arial"/>
          <w:sz w:val="16"/>
          <w:szCs w:val="16"/>
          <w:color w:val="auto"/>
        </w:rPr>
        <w:t>Our clients continue to come to our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liquidity-trading volumes growing together and re-enforcing each other. We expect our existing clients to trade more on our venues and to attract new users to our already powerful network, as liquidity on our marketplaces grows and we offer more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partnerships with our clients.</w:t>
      </w:r>
    </w:p>
    <w:p>
      <w:pPr>
        <w:spacing w:after="0" w:line="58"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For our institutional clients, which is our largest client sector, we estimate that we have the leading market position in four of our five largest products — U.S. Treasuries, TBA MBS, European government bonds, U.S.</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96" w:lineRule="auto"/>
        <w:rPr>
          <w:sz w:val="20"/>
          <w:szCs w:val="20"/>
          <w:color w:val="auto"/>
        </w:rPr>
      </w:pPr>
      <w:r>
        <w:rPr>
          <w:rFonts w:ascii="Arial" w:cs="Arial" w:eastAsia="Arial" w:hAnsi="Arial"/>
          <w:sz w:val="16"/>
          <w:szCs w:val="16"/>
          <w:color w:val="auto"/>
        </w:rPr>
        <w:t>dollar-denominated interest rate swaps and euro-denominated interest rate swaps. We cover all major client sectors participating in the markets, including the institutional, wholesale and retail client sectors. We are a global business with users accessing our products in 62 countries, and in 2017, we generated 32% of our revenues from clients outside of the United States. We have built a business that is diverse across more than 40 products and provides the full spectrum of trading protocols from voice through RFQ to CLOB (central limit order book).</w:t>
      </w:r>
    </w:p>
    <w:p>
      <w:pPr>
        <w:spacing w:after="0" w:line="40"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63"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market participants to improve U.S. Treasury Bond trading for the institutional client sector.</w:t>
      </w:r>
    </w:p>
    <w:p>
      <w:pPr>
        <w:spacing w:after="0" w:line="66" w:lineRule="exact"/>
        <w:rPr>
          <w:sz w:val="20"/>
          <w:szCs w:val="20"/>
          <w:color w:val="auto"/>
        </w:rPr>
      </w:pPr>
    </w:p>
    <w:p>
      <w:pPr>
        <w:ind w:left="1260" w:right="659" w:firstLine="360"/>
        <w:spacing w:after="0" w:line="289" w:lineRule="auto"/>
        <w:rPr>
          <w:sz w:val="20"/>
          <w:szCs w:val="20"/>
          <w:color w:val="auto"/>
        </w:rPr>
      </w:pPr>
      <w:r>
        <w:rPr>
          <w:rFonts w:ascii="Arial" w:cs="Arial" w:eastAsia="Arial" w:hAnsi="Arial"/>
          <w:sz w:val="16"/>
          <w:szCs w:val="16"/>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bond clients to spot multiple bonds at the same time using our multi-dealer net spotting tool to net their interest rate simultaneously using one spot price. We have also worked side-by-side with clients to customize solutions for their particular needs. For example, in direct collaboration with our leading TBA MBS clients we developed functionality (Round Robin) to help resolve the issue of systemic fails on trades of TBA MBS and reduced the operational risk and costs associated with delivery failures that often plagued the TBA MBS market. Through collaborative endeavors like these, we have become deeply integrated into our clients’ workflow and become a partner of choice for new innovations.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6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and connectivity and straight-through processing. Our systems are built to be scalable, flexible and resilient. Our internet-based, thin client technology is readily accessible and enables us to be first-to-market with easily distributed new solutions. For example, we were the first to offer web-based electronic multi-dealer trading to the institutional U.S. Treasury market and have subsequently automated the market structure of additional marketplaces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63"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We are regulated (as necessitated by region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guide them through the myriad of regulatory requirements. We then provide our clients with trading platforms that are in compliance with regulatory requirements and connectivity to pre-and post-trade systems necessary to comply with their regulatory obligations.</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Products Empowered by Data and Analytics</w:t>
      </w:r>
    </w:p>
    <w:p>
      <w:pPr>
        <w:spacing w:after="0" w:line="77" w:lineRule="exact"/>
        <w:rPr>
          <w:sz w:val="20"/>
          <w:szCs w:val="20"/>
          <w:color w:val="auto"/>
        </w:rPr>
      </w:pPr>
    </w:p>
    <w:p>
      <w:pPr>
        <w:ind w:left="1260" w:right="1359" w:firstLine="360"/>
        <w:spacing w:after="0" w:line="342" w:lineRule="auto"/>
        <w:rPr>
          <w:sz w:val="20"/>
          <w:szCs w:val="20"/>
          <w:color w:val="auto"/>
        </w:rPr>
      </w:pPr>
      <w:r>
        <w:rPr>
          <w:rFonts w:ascii="Arial" w:cs="Arial" w:eastAsia="Arial" w:hAnsi="Arial"/>
          <w:sz w:val="16"/>
          <w:szCs w:val="16"/>
          <w:color w:val="auto"/>
        </w:rPr>
        <w:t>Our data and analytics enhance the value proposition of our trading venues and improve the trading experience of our clients. We support our clients’ core trading functions by offering trusted pre- and</w:t>
      </w:r>
    </w:p>
    <w:p>
      <w:pPr>
        <w:spacing w:after="0" w:line="1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75" w:lineRule="auto"/>
        <w:rPr>
          <w:sz w:val="20"/>
          <w:szCs w:val="20"/>
          <w:color w:val="auto"/>
        </w:rPr>
      </w:pPr>
      <w:r>
        <w:rPr>
          <w:rFonts w:ascii="Arial" w:cs="Arial" w:eastAsia="Arial" w:hAnsi="Arial"/>
          <w:sz w:val="17"/>
          <w:szCs w:val="17"/>
          <w:color w:val="auto"/>
        </w:rPr>
        <w:t>post-trade services, value-added analytics and predictive insights informed by our deep understanding of how market participants interact. Our data and analytics help clients make better trading decisions, benefitting current market participants and attracting new ones to our financial ecosystem. For example, data powers our Automated Intelligent Execution (AiEX) functionality which allows traders to execute their smaller, low touch trades more efficiently and to focus their attention on larger more nuanced trades.</w:t>
      </w:r>
    </w:p>
    <w:p>
      <w:pPr>
        <w:spacing w:after="0" w:line="68" w:lineRule="exact"/>
        <w:rPr>
          <w:sz w:val="20"/>
          <w:szCs w:val="20"/>
          <w:color w:val="auto"/>
        </w:rPr>
      </w:pPr>
    </w:p>
    <w:p>
      <w:pPr>
        <w:ind w:left="1260" w:right="679" w:firstLine="360"/>
        <w:spacing w:after="0" w:line="293" w:lineRule="auto"/>
        <w:rPr>
          <w:sz w:val="20"/>
          <w:szCs w:val="20"/>
          <w:color w:val="auto"/>
        </w:rPr>
      </w:pPr>
      <w:r>
        <w:rPr>
          <w:rFonts w:ascii="Arial" w:cs="Arial" w:eastAsia="Arial" w:hAnsi="Arial"/>
          <w:sz w:val="16"/>
          <w:szCs w:val="16"/>
          <w:color w:val="auto"/>
        </w:rPr>
        <w:t>Our over 20 year operating history has allowed us to build comprehensive and unique datasets across our markets. Our marketplaces generate valuable data, processing over 950 million pre-trade price updates daily, that we collect centrally and use as inputs to our pre-trade indicative pricing and analytics. We maintain a full history of inquiries and transactions, which means, for example, we have 20 years of U.S. Treasury data. We also will seek to further monetize our data both through potential expansion of our market data distribution agreement with Refinitiv and through distributing additional data sets and analytics offerings through our own network.</w:t>
      </w:r>
    </w:p>
    <w:p>
      <w:pPr>
        <w:spacing w:after="0" w:line="56"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We are consistently developing new product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(“OTC”) reporting requirements under MiFID II. We now operate one of the largest fixed income APA services with over 100 clients including 13 of the top 14 tier 1 banks and expect to expand our APA service in the coming years.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60" w:right="71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of capabilities needed to serve complex, dynamic and highly regulated markets. Our founder-led management team is composed of executives with an average of over 25 years of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60" w:right="1259"/>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tailwinds in our existing markets: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7" w:lineRule="exact"/>
        <w:rPr>
          <w:sz w:val="20"/>
          <w:szCs w:val="20"/>
          <w:color w:val="auto"/>
        </w:rPr>
      </w:pPr>
    </w:p>
    <w:p>
      <w:pPr>
        <w:jc w:val="both"/>
        <w:ind w:left="1260" w:right="699" w:firstLine="360"/>
        <w:spacing w:after="0" w:line="287"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higher market volatility and a rising interest rate environment. In addition, the government bond market is foundational to and correlative to virtually every asset class in the cash and derivatives fixed income markets.</w:t>
      </w:r>
    </w:p>
    <w:p>
      <w:pPr>
        <w:spacing w:after="0" w:line="2" w:lineRule="exact"/>
        <w:rPr>
          <w:sz w:val="20"/>
          <w:szCs w:val="20"/>
          <w:color w:val="auto"/>
        </w:rPr>
      </w:pPr>
    </w:p>
    <w:p>
      <w:pPr>
        <w:ind w:left="1260" w:right="699"/>
        <w:spacing w:after="0" w:line="253" w:lineRule="auto"/>
        <w:rPr>
          <w:sz w:val="20"/>
          <w:szCs w:val="20"/>
          <w:color w:val="auto"/>
        </w:rPr>
      </w:pPr>
      <w:r>
        <w:rPr>
          <w:rFonts w:ascii="Arial" w:cs="Arial" w:eastAsia="Arial" w:hAnsi="Arial"/>
          <w:sz w:val="18"/>
          <w:szCs w:val="18"/>
          <w:color w:val="auto"/>
        </w:rPr>
        <w:t>Based on industry sources,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include global government bonds, derivatives, ETFs and credit.</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Market Share</w:t>
      </w:r>
    </w:p>
    <w:p>
      <w:pPr>
        <w:spacing w:after="0" w:line="117"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Many of our asset manager, hedge fund, insurance, central bank/sovereign entity and regional dealer clients trade multiple products on our platforms. In addition, our global dealer clients trade in most asset classes across all three client sectors. We also see a growing appetite for multi-asset trading to reduce cost and duration risk. For example, on our U.S. credit platform, 90% of trades include a net hedge transaction leveraging our U.S. Treasury platform.</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Electronification of Our Markets</w:t>
      </w:r>
    </w:p>
    <w:p>
      <w:pPr>
        <w:spacing w:after="0" w:line="117"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Client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We are well positioned to continue to innovate and provide better electronic markets that satisfy the needs of our clients.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We intend to leverage innovation and technology capabilities to develop new solutions that help our clients grow their businesses more effectively.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80"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In addition, we believe our business model is well suited to serve clients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We believe we can continue to develop trading models in one product or asset class and deliver those models to other products or asset classes, irrespective of geography. For example, we are leveraging session-based trading technology in European credit bonds for session-based trading in U.S. credit bonds and Off-the-Run U.S. Treasury securities. We have significant scale and breadth across our platforms, which position us well to take advantage of favorable market dynamics.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04"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87" w:lineRule="exact"/>
        <w:rPr>
          <w:sz w:val="20"/>
          <w:szCs w:val="20"/>
          <w:color w:val="auto"/>
        </w:rPr>
      </w:pPr>
    </w:p>
    <w:p>
      <w:pPr>
        <w:jc w:val="both"/>
        <w:ind w:left="1260" w:right="999" w:firstLine="360"/>
        <w:spacing w:after="0" w:line="263" w:lineRule="auto"/>
        <w:rPr>
          <w:sz w:val="20"/>
          <w:szCs w:val="20"/>
          <w:color w:val="auto"/>
        </w:rPr>
      </w:pPr>
      <w:r>
        <w:rPr>
          <w:rFonts w:ascii="Arial" w:cs="Arial" w:eastAsia="Arial" w:hAnsi="Arial"/>
          <w:sz w:val="18"/>
          <w:szCs w:val="18"/>
          <w:color w:val="auto"/>
        </w:rPr>
        <w:t>Our technology architecture reduces the time to market for new data solutions, which allows us to react quickly to client needs. Recently, we extended our long-term agreement with Refinitiv to license certain data, which provides us with a predictable and growing revenue stream.</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04"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Client Sectors</w:t>
      </w:r>
    </w:p>
    <w:p>
      <w:pPr>
        <w:spacing w:after="0" w:line="10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have a powerful network of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over 20 years ago, we have developed trusted relationships with our clients and have invested to integrate with their capital markets technology infrastructures. This has facilitated the collaborative approach we employ to solve our clients’ evolving workflow needs.</w:t>
      </w:r>
    </w:p>
    <w:p>
      <w:pPr>
        <w:spacing w:after="0" w:line="70"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provide deep liquidity pools to the institutional, wholesale and retail client sectors through our Tradeweb Institutional, Dealerweb and Tradeweb Direct marketplaces. We facilitated $530 billion in average daily trading volume for the first nine months of 2018 across more than 40 distinct products, and we have multi-year agreements with many of our significant dealer clients.</w:t>
      </w:r>
    </w:p>
    <w:p>
      <w:pPr>
        <w:spacing w:after="0" w:line="79"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Many of our asset manager, hedge fund, insurance, central bank/sovereign entity and regional dealer clients actively trade multiple products on our platforms. For example, many of the commercial banks and dealers providing liquidity on Tradeweb Institutional are also active traders on our wholesale Dealerweb marketplace and provide odd-lot inventory for our retail client sector. We strengthen our growth opportunities by serving these client sectors in additional asset classes through a variety of trading protocols. Our client sectors are interwoven and we are able to deliver the benefits of cross-marketplace network effects.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Institutional</w:t>
      </w:r>
    </w:p>
    <w:p>
      <w:pPr>
        <w:spacing w:after="0" w:line="10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Tradeweb Institutional offers dealer-to-client and all-to-all trading and related solutions to over 1,900 liquidity-taking clients. Our clients include leading asset managers, insurance companies, hedge funds, regional dealers and central banks/sovereign entities. The Tradeweb Institutional marketplace serves more than 90% of the world’s largest 100 asset managers, 75% of the top 25 insurance companies and 50 central banks/sovereign entities with more than 120 dealers providing liquidity. Tradeweb Institutional offers trading in U.S. Treasuries, European government bonds, TBA MBS, global interest rate swaps, global corporate bonds, ETFs and other products.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Wholesale</w:t>
      </w:r>
    </w:p>
    <w:p>
      <w:pPr>
        <w:spacing w:after="0" w:line="104"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We provide fully electronic, hybrid and voice trading for the wholesale community on our Dealerweb marketplace. Our clients include more than 300 dealers with more than 90 actively trading on our electronic and hybrid Dealerweb markets. Nearly all of our electronic and hybrid dealer clients also trade on the Tradeweb Institutional and Retail platforms. Dealerweb’s leading markets include TBA MBS, Global Credit, U.S. Treasuries, Repo and U.S. Dollar Swaps. Our electronic protocols include central limit orderbook and session-based trading. We are well positioned to facilitate and capitalize on the continued transition of wholesale client trading from voice or hybrid trading to fully electronic trading. To that end, we have had over 20% growth in the number of dealers on our electronic markets since the first quarter of 2016.</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Retail</w:t>
      </w:r>
    </w:p>
    <w:p>
      <w:pPr>
        <w:spacing w:after="0" w:line="104"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Our Tradeweb Direct regulated Alternative Trading System (“ATS”) offers financial advisors and their retail clients access to micro-lot liquidity provided by a network of broker-dealers. The Tradeweb Direct ATS marketplace serves over 54,000 financial advisors at more than 200 retail brokerage and advisory firms. In addition, certain ATS clients provide access to more than 64,000 retail clients through white-labeled, web-based front ends. Tradeweb Direct also provides access to its ATS to large and middle-market asset managers. Tradeweb Direct’s ATS offers trading in a range of products, including U.S. corporate bonds, municipal bonds, certificates of deposit (CDs) and other products. Participants on Tradeweb Direct have the ability to connect to our marketplace via workstations or APIs or through access to websites that are white-labeled for our clients.</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Asset Classes and Products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offer efficient and transparent trading across a diverse range of asset classes:</w:t>
      </w:r>
    </w:p>
    <w:p>
      <w:pPr>
        <w:spacing w:after="0" w:line="194" w:lineRule="exact"/>
        <w:rPr>
          <w:sz w:val="20"/>
          <w:szCs w:val="20"/>
          <w:color w:val="auto"/>
        </w:rPr>
      </w:pPr>
    </w:p>
    <w:p>
      <w:pPr>
        <w:ind w:left="1980" w:right="719" w:hanging="352"/>
        <w:spacing w:after="0" w:line="266" w:lineRule="auto"/>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Rates:</w:t>
      </w:r>
      <w:r>
        <w:rPr>
          <w:rFonts w:ascii="Arial" w:cs="Arial" w:eastAsia="Arial" w:hAnsi="Arial"/>
          <w:sz w:val="18"/>
          <w:szCs w:val="18"/>
          <w:b w:val="1"/>
          <w:bCs w:val="1"/>
          <w:color w:val="auto"/>
        </w:rPr>
        <w:t xml:space="preserve"> </w:t>
      </w:r>
      <w:r>
        <w:rPr>
          <w:rFonts w:ascii="Arial" w:cs="Arial" w:eastAsia="Arial" w:hAnsi="Arial"/>
          <w:sz w:val="18"/>
          <w:szCs w:val="18"/>
          <w:color w:val="auto"/>
        </w:rPr>
        <w:t>We facilitate trading in major government securities including U.S. Treasury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government bonds, mortgage-backed securities, interest rate swaps and agency/supranational securities and other rates products.</w:t>
      </w:r>
    </w:p>
    <w:p>
      <w:pPr>
        <w:spacing w:after="0" w:line="135" w:lineRule="exact"/>
        <w:rPr>
          <w:rFonts w:ascii="Arial" w:cs="Arial" w:eastAsia="Arial" w:hAnsi="Arial"/>
          <w:sz w:val="18"/>
          <w:szCs w:val="18"/>
          <w:color w:val="auto"/>
        </w:rPr>
      </w:pPr>
    </w:p>
    <w:p>
      <w:pPr>
        <w:ind w:left="1980" w:right="1039" w:hanging="352"/>
        <w:spacing w:after="0" w:line="266" w:lineRule="auto"/>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Credit:</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deep pools of liquidity for our clients in U.S. and European high grade and high</w:t>
      </w:r>
      <w:r>
        <w:rPr>
          <w:rFonts w:ascii="Arial" w:cs="Arial" w:eastAsia="Arial" w:hAnsi="Arial"/>
          <w:sz w:val="18"/>
          <w:szCs w:val="18"/>
          <w:b w:val="1"/>
          <w:bCs w:val="1"/>
          <w:color w:val="auto"/>
        </w:rPr>
        <w:t xml:space="preserve"> </w:t>
      </w:r>
      <w:r>
        <w:rPr>
          <w:rFonts w:ascii="Arial" w:cs="Arial" w:eastAsia="Arial" w:hAnsi="Arial"/>
          <w:sz w:val="18"/>
          <w:szCs w:val="18"/>
          <w:color w:val="auto"/>
        </w:rPr>
        <w:t>yield bonds, municipal bonds, index, single name and sovereign credit default swaps and other products.</w:t>
      </w:r>
    </w:p>
    <w:p>
      <w:pPr>
        <w:spacing w:after="0" w:line="135" w:lineRule="exact"/>
        <w:rPr>
          <w:rFonts w:ascii="Arial" w:cs="Arial" w:eastAsia="Arial" w:hAnsi="Arial"/>
          <w:sz w:val="18"/>
          <w:szCs w:val="18"/>
          <w:color w:val="auto"/>
        </w:rPr>
      </w:pPr>
    </w:p>
    <w:p>
      <w:pPr>
        <w:ind w:left="1980" w:right="1059" w:hanging="352"/>
        <w:spacing w:after="0" w:line="347" w:lineRule="auto"/>
        <w:tabs>
          <w:tab w:leader="none" w:pos="1980" w:val="left"/>
        </w:tabs>
        <w:numPr>
          <w:ilvl w:val="0"/>
          <w:numId w:val="68"/>
        </w:numPr>
        <w:rPr>
          <w:rFonts w:ascii="Arial" w:cs="Arial" w:eastAsia="Arial" w:hAnsi="Arial"/>
          <w:sz w:val="16"/>
          <w:szCs w:val="16"/>
          <w:color w:val="auto"/>
        </w:rPr>
      </w:pPr>
      <w:r>
        <w:rPr>
          <w:rFonts w:ascii="Arial" w:cs="Arial" w:eastAsia="Arial" w:hAnsi="Arial"/>
          <w:sz w:val="16"/>
          <w:szCs w:val="16"/>
          <w:b w:val="1"/>
          <w:bCs w:val="1"/>
          <w:u w:val="single" w:color="auto"/>
          <w:color w:val="auto"/>
        </w:rPr>
        <w:t>Money markets:</w:t>
      </w:r>
      <w:r>
        <w:rPr>
          <w:rFonts w:ascii="Arial" w:cs="Arial" w:eastAsia="Arial" w:hAnsi="Arial"/>
          <w:sz w:val="16"/>
          <w:szCs w:val="16"/>
          <w:b w:val="1"/>
          <w:bCs w:val="1"/>
          <w:color w:val="auto"/>
        </w:rPr>
        <w:t xml:space="preserve"> </w:t>
      </w:r>
      <w:r>
        <w:rPr>
          <w:rFonts w:ascii="Arial" w:cs="Arial" w:eastAsia="Arial" w:hAnsi="Arial"/>
          <w:sz w:val="16"/>
          <w:szCs w:val="16"/>
          <w:color w:val="auto"/>
        </w:rPr>
        <w:t>We offer a broad range of money market products including commercial paper,</w:t>
      </w:r>
      <w:r>
        <w:rPr>
          <w:rFonts w:ascii="Arial" w:cs="Arial" w:eastAsia="Arial" w:hAnsi="Arial"/>
          <w:sz w:val="16"/>
          <w:szCs w:val="16"/>
          <w:b w:val="1"/>
          <w:bCs w:val="1"/>
          <w:color w:val="auto"/>
        </w:rPr>
        <w:t xml:space="preserve"> </w:t>
      </w:r>
      <w:r>
        <w:rPr>
          <w:rFonts w:ascii="Arial" w:cs="Arial" w:eastAsia="Arial" w:hAnsi="Arial"/>
          <w:sz w:val="16"/>
          <w:szCs w:val="16"/>
          <w:color w:val="auto"/>
        </w:rPr>
        <w:t>agency discount notes, repo, certificates of deposit and treasury bills and other products.</w:t>
      </w:r>
    </w:p>
    <w:p>
      <w:pPr>
        <w:spacing w:after="0" w:line="88" w:lineRule="exact"/>
        <w:rPr>
          <w:rFonts w:ascii="Arial" w:cs="Arial" w:eastAsia="Arial" w:hAnsi="Arial"/>
          <w:sz w:val="16"/>
          <w:szCs w:val="16"/>
          <w:color w:val="auto"/>
        </w:rPr>
      </w:pPr>
    </w:p>
    <w:p>
      <w:pPr>
        <w:ind w:left="1980" w:hanging="352"/>
        <w:spacing w:after="0"/>
        <w:tabs>
          <w:tab w:leader="none" w:pos="1980" w:val="left"/>
        </w:tabs>
        <w:numPr>
          <w:ilvl w:val="0"/>
          <w:numId w:val="68"/>
        </w:numPr>
        <w:rPr>
          <w:rFonts w:ascii="Arial" w:cs="Arial" w:eastAsia="Arial" w:hAnsi="Arial"/>
          <w:sz w:val="17"/>
          <w:szCs w:val="17"/>
          <w:color w:val="auto"/>
        </w:rPr>
      </w:pPr>
      <w:r>
        <w:rPr>
          <w:rFonts w:ascii="Arial" w:cs="Arial" w:eastAsia="Arial" w:hAnsi="Arial"/>
          <w:sz w:val="17"/>
          <w:szCs w:val="17"/>
          <w:b w:val="1"/>
          <w:bCs w:val="1"/>
          <w:u w:val="single" w:color="auto"/>
          <w:color w:val="auto"/>
        </w:rPr>
        <w:t>Equities:</w:t>
      </w:r>
      <w:r>
        <w:rPr>
          <w:rFonts w:ascii="Arial" w:cs="Arial" w:eastAsia="Arial" w:hAnsi="Arial"/>
          <w:sz w:val="17"/>
          <w:szCs w:val="17"/>
          <w:b w:val="1"/>
          <w:bCs w:val="1"/>
          <w:color w:val="auto"/>
        </w:rPr>
        <w:t xml:space="preserve">  </w:t>
      </w:r>
      <w:r>
        <w:rPr>
          <w:rFonts w:ascii="Arial" w:cs="Arial" w:eastAsia="Arial" w:hAnsi="Arial"/>
          <w:sz w:val="17"/>
          <w:szCs w:val="17"/>
          <w:color w:val="auto"/>
        </w:rPr>
        <w:t>Our equity trading products include global ETFs, equity derivatives and other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135890</wp:posOffset>
            </wp:positionV>
            <wp:extent cx="5194935" cy="2425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9493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Geographies</w:t>
      </w:r>
    </w:p>
    <w:p>
      <w:pPr>
        <w:spacing w:after="0" w:line="108"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We have a global footprint, serving over 1,900 clients in 62 countries across the Americas, EMEA (Europe, Middle East and Africa) and APAC (Asia Pacific) regions and with offices in North America, Europe and Asia. By region:</w:t>
      </w:r>
    </w:p>
    <w:p>
      <w:pPr>
        <w:spacing w:after="0" w:line="143" w:lineRule="exact"/>
        <w:rPr>
          <w:sz w:val="20"/>
          <w:szCs w:val="20"/>
          <w:color w:val="auto"/>
        </w:rPr>
      </w:pPr>
    </w:p>
    <w:p>
      <w:pPr>
        <w:ind w:left="1980" w:right="799" w:hanging="352"/>
        <w:spacing w:after="0" w:line="277"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serve over 900 clients in the Americas, including 8 central banks / sovereign entities across North, Central and South America.</w:t>
      </w:r>
    </w:p>
    <w:p>
      <w:pPr>
        <w:spacing w:after="0" w:line="143"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serve over 700 clients in EMEA, including 32 central banks / sovereign entities across Europe, the Middle East and North Africa.</w:t>
      </w:r>
    </w:p>
    <w:p>
      <w:pPr>
        <w:spacing w:after="0" w:line="129" w:lineRule="exact"/>
        <w:rPr>
          <w:rFonts w:ascii="Arial" w:cs="Arial" w:eastAsia="Arial" w:hAnsi="Arial"/>
          <w:sz w:val="18"/>
          <w:szCs w:val="18"/>
          <w:color w:val="auto"/>
        </w:rPr>
      </w:pPr>
    </w:p>
    <w:p>
      <w:pPr>
        <w:ind w:left="1980" w:right="899" w:hanging="352"/>
        <w:spacing w:after="0" w:line="277"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serve nearly 300 clients in APAC, including 11 central banks / sovereign entities across Asia, the Pacific, Oceania and the Indian sub-continent.</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addition, we currently support trading across 22 currencies globally.</w:t>
      </w:r>
    </w:p>
    <w:p>
      <w:pPr>
        <w:spacing w:after="0" w:line="117"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We believe our technology and solutions have made trading in markets globally more efficient and transparent. Furthermore, our expertise in multiple jurisdictions positions us as a partner of choice as our clients expand their trading operations to new geographies. As the global markets move to electronic trading, we expect to be at the forefront of this change.</w:t>
      </w: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Solutions</w:t>
      </w:r>
    </w:p>
    <w:p>
      <w:pPr>
        <w:spacing w:after="0" w:line="108"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We provide clients with solutions across the trade lifecycle including pre-trade data and analytics, intelligent trade execution, straight-through processing and post-trade data, analytics and reporting.</w:t>
      </w:r>
    </w:p>
    <w:p>
      <w:pPr>
        <w:spacing w:after="0" w:line="85" w:lineRule="exact"/>
        <w:rPr>
          <w:sz w:val="20"/>
          <w:szCs w:val="20"/>
          <w:color w:val="auto"/>
        </w:rPr>
      </w:pPr>
    </w:p>
    <w:p>
      <w:pPr>
        <w:ind w:left="1980" w:right="699" w:hanging="352"/>
        <w:spacing w:after="0" w:line="254"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Pre-Trade Data and Analytics</w:t>
      </w:r>
      <w:r>
        <w:rPr>
          <w:rFonts w:ascii="Arial" w:cs="Arial" w:eastAsia="Arial" w:hAnsi="Arial"/>
          <w:sz w:val="18"/>
          <w:szCs w:val="18"/>
          <w:b w:val="1"/>
          <w:bCs w:val="1"/>
          <w:color w:val="auto"/>
        </w:rPr>
        <w:t xml:space="preserve">: </w:t>
      </w:r>
      <w:r>
        <w:rPr>
          <w:rFonts w:ascii="Arial" w:cs="Arial" w:eastAsia="Arial" w:hAnsi="Arial"/>
          <w:sz w:val="18"/>
          <w:szCs w:val="18"/>
          <w:color w:val="auto"/>
        </w:rPr>
        <w:t>We provide clients with accurate, real-time market data and</w:t>
      </w:r>
      <w:r>
        <w:rPr>
          <w:rFonts w:ascii="Arial" w:cs="Arial" w:eastAsia="Arial" w:hAnsi="Arial"/>
          <w:sz w:val="18"/>
          <w:szCs w:val="18"/>
          <w:b w:val="1"/>
          <w:bCs w:val="1"/>
          <w:color w:val="auto"/>
        </w:rPr>
        <w:t xml:space="preserve"> </w:t>
      </w:r>
      <w:r>
        <w:rPr>
          <w:rFonts w:ascii="Arial" w:cs="Arial" w:eastAsia="Arial" w:hAnsi="Arial"/>
          <w:sz w:val="18"/>
          <w:szCs w:val="18"/>
          <w:color w:val="auto"/>
        </w:rPr>
        <w:t>streaming price updates across more than 40 products. Major financial publications across the globe reference our market data. Our real-time market data services include major government bond markets, corporate bonds, mortgage-backed securities, fixed income derivatives and money market asset classes.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p>
    <w:p>
      <w:pPr>
        <w:spacing w:after="0" w:line="110" w:lineRule="exact"/>
        <w:rPr>
          <w:rFonts w:ascii="Arial" w:cs="Arial" w:eastAsia="Arial" w:hAnsi="Arial"/>
          <w:sz w:val="18"/>
          <w:szCs w:val="18"/>
          <w:color w:val="auto"/>
        </w:rPr>
      </w:pPr>
    </w:p>
    <w:p>
      <w:pPr>
        <w:jc w:val="both"/>
        <w:ind w:left="1980" w:right="779" w:hanging="352"/>
        <w:spacing w:after="0" w:line="303" w:lineRule="auto"/>
        <w:tabs>
          <w:tab w:leader="none" w:pos="1980"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Trade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Trade execution is at the core of our offering. We provide marketplaces and tools</w:t>
      </w:r>
      <w:r>
        <w:rPr>
          <w:rFonts w:ascii="Arial" w:cs="Arial" w:eastAsia="Arial" w:hAnsi="Arial"/>
          <w:sz w:val="16"/>
          <w:szCs w:val="16"/>
          <w:b w:val="1"/>
          <w:bCs w:val="1"/>
          <w:color w:val="auto"/>
        </w:rPr>
        <w:t xml:space="preserve"> </w:t>
      </w:r>
      <w:r>
        <w:rPr>
          <w:rFonts w:ascii="Arial" w:cs="Arial" w:eastAsia="Arial" w:hAnsi="Arial"/>
          <w:sz w:val="16"/>
          <w:szCs w:val="16"/>
          <w:color w:val="auto"/>
        </w:rPr>
        <w:t>that facilitate trading by our global clients and streamline their workflow. Our market specialists and a large team of dedicated financial engineers work closely with our clients to continuously innovate and improve their trading practices. The trading protocols we currently use in our various markets include:</w:t>
      </w:r>
    </w:p>
    <w:p>
      <w:pPr>
        <w:spacing w:after="0" w:line="73" w:lineRule="exact"/>
        <w:rPr>
          <w:rFonts w:ascii="Arial" w:cs="Arial" w:eastAsia="Arial" w:hAnsi="Arial"/>
          <w:sz w:val="16"/>
          <w:szCs w:val="16"/>
          <w:color w:val="auto"/>
        </w:rPr>
      </w:pPr>
    </w:p>
    <w:p>
      <w:pPr>
        <w:ind w:left="2340" w:right="759" w:hanging="352"/>
        <w:spacing w:after="0" w:line="273" w:lineRule="auto"/>
        <w:tabs>
          <w:tab w:leader="none" w:pos="2340" w:val="left"/>
        </w:tabs>
        <w:numPr>
          <w:ilvl w:val="1"/>
          <w:numId w:val="70"/>
        </w:numPr>
        <w:rPr>
          <w:rFonts w:ascii="Arial" w:cs="Arial" w:eastAsia="Arial" w:hAnsi="Arial"/>
          <w:sz w:val="17"/>
          <w:szCs w:val="17"/>
          <w:color w:val="auto"/>
        </w:rPr>
      </w:pPr>
      <w:r>
        <w:rPr>
          <w:rFonts w:ascii="Arial" w:cs="Arial" w:eastAsia="Arial" w:hAnsi="Arial"/>
          <w:sz w:val="17"/>
          <w:szCs w:val="17"/>
          <w:i w:val="1"/>
          <w:iCs w:val="1"/>
          <w:u w:val="single" w:color="auto"/>
          <w:color w:val="auto"/>
        </w:rPr>
        <w:t>Request-for-quote</w:t>
      </w:r>
      <w:r>
        <w:rPr>
          <w:rFonts w:ascii="Arial" w:cs="Arial" w:eastAsia="Arial" w:hAnsi="Arial"/>
          <w:sz w:val="17"/>
          <w:szCs w:val="17"/>
          <w:i w:val="1"/>
          <w:iCs w:val="1"/>
          <w:color w:val="auto"/>
        </w:rPr>
        <w:t xml:space="preserve">. </w:t>
      </w:r>
      <w:r>
        <w:rPr>
          <w:rFonts w:ascii="Arial" w:cs="Arial" w:eastAsia="Arial" w:hAnsi="Arial"/>
          <w:sz w:val="17"/>
          <w:szCs w:val="17"/>
          <w:color w:val="auto"/>
        </w:rPr>
        <w:t>The multi-dealer request-for-quote, or RFQ, is a protocol that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institutional clients with the ability to hold a real-time auction with multiple dealers and select the best price. RFQ was pioneered by Tradeweb in 1998 and has been deployed across all our global interest rate markets, including government bonds, mortgages and U.S. agencies. The RFQ is a fully-disclosed trading protocol — both buy-side and sell-side names are known prior to execution. Multi-dealer RFQ assists clients with demonstrating best execution.</w:t>
      </w:r>
    </w:p>
    <w:p>
      <w:pPr>
        <w:spacing w:after="0" w:line="96" w:lineRule="exact"/>
        <w:rPr>
          <w:rFonts w:ascii="Arial" w:cs="Arial" w:eastAsia="Arial" w:hAnsi="Arial"/>
          <w:sz w:val="17"/>
          <w:szCs w:val="17"/>
          <w:color w:val="auto"/>
        </w:rPr>
      </w:pPr>
    </w:p>
    <w:p>
      <w:pPr>
        <w:ind w:left="2340" w:right="719" w:hanging="352"/>
        <w:spacing w:after="0" w:line="255" w:lineRule="auto"/>
        <w:tabs>
          <w:tab w:leader="none" w:pos="2340" w:val="left"/>
        </w:tabs>
        <w:numPr>
          <w:ilvl w:val="1"/>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request-for-market, or RFM, is a protocol that provides an institutional</w:t>
      </w:r>
      <w:r>
        <w:rPr>
          <w:rFonts w:ascii="Arial" w:cs="Arial" w:eastAsia="Arial" w:hAnsi="Arial"/>
          <w:sz w:val="18"/>
          <w:szCs w:val="18"/>
          <w:i w:val="1"/>
          <w:iCs w:val="1"/>
          <w:color w:val="auto"/>
        </w:rPr>
        <w:t xml:space="preserve"> </w:t>
      </w:r>
      <w:r>
        <w:rPr>
          <w:rFonts w:ascii="Arial" w:cs="Arial" w:eastAsia="Arial" w:hAnsi="Arial"/>
          <w:sz w:val="18"/>
          <w:szCs w:val="18"/>
          <w:color w:val="auto"/>
        </w:rPr>
        <w:t>client with the ability to request a two-sided market from a particular dealer. This mirrors the approach of a client calling a specific trader for market prices and rates before showing the direction they want to trade. The RFM has been effective in some of our newer markets, including credit default swap indices, where it is integrated with the RFQ and click-to-trade protocols on a single trading screen.</w:t>
      </w:r>
    </w:p>
    <w:p>
      <w:pPr>
        <w:spacing w:after="0" w:line="111" w:lineRule="exact"/>
        <w:rPr>
          <w:rFonts w:ascii="Arial" w:cs="Arial" w:eastAsia="Arial" w:hAnsi="Arial"/>
          <w:sz w:val="18"/>
          <w:szCs w:val="18"/>
          <w:color w:val="auto"/>
        </w:rPr>
      </w:pPr>
    </w:p>
    <w:p>
      <w:pPr>
        <w:ind w:left="2340" w:right="959" w:hanging="352"/>
        <w:spacing w:after="0" w:line="263" w:lineRule="auto"/>
        <w:tabs>
          <w:tab w:leader="none" w:pos="2340" w:val="left"/>
        </w:tabs>
        <w:numPr>
          <w:ilvl w:val="1"/>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Request-for-stream</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request-for-stream, or RFS, protocol allows multiple dealers to show</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continuously updating rates, in line with market movements, during a client’s request window.</w:t>
      </w:r>
    </w:p>
    <w:p>
      <w:pPr>
        <w:spacing w:after="0" w:line="102" w:lineRule="exact"/>
        <w:rPr>
          <w:rFonts w:ascii="Arial" w:cs="Arial" w:eastAsia="Arial" w:hAnsi="Arial"/>
          <w:sz w:val="18"/>
          <w:szCs w:val="18"/>
          <w:color w:val="auto"/>
        </w:rPr>
      </w:pPr>
    </w:p>
    <w:p>
      <w:pPr>
        <w:ind w:left="2340" w:right="679" w:hanging="352"/>
        <w:spacing w:after="0" w:line="259" w:lineRule="auto"/>
        <w:tabs>
          <w:tab w:leader="none" w:pos="2340" w:val="left"/>
        </w:tabs>
        <w:numPr>
          <w:ilvl w:val="1"/>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List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Used by clients with multiple transactions to complete, list trading is a highly</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efficient workflow tool. By executing many trades at once, clients can request prices from multiple dealers to extract the best price and complete the hedging of the trades at one time, saving on significant manual effort compared to executing on the telephone.</w:t>
      </w:r>
    </w:p>
    <w:p>
      <w:pPr>
        <w:spacing w:after="0" w:line="105" w:lineRule="exact"/>
        <w:rPr>
          <w:rFonts w:ascii="Arial" w:cs="Arial" w:eastAsia="Arial" w:hAnsi="Arial"/>
          <w:sz w:val="18"/>
          <w:szCs w:val="18"/>
          <w:color w:val="auto"/>
        </w:rPr>
      </w:pPr>
    </w:p>
    <w:p>
      <w:pPr>
        <w:ind w:left="2340" w:right="719" w:hanging="352"/>
        <w:spacing w:after="0" w:line="254" w:lineRule="auto"/>
        <w:tabs>
          <w:tab w:leader="none" w:pos="2340" w:val="left"/>
        </w:tabs>
        <w:numPr>
          <w:ilvl w:val="1"/>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Compression</w:t>
      </w:r>
      <w:r>
        <w:rPr>
          <w:rFonts w:ascii="Arial" w:cs="Arial" w:eastAsia="Arial" w:hAnsi="Arial"/>
          <w:sz w:val="18"/>
          <w:szCs w:val="18"/>
          <w:color w:val="auto"/>
        </w:rPr>
        <w:t>. Clients utilize the interest rate swap compression tool as an efficient means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the number of line items they have outstanding at a clearinghouse by netting offsetting positions in a single transaction. The functionality allows clients to submit up to 250 line items to liquidity providers for simultaneous list pricing, which they can execute, clear and report in one transaction, reducing both their risk and clearing costs. The Tradeweb compression tool is flexible and versatile in design allowing clients to adapt the tool to their work flow and customize for granular swaps.</w:t>
      </w:r>
    </w:p>
    <w:p>
      <w:pPr>
        <w:spacing w:after="0" w:line="113" w:lineRule="exact"/>
        <w:rPr>
          <w:rFonts w:ascii="Arial" w:cs="Arial" w:eastAsia="Arial" w:hAnsi="Arial"/>
          <w:sz w:val="18"/>
          <w:szCs w:val="18"/>
          <w:color w:val="auto"/>
        </w:rPr>
      </w:pPr>
    </w:p>
    <w:p>
      <w:pPr>
        <w:ind w:left="2340" w:right="759" w:hanging="352"/>
        <w:spacing w:after="0" w:line="291" w:lineRule="auto"/>
        <w:tabs>
          <w:tab w:leader="none" w:pos="2340" w:val="left"/>
        </w:tabs>
        <w:numPr>
          <w:ilvl w:val="1"/>
          <w:numId w:val="70"/>
        </w:numPr>
        <w:rPr>
          <w:rFonts w:ascii="Arial" w:cs="Arial" w:eastAsia="Arial" w:hAnsi="Arial"/>
          <w:sz w:val="16"/>
          <w:szCs w:val="16"/>
          <w:color w:val="auto"/>
        </w:rPr>
      </w:pPr>
      <w:r>
        <w:rPr>
          <w:rFonts w:ascii="Arial" w:cs="Arial" w:eastAsia="Arial" w:hAnsi="Arial"/>
          <w:sz w:val="16"/>
          <w:szCs w:val="16"/>
          <w:i w:val="1"/>
          <w:iCs w:val="1"/>
          <w:u w:val="single" w:color="auto"/>
          <w:color w:val="auto"/>
        </w:rPr>
        <w:t>Blast all-to-all</w:t>
      </w:r>
      <w:r>
        <w:rPr>
          <w:rFonts w:ascii="Arial" w:cs="Arial" w:eastAsia="Arial" w:hAnsi="Arial"/>
          <w:sz w:val="16"/>
          <w:szCs w:val="16"/>
          <w:i w:val="1"/>
          <w:iCs w:val="1"/>
          <w:color w:val="auto"/>
        </w:rPr>
        <w:t xml:space="preserve">. </w:t>
      </w:r>
      <w:r>
        <w:rPr>
          <w:rFonts w:ascii="Arial" w:cs="Arial" w:eastAsia="Arial" w:hAnsi="Arial"/>
          <w:sz w:val="16"/>
          <w:szCs w:val="16"/>
          <w:color w:val="auto"/>
        </w:rPr>
        <w:t>The Blast all-to-all, or A2A, protocol allows clients to send RFQ trade inquiries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market participants in a given market and receive responses for executions. Blast A2A is currently used on our Institutional Global Credit markets. Trades inputted are also exposed to all liquidity providers simultaneously to broaden their liquidity sources. The Blast A2A functionality provides alert and inquiry monitors so participants are notified of trading opportunities. Clients can send single or list trade inquiries and can receive responses for full or partial fills. Clients can leverage our AiEX tool in conjunction with this trading and A2A trading protocols as well.</w:t>
      </w:r>
    </w:p>
    <w:p>
      <w:pPr>
        <w:spacing w:after="0" w:line="2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40" w:right="759" w:hanging="352"/>
        <w:spacing w:after="0" w:line="259" w:lineRule="auto"/>
        <w:tabs>
          <w:tab w:leader="none" w:pos="2340" w:val="left"/>
        </w:tabs>
        <w:numPr>
          <w:ilvl w:val="0"/>
          <w:numId w:val="71"/>
        </w:numPr>
        <w:rPr>
          <w:rFonts w:ascii="Arial" w:cs="Arial" w:eastAsia="Arial" w:hAnsi="Arial"/>
          <w:sz w:val="18"/>
          <w:szCs w:val="18"/>
          <w:color w:val="auto"/>
        </w:rPr>
      </w:pPr>
      <w:r>
        <w:rPr>
          <w:rFonts w:ascii="Arial" w:cs="Arial" w:eastAsia="Arial" w:hAnsi="Arial"/>
          <w:sz w:val="18"/>
          <w:szCs w:val="18"/>
          <w:i w:val="1"/>
          <w:iCs w:val="1"/>
          <w:u w:val="single" w:color="auto"/>
          <w:color w:val="auto"/>
        </w:rPr>
        <w:t>Click-to-trade</w:t>
      </w:r>
      <w:r>
        <w:rPr>
          <w:rFonts w:ascii="Arial" w:cs="Arial" w:eastAsia="Arial" w:hAnsi="Arial"/>
          <w:sz w:val="18"/>
          <w:szCs w:val="18"/>
          <w:i w:val="1"/>
          <w:iCs w:val="1"/>
          <w:color w:val="auto"/>
        </w:rPr>
        <w:t xml:space="preserve">. </w:t>
      </w:r>
      <w:r>
        <w:rPr>
          <w:rFonts w:ascii="Arial" w:cs="Arial" w:eastAsia="Arial" w:hAnsi="Arial"/>
          <w:sz w:val="18"/>
          <w:szCs w:val="18"/>
          <w:color w:val="auto"/>
        </w:rPr>
        <w:t>The click-to-trade, or CTT, functionality enables a liquidity-taking client to view</w:t>
      </w:r>
      <w:r>
        <w:rPr>
          <w:rFonts w:ascii="Arial" w:cs="Arial" w:eastAsia="Arial" w:hAnsi="Arial"/>
          <w:sz w:val="18"/>
          <w:szCs w:val="18"/>
          <w:i w:val="1"/>
          <w:iCs w:val="1"/>
          <w:color w:val="auto"/>
        </w:rPr>
        <w:t xml:space="preserve"> </w:t>
      </w:r>
      <w:r>
        <w:rPr>
          <w:rFonts w:ascii="Arial" w:cs="Arial" w:eastAsia="Arial" w:hAnsi="Arial"/>
          <w:sz w:val="18"/>
          <w:szCs w:val="18"/>
          <w:color w:val="auto"/>
        </w:rPr>
        <w:t>a set of prices in real-time and click on the price and the dealer with whom they wish to execute. This trading style is especially popular with clients that are looking to view a range of executable, real-time prices across dealers.</w:t>
      </w:r>
    </w:p>
    <w:p>
      <w:pPr>
        <w:spacing w:after="0" w:line="78" w:lineRule="exact"/>
        <w:rPr>
          <w:rFonts w:ascii="Arial" w:cs="Arial" w:eastAsia="Arial" w:hAnsi="Arial"/>
          <w:sz w:val="18"/>
          <w:szCs w:val="18"/>
          <w:color w:val="auto"/>
        </w:rPr>
      </w:pPr>
    </w:p>
    <w:p>
      <w:pPr>
        <w:ind w:left="2340" w:right="759" w:hanging="352"/>
        <w:spacing w:after="0" w:line="279" w:lineRule="auto"/>
        <w:tabs>
          <w:tab w:leader="none" w:pos="2340" w:val="left"/>
        </w:tabs>
        <w:numPr>
          <w:ilvl w:val="0"/>
          <w:numId w:val="71"/>
        </w:numPr>
        <w:rPr>
          <w:rFonts w:ascii="Arial" w:cs="Arial" w:eastAsia="Arial" w:hAnsi="Arial"/>
          <w:sz w:val="17"/>
          <w:szCs w:val="17"/>
          <w:color w:val="auto"/>
        </w:rPr>
      </w:pPr>
      <w:r>
        <w:rPr>
          <w:rFonts w:ascii="Arial" w:cs="Arial" w:eastAsia="Arial" w:hAnsi="Arial"/>
          <w:sz w:val="17"/>
          <w:szCs w:val="17"/>
          <w:i w:val="1"/>
          <w:iCs w:val="1"/>
          <w:u w:val="single" w:color="auto"/>
          <w:color w:val="auto"/>
        </w:rPr>
        <w:t>Session-based</w:t>
      </w:r>
      <w:r>
        <w:rPr>
          <w:rFonts w:ascii="Arial" w:cs="Arial" w:eastAsia="Arial" w:hAnsi="Arial"/>
          <w:sz w:val="17"/>
          <w:szCs w:val="17"/>
          <w:color w:val="auto"/>
        </w:rPr>
        <w:t>. The Sweep session-based platform allows clients to enter orders to be matched</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opposite orders at a specified time and price, concentrating market liquidity to a particular point in time. This leverages our broker relationships, Tradeweb technology, pricing from institutional and retail markets and the overall Tradeweb financial ecosystem</w:t>
      </w:r>
    </w:p>
    <w:p>
      <w:pPr>
        <w:spacing w:after="0" w:line="76" w:lineRule="exact"/>
        <w:rPr>
          <w:rFonts w:ascii="Arial" w:cs="Arial" w:eastAsia="Arial" w:hAnsi="Arial"/>
          <w:sz w:val="17"/>
          <w:szCs w:val="17"/>
          <w:color w:val="auto"/>
        </w:rPr>
      </w:pPr>
    </w:p>
    <w:p>
      <w:pPr>
        <w:ind w:left="2340" w:right="719" w:hanging="352"/>
        <w:spacing w:after="0" w:line="286" w:lineRule="auto"/>
        <w:tabs>
          <w:tab w:leader="none" w:pos="2340" w:val="left"/>
        </w:tabs>
        <w:numPr>
          <w:ilvl w:val="0"/>
          <w:numId w:val="71"/>
        </w:numPr>
        <w:rPr>
          <w:rFonts w:ascii="Arial" w:cs="Arial" w:eastAsia="Arial" w:hAnsi="Arial"/>
          <w:sz w:val="17"/>
          <w:szCs w:val="17"/>
          <w:color w:val="auto"/>
        </w:rPr>
      </w:pPr>
      <w:r>
        <w:rPr>
          <w:rFonts w:ascii="Arial" w:cs="Arial" w:eastAsia="Arial" w:hAnsi="Arial"/>
          <w:sz w:val="17"/>
          <w:szCs w:val="17"/>
          <w:i w:val="1"/>
          <w:iCs w:val="1"/>
          <w:u w:val="single" w:color="auto"/>
          <w:color w:val="auto"/>
        </w:rPr>
        <w:t>Central Limit Order Book</w:t>
      </w:r>
      <w:r>
        <w:rPr>
          <w:rFonts w:ascii="Arial" w:cs="Arial" w:eastAsia="Arial" w:hAnsi="Arial"/>
          <w:sz w:val="17"/>
          <w:szCs w:val="17"/>
          <w:i w:val="1"/>
          <w:iCs w:val="1"/>
          <w:color w:val="auto"/>
        </w:rPr>
        <w:t xml:space="preserve">. </w:t>
      </w:r>
      <w:r>
        <w:rPr>
          <w:rFonts w:ascii="Arial" w:cs="Arial" w:eastAsia="Arial" w:hAnsi="Arial"/>
          <w:sz w:val="17"/>
          <w:szCs w:val="17"/>
          <w:color w:val="auto"/>
        </w:rPr>
        <w:t>The central limit order book, or CLOB, is a continuous electronic</w:t>
      </w:r>
      <w:r>
        <w:rPr>
          <w:rFonts w:ascii="Arial" w:cs="Arial" w:eastAsia="Arial" w:hAnsi="Arial"/>
          <w:sz w:val="17"/>
          <w:szCs w:val="17"/>
          <w:i w:val="1"/>
          <w:iCs w:val="1"/>
          <w:color w:val="auto"/>
        </w:rPr>
        <w:t xml:space="preserve"> </w:t>
      </w:r>
      <w:r>
        <w:rPr>
          <w:rFonts w:ascii="Arial" w:cs="Arial" w:eastAsia="Arial" w:hAnsi="Arial"/>
          <w:sz w:val="17"/>
          <w:szCs w:val="17"/>
          <w:color w:val="auto"/>
        </w:rPr>
        <w:t>protocol that allows participants to trade on firm bids and offers from other participants, as well as enter their own resting bids and offers for display to the participants, typically anonymously.</w:t>
      </w:r>
    </w:p>
    <w:p>
      <w:pPr>
        <w:spacing w:after="0" w:line="70" w:lineRule="exact"/>
        <w:rPr>
          <w:rFonts w:ascii="Arial" w:cs="Arial" w:eastAsia="Arial" w:hAnsi="Arial"/>
          <w:sz w:val="17"/>
          <w:szCs w:val="17"/>
          <w:color w:val="auto"/>
        </w:rPr>
      </w:pPr>
    </w:p>
    <w:p>
      <w:pPr>
        <w:ind w:left="2340" w:right="859" w:hanging="352"/>
        <w:spacing w:after="0" w:line="273" w:lineRule="auto"/>
        <w:tabs>
          <w:tab w:leader="none" w:pos="2340" w:val="left"/>
        </w:tabs>
        <w:numPr>
          <w:ilvl w:val="0"/>
          <w:numId w:val="71"/>
        </w:numPr>
        <w:rPr>
          <w:rFonts w:ascii="Arial" w:cs="Arial" w:eastAsia="Arial" w:hAnsi="Arial"/>
          <w:sz w:val="17"/>
          <w:szCs w:val="17"/>
          <w:color w:val="auto"/>
        </w:rPr>
      </w:pPr>
      <w:r>
        <w:rPr>
          <w:rFonts w:ascii="Arial" w:cs="Arial" w:eastAsia="Arial" w:hAnsi="Arial"/>
          <w:sz w:val="17"/>
          <w:szCs w:val="17"/>
          <w:i w:val="1"/>
          <w:iCs w:val="1"/>
          <w:u w:val="single" w:color="auto"/>
          <w:color w:val="auto"/>
        </w:rPr>
        <w:t>Directed streams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directed streams protocol, which is currently used on our wholesale On-The-Run U.S. Treasury electronic platform, gives clients an efficient alternative to traditional voice and order book trading. Liquidity taking and liquidity 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83" w:lineRule="exact"/>
        <w:rPr>
          <w:rFonts w:ascii="Arial" w:cs="Arial" w:eastAsia="Arial" w:hAnsi="Arial"/>
          <w:sz w:val="17"/>
          <w:szCs w:val="17"/>
          <w:color w:val="auto"/>
        </w:rPr>
      </w:pPr>
    </w:p>
    <w:p>
      <w:pPr>
        <w:ind w:left="2340" w:right="899" w:hanging="352"/>
        <w:spacing w:after="0" w:line="275" w:lineRule="auto"/>
        <w:tabs>
          <w:tab w:leader="none" w:pos="2340" w:val="left"/>
        </w:tabs>
        <w:numPr>
          <w:ilvl w:val="0"/>
          <w:numId w:val="71"/>
        </w:numPr>
        <w:rPr>
          <w:rFonts w:ascii="Arial" w:cs="Arial" w:eastAsia="Arial" w:hAnsi="Arial"/>
          <w:sz w:val="17"/>
          <w:szCs w:val="17"/>
          <w:color w:val="auto"/>
        </w:rPr>
      </w:pPr>
      <w:r>
        <w:rPr>
          <w:rFonts w:ascii="Arial" w:cs="Arial" w:eastAsia="Arial" w:hAnsi="Arial"/>
          <w:sz w:val="17"/>
          <w:szCs w:val="17"/>
          <w:i w:val="1"/>
          <w:iCs w:val="1"/>
          <w:u w:val="single" w:color="auto"/>
          <w:color w:val="auto"/>
        </w:rPr>
        <w:t>Inventory-based</w:t>
      </w:r>
      <w:r>
        <w:rPr>
          <w:rFonts w:ascii="Arial" w:cs="Arial" w:eastAsia="Arial" w:hAnsi="Arial"/>
          <w:sz w:val="17"/>
          <w:szCs w:val="17"/>
          <w:i w:val="1"/>
          <w:iCs w:val="1"/>
          <w:color w:val="auto"/>
        </w:rPr>
        <w:t xml:space="preserve">. </w:t>
      </w:r>
      <w:r>
        <w:rPr>
          <w:rFonts w:ascii="Arial" w:cs="Arial" w:eastAsia="Arial" w:hAnsi="Arial"/>
          <w:sz w:val="17"/>
          <w:szCs w:val="17"/>
          <w:color w:val="auto"/>
        </w:rPr>
        <w:t>The inventory-based protocol allows clients providing liquidity to submit a</w:t>
      </w:r>
      <w:r>
        <w:rPr>
          <w:rFonts w:ascii="Arial" w:cs="Arial" w:eastAsia="Arial" w:hAnsi="Arial"/>
          <w:sz w:val="17"/>
          <w:szCs w:val="17"/>
          <w:i w:val="1"/>
          <w:iCs w:val="1"/>
          <w:color w:val="auto"/>
        </w:rPr>
        <w:t xml:space="preserve"> </w:t>
      </w:r>
      <w:r>
        <w:rPr>
          <w:rFonts w:ascii="Arial" w:cs="Arial" w:eastAsia="Arial" w:hAnsi="Arial"/>
          <w:sz w:val="17"/>
          <w:szCs w:val="17"/>
          <w:color w:val="auto"/>
        </w:rPr>
        <w:t>range of bids and offers for particular securities that a counterparty can then look to execute on. These prices are not necessarily updated in real-time but provide a good indication of where the counterparty is likely to complete the trade. This protocol is most commonly deployed in less liquid, security-specific markets, such as credit and some money markets.</w:t>
      </w:r>
    </w:p>
    <w:p>
      <w:pPr>
        <w:spacing w:after="0" w:line="81" w:lineRule="exact"/>
        <w:rPr>
          <w:rFonts w:ascii="Arial" w:cs="Arial" w:eastAsia="Arial" w:hAnsi="Arial"/>
          <w:sz w:val="17"/>
          <w:szCs w:val="17"/>
          <w:color w:val="auto"/>
        </w:rPr>
      </w:pPr>
    </w:p>
    <w:p>
      <w:pPr>
        <w:ind w:left="2340" w:right="699" w:hanging="352"/>
        <w:spacing w:after="0" w:line="263" w:lineRule="auto"/>
        <w:tabs>
          <w:tab w:leader="none" w:pos="2340" w:val="left"/>
        </w:tabs>
        <w:numPr>
          <w:ilvl w:val="0"/>
          <w:numId w:val="71"/>
        </w:numPr>
        <w:rPr>
          <w:rFonts w:ascii="Arial" w:cs="Arial" w:eastAsia="Arial" w:hAnsi="Arial"/>
          <w:sz w:val="18"/>
          <w:szCs w:val="18"/>
          <w:color w:val="auto"/>
        </w:rPr>
      </w:pPr>
      <w:r>
        <w:rPr>
          <w:rFonts w:ascii="Arial" w:cs="Arial" w:eastAsia="Arial" w:hAnsi="Arial"/>
          <w:sz w:val="18"/>
          <w:szCs w:val="18"/>
          <w:i w:val="1"/>
          <w:iCs w:val="1"/>
          <w:u w:val="single" w:color="auto"/>
          <w:color w:val="auto"/>
        </w:rPr>
        <w:t>Voice</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products still trade via voice intermediation in the wholesale markets. Voice</w:t>
      </w:r>
      <w:r>
        <w:rPr>
          <w:rFonts w:ascii="Arial" w:cs="Arial" w:eastAsia="Arial" w:hAnsi="Arial"/>
          <w:sz w:val="18"/>
          <w:szCs w:val="18"/>
          <w:i w:val="1"/>
          <w:iCs w:val="1"/>
          <w:color w:val="auto"/>
        </w:rPr>
        <w:t xml:space="preserve"> </w:t>
      </w:r>
      <w:r>
        <w:rPr>
          <w:rFonts w:ascii="Arial" w:cs="Arial" w:eastAsia="Arial" w:hAnsi="Arial"/>
          <w:sz w:val="18"/>
          <w:szCs w:val="18"/>
          <w:color w:val="auto"/>
        </w:rPr>
        <w:t>brokers provide anonymity and insight for sell side traders and give Tradeweb valuable high touch relationships and market understanding and access.</w:t>
      </w:r>
    </w:p>
    <w:p>
      <w:pPr>
        <w:spacing w:after="0" w:line="76" w:lineRule="exact"/>
        <w:rPr>
          <w:sz w:val="20"/>
          <w:szCs w:val="20"/>
          <w:color w:val="auto"/>
        </w:rPr>
      </w:pPr>
    </w:p>
    <w:p>
      <w:pPr>
        <w:ind w:left="1980" w:right="699"/>
        <w:spacing w:after="0" w:line="272" w:lineRule="auto"/>
        <w:rPr>
          <w:sz w:val="20"/>
          <w:szCs w:val="20"/>
          <w:color w:val="auto"/>
        </w:rPr>
      </w:pPr>
      <w:r>
        <w:rPr>
          <w:rFonts w:ascii="Arial" w:cs="Arial" w:eastAsia="Arial" w:hAnsi="Arial"/>
          <w:sz w:val="17"/>
          <w:szCs w:val="17"/>
          <w:color w:val="auto"/>
        </w:rPr>
        <w:t>Tradeweb Automated Intelligent Execution, or AiEX, is an innovative automated trading technology that allows market participants to execute large volumes of trade tickets at high speed using pre-programmed execution rules that are tailored to the client’s trading strategy. Clients use AiEX to efficiently automate high volumes of small, basic trades to free up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79" w:lineRule="exact"/>
        <w:rPr>
          <w:sz w:val="20"/>
          <w:szCs w:val="20"/>
          <w:color w:val="auto"/>
        </w:rPr>
      </w:pPr>
    </w:p>
    <w:p>
      <w:pPr>
        <w:ind w:left="1980" w:right="679" w:hanging="352"/>
        <w:spacing w:after="0" w:line="289" w:lineRule="auto"/>
        <w:tabs>
          <w:tab w:leader="none" w:pos="1980"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Trade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Our trade processing technology allows our clients to increase productivity,</w:t>
      </w:r>
      <w:r>
        <w:rPr>
          <w:rFonts w:ascii="Arial" w:cs="Arial" w:eastAsia="Arial" w:hAnsi="Arial"/>
          <w:sz w:val="16"/>
          <w:szCs w:val="16"/>
          <w:b w:val="1"/>
          <w:bCs w:val="1"/>
          <w:color w:val="auto"/>
        </w:rPr>
        <w:t xml:space="preserve"> </w:t>
      </w:r>
      <w:r>
        <w:rPr>
          <w:rFonts w:ascii="Arial" w:cs="Arial" w:eastAsia="Arial" w:hAnsi="Arial"/>
          <w:sz w:val="16"/>
          <w:szCs w:val="16"/>
          <w:color w:val="auto"/>
        </w:rPr>
        <w:t>reduce risk and improve overall performance. Our post-trade solutions allow clients to allocate their trades electronically, including storing and communicating organizational and sub-account settlement, identity and confirmation preference information for processing securities. Our post-trade solutions also make it easier for clients to allocate electronic or phone-executed trades and communicate trade settlement information to dealers, prime brokers, fund administrators and confirmation vendors. Additionally, clients can send trades to clearing and reporting in real-time via third-party middleware or Tradeweb developed direct links. We work side by side with numerous industry partners to achieve direct server-to-server connections. By eliminating manual re-entry of trade and allocation information, our solutions assist clients in reducing fails and saving time, effort and money.</w:t>
      </w:r>
    </w:p>
    <w:p>
      <w:pPr>
        <w:spacing w:after="0" w:line="66" w:lineRule="exact"/>
        <w:rPr>
          <w:rFonts w:ascii="Arial" w:cs="Arial" w:eastAsia="Arial" w:hAnsi="Arial"/>
          <w:sz w:val="16"/>
          <w:szCs w:val="16"/>
          <w:color w:val="auto"/>
        </w:rPr>
      </w:pPr>
    </w:p>
    <w:p>
      <w:pPr>
        <w:ind w:left="1980" w:right="839" w:hanging="352"/>
        <w:spacing w:after="0" w:line="292" w:lineRule="auto"/>
        <w:tabs>
          <w:tab w:leader="none" w:pos="1980"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Post-Trade Data, Analytics and Reporting</w:t>
      </w:r>
      <w:r>
        <w:rPr>
          <w:rFonts w:ascii="Arial" w:cs="Arial" w:eastAsia="Arial" w:hAnsi="Arial"/>
          <w:sz w:val="16"/>
          <w:szCs w:val="16"/>
          <w:b w:val="1"/>
          <w:bCs w:val="1"/>
          <w:color w:val="auto"/>
        </w:rPr>
        <w:t xml:space="preserve">: </w:t>
      </w:r>
      <w:r>
        <w:rPr>
          <w:rFonts w:ascii="Arial" w:cs="Arial" w:eastAsia="Arial" w:hAnsi="Arial"/>
          <w:sz w:val="16"/>
          <w:szCs w:val="16"/>
          <w:color w:val="auto"/>
        </w:rPr>
        <w:t>Our comprehensive post-trade services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cost analysis, or TCA, best execution 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reports provide a summary of trading activity including detailed exception reports, price benchmarking and peer group comparisons. In response to MiFID II, we also launched an Approved Publication Arrangement service, or APA,</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980" w:right="679"/>
        <w:spacing w:after="0" w:line="259" w:lineRule="auto"/>
        <w:rPr>
          <w:sz w:val="20"/>
          <w:szCs w:val="20"/>
          <w:color w:val="auto"/>
        </w:rPr>
      </w:pPr>
      <w:r>
        <w:rPr>
          <w:rFonts w:ascii="Arial" w:cs="Arial" w:eastAsia="Arial" w:hAnsi="Arial"/>
          <w:sz w:val="18"/>
          <w:szCs w:val="18"/>
          <w:color w:val="auto"/>
        </w:rPr>
        <w:t>to allow market participants to meet post-trade transparency requirements for off-venue trading activity. Our APA provides regulatory pre-trade and post-trade reporting across all asset classes including those not covered by Tradeweb. The APA also provides venue reporting for clients for Refinitiv’s FX venues and Forte Securities.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Strategic Alliances</w:t>
      </w:r>
    </w:p>
    <w:p>
      <w:pPr>
        <w:spacing w:after="0" w:line="108"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As part of our culture of collaborative innovation, throughout our history we have also initiated several formal strategic alliances. These alliances have taken several forms, including distribution partnerships, technological alliances and revenue sharing and other financial arrangements. The alliances have allowed us to accelerate our entry into certain new markets, leverage scale of other parties or simply maximize opportunities through joint projects.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left="1260" w:right="719" w:firstLine="360"/>
        <w:spacing w:after="0" w:line="288" w:lineRule="auto"/>
        <w:rPr>
          <w:sz w:val="20"/>
          <w:szCs w:val="20"/>
          <w:color w:val="auto"/>
        </w:rPr>
      </w:pPr>
      <w:r>
        <w:rPr>
          <w:rFonts w:ascii="Arial" w:cs="Arial" w:eastAsia="Arial" w:hAnsi="Arial"/>
          <w:sz w:val="16"/>
          <w:szCs w:val="16"/>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for educating clients more broadly on the benefits of electronic trading, including how to optimize their trading performance and efficiency through our various trading protocols.</w:t>
      </w:r>
    </w:p>
    <w:p>
      <w:pPr>
        <w:spacing w:after="0" w:line="6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Given the breadth of our global client network, trading volume activity and engagement with regulatory bodies, we regularly work to help educate market participants on market trends,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87"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Additionally, we employ various marketing strategies to strengthen our brand position and explain our offerings, including our public website, advertising, digital and social media, earned media, direct marketing, promotional mailings, industry conferences and hosted events.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markets for our solutions continue to evolve and are competitive in the asset classes and geographies in which we operate. We compete with a broad range of market participants globally. Some of these market participants can compete in a particular market, while select others compete against the entire spectrum of our offerings and solutions. In addition, there are other companies that have the platform breadth and global reach that we provide. We believe that our comprehensive offerings, global reach and broad network increasingly differentiate us from other market participants.</w:t>
      </w:r>
    </w:p>
    <w:p>
      <w:pPr>
        <w:spacing w:after="0" w:line="84"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We primarily compete on the basis of our expansive client network, domain expertise, breadth of platform and ease of integration with our client’s technology. We face six main areas of competition:</w:t>
      </w:r>
    </w:p>
    <w:p>
      <w:pPr>
        <w:spacing w:after="0" w:line="115" w:lineRule="exact"/>
        <w:rPr>
          <w:sz w:val="20"/>
          <w:szCs w:val="20"/>
          <w:color w:val="auto"/>
        </w:rPr>
      </w:pPr>
    </w:p>
    <w:p>
      <w:pPr>
        <w:ind w:left="1980" w:right="739" w:hanging="352"/>
        <w:spacing w:after="0" w:line="273" w:lineRule="auto"/>
        <w:tabs>
          <w:tab w:leader="none" w:pos="1980" w:val="left"/>
        </w:tabs>
        <w:numPr>
          <w:ilvl w:val="0"/>
          <w:numId w:val="73"/>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electronic trading platforms</w:t>
      </w:r>
      <w:r>
        <w:rPr>
          <w:rFonts w:ascii="Arial" w:cs="Arial" w:eastAsia="Arial" w:hAnsi="Arial"/>
          <w:sz w:val="17"/>
          <w:szCs w:val="17"/>
          <w:b w:val="1"/>
          <w:bCs w:val="1"/>
          <w:color w:val="auto"/>
        </w:rPr>
        <w:t xml:space="preserve">: </w:t>
      </w:r>
      <w:r>
        <w:rPr>
          <w:rFonts w:ascii="Arial" w:cs="Arial" w:eastAsia="Arial" w:hAnsi="Arial"/>
          <w:sz w:val="17"/>
          <w:szCs w:val="17"/>
          <w:color w:val="auto"/>
        </w:rPr>
        <w:t>We compete with a number of other electronic trading venues.</w:t>
      </w:r>
      <w:r>
        <w:rPr>
          <w:rFonts w:ascii="Arial" w:cs="Arial" w:eastAsia="Arial" w:hAnsi="Arial"/>
          <w:sz w:val="17"/>
          <w:szCs w:val="17"/>
          <w:b w:val="1"/>
          <w:bCs w:val="1"/>
          <w:color w:val="auto"/>
        </w:rPr>
        <w:t xml:space="preserve"> </w:t>
      </w:r>
      <w:r>
        <w:rPr>
          <w:rFonts w:ascii="Arial" w:cs="Arial" w:eastAsia="Arial" w:hAnsi="Arial"/>
          <w:sz w:val="17"/>
          <w:szCs w:val="17"/>
          <w:color w:val="auto"/>
        </w:rPr>
        <w:t>These include MarketAxess, Bloomberg, London Stock Exchange Group (“LSEG”) (MTS BondsPro), Intercontinental Exchange (“ICE”) (Bondpoint, TMC Bonds, Creditex) and others in the credit and municipal markets and Bloomberg, LSEG (MTS BondVision), Nasdaq (Nasdaq Fixed Income), CME (NEX), and others in the rates markets and derivatives markets, and ITG (RFQ-hub) and Bloomberg in the equities and ETF markets. Additionally, new platform providers have entered the market, such as Trumid, trueEX, LiquidityEdge and Liquidnet.</w:t>
      </w: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980" w:right="819" w:hanging="352"/>
        <w:spacing w:after="0" w:line="294" w:lineRule="auto"/>
        <w:tabs>
          <w:tab w:leader="none" w:pos="1980"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Exchanges</w:t>
      </w:r>
      <w:r>
        <w:rPr>
          <w:rFonts w:ascii="Arial" w:cs="Arial" w:eastAsia="Arial" w:hAnsi="Arial"/>
          <w:sz w:val="16"/>
          <w:szCs w:val="16"/>
          <w:b w:val="1"/>
          <w:bCs w:val="1"/>
          <w:color w:val="auto"/>
        </w:rPr>
        <w:t xml:space="preserve">: </w:t>
      </w:r>
      <w:r>
        <w:rPr>
          <w:rFonts w:ascii="Arial" w:cs="Arial" w:eastAsia="Arial" w:hAnsi="Arial"/>
          <w:sz w:val="16"/>
          <w:szCs w:val="16"/>
          <w:color w:val="auto"/>
        </w:rPr>
        <w:t>In recent years, exchanges have pursued acquisitions that have put them in competition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Tradeweb. For example in 2017 and 2018, ICE acquired BondPoint and TMC Bonds (retail-focused platforms), respectively, in an effort to expand its portfolio of fixed income products and services and acquired IDC, a provider of fixed income data. CME and Nasdaq also operate exchanges that compete with us. Exchanges also have data and analytics relationships with several market participants, which increasingly put their offerings in direct competition with Tradeweb.</w:t>
      </w:r>
    </w:p>
    <w:p>
      <w:pPr>
        <w:spacing w:after="0" w:line="119" w:lineRule="exact"/>
        <w:rPr>
          <w:rFonts w:ascii="Arial" w:cs="Arial" w:eastAsia="Arial" w:hAnsi="Arial"/>
          <w:sz w:val="16"/>
          <w:szCs w:val="16"/>
          <w:color w:val="auto"/>
        </w:rPr>
      </w:pPr>
    </w:p>
    <w:p>
      <w:pPr>
        <w:ind w:left="1980" w:right="699" w:hanging="352"/>
        <w:spacing w:after="0" w:line="298" w:lineRule="auto"/>
        <w:tabs>
          <w:tab w:leader="none" w:pos="1980"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Inter-dealer brokers</w:t>
      </w:r>
      <w:r>
        <w:rPr>
          <w:rFonts w:ascii="Arial" w:cs="Arial" w:eastAsia="Arial" w:hAnsi="Arial"/>
          <w:sz w:val="16"/>
          <w:szCs w:val="16"/>
          <w:b w:val="1"/>
          <w:bCs w:val="1"/>
          <w:color w:val="auto"/>
        </w:rPr>
        <w:t xml:space="preserve">: </w:t>
      </w:r>
      <w:r>
        <w:rPr>
          <w:rFonts w:ascii="Arial" w:cs="Arial" w:eastAsia="Arial" w:hAnsi="Arial"/>
          <w:sz w:val="16"/>
          <w:szCs w:val="16"/>
          <w:color w:val="auto"/>
        </w:rPr>
        <w:t>We compete with inter-dealer brokers, particularly in wholesale markets in</w:t>
      </w:r>
      <w:r>
        <w:rPr>
          <w:rFonts w:ascii="Arial" w:cs="Arial" w:eastAsia="Arial" w:hAnsi="Arial"/>
          <w:sz w:val="16"/>
          <w:szCs w:val="16"/>
          <w:b w:val="1"/>
          <w:bCs w:val="1"/>
          <w:color w:val="auto"/>
        </w:rPr>
        <w:t xml:space="preserve"> </w:t>
      </w:r>
      <w:r>
        <w:rPr>
          <w:rFonts w:ascii="Arial" w:cs="Arial" w:eastAsia="Arial" w:hAnsi="Arial"/>
          <w:sz w:val="16"/>
          <w:szCs w:val="16"/>
          <w:color w:val="auto"/>
        </w:rPr>
        <w:t>asset classes such as MBS, U.S. Treasuries, U.S. Repo and products traded on SEFs. Major competitors include TP ICAP, BGC Partners and Tradition. Many of these firms offer voice, electronic and hybrid trading protocols. As larger, full service inter-dealer brokers have consolidated, numerous boutique firms and alternative electronic start-ups are attempting to capture select market sectors.</w:t>
      </w:r>
    </w:p>
    <w:p>
      <w:pPr>
        <w:spacing w:after="0" w:line="113" w:lineRule="exact"/>
        <w:rPr>
          <w:rFonts w:ascii="Arial" w:cs="Arial" w:eastAsia="Arial" w:hAnsi="Arial"/>
          <w:sz w:val="16"/>
          <w:szCs w:val="16"/>
          <w:color w:val="auto"/>
        </w:rPr>
      </w:pPr>
    </w:p>
    <w:p>
      <w:pPr>
        <w:ind w:left="1980" w:right="739" w:hanging="352"/>
        <w:spacing w:after="0" w:line="261"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Single-bank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Major global and regional investment and commercial banks offer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electronic trade execution through proprietary systems. Many of these banks expend considerable resources on product development, sales and support to promote their single-bank systems.</w:t>
      </w:r>
    </w:p>
    <w:p>
      <w:pPr>
        <w:spacing w:after="0" w:line="152" w:lineRule="exact"/>
        <w:rPr>
          <w:rFonts w:ascii="Arial" w:cs="Arial" w:eastAsia="Arial" w:hAnsi="Arial"/>
          <w:sz w:val="18"/>
          <w:szCs w:val="18"/>
          <w:color w:val="auto"/>
        </w:rPr>
      </w:pPr>
    </w:p>
    <w:p>
      <w:pPr>
        <w:ind w:left="1980" w:right="719" w:hanging="352"/>
        <w:spacing w:after="0" w:line="303" w:lineRule="auto"/>
        <w:tabs>
          <w:tab w:leader="none" w:pos="1980"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Dealers</w:t>
      </w:r>
      <w:r>
        <w:rPr>
          <w:rFonts w:ascii="Arial" w:cs="Arial" w:eastAsia="Arial" w:hAnsi="Arial"/>
          <w:sz w:val="16"/>
          <w:szCs w:val="16"/>
          <w:b w:val="1"/>
          <w:bCs w:val="1"/>
          <w:color w:val="auto"/>
        </w:rPr>
        <w:t xml:space="preserve">: </w:t>
      </w:r>
      <w:r>
        <w:rPr>
          <w:rFonts w:ascii="Arial" w:cs="Arial" w:eastAsia="Arial" w:hAnsi="Arial"/>
          <w:sz w:val="16"/>
          <w:szCs w:val="16"/>
          <w:color w:val="auto"/>
        </w:rPr>
        <w:t>Many of our markets are still traded through traditional voice-based protocols. Institutional</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investors have 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10" w:lineRule="exact"/>
        <w:rPr>
          <w:rFonts w:ascii="Arial" w:cs="Arial" w:eastAsia="Arial" w:hAnsi="Arial"/>
          <w:sz w:val="16"/>
          <w:szCs w:val="16"/>
          <w:color w:val="auto"/>
        </w:rPr>
      </w:pPr>
    </w:p>
    <w:p>
      <w:pPr>
        <w:ind w:left="1980" w:right="779" w:hanging="352"/>
        <w:spacing w:after="0" w:line="261"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data and information vendors</w:t>
      </w:r>
      <w:r>
        <w:rPr>
          <w:rFonts w:ascii="Arial" w:cs="Arial" w:eastAsia="Arial" w:hAnsi="Arial"/>
          <w:sz w:val="18"/>
          <w:szCs w:val="18"/>
          <w:b w:val="1"/>
          <w:bCs w:val="1"/>
          <w:color w:val="auto"/>
        </w:rPr>
        <w:t xml:space="preserve">: </w:t>
      </w:r>
      <w:r>
        <w:rPr>
          <w:rFonts w:ascii="Arial" w:cs="Arial" w:eastAsia="Arial" w:hAnsi="Arial"/>
          <w:sz w:val="18"/>
          <w:szCs w:val="18"/>
          <w:color w:val="auto"/>
        </w:rPr>
        <w:t>Market data and information providers such as Bloomberg,</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Interactive Data Corporation (now part of ICE) and IHS Markit have a pervasive presence across the financial trading community. Their data and pre-and post-trade analytics compete with offerings we provide to support trading on our marketplaces.</w:t>
      </w:r>
    </w:p>
    <w:p>
      <w:pPr>
        <w:spacing w:after="0" w:line="76" w:lineRule="exact"/>
        <w:rPr>
          <w:sz w:val="20"/>
          <w:szCs w:val="20"/>
          <w:color w:val="auto"/>
        </w:rPr>
      </w:pPr>
    </w:p>
    <w:p>
      <w:pPr>
        <w:jc w:val="both"/>
        <w:ind w:left="1260" w:right="859" w:firstLine="360"/>
        <w:spacing w:after="0" w:line="311" w:lineRule="auto"/>
        <w:rPr>
          <w:sz w:val="20"/>
          <w:szCs w:val="20"/>
          <w:color w:val="auto"/>
        </w:rPr>
      </w:pPr>
      <w:r>
        <w:rPr>
          <w:rFonts w:ascii="Arial" w:cs="Arial" w:eastAsia="Arial" w:hAnsi="Arial"/>
          <w:sz w:val="16"/>
          <w:szCs w:val="16"/>
          <w:color w:val="auto"/>
        </w:rPr>
        <w:t>We face intense competition, and we expect competition with a broad range of competitors to continue to intensify in the future. See “Risk Factors — Risks Relating to Our Business and Industry — Failure to compete successfully could materially adversely affect our business, financial condition and results of operations.”</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Proprietary Technology</w:t>
      </w:r>
    </w:p>
    <w:p>
      <w:pPr>
        <w:spacing w:after="0" w:line="10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Over the past 20 years, we have collaborated with our clients to continually innovate and evolve with the structure of our markets. This collaboration enables us to remain agile across client sectors, geographies and asset classes providing speed to market and a distinct cost and innovation advantage to our clients.</w:t>
      </w:r>
    </w:p>
    <w:p>
      <w:pPr>
        <w:spacing w:after="0" w:line="57"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76"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transactions in our highest volume products.</w:t>
      </w:r>
    </w:p>
    <w:p>
      <w:pPr>
        <w:spacing w:after="0" w:line="79" w:lineRule="exact"/>
        <w:rPr>
          <w:sz w:val="20"/>
          <w:szCs w:val="20"/>
          <w:color w:val="auto"/>
        </w:rPr>
      </w:pPr>
    </w:p>
    <w:p>
      <w:pPr>
        <w:jc w:val="both"/>
        <w:ind w:left="1260" w:right="879" w:firstLine="360"/>
        <w:spacing w:after="0" w:line="263" w:lineRule="auto"/>
        <w:rPr>
          <w:sz w:val="20"/>
          <w:szCs w:val="20"/>
          <w:color w:val="auto"/>
        </w:rPr>
      </w:pPr>
      <w:r>
        <w:rPr>
          <w:rFonts w:ascii="Arial" w:cs="Arial" w:eastAsia="Arial" w:hAnsi="Arial"/>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139" w:lineRule="exact"/>
        <w:rPr>
          <w:sz w:val="20"/>
          <w:szCs w:val="20"/>
          <w:color w:val="auto"/>
        </w:rPr>
      </w:pPr>
    </w:p>
    <w:p>
      <w:pPr>
        <w:jc w:val="both"/>
        <w:ind w:left="1980" w:right="759" w:hanging="352"/>
        <w:spacing w:after="0" w:line="314" w:lineRule="auto"/>
        <w:tabs>
          <w:tab w:leader="none" w:pos="1980" w:val="left"/>
        </w:tabs>
        <w:numPr>
          <w:ilvl w:val="0"/>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Nimble product development in collaboration with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Our approach to 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facilitates continuous releases of important product features. This allows us to be opportunistic in what we decide to release at any point in time and inject newly discovered opportunities into the</w:t>
      </w: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19"/>
        <w:spacing w:after="0" w:line="342" w:lineRule="auto"/>
        <w:rPr>
          <w:sz w:val="20"/>
          <w:szCs w:val="20"/>
          <w:color w:val="auto"/>
        </w:rPr>
      </w:pPr>
      <w:r>
        <w:rPr>
          <w:rFonts w:ascii="Arial" w:cs="Arial" w:eastAsia="Arial" w:hAnsi="Arial"/>
          <w:sz w:val="16"/>
          <w:szCs w:val="16"/>
          <w:color w:val="auto"/>
        </w:rPr>
        <w:t>trade lifecycle. We have designed our platforms to be component-based and modular. New components can be built quickly and have detailed monitoring and command capabilities embedded.</w:t>
      </w:r>
    </w:p>
    <w:p>
      <w:pPr>
        <w:spacing w:after="0" w:line="93" w:lineRule="exact"/>
        <w:rPr>
          <w:sz w:val="20"/>
          <w:szCs w:val="20"/>
          <w:color w:val="auto"/>
        </w:rPr>
      </w:pPr>
    </w:p>
    <w:p>
      <w:pPr>
        <w:ind w:left="1980" w:right="699" w:hanging="352"/>
        <w:spacing w:after="0" w:line="258" w:lineRule="auto"/>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Scalable architecture</w:t>
      </w:r>
      <w:r>
        <w:rPr>
          <w:rFonts w:ascii="Arial" w:cs="Arial" w:eastAsia="Arial" w:hAnsi="Arial"/>
          <w:sz w:val="18"/>
          <w:szCs w:val="18"/>
          <w:b w:val="1"/>
          <w:bCs w:val="1"/>
          <w:color w:val="auto"/>
        </w:rPr>
        <w:t xml:space="preserve">: </w:t>
      </w:r>
      <w:r>
        <w:rPr>
          <w:rFonts w:ascii="Arial" w:cs="Arial" w:eastAsia="Arial" w:hAnsi="Arial"/>
          <w:sz w:val="18"/>
          <w:szCs w:val="18"/>
          <w:color w:val="auto"/>
        </w:rPr>
        <w:t>Our scalable architecture was designed to address increased trading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evolving market structures in a cost 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142" w:lineRule="exact"/>
        <w:rPr>
          <w:rFonts w:ascii="Arial" w:cs="Arial" w:eastAsia="Arial" w:hAnsi="Arial"/>
          <w:sz w:val="18"/>
          <w:szCs w:val="18"/>
          <w:color w:val="auto"/>
        </w:rPr>
      </w:pPr>
    </w:p>
    <w:p>
      <w:pPr>
        <w:ind w:left="1980" w:right="859" w:hanging="352"/>
        <w:spacing w:after="0" w:line="281" w:lineRule="auto"/>
        <w:tabs>
          <w:tab w:leader="none" w:pos="1980" w:val="left"/>
        </w:tabs>
        <w:numPr>
          <w:ilvl w:val="0"/>
          <w:numId w:val="76"/>
        </w:numPr>
        <w:rPr>
          <w:rFonts w:ascii="Arial" w:cs="Arial" w:eastAsia="Arial" w:hAnsi="Arial"/>
          <w:sz w:val="17"/>
          <w:szCs w:val="17"/>
          <w:color w:val="auto"/>
        </w:rPr>
      </w:pPr>
      <w:r>
        <w:rPr>
          <w:rFonts w:ascii="Arial" w:cs="Arial" w:eastAsia="Arial" w:hAnsi="Arial"/>
          <w:sz w:val="17"/>
          <w:szCs w:val="17"/>
          <w:b w:val="1"/>
          <w:bCs w:val="1"/>
          <w:u w:val="single" w:color="auto"/>
          <w:color w:val="auto"/>
        </w:rPr>
        <w:t>Strong disaster recovery and business continuity planning</w:t>
      </w:r>
      <w:r>
        <w:rPr>
          <w:rFonts w:ascii="Arial" w:cs="Arial" w:eastAsia="Arial" w:hAnsi="Arial"/>
          <w:sz w:val="17"/>
          <w:szCs w:val="17"/>
          <w:b w:val="1"/>
          <w:bCs w:val="1"/>
          <w:color w:val="auto"/>
        </w:rPr>
        <w:t xml:space="preserve">: </w:t>
      </w:r>
      <w:r>
        <w:rPr>
          <w:rFonts w:ascii="Arial" w:cs="Arial" w:eastAsia="Arial" w:hAnsi="Arial"/>
          <w:sz w:val="17"/>
          <w:szCs w:val="17"/>
          <w:color w:val="auto"/>
        </w:rPr>
        <w:t>We maintain redundant networks,</w:t>
      </w:r>
      <w:r>
        <w:rPr>
          <w:rFonts w:ascii="Arial" w:cs="Arial" w:eastAsia="Arial" w:hAnsi="Arial"/>
          <w:sz w:val="17"/>
          <w:szCs w:val="17"/>
          <w:b w:val="1"/>
          <w:bCs w:val="1"/>
          <w:color w:val="auto"/>
        </w:rPr>
        <w:t xml:space="preserve"> </w:t>
      </w:r>
      <w:r>
        <w:rPr>
          <w:rFonts w:ascii="Arial" w:cs="Arial" w:eastAsia="Arial" w:hAnsi="Arial"/>
          <w:sz w:val="17"/>
          <w:szCs w:val="17"/>
          <w:color w:val="auto"/>
        </w:rPr>
        <w:t>hardware, data centers and alternate operational facilities to address interruptions. We have eight datacenters across the United States, the United Kingdom and Japan. Our data center infrastructure is designed to be resilient and responsive with built-in redundancies.</w:t>
      </w:r>
    </w:p>
    <w:p>
      <w:pPr>
        <w:spacing w:after="0" w:line="60" w:lineRule="exact"/>
        <w:rPr>
          <w:rFonts w:ascii="Arial" w:cs="Arial" w:eastAsia="Arial" w:hAnsi="Arial"/>
          <w:sz w:val="17"/>
          <w:szCs w:val="17"/>
          <w:color w:val="auto"/>
        </w:rPr>
      </w:pPr>
    </w:p>
    <w:p>
      <w:pPr>
        <w:ind w:left="1980" w:right="699"/>
        <w:spacing w:after="0" w:line="288" w:lineRule="auto"/>
        <w:rPr>
          <w:rFonts w:ascii="Arial" w:cs="Arial" w:eastAsia="Arial" w:hAnsi="Arial"/>
          <w:sz w:val="17"/>
          <w:szCs w:val="17"/>
          <w:color w:val="auto"/>
        </w:rPr>
      </w:pPr>
      <w:r>
        <w:rPr>
          <w:rFonts w:ascii="Arial" w:cs="Arial" w:eastAsia="Arial" w:hAnsi="Arial"/>
          <w:sz w:val="16"/>
          <w:szCs w:val="16"/>
          <w:color w:val="auto"/>
        </w:rPr>
        <w:t>We have put in place business continuity plans in the event of a significant business disruption or disaster recovery situation to ensure the safety of all employees and resilience of critical systems required for normal operations. The plans cover a range of scenarios and adhere to industry standards and regulatory mandates as outlined by the Interagency Paper on Sound Practices to Strengthen the Resilience of the U.S. Financial System, the SEC’s Regulation Systems Compliance and Integrity,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123" w:lineRule="exact"/>
        <w:rPr>
          <w:rFonts w:ascii="Arial" w:cs="Arial" w:eastAsia="Arial" w:hAnsi="Arial"/>
          <w:sz w:val="17"/>
          <w:szCs w:val="17"/>
          <w:color w:val="auto"/>
        </w:rPr>
      </w:pPr>
    </w:p>
    <w:p>
      <w:pPr>
        <w:ind w:left="1980" w:right="779" w:hanging="352"/>
        <w:spacing w:after="0" w:line="269" w:lineRule="auto"/>
        <w:tabs>
          <w:tab w:leader="none" w:pos="1980" w:val="left"/>
        </w:tabs>
        <w:numPr>
          <w:ilvl w:val="0"/>
          <w:numId w:val="76"/>
        </w:numPr>
        <w:rPr>
          <w:rFonts w:ascii="Arial" w:cs="Arial" w:eastAsia="Arial" w:hAnsi="Arial"/>
          <w:sz w:val="17"/>
          <w:szCs w:val="17"/>
          <w:color w:val="auto"/>
        </w:rPr>
      </w:pPr>
      <w:r>
        <w:rPr>
          <w:rFonts w:ascii="Arial" w:cs="Arial" w:eastAsia="Arial" w:hAnsi="Arial"/>
          <w:sz w:val="17"/>
          <w:szCs w:val="17"/>
          <w:b w:val="1"/>
          <w:bCs w:val="1"/>
          <w:u w:val="single" w:color="auto"/>
          <w:color w:val="auto"/>
        </w:rPr>
        <w:t>Ongoing security, system monitoring and alerting</w:t>
      </w:r>
      <w:r>
        <w:rPr>
          <w:rFonts w:ascii="Arial" w:cs="Arial" w:eastAsia="Arial" w:hAnsi="Arial"/>
          <w:sz w:val="17"/>
          <w:szCs w:val="17"/>
          <w:b w:val="1"/>
          <w:bCs w:val="1"/>
          <w:color w:val="auto"/>
        </w:rPr>
        <w:t xml:space="preserve">: </w:t>
      </w:r>
      <w:r>
        <w:rPr>
          <w:rFonts w:ascii="Arial" w:cs="Arial" w:eastAsia="Arial" w:hAnsi="Arial"/>
          <w:sz w:val="17"/>
          <w:szCs w:val="17"/>
          <w:color w:val="auto"/>
        </w:rPr>
        <w:t>We prioritize security throughout our</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platforms, operations and software development. We make architectural, design and implementation choices to structurally address security risks, such as logical and physical access controls, perimeter firewall protection and embedded security processes in our systems development lifecycle. Our cyber security program is based on the National Institute of Standards and Technology Cyber Security Framework (the “Framework”). The Framework consists of standards, guidelines and best practices to manage cybersecurity-related risks and promote the protection and resilience of critical infrastructure. Our Global Chief Information Security Officer leads a qualified cyber security team in assessing, managing and reducing the relevant risks to assure critical operations and continuous delivery of service. We constantly monitor connectivity, and our global operations team is alerted if there are any suspect events.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left="1260" w:right="1079" w:firstLine="360"/>
        <w:spacing w:after="0" w:line="263" w:lineRule="auto"/>
        <w:rPr>
          <w:sz w:val="20"/>
          <w:szCs w:val="20"/>
          <w:color w:val="auto"/>
        </w:rPr>
      </w:pPr>
      <w:r>
        <w:rPr>
          <w:rFonts w:ascii="Arial" w:cs="Arial" w:eastAsia="Arial" w:hAnsi="Arial"/>
          <w:sz w:val="18"/>
          <w:szCs w:val="18"/>
          <w:color w:val="auto"/>
        </w:rPr>
        <w:t>Like most companies that develop their technology in-house, we rely upon a combination of copyright, patent, trade secret and trademark laws, written agreements and common law to protect our proprietary technology, processes and other intellectual property.</w:t>
      </w:r>
    </w:p>
    <w:p>
      <w:pPr>
        <w:spacing w:after="0" w:line="76"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To that end, we have patents or patents pending in the United States and other jurisdictions related to price discovery, order execution and trade workflows including but not limited to pre-trade activities, market data scenarios, market data distribution, electronic data interchange, financial valuation, detecting trading opportunities, financial matching, order matching, order routing, pool trading, database, search, electronic messaging, prime brokerage, order transmission, electronic trading, tracking and monitoring, net spotting, straight-through-processing and clearing.</w:t>
      </w:r>
    </w:p>
    <w:p>
      <w:pPr>
        <w:spacing w:after="0" w:line="84" w:lineRule="exact"/>
        <w:rPr>
          <w:sz w:val="20"/>
          <w:szCs w:val="20"/>
          <w:color w:val="auto"/>
        </w:rPr>
      </w:pPr>
    </w:p>
    <w:p>
      <w:pPr>
        <w:ind w:left="1260" w:right="679" w:firstLine="360"/>
        <w:spacing w:after="0" w:line="301" w:lineRule="auto"/>
        <w:rPr>
          <w:sz w:val="20"/>
          <w:szCs w:val="20"/>
          <w:color w:val="auto"/>
        </w:rPr>
      </w:pPr>
      <w:r>
        <w:rPr>
          <w:rFonts w:ascii="Arial" w:cs="Arial" w:eastAsia="Arial" w:hAnsi="Arial"/>
          <w:sz w:val="16"/>
          <w:szCs w:val="16"/>
          <w:color w:val="auto"/>
        </w:rPr>
        <w:t>In addition, we own, or have filed applications for, the rights to trade names, trademarks, copyrights, domain names and service marks that we use in the marketing of products and services to clients. We have registered for trademarks in many of our markets, including our major markets, with registrations pending in others. Trademarks registered include, but are not limited to, “Tradeweb,” “Dealerweb,” and “Tradeweb Direct.”</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Many aspects of our business are subject to regulation in a number of jurisdictions, including the United States, the United Kingdom, Japan, Hong Kong and Singapore.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w:t>
      </w:r>
    </w:p>
    <w:p>
      <w:pPr>
        <w:spacing w:after="0" w:line="8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70"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 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6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in certain markets. While we generally believe the net impact of the laws, rules and regulations may be positive for our business, it is possible that unintended consequences may materially adversely affect us in ways yet to be determined. See “Risk Factors — Risks Relating to Our Business and Industry — Our business, and the businesses of many of our clients, could be materially adversely affected by new laws, rules or regulations or changes in existing laws, rules or regulations, including the interpretation and enforcement thereof.”</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Regulation</w:t>
      </w:r>
    </w:p>
    <w:p>
      <w:pPr>
        <w:spacing w:after="0" w:line="104"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(“ATS”) subject to the SEC’s Regulation</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93" w:lineRule="auto"/>
        <w:rPr>
          <w:sz w:val="20"/>
          <w:szCs w:val="20"/>
          <w:color w:val="auto"/>
        </w:rPr>
      </w:pPr>
      <w:r>
        <w:rPr>
          <w:rFonts w:ascii="Arial" w:cs="Arial" w:eastAsia="Arial" w:hAnsi="Arial"/>
          <w:sz w:val="16"/>
          <w:szCs w:val="16"/>
          <w:color w:val="auto"/>
        </w:rPr>
        <w:t>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56"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The CFTC is the federal agency primarily responsible for the administration of federal laws governing activities relating to futures, swaps and other derivatives including the adoption of rules applicable to Swap Execution Facilities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70" w:lineRule="exact"/>
        <w:rPr>
          <w:sz w:val="20"/>
          <w:szCs w:val="20"/>
          <w:color w:val="auto"/>
        </w:rPr>
      </w:pPr>
    </w:p>
    <w:p>
      <w:pPr>
        <w:ind w:left="1260" w:right="659" w:firstLine="360"/>
        <w:spacing w:after="0" w:line="289" w:lineRule="auto"/>
        <w:rPr>
          <w:sz w:val="20"/>
          <w:szCs w:val="20"/>
          <w:color w:val="auto"/>
        </w:rPr>
      </w:pPr>
      <w:r>
        <w:rPr>
          <w:rFonts w:ascii="Arial" w:cs="Arial" w:eastAsia="Arial" w:hAnsi="Arial"/>
          <w:sz w:val="16"/>
          <w:szCs w:val="16"/>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the Financial Industry Regulatory Authority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subject to the oversight of the National Futures Association (“NFA”), a self-regulatory organization that regulates certain CFTC registrants.</w:t>
      </w:r>
    </w:p>
    <w:p>
      <w:pPr>
        <w:spacing w:after="0" w:line="58"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Following the 2008 financial crisis, legislators and regulators in the United States adopted new laws and regulations, including the Dodd-Frank Act. Various rules and regulations promulgated following the financial crisis, such as the Volcker Rule and additional bank capital and liquidity requirements, could adversely affect our bank and bank-affiliated dealer clients’ ability to make markets in a variety of products, thereby negatively impacting the level of liquidity and pricing available on our platforms.</w:t>
      </w:r>
    </w:p>
    <w:p>
      <w:pPr>
        <w:spacing w:after="0" w:line="68"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6"/>
          <w:szCs w:val="16"/>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 regulations in this area, most of which are in effect. The SEC has also finalized many of its security-based swap regulations, although a significant number are not yet in effect. Among other things, the CFTC’s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As these rules require SEFs to maintain robust front-end and back-office IT capabilities and to make large and ongoing technology investments, and because SEFs may be supported by a variety of voice and auction-based execution methodologies, we expect our hybrid and fully electronic trading capability to perform strongly in such an environment. The SEC has proposed but not yet finalized its rules relating to the registration and regulation of security-based swap execution facilities (“SBSEFs”). If and when the SEC finalizes these rules, we expect that certain of our subsidiaries may be required to register as SBSEFs.</w:t>
      </w:r>
    </w:p>
    <w:p>
      <w:pPr>
        <w:spacing w:after="0" w:line="66"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The current administration under President Trump and the Republican Party have sought, and already passed legislation, to roll-back key pieces of the Dodd-Frank Act in an effort to loosen certain regulatory restrictions on financial institutions. Although the current administration has indicated a goal of further reforming aspects of its existing financial services regulations,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 In particular, there can be no assurance that rules impacting our clients will be amended or repealed, and we continue to expect the industry to be more heavily regulated than it was prior to the financial crisis of 2008.</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Outside of the United States, we are currently regulated by: the Financial Conduct Authority (the “FCA”) in the United Kingdom, the Japan Financial Services Agency (the “JFSA”), the Japan Securities Dealers Association (the “JSDA”), the Securities &amp; Futures Commission (“SFC”) of Hong Kong, the Monetary Authority of Singapore (“MAS”), the Investment Industry Regulatory Organization of Canada, provincial regulators in Canada. We currently have an exemption from the Australian Securities and Investment Commission in Australia (“ASIC”).</w:t>
      </w:r>
    </w:p>
    <w:p>
      <w:pPr>
        <w:spacing w:after="0" w:line="84"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The FCA’s strategic objective is to ensure that the relevant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Subject to section 178 FSMA, individuals or companies that seek to acquire or increase their control in a firm that the FCA regulates is required to obtain prior approval from the FCA.</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Much of our derivatives volumes continue to be executed by non-U.S. based clients outside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United States and is subject to local regulations. In particular, the European Union has recently enhanced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existing laws and developed new rules and regulations targeted at the financial services industry, including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MiFID II and MiFIR, which were implemented in January 2018 and which introduced significant changes to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EU financial markets designed to facilitate more efficient markets and greater transparency for participants.</w:t>
      </w:r>
    </w:p>
    <w:p>
      <w:pPr>
        <w:spacing w:after="0" w:line="114"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Among the other aspects of the regulations, MiFID II and MiFIR: (i) require a significant part of the market in these derivative instruments to trade on regulated trading venues which are subject to transparency regimes,</w:t>
      </w:r>
    </w:p>
    <w:p>
      <w:pPr>
        <w:ind w:left="1260" w:right="699" w:firstLine="8"/>
        <w:spacing w:after="0" w:line="267" w:lineRule="auto"/>
        <w:tabs>
          <w:tab w:leader="none" w:pos="1525" w:val="left"/>
        </w:tabs>
        <w:numPr>
          <w:ilvl w:val="0"/>
          <w:numId w:val="77"/>
        </w:numPr>
        <w:rPr>
          <w:rFonts w:ascii="Arial" w:cs="Arial" w:eastAsia="Arial" w:hAnsi="Arial"/>
          <w:sz w:val="17"/>
          <w:szCs w:val="17"/>
          <w:color w:val="auto"/>
        </w:rPr>
      </w:pPr>
      <w:r>
        <w:rPr>
          <w:rFonts w:ascii="Arial" w:cs="Arial" w:eastAsia="Arial" w:hAnsi="Arial"/>
          <w:sz w:val="17"/>
          <w:szCs w:val="17"/>
          <w:color w:val="auto"/>
        </w:rPr>
        <w:t>enhance pre- and post-trade transparency for instruments within the scope of the requirements which have been calibrated for different types of instruments and types of trading, (iii) enhance the transparency of fee structures and access to trading venues, (iv) increase and enhance post-trade reporting obligations with a requirement for “systematic internalisers” to submit certain post-trade data to Approved Publication Arrangements (“APA”), (v) provide for the establishment a consolidated tape for certain trade data, (vi) improve technology synchronization and best execution and (vii) enhance investor protection. MiFID II is also intended to help improve the functioning of the EU single market by achieving a greater consistency of regulatory standards. By design, therefore, it is intended that Member States should have very similar regulatory regimes in relation to the matters addressed to MiFID. In addition, the new regulated execution venue category introduced by MiFID II known as the Organized Trading Facility (“OTF”) (in addition to the venue category of Multilateral Trading Facility (“MTF”) for electronic trading) is intended to capture much of the voices and hybrid oriented trading within the EU.</w:t>
      </w:r>
    </w:p>
    <w:p>
      <w:pPr>
        <w:spacing w:after="0" w:line="76"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We currently “passport” our UK authorized subsidiary’s FCA regulatory permissions throughout the European Economic Area (“EEA”) and as such this is currently our sole MiFID investment firm with such permissions operating in Europe. In March 2017, following the United Kingdom’s vote to leave the EU, the U.K. Prime Minister gave the European Council of the EU formal written notification of the United Kingdom’s intention to leave the EU, triggering the withdrawal process under Article 50 of the Lisbon Treaty. The effects of Brexit will depend on any agreements the United Kingdom makes to retain access to EU markets, including for financial services, either during a transitional period or more permanently. Negotiations to determine the future terms of the United Kingdom’s relationship with the EU, including the terms of access to EU financial markets, are continuing. We are making all reasonable preparations to ensure, in any scenario, that services can continue to be provided in the UK and throughout the EEA, post-Brexit. Accordingly, we have established a new legal entity in the Netherlands, Tradeweb EU B.V., and will offer services from a new Amsterdam office, subject to regulatory approval. We have applied to the Dutch regulatory authorities to operate an MTF, an OTF and an APA, essentially replicating our current UK regulatory permissions. Following approval, we will operate two MTFs, two OTFs and two APAs in Europe, increasing the complexity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04"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Certain of our subsidiaries are subject to jurisdictional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Status of Tradeweb Entities</w:t>
      </w:r>
    </w:p>
    <w:p>
      <w:pPr>
        <w:spacing w:after="0" w:line="104" w:lineRule="exact"/>
        <w:rPr>
          <w:sz w:val="20"/>
          <w:szCs w:val="20"/>
          <w:color w:val="auto"/>
        </w:rPr>
      </w:pPr>
    </w:p>
    <w:p>
      <w:pPr>
        <w:ind w:left="1260" w:right="859" w:firstLine="360"/>
        <w:spacing w:after="0" w:line="342" w:lineRule="auto"/>
        <w:rPr>
          <w:sz w:val="20"/>
          <w:szCs w:val="20"/>
          <w:color w:val="auto"/>
        </w:rPr>
      </w:pPr>
      <w:r>
        <w:rPr>
          <w:rFonts w:ascii="Arial" w:cs="Arial" w:eastAsia="Arial" w:hAnsi="Arial"/>
          <w:sz w:val="16"/>
          <w:szCs w:val="16"/>
          <w:color w:val="auto"/>
        </w:rPr>
        <w:t>Our operations span jurisdictions across North America, Europe and Asia, and we operate through various regulated entities. The current regulatory status of many of our business entities is described below.</w:t>
      </w:r>
    </w:p>
    <w:p>
      <w:pPr>
        <w:spacing w:after="0" w:line="16"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and Manitoba, and is recognized as a foreign trading venue in Switzerland.</w:t>
      </w:r>
    </w:p>
    <w:p>
      <w:pPr>
        <w:spacing w:after="0" w:line="79"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TW SEF LLC is a CFTC-registered SEF. TW SEF LLC is formally exempt from registration as an exchange in the Canadian provinces of Alberta, Ontario and Quebec and is recognized as a foreign trading venue in Switzerland. TW SEF LLC is formally exempt from registration by the ASIC with a pending application with ASIC for an Overseas Australian Market Operator License.</w:t>
      </w:r>
    </w:p>
    <w:p>
      <w:pPr>
        <w:spacing w:after="0" w:line="79"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Dealerweb Inc. is an SEC-registered broker-dealer, operates an ATS and is a member of FINRA and MSRB. Dealerweb Inc. is also a CFTC-registered introducing broker and a member of NFA. Dealerweb Inc. is recognized as a foreign trading venue in Switzerland.</w:t>
      </w:r>
    </w:p>
    <w:p>
      <w:pPr>
        <w:spacing w:after="0" w:line="76" w:lineRule="exact"/>
        <w:rPr>
          <w:sz w:val="20"/>
          <w:szCs w:val="20"/>
          <w:color w:val="auto"/>
        </w:rPr>
      </w:pPr>
    </w:p>
    <w:p>
      <w:pPr>
        <w:ind w:left="1260" w:right="1339" w:firstLine="360"/>
        <w:spacing w:after="0" w:line="308" w:lineRule="auto"/>
        <w:rPr>
          <w:sz w:val="20"/>
          <w:szCs w:val="20"/>
          <w:color w:val="auto"/>
        </w:rPr>
      </w:pPr>
      <w:r>
        <w:rPr>
          <w:rFonts w:ascii="Arial" w:cs="Arial" w:eastAsia="Arial" w:hAnsi="Arial"/>
          <w:sz w:val="17"/>
          <w:szCs w:val="17"/>
          <w:color w:val="auto"/>
        </w:rPr>
        <w:t>DW SEF LLC is a CFTC-registered SEF. DW SEF LLC is formally exempt from registration in the Canadian province of Ontario and is recognized as a foreign trading venue in Switzerland.</w:t>
      </w:r>
    </w:p>
    <w:p>
      <w:pPr>
        <w:spacing w:after="0" w:line="38" w:lineRule="exact"/>
        <w:rPr>
          <w:sz w:val="20"/>
          <w:szCs w:val="20"/>
          <w:color w:val="auto"/>
        </w:rPr>
      </w:pPr>
    </w:p>
    <w:p>
      <w:pPr>
        <w:jc w:val="both"/>
        <w:ind w:left="1260" w:right="799" w:firstLine="360"/>
        <w:spacing w:after="0" w:line="263" w:lineRule="auto"/>
        <w:rPr>
          <w:sz w:val="20"/>
          <w:szCs w:val="20"/>
          <w:color w:val="auto"/>
        </w:rPr>
      </w:pPr>
      <w:r>
        <w:rPr>
          <w:rFonts w:ascii="Arial" w:cs="Arial" w:eastAsia="Arial" w:hAnsi="Arial"/>
          <w:sz w:val="18"/>
          <w:szCs w:val="18"/>
          <w:color w:val="auto"/>
        </w:rPr>
        <w:t>Tradeweb Direct LLC is an SEC-registered broker-dealer, operates an ATS and is a member of FINRA and MSRB. Tradeweb Direct LLC relies on the international dealer exemption in the Canadian provinces of Ontario and Quebec.</w:t>
      </w:r>
    </w:p>
    <w:p>
      <w:pPr>
        <w:spacing w:after="0" w:line="76"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Tradeweb Europe Limited is authorized and regulated in the United Kingdom by the FCA as a MiFID Investment Firm. It has permissions to operate a multilateral trading facility (“MTF”), an organised trading facility (“OTF”) and an approved publication arrangement (“APA”). Tradeweb Europe Limited passports its permissions under MiFID and accordingly provides services throughout the EEA. In addition, Tradeweb Europe Limited is also registered with the CFTC as an introducing broker and is a member of NFA.</w:t>
      </w:r>
    </w:p>
    <w:p>
      <w:pPr>
        <w:spacing w:after="0" w:line="68" w:lineRule="exact"/>
        <w:rPr>
          <w:sz w:val="20"/>
          <w:szCs w:val="20"/>
          <w:color w:val="auto"/>
        </w:rPr>
      </w:pPr>
    </w:p>
    <w:p>
      <w:pPr>
        <w:ind w:left="1260" w:right="1219" w:firstLine="360"/>
        <w:spacing w:after="0" w:line="277" w:lineRule="auto"/>
        <w:rPr>
          <w:sz w:val="20"/>
          <w:szCs w:val="20"/>
          <w:color w:val="auto"/>
        </w:rPr>
      </w:pPr>
      <w:r>
        <w:rPr>
          <w:rFonts w:ascii="Arial" w:cs="Arial" w:eastAsia="Arial" w:hAnsi="Arial"/>
          <w:sz w:val="18"/>
          <w:szCs w:val="18"/>
          <w:color w:val="auto"/>
        </w:rPr>
        <w:t>The Singapore branch of Tradeweb Europe Limited is regulated by the MAS as a Recognised Market Operator (“RMO”).</w:t>
      </w:r>
    </w:p>
    <w:p>
      <w:pPr>
        <w:spacing w:after="0" w:line="62"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The Hong Kong branch of Tradeweb Europe Limited is regulated by the SFC as an Automated Trading Service.</w:t>
      </w:r>
    </w:p>
    <w:p>
      <w:pPr>
        <w:spacing w:after="0" w:line="62" w:lineRule="exact"/>
        <w:rPr>
          <w:sz w:val="20"/>
          <w:szCs w:val="20"/>
          <w:color w:val="auto"/>
        </w:rPr>
      </w:pPr>
    </w:p>
    <w:p>
      <w:pPr>
        <w:jc w:val="both"/>
        <w:ind w:left="1260" w:right="979" w:firstLine="360"/>
        <w:spacing w:after="0" w:line="263" w:lineRule="auto"/>
        <w:rPr>
          <w:sz w:val="20"/>
          <w:szCs w:val="20"/>
          <w:color w:val="auto"/>
        </w:rPr>
      </w:pPr>
      <w:r>
        <w:rPr>
          <w:rFonts w:ascii="Arial" w:cs="Arial" w:eastAsia="Arial" w:hAnsi="Arial"/>
          <w:sz w:val="18"/>
          <w:szCs w:val="18"/>
          <w:color w:val="auto"/>
        </w:rPr>
        <w:t>The Australia branch of Tradeweb Europe Limited is currently exempt from registration with ASIC, but, following amendments to the Australian Corporations Act, an application for an Overseas Australian Market Operator License is pending with ASIC.</w:t>
      </w:r>
    </w:p>
    <w:p>
      <w:pPr>
        <w:spacing w:after="0" w:line="76"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(“PBOC”) for the provision of Bond Connect.</w:t>
      </w:r>
    </w:p>
    <w:p>
      <w:pPr>
        <w:spacing w:after="0" w:line="79" w:lineRule="exact"/>
        <w:rPr>
          <w:sz w:val="20"/>
          <w:szCs w:val="20"/>
          <w:color w:val="auto"/>
        </w:rPr>
      </w:pPr>
    </w:p>
    <w:p>
      <w:pPr>
        <w:jc w:val="both"/>
        <w:ind w:left="1260" w:right="779" w:firstLine="360"/>
        <w:spacing w:after="0" w:line="286" w:lineRule="auto"/>
        <w:rPr>
          <w:sz w:val="20"/>
          <w:szCs w:val="20"/>
          <w:color w:val="auto"/>
        </w:rPr>
      </w:pPr>
      <w:r>
        <w:rPr>
          <w:rFonts w:ascii="Arial" w:cs="Arial" w:eastAsia="Arial" w:hAnsi="Arial"/>
          <w:sz w:val="17"/>
          <w:szCs w:val="17"/>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76" w:lineRule="exact"/>
        <w:rPr>
          <w:sz w:val="20"/>
          <w:szCs w:val="20"/>
          <w:color w:val="auto"/>
        </w:rPr>
      </w:pPr>
    </w:p>
    <w:p>
      <w:pPr>
        <w:ind w:left="1260" w:right="899" w:firstLine="360"/>
        <w:spacing w:after="0" w:line="279" w:lineRule="auto"/>
        <w:rPr>
          <w:sz w:val="20"/>
          <w:szCs w:val="20"/>
          <w:color w:val="auto"/>
        </w:rPr>
      </w:pPr>
      <w:r>
        <w:rPr>
          <w:rFonts w:ascii="Arial" w:cs="Arial" w:eastAsia="Arial" w:hAnsi="Arial"/>
          <w:sz w:val="17"/>
          <w:szCs w:val="17"/>
          <w:color w:val="auto"/>
        </w:rPr>
        <w:t>Tradeweb EU BV has applied to the Netherlands Authority for the Financial Markets (“AFM”) seeking approval to be a MiFID Investment Firm with permissions to operate a MTF, an OTF and an APA. Approval is expected to be provided by the end of 2018. Subject to regulatory approval, Tradeweb EU BV will passport its permissions under MiFID and accordingly will provide services throughout the EEA.</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As of December 31, 2017, we had 857 employees, 648 of whom were based in the United States and 209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08"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Our corporate headquarters is located in New York, New York. As of December 31, 2017, our principal offices consisted of the following properties: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Square feet</w:t>
            </w: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expiration date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Use</w:t>
            </w:r>
          </w:p>
        </w:tc>
      </w:tr>
      <w:tr>
        <w:trPr>
          <w:trHeight w:val="26"/>
        </w:trPr>
        <w:tc>
          <w:tcPr>
            <w:tcW w:w="3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41,062</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5/31/2021</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Office Space</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Jersey City, New Jersey</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65,242</w:t>
            </w:r>
          </w:p>
        </w:tc>
        <w:tc>
          <w:tcPr>
            <w:tcW w:w="200" w:type="dxa"/>
            <w:vAlign w:val="bottom"/>
          </w:tcPr>
          <w:p>
            <w:pPr>
              <w:spacing w:after="0"/>
              <w:rPr>
                <w:sz w:val="22"/>
                <w:szCs w:val="22"/>
                <w:color w:val="auto"/>
              </w:rPr>
            </w:pPr>
          </w:p>
        </w:tc>
        <w:tc>
          <w:tcPr>
            <w:tcW w:w="1340" w:type="dxa"/>
            <w:vAlign w:val="bottom"/>
          </w:tcPr>
          <w:p>
            <w:pPr>
              <w:jc w:val="right"/>
              <w:ind w:right="175"/>
              <w:spacing w:after="0"/>
              <w:rPr>
                <w:sz w:val="20"/>
                <w:szCs w:val="20"/>
                <w:color w:val="auto"/>
              </w:rPr>
            </w:pPr>
            <w:r>
              <w:rPr>
                <w:rFonts w:ascii="Arial" w:cs="Arial" w:eastAsia="Arial" w:hAnsi="Arial"/>
                <w:sz w:val="18"/>
                <w:szCs w:val="18"/>
                <w:color w:val="auto"/>
              </w:rPr>
              <w:t>12/31/2027</w:t>
            </w:r>
          </w:p>
        </w:tc>
        <w:tc>
          <w:tcPr>
            <w:tcW w:w="2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Office Space</w:t>
            </w:r>
          </w:p>
        </w:tc>
      </w:tr>
      <w:tr>
        <w:trPr>
          <w:trHeight w:val="25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United Kingdom</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16,259</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9/30/2024</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Office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-496570</wp:posOffset>
            </wp:positionV>
            <wp:extent cx="137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-496570</wp:posOffset>
            </wp:positionV>
            <wp:extent cx="137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-496570</wp:posOffset>
            </wp:positionV>
            <wp:extent cx="137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We also lease offices in Los Angeles, California, Boca Raton, Florida and Garden City, New York. Through a shared services agreement with Refinitiv, we lease offices in Boston, Massachusetts and Chicago, Illinois and outside the United States, Amsterdam, Tokyo, Hong Kong, Shanghai and Singapore.</w:t>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Our infrastructure operates out of third-party data centers in Secaucus, New Jersey, Weehawken,</w:t>
      </w:r>
    </w:p>
    <w:p>
      <w:pPr>
        <w:spacing w:after="0" w:line="23" w:lineRule="exact"/>
        <w:rPr>
          <w:sz w:val="20"/>
          <w:szCs w:val="20"/>
          <w:color w:val="auto"/>
        </w:rPr>
      </w:pPr>
    </w:p>
    <w:p>
      <w:pPr>
        <w:ind w:left="1260" w:right="839"/>
        <w:spacing w:after="0" w:line="290" w:lineRule="auto"/>
        <w:rPr>
          <w:sz w:val="20"/>
          <w:szCs w:val="20"/>
          <w:color w:val="auto"/>
        </w:rPr>
      </w:pPr>
      <w:r>
        <w:rPr>
          <w:rFonts w:ascii="Arial" w:cs="Arial" w:eastAsia="Arial" w:hAnsi="Arial"/>
          <w:sz w:val="17"/>
          <w:szCs w:val="17"/>
          <w:color w:val="auto"/>
        </w:rPr>
        <w:t>New Jersey, Piscataway, New Jersey, Chicago, Illinois and Elk Grove, Illinois and, outside the United States, in Hounslow, United Kingdom, Slough, United Kingdom, Saitama, Japan and Tokyo, Japan.</w:t>
      </w:r>
    </w:p>
    <w:p>
      <w:pPr>
        <w:spacing w:after="0" w:line="53"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and other factors.</w:t>
      </w:r>
    </w:p>
    <w:p>
      <w:pPr>
        <w:spacing w:after="0" w:line="71"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ectPr>
          <w:pgSz w:w="11900" w:h="16838" w:orient="portrait"/>
          <w:cols w:equalWidth="0" w:num="1">
            <w:col w:w="10139"/>
          </w:cols>
          <w:pgMar w:left="320" w:top="131" w:right="1440" w:bottom="1440" w:gutter="0" w:footer="0" w:header="0"/>
        </w:sect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IDC Matter</w:t>
      </w:r>
    </w:p>
    <w:p>
      <w:pPr>
        <w:spacing w:after="0" w:line="90" w:lineRule="exact"/>
        <w:rPr>
          <w:sz w:val="20"/>
          <w:szCs w:val="20"/>
          <w:color w:val="auto"/>
        </w:rPr>
      </w:pPr>
    </w:p>
    <w:p>
      <w:pPr>
        <w:ind w:left="1260" w:right="659" w:firstLine="360"/>
        <w:spacing w:after="0" w:line="267" w:lineRule="auto"/>
        <w:rPr>
          <w:sz w:val="20"/>
          <w:szCs w:val="20"/>
          <w:color w:val="auto"/>
        </w:rPr>
      </w:pPr>
      <w:r>
        <w:rPr>
          <w:rFonts w:ascii="Arial" w:cs="Arial" w:eastAsia="Arial" w:hAnsi="Arial"/>
          <w:sz w:val="17"/>
          <w:szCs w:val="17"/>
          <w:color w:val="auto"/>
        </w:rPr>
        <w:t xml:space="preserve">In September 2015, IDC Financial Publishing, Inc. (“IDC”) filed a lawsuit in the United States District Court for the Eastern District of Wisconsin against BondDesk Group LLC and Tradeweb Markets LLC (together, the “Tradeweb Parties”), and Fidelity Global Brokerage Group, Inc., Fidelity Brokerage Services, LLC, and National Financial Services, LLC (collectively, “Fidelity”), captioned </w:t>
      </w:r>
      <w:r>
        <w:rPr>
          <w:rFonts w:ascii="Arial" w:cs="Arial" w:eastAsia="Arial" w:hAnsi="Arial"/>
          <w:sz w:val="17"/>
          <w:szCs w:val="17"/>
          <w:i w:val="1"/>
          <w:iCs w:val="1"/>
          <w:color w:val="auto"/>
        </w:rPr>
        <w:t>IDC Financial Publishing Inc. v. BondDesk</w:t>
      </w:r>
      <w:r>
        <w:rPr>
          <w:rFonts w:ascii="Arial" w:cs="Arial" w:eastAsia="Arial" w:hAnsi="Arial"/>
          <w:sz w:val="17"/>
          <w:szCs w:val="17"/>
          <w:color w:val="auto"/>
        </w:rPr>
        <w:t xml:space="preserve"> </w:t>
      </w:r>
      <w:r>
        <w:rPr>
          <w:rFonts w:ascii="Arial" w:cs="Arial" w:eastAsia="Arial" w:hAnsi="Arial"/>
          <w:sz w:val="17"/>
          <w:szCs w:val="17"/>
          <w:i w:val="1"/>
          <w:iCs w:val="1"/>
          <w:color w:val="auto"/>
        </w:rPr>
        <w:t>Group LLC, et al.</w:t>
      </w:r>
      <w:r>
        <w:rPr>
          <w:rFonts w:ascii="Arial" w:cs="Arial" w:eastAsia="Arial" w:hAnsi="Arial"/>
          <w:sz w:val="17"/>
          <w:szCs w:val="17"/>
          <w:color w:val="auto"/>
        </w:rPr>
        <w:t>, Case No. 2:15-cv-01085-PP, relating to the distribution of IDC’s financial strength ratings over</w:t>
      </w:r>
      <w:r>
        <w:rPr>
          <w:rFonts w:ascii="Arial" w:cs="Arial" w:eastAsia="Arial" w:hAnsi="Arial"/>
          <w:sz w:val="17"/>
          <w:szCs w:val="17"/>
          <w:i w:val="1"/>
          <w:iCs w:val="1"/>
          <w:color w:val="auto"/>
        </w:rPr>
        <w:t xml:space="preserve"> </w:t>
      </w:r>
      <w:r>
        <w:rPr>
          <w:rFonts w:ascii="Arial" w:cs="Arial" w:eastAsia="Arial" w:hAnsi="Arial"/>
          <w:sz w:val="17"/>
          <w:szCs w:val="17"/>
          <w:color w:val="auto"/>
        </w:rPr>
        <w:t>Tradeweb’s trading platform to Fidelity, its registered investment advisors and Fidelity’s correspondent banks. IDC alleges that while certain business units of Fidelity were licensed to receive its data via Tradeweb’s platform, the IDC data was also distributed without authorization to Fidelity’s institutional customers for approximately five years. The complaint, as amended, asserts claims for breach of contract and intentional misrepresentation against all of the defendants (as well as a claim of tortious interference with contract against Fidelity). IDC claims to have suffered approximately $80 million in damages and also seeks punitive damages, attorneys’ fees and costs. The defendants answered the complaint denying the claims and asserting various affirmative defenses. The Tradeweb Parties and Fidelity have moved for summary judgment dismissing IDC’s claims and rejecting its damage theory as speculative and contrary to the evidence, and IDC has sought partial summary judgment dismissing several of the Tradeweb Parties’ and Fidelity’s affirmative defenses. Those motions remain pending. The case is scheduled for trial in July 2019. We intend to continue to vigorously defend what we believe to be meritless and excessive claims.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Treasuries Matter</w:t>
      </w:r>
    </w:p>
    <w:p>
      <w:pPr>
        <w:spacing w:after="0" w:line="90"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Arial" w:cs="Arial" w:eastAsia="Arial" w:hAnsi="Arial"/>
          <w:sz w:val="16"/>
          <w:szCs w:val="16"/>
          <w:i w:val="1"/>
          <w:iCs w:val="1"/>
          <w:color w:val="auto"/>
        </w:rPr>
        <w:t>In re</w:t>
      </w:r>
      <w:r>
        <w:rPr>
          <w:rFonts w:ascii="Arial" w:cs="Arial" w:eastAsia="Arial" w:hAnsi="Arial"/>
          <w:sz w:val="16"/>
          <w:szCs w:val="16"/>
          <w:color w:val="auto"/>
        </w:rPr>
        <w:t xml:space="preserve"> </w:t>
      </w:r>
      <w:r>
        <w:rPr>
          <w:rFonts w:ascii="Arial" w:cs="Arial" w:eastAsia="Arial" w:hAnsi="Arial"/>
          <w:sz w:val="16"/>
          <w:szCs w:val="16"/>
          <w:i w:val="1"/>
          <w:iCs w:val="1"/>
          <w:color w:val="auto"/>
        </w:rPr>
        <w:t>Treasuries Securities Auction Antitrust Litigation</w:t>
      </w:r>
      <w:r>
        <w:rPr>
          <w:rFonts w:ascii="Arial" w:cs="Arial" w:eastAsia="Arial" w:hAnsi="Arial"/>
          <w:sz w:val="16"/>
          <w:szCs w:val="16"/>
          <w:color w:val="auto"/>
        </w:rPr>
        <w:t>, No. 1:15-md-2673 (S.D.N.Y.) (PGG). In November 2017, the</w:t>
      </w:r>
      <w:r>
        <w:rPr>
          <w:rFonts w:ascii="Arial" w:cs="Arial" w:eastAsia="Arial" w:hAnsi="Arial"/>
          <w:sz w:val="16"/>
          <w:szCs w:val="16"/>
          <w:i w:val="1"/>
          <w:iCs w:val="1"/>
          <w:color w:val="auto"/>
        </w:rPr>
        <w:t xml:space="preserve"> </w:t>
      </w:r>
      <w:r>
        <w:rPr>
          <w:rFonts w:ascii="Arial" w:cs="Arial" w:eastAsia="Arial" w:hAnsi="Arial"/>
          <w:sz w:val="16"/>
          <w:szCs w:val="16"/>
          <w:color w:val="auto"/>
        </w:rPr>
        <w:t>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 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66"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84"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Defendants filed motions to dismiss in February 2018, including a separate motion to dismiss filed by the Tradeweb Parties. The motions to dismiss are pending. We believe that we have meritorious defenses to the claims set forth in the complaint and intend to continue to vigorously defend our position.</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Swaps Matter</w:t>
      </w:r>
    </w:p>
    <w:p>
      <w:pPr>
        <w:spacing w:after="0" w:line="77"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6"/>
          <w:szCs w:val="16"/>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Arial" w:cs="Arial" w:eastAsia="Arial" w:hAnsi="Arial"/>
          <w:sz w:val="16"/>
          <w:szCs w:val="16"/>
          <w:i w:val="1"/>
          <w:iCs w:val="1"/>
          <w:color w:val="auto"/>
        </w:rPr>
        <w:t>Public School Teachers’</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and Retirement Fund of Chicago v. Bank of America Corporation, Case No. 15-cv-09219 (S.D.N.Y.)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plaintiffs, including Tera Group Inc. and Javelin Capital Markets LLC, filed lawsuits and, ultimately, the cases were consolidated under the caption </w:t>
      </w:r>
      <w:r>
        <w:rPr>
          <w:rFonts w:ascii="Arial" w:cs="Arial" w:eastAsia="Arial" w:hAnsi="Arial"/>
          <w:sz w:val="16"/>
          <w:szCs w:val="16"/>
          <w:i w:val="1"/>
          <w:iCs w:val="1"/>
          <w:color w:val="auto"/>
        </w:rPr>
        <w:t>In re Interest Rate Swaps Antitrust Litigation, No. 1:16-md-2704</w:t>
      </w:r>
      <w:r>
        <w:rPr>
          <w:rFonts w:ascii="Arial" w:cs="Arial" w:eastAsia="Arial" w:hAnsi="Arial"/>
          <w:sz w:val="16"/>
          <w:szCs w:val="16"/>
          <w:color w:val="auto"/>
        </w:rPr>
        <w:t>.</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alleged that Tradeweb agreed with the Dealer Defendants to shutter its plans to launch an exchange-like trading platform for IRS in furtherance of the conspiracy and provided a forum where the Dealer Defendants carried out their alleged collusion.</w:t>
      </w:r>
    </w:p>
    <w:p>
      <w:pPr>
        <w:spacing w:after="0" w:line="80" w:lineRule="exact"/>
        <w:rPr>
          <w:sz w:val="20"/>
          <w:szCs w:val="20"/>
          <w:color w:val="auto"/>
        </w:rPr>
      </w:pPr>
    </w:p>
    <w:p>
      <w:pPr>
        <w:ind w:left="1260" w:right="659" w:firstLine="360"/>
        <w:spacing w:after="0" w:line="288" w:lineRule="auto"/>
        <w:rPr>
          <w:sz w:val="20"/>
          <w:szCs w:val="20"/>
          <w:color w:val="auto"/>
        </w:rPr>
      </w:pPr>
      <w:r>
        <w:rPr>
          <w:rFonts w:ascii="Arial" w:cs="Arial" w:eastAsia="Arial" w:hAnsi="Arial"/>
          <w:sz w:val="16"/>
          <w:szCs w:val="16"/>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is actively engaged in third-party discovery and is in the process of responding to the parties’ data and document requests. Additionally, in July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08" w:lineRule="exact"/>
        <w:rPr>
          <w:sz w:val="20"/>
          <w:szCs w:val="20"/>
          <w:color w:val="auto"/>
        </w:rPr>
      </w:pPr>
    </w:p>
    <w:p>
      <w:pPr>
        <w:jc w:val="both"/>
        <w:ind w:left="1260" w:right="759" w:firstLine="360"/>
        <w:spacing w:after="0" w:line="287" w:lineRule="auto"/>
        <w:rPr>
          <w:sz w:val="20"/>
          <w:szCs w:val="20"/>
          <w:color w:val="auto"/>
        </w:rPr>
      </w:pPr>
      <w:r>
        <w:rPr>
          <w:rFonts w:ascii="Arial" w:cs="Arial" w:eastAsia="Arial" w:hAnsi="Arial"/>
          <w:sz w:val="16"/>
          <w:szCs w:val="16"/>
          <w:color w:val="auto"/>
        </w:rPr>
        <w:t>The following table sets forth information about our executive officers and directors, including their ages as of November 9, 2018. With respect to our directors, each biography contains information regarding the person’s service as a director, business experience, director positions held currently or at any time during the past</w:t>
      </w:r>
    </w:p>
    <w:p>
      <w:pPr>
        <w:spacing w:after="0" w:line="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five years, information regarding involvement in certain legal or administrative proceedings, and the experience, qualifications, attributes or skills that caused our board of directors to determine that the person should serve as a director of our company.</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4860" w:type="dxa"/>
            <w:vAlign w:val="bottom"/>
          </w:tcPr>
          <w:p>
            <w:pPr>
              <w:ind w:left="21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50"/>
        </w:trPr>
        <w:tc>
          <w:tcPr>
            <w:tcW w:w="2700" w:type="dxa"/>
            <w:vAlign w:val="bottom"/>
            <w:gridSpan w:val="2"/>
          </w:tcPr>
          <w:p>
            <w:pPr>
              <w:spacing w:after="0"/>
              <w:rPr>
                <w:sz w:val="20"/>
                <w:szCs w:val="20"/>
                <w:color w:val="auto"/>
              </w:rPr>
            </w:pPr>
            <w:r>
              <w:rPr>
                <w:rFonts w:ascii="Arial" w:cs="Arial" w:eastAsia="Arial" w:hAnsi="Arial"/>
                <w:sz w:val="18"/>
                <w:szCs w:val="18"/>
                <w:color w:val="auto"/>
              </w:rPr>
              <w:t>Lee Olesky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2700" w:type="dxa"/>
            <w:vAlign w:val="bottom"/>
            <w:gridSpan w:val="2"/>
          </w:tcPr>
          <w:p>
            <w:pPr>
              <w:spacing w:after="0"/>
              <w:rPr>
                <w:sz w:val="20"/>
                <w:szCs w:val="20"/>
                <w:color w:val="auto"/>
              </w:rPr>
            </w:pPr>
            <w:r>
              <w:rPr>
                <w:rFonts w:ascii="Arial" w:cs="Arial" w:eastAsia="Arial" w:hAnsi="Arial"/>
                <w:sz w:val="18"/>
                <w:szCs w:val="18"/>
                <w:color w:val="auto"/>
              </w:rPr>
              <w:t>William (“Billy”) Hult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57"/>
        </w:trPr>
        <w:tc>
          <w:tcPr>
            <w:tcW w:w="2700" w:type="dxa"/>
            <w:vAlign w:val="bottom"/>
            <w:gridSpan w:val="2"/>
          </w:tcPr>
          <w:p>
            <w:pPr>
              <w:spacing w:after="0"/>
              <w:rPr>
                <w:sz w:val="20"/>
                <w:szCs w:val="20"/>
                <w:color w:val="auto"/>
              </w:rPr>
            </w:pPr>
            <w:r>
              <w:rPr>
                <w:rFonts w:ascii="Arial" w:cs="Arial" w:eastAsia="Arial" w:hAnsi="Arial"/>
                <w:sz w:val="18"/>
                <w:szCs w:val="18"/>
                <w:color w:val="auto"/>
              </w:rPr>
              <w:t>Enrico Bruni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Managing Director, Head of Europe and Asia Business</w:t>
            </w: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Douglas Friedman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Simon Maisey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Managing Director, Global Head of Corporate Development</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James (“Jay”) Spencer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Robert Warshaw</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Scott Zucker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Administrative Officer</w:t>
            </w:r>
          </w:p>
        </w:tc>
      </w:tr>
    </w:tbl>
    <w:p>
      <w:pPr>
        <w:spacing w:after="0" w:line="3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Lee Olesky</w:t>
      </w:r>
    </w:p>
    <w:p>
      <w:pPr>
        <w:spacing w:after="0" w:line="104" w:lineRule="exact"/>
        <w:rPr>
          <w:sz w:val="20"/>
          <w:szCs w:val="20"/>
          <w:color w:val="auto"/>
        </w:rPr>
      </w:pPr>
    </w:p>
    <w:p>
      <w:pPr>
        <w:ind w:left="1260" w:right="659" w:firstLine="360"/>
        <w:spacing w:after="0" w:line="287" w:lineRule="auto"/>
        <w:rPr>
          <w:sz w:val="20"/>
          <w:szCs w:val="20"/>
          <w:color w:val="auto"/>
        </w:rPr>
      </w:pPr>
      <w:r>
        <w:rPr>
          <w:rFonts w:ascii="Arial" w:cs="Arial" w:eastAsia="Arial" w:hAnsi="Arial"/>
          <w:sz w:val="16"/>
          <w:szCs w:val="16"/>
          <w:color w:val="auto"/>
        </w:rPr>
        <w:t>Mr. Olesky is our co-founder and has served as Tradeweb’s Chief Executive Officer and on the board of directors since its formation. Mr. Olesky has been the Chief Executive Officer since September 2008 and on the board of directors of TWM LLC since January 2008. After being our founding Chairman of the Board from 1996 to 1998, 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 Mr. Olesky was selected to serve on our board of directors because of the perspective, management, leadership experience and operational expertise in our business that he has developed as our Chief Executive Officer.</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Billy Hult</w:t>
      </w:r>
    </w:p>
    <w:p>
      <w:pPr>
        <w:spacing w:after="0" w:line="104" w:lineRule="exact"/>
        <w:rPr>
          <w:sz w:val="20"/>
          <w:szCs w:val="20"/>
          <w:color w:val="auto"/>
        </w:rPr>
      </w:pPr>
    </w:p>
    <w:p>
      <w:pPr>
        <w:ind w:left="1260" w:right="719" w:firstLine="360"/>
        <w:spacing w:after="0" w:line="290" w:lineRule="auto"/>
        <w:rPr>
          <w:sz w:val="20"/>
          <w:szCs w:val="20"/>
          <w:color w:val="auto"/>
        </w:rPr>
      </w:pPr>
      <w:r>
        <w:rPr>
          <w:rFonts w:ascii="Arial" w:cs="Arial" w:eastAsia="Arial" w:hAnsi="Arial"/>
          <w:sz w:val="16"/>
          <w:szCs w:val="16"/>
          <w:color w:val="auto"/>
        </w:rPr>
        <w:t>Mr. Hult has served as Tradeweb’s President since its formation and, following the completion of the Reorganization Transactions, will also serve on its board of directors. Mr. Hult has served as the President and on the board of directors of TWM LLC since September 2008. Mr. Hult joined Tradeweb in July 2000 as a product manager and oversaw the creation of our TBA-MBS marketplace. In 2005, Mr. Hult went on to serve as the head of U.S. products overseeing the firm’s expansion into new asset classes. Prior to joining Tradeweb, Mr. Hult held a variety of trading positions at Société Générale from 1997 to 2000. He received a B.A. from Denison University. Mr. Hult was selected to serve on our board of directors because of the perspective, management, leadership experience and operational expertise in our business that he has developed as our President.</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Enrico Bruni</w:t>
      </w:r>
    </w:p>
    <w:p>
      <w:pPr>
        <w:spacing w:after="0" w:line="104"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Mr. Bruni has served as Managing Director, Head of Europe and Asia Business of TWM LLC since February 2013 and, following the completion of the Reorganization Transactions, will serve in the same position at Tradeweb. Mr. Bruni joined Tradeweb in 2002 and has been instrumental in developing the interest rate swaps business in Europe and Asia. Prior to joining Tradeweb, from 1995 to 2002, Mr. Bruni</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Friedman</w:t>
      </w:r>
    </w:p>
    <w:p>
      <w:pPr>
        <w:spacing w:after="0" w:line="10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Mr. Friedman has served as Tradeweb’s General Counsel and Secretary since its formation and as the General Counsel of TWM LLC since November 2009, prior to which he served as the Assistant General Counsel of TWM LLC beginning in June 2005.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Simon Maisey</w:t>
      </w:r>
    </w:p>
    <w:p>
      <w:pPr>
        <w:spacing w:after="0" w:line="10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Mr. Maisey has served as Managing Director, Global Head of Corporate Development of TWM LLC since May 2016 and, following the completion of the Reorganization Transactions, will serve in the same position at Tradeweb.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 Morgan’s fixed income businesses and served on the TWM LLC board of directors as a J.P. Morgan representative from 2009 to 2014. He holds a MEng (Hons) from the University of Oxford.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Jay Spencer</w:t>
      </w:r>
    </w:p>
    <w:p>
      <w:pPr>
        <w:spacing w:after="0" w:line="104"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Mr. Spencer has served as Chief Technology Officer of TWM LLC since February 2008 and, following completion of the Reorganization Transactions, will serve in the same position at Tradeweb. Prior to joining Tradeweb, from 2003 to 2007, Mr. Spencer was Global Chief Information Officer for ICAP and a member of its Global Executive Management team. Previously, Mr. Spencer was the founding Chief Technology Officer of BrokerTec, a position he held from 1999 to 2003, where he worked closely with Mr. Olesky in establishing the business. His extensive electronic trading experience also includes senior product and executive positions at EJV Partners and Fidelity. He received a B.A from the University of North Carolina at Chapel Hill and an M.B.A. from Wake Forest University.</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Robert Warshaw</w:t>
      </w:r>
    </w:p>
    <w:p>
      <w:pPr>
        <w:spacing w:after="0" w:line="104" w:lineRule="exact"/>
        <w:rPr>
          <w:sz w:val="20"/>
          <w:szCs w:val="20"/>
          <w:color w:val="auto"/>
        </w:rPr>
      </w:pPr>
    </w:p>
    <w:p>
      <w:pPr>
        <w:ind w:left="1260" w:right="659" w:firstLine="360"/>
        <w:spacing w:after="0" w:line="289" w:lineRule="auto"/>
        <w:rPr>
          <w:sz w:val="20"/>
          <w:szCs w:val="20"/>
          <w:color w:val="auto"/>
        </w:rPr>
      </w:pPr>
      <w:r>
        <w:rPr>
          <w:rFonts w:ascii="Arial" w:cs="Arial" w:eastAsia="Arial" w:hAnsi="Arial"/>
          <w:sz w:val="16"/>
          <w:szCs w:val="16"/>
          <w:color w:val="auto"/>
        </w:rPr>
        <w:t>Mr. Warshaw has served as Tradeweb’s Chief Financial Officer since its formation and as the Chief Financial Officer of TWM LLC since May 2011. Mr. Warshaw joined the Company in July 2009 as a managing director and Head of Equities and became Head of Business Development in November 2010. Prior to joining Tradeweb, Mr. Warshaw led venture capital-backed technology startups in the electronic trading, telepresence and social networking fields. Prior to that, he served as Chief Information Officer and a director of Lazard as well as a partner at McKinsey &amp; Company, where he advised large companies in the financial and technology sectors. Mr. Warshaw began his career at the former Andersen Consulting, since renamed Accenture, where he worked on a series of global assignments in the financial sector. He received a B.A. from the University of Pennsylvania and a master of management from the Kellogg School of Management at Northwestern University.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Zucker</w:t>
      </w:r>
    </w:p>
    <w:p>
      <w:pPr>
        <w:spacing w:after="0" w:line="10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Mr. Zucker has served as Tradeweb’s Chief Administrative Officer since its formation and as the Chief Administrative Officer of TWM LLC since November 2009 and, following the completion of the Reorganization Transactions, will serve in the same position at Tradeweb. He joined the company in 2002 as General Counsel. Prior to joining Tradeweb, from 1999 to 2002, Mr. Zucker worked in the Corporate Department of Willkie Farr &amp; Gallagher LLP, an international law firm, providing legal, regulatory and securities law support exclusively to Bloomberg LP. He also worked in the Corporate Department of Robinson, Silverman, Pearce, Aronsohn and Berman LLP (now Bryan Cave Leighton Paisner LLP) from</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1996 to 1999, where he specialized in general corporate and securities matters. He received a B.A. from Tufts University and a J.D. from Hofstra University School of Law.</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w:t>
      </w:r>
    </w:p>
    <w:p>
      <w:pPr>
        <w:spacing w:after="0" w:line="108"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Our business and affairs are managed under the direction of our board of directors. Upon completion of this offering, our board of directors will consist of directors. In addition, our amended and restated certificate of incorporation and amended and restated bylaws will provide for a classified board of directors consisting of three classes of directors, each serving staggered three-year terms as follows:</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140"/>
              <w:spacing w:after="0"/>
              <w:rPr>
                <w:sz w:val="20"/>
                <w:szCs w:val="20"/>
                <w:color w:val="auto"/>
              </w:rPr>
            </w:pPr>
            <w:r>
              <w:rPr>
                <w:rFonts w:ascii="Arial" w:cs="Arial" w:eastAsia="Arial" w:hAnsi="Arial"/>
                <w:sz w:val="18"/>
                <w:szCs w:val="18"/>
                <w:color w:val="auto"/>
                <w:w w:val="92"/>
              </w:rPr>
              <w:t>the Class I directors will be</w:t>
            </w:r>
          </w:p>
        </w:tc>
        <w:tc>
          <w:tcPr>
            <w:tcW w:w="380" w:type="dxa"/>
            <w:vAlign w:val="bottom"/>
          </w:tcPr>
          <w:p>
            <w:pPr>
              <w:spacing w:after="0"/>
              <w:rPr>
                <w:sz w:val="18"/>
                <w:szCs w:val="18"/>
                <w:color w:val="auto"/>
              </w:rPr>
            </w:pPr>
          </w:p>
        </w:tc>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700" w:type="dxa"/>
            <w:vAlign w:val="bottom"/>
          </w:tcPr>
          <w:p>
            <w:pPr>
              <w:ind w:left="160"/>
              <w:spacing w:after="0"/>
              <w:rPr>
                <w:sz w:val="20"/>
                <w:szCs w:val="20"/>
                <w:color w:val="auto"/>
              </w:rPr>
            </w:pPr>
            <w:r>
              <w:rPr>
                <w:rFonts w:ascii="Arial" w:cs="Arial" w:eastAsia="Arial" w:hAnsi="Arial"/>
                <w:sz w:val="18"/>
                <w:szCs w:val="18"/>
                <w:color w:val="auto"/>
              </w:rPr>
              <w:t>and</w:t>
            </w:r>
          </w:p>
        </w:tc>
        <w:tc>
          <w:tcPr>
            <w:tcW w:w="3980" w:type="dxa"/>
            <w:vAlign w:val="bottom"/>
          </w:tcPr>
          <w:p>
            <w:pPr>
              <w:ind w:left="180"/>
              <w:spacing w:after="0"/>
              <w:rPr>
                <w:sz w:val="20"/>
                <w:szCs w:val="20"/>
                <w:color w:val="auto"/>
              </w:rPr>
            </w:pPr>
            <w:r>
              <w:rPr>
                <w:rFonts w:ascii="Arial" w:cs="Arial" w:eastAsia="Arial" w:hAnsi="Arial"/>
                <w:sz w:val="18"/>
                <w:szCs w:val="18"/>
                <w:color w:val="auto"/>
                <w:w w:val="93"/>
              </w:rPr>
              <w:t>and their terms will expire at the annual meeting of</w:t>
            </w:r>
          </w:p>
        </w:tc>
      </w:tr>
      <w:tr>
        <w:trPr>
          <w:trHeight w:val="230"/>
        </w:trPr>
        <w:tc>
          <w:tcPr>
            <w:tcW w:w="22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stockholders for fiscal</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37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the Class II directors will be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ind w:left="220"/>
              <w:spacing w:after="0"/>
              <w:rPr>
                <w:sz w:val="20"/>
                <w:szCs w:val="20"/>
                <w:color w:val="auto"/>
              </w:rPr>
            </w:pPr>
            <w:r>
              <w:rPr>
                <w:rFonts w:ascii="Arial" w:cs="Arial" w:eastAsia="Arial" w:hAnsi="Arial"/>
                <w:sz w:val="18"/>
                <w:szCs w:val="18"/>
                <w:color w:val="auto"/>
              </w:rPr>
              <w:t>and</w:t>
            </w:r>
          </w:p>
        </w:tc>
        <w:tc>
          <w:tcPr>
            <w:tcW w:w="3980" w:type="dxa"/>
            <w:vAlign w:val="bottom"/>
          </w:tcPr>
          <w:p>
            <w:pPr>
              <w:ind w:left="240"/>
              <w:spacing w:after="0"/>
              <w:rPr>
                <w:sz w:val="20"/>
                <w:szCs w:val="20"/>
                <w:color w:val="auto"/>
              </w:rPr>
            </w:pPr>
            <w:r>
              <w:rPr>
                <w:rFonts w:ascii="Arial" w:cs="Arial" w:eastAsia="Arial" w:hAnsi="Arial"/>
                <w:sz w:val="18"/>
                <w:szCs w:val="18"/>
                <w:color w:val="auto"/>
                <w:w w:val="92"/>
              </w:rPr>
              <w:t>and their terms will expire at the annual meeting of</w:t>
            </w:r>
          </w:p>
        </w:tc>
      </w:tr>
      <w:tr>
        <w:trPr>
          <w:trHeight w:val="230"/>
        </w:trPr>
        <w:tc>
          <w:tcPr>
            <w:tcW w:w="22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stockholders for fiscal</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 and</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37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the Class III directors will be</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ind w:left="280"/>
              <w:spacing w:after="0"/>
              <w:rPr>
                <w:sz w:val="20"/>
                <w:szCs w:val="20"/>
                <w:color w:val="auto"/>
              </w:rPr>
            </w:pPr>
            <w:r>
              <w:rPr>
                <w:rFonts w:ascii="Arial" w:cs="Arial" w:eastAsia="Arial" w:hAnsi="Arial"/>
                <w:sz w:val="18"/>
                <w:szCs w:val="18"/>
                <w:color w:val="auto"/>
              </w:rPr>
              <w:t>and</w:t>
            </w:r>
          </w:p>
        </w:tc>
        <w:tc>
          <w:tcPr>
            <w:tcW w:w="3980" w:type="dxa"/>
            <w:vAlign w:val="bottom"/>
          </w:tcPr>
          <w:p>
            <w:pPr>
              <w:ind w:left="300"/>
              <w:spacing w:after="0"/>
              <w:rPr>
                <w:sz w:val="20"/>
                <w:szCs w:val="20"/>
                <w:color w:val="auto"/>
              </w:rPr>
            </w:pPr>
            <w:r>
              <w:rPr>
                <w:rFonts w:ascii="Arial" w:cs="Arial" w:eastAsia="Arial" w:hAnsi="Arial"/>
                <w:sz w:val="18"/>
                <w:szCs w:val="18"/>
                <w:color w:val="auto"/>
                <w:w w:val="90"/>
              </w:rPr>
              <w:t>and their terms will expire at the annual meeting of</w:t>
            </w:r>
          </w:p>
        </w:tc>
      </w:tr>
      <w:tr>
        <w:trPr>
          <w:trHeight w:val="230"/>
        </w:trPr>
        <w:tc>
          <w:tcPr>
            <w:tcW w:w="220" w:type="dxa"/>
            <w:vAlign w:val="bottom"/>
          </w:tcPr>
          <w:p>
            <w:pPr>
              <w:spacing w:after="0"/>
              <w:rPr>
                <w:sz w:val="20"/>
                <w:szCs w:val="20"/>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stockholders for fiscal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80" w:type="dxa"/>
            <w:vAlign w:val="bottom"/>
          </w:tcPr>
          <w:p>
            <w:pPr>
              <w:spacing w:after="0"/>
              <w:rPr>
                <w:sz w:val="20"/>
                <w:szCs w:val="20"/>
                <w:color w:val="auto"/>
              </w:rPr>
            </w:pPr>
          </w:p>
        </w:tc>
      </w:tr>
    </w:tbl>
    <w:p>
      <w:pPr>
        <w:spacing w:after="0" w:line="94"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70" w:lineRule="exact"/>
        <w:rPr>
          <w:sz w:val="20"/>
          <w:szCs w:val="20"/>
          <w:color w:val="auto"/>
        </w:rPr>
      </w:pPr>
    </w:p>
    <w:p>
      <w:pPr>
        <w:ind w:left="1620"/>
        <w:spacing w:after="0"/>
        <w:tabs>
          <w:tab w:leader="none" w:pos="6860" w:val="left"/>
        </w:tabs>
        <w:rPr>
          <w:sz w:val="20"/>
          <w:szCs w:val="20"/>
          <w:color w:val="auto"/>
        </w:rPr>
      </w:pPr>
      <w:r>
        <w:rPr>
          <w:rFonts w:ascii="Arial" w:cs="Arial" w:eastAsia="Arial" w:hAnsi="Arial"/>
          <w:sz w:val="18"/>
          <w:szCs w:val="18"/>
          <w:color w:val="auto"/>
        </w:rPr>
        <w:t>In addition, we intend to enter into a Stockholders Agreement with</w:t>
      </w:r>
      <w:r>
        <w:rPr>
          <w:sz w:val="20"/>
          <w:szCs w:val="20"/>
          <w:color w:val="auto"/>
        </w:rPr>
        <w:tab/>
      </w:r>
      <w:r>
        <w:rPr>
          <w:rFonts w:ascii="Arial" w:cs="Arial" w:eastAsia="Arial" w:hAnsi="Arial"/>
          <w:sz w:val="16"/>
          <w:szCs w:val="16"/>
          <w:color w:val="auto"/>
        </w:rPr>
        <w:t>in connection with this offering.</w:t>
      </w:r>
    </w:p>
    <w:p>
      <w:pPr>
        <w:spacing w:after="0" w:line="23" w:lineRule="exact"/>
        <w:rPr>
          <w:sz w:val="20"/>
          <w:szCs w:val="20"/>
          <w:color w:val="auto"/>
        </w:rPr>
      </w:pPr>
    </w:p>
    <w:p>
      <w:pPr>
        <w:ind w:left="1260"/>
        <w:spacing w:after="0"/>
        <w:tabs>
          <w:tab w:leader="none" w:pos="3560" w:val="left"/>
        </w:tabs>
        <w:rPr>
          <w:sz w:val="20"/>
          <w:szCs w:val="20"/>
          <w:color w:val="auto"/>
        </w:rPr>
      </w:pPr>
      <w:r>
        <w:rPr>
          <w:rFonts w:ascii="Arial" w:cs="Arial" w:eastAsia="Arial" w:hAnsi="Arial"/>
          <w:sz w:val="18"/>
          <w:szCs w:val="18"/>
          <w:color w:val="auto"/>
        </w:rPr>
        <w:t>This agreement will grant</w:t>
      </w:r>
      <w:r>
        <w:rPr>
          <w:sz w:val="20"/>
          <w:szCs w:val="20"/>
          <w:color w:val="auto"/>
        </w:rPr>
        <w:tab/>
      </w:r>
      <w:r>
        <w:rPr>
          <w:rFonts w:ascii="Arial" w:cs="Arial" w:eastAsia="Arial" w:hAnsi="Arial"/>
          <w:sz w:val="16"/>
          <w:szCs w:val="16"/>
          <w:color w:val="auto"/>
        </w:rPr>
        <w:t>the right to designate nominees to our board of directors subject to the</w:t>
      </w:r>
    </w:p>
    <w:p>
      <w:pPr>
        <w:spacing w:after="0" w:line="9" w:lineRule="exact"/>
        <w:rPr>
          <w:sz w:val="20"/>
          <w:szCs w:val="20"/>
          <w:color w:val="auto"/>
        </w:rPr>
      </w:pPr>
    </w:p>
    <w:p>
      <w:pPr>
        <w:ind w:left="1260" w:right="759"/>
        <w:spacing w:after="0" w:line="260" w:lineRule="auto"/>
        <w:rPr>
          <w:sz w:val="20"/>
          <w:szCs w:val="20"/>
          <w:color w:val="auto"/>
        </w:rPr>
      </w:pPr>
      <w:r>
        <w:rPr>
          <w:rFonts w:ascii="Arial" w:cs="Arial" w:eastAsia="Arial" w:hAnsi="Arial"/>
          <w:sz w:val="18"/>
          <w:szCs w:val="18"/>
          <w:color w:val="auto"/>
        </w:rPr>
        <w:t>maintenance of certain ownership requirements in us. See “Certain Relationships and Related Party Transactions — Stockholders Agreement” for additional information.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Controlled Company Exception</w:t>
      </w:r>
    </w:p>
    <w:p>
      <w:pPr>
        <w:spacing w:after="0" w:line="10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Our board of directors has affirmatively determined that are independent directors under the rules of the , and are independent directors as such term is defined in Rule 10A-3(b)(1) under the Exchange Act. Our remaining directors are not independent due to .</w:t>
      </w:r>
    </w:p>
    <w:p>
      <w:pPr>
        <w:spacing w:after="0" w:line="76" w:lineRule="exact"/>
        <w:rPr>
          <w:sz w:val="20"/>
          <w:szCs w:val="20"/>
          <w:color w:val="auto"/>
        </w:rPr>
      </w:pPr>
    </w:p>
    <w:p>
      <w:pPr>
        <w:jc w:val="both"/>
        <w:ind w:left="1260" w:right="1259" w:firstLine="360"/>
        <w:spacing w:after="0" w:line="287" w:lineRule="auto"/>
        <w:rPr>
          <w:sz w:val="20"/>
          <w:szCs w:val="20"/>
          <w:color w:val="auto"/>
        </w:rPr>
      </w:pPr>
      <w:r>
        <w:rPr>
          <w:rFonts w:ascii="Arial" w:cs="Arial" w:eastAsia="Arial" w:hAnsi="Arial"/>
          <w:sz w:val="16"/>
          <w:szCs w:val="16"/>
          <w:color w:val="auto"/>
        </w:rPr>
        <w:t>After completion of this offering, the Refinitiv Owners will hold Class B common stock and Class D common stock collectively representing a majority of the combined voting power of our total outstanding common stock. As a result, we expect to be a “controlled company” within the meaning of the corporate</w:t>
      </w:r>
    </w:p>
    <w:p>
      <w:pPr>
        <w:spacing w:after="0" w:line="2" w:lineRule="exact"/>
        <w:rPr>
          <w:sz w:val="20"/>
          <w:szCs w:val="20"/>
          <w:color w:val="auto"/>
        </w:rPr>
      </w:pPr>
    </w:p>
    <w:p>
      <w:pPr>
        <w:ind w:left="1260" w:right="799"/>
        <w:spacing w:after="0" w:line="260" w:lineRule="auto"/>
        <w:rPr>
          <w:sz w:val="20"/>
          <w:szCs w:val="20"/>
          <w:color w:val="auto"/>
        </w:rPr>
      </w:pPr>
      <w:r>
        <w:rPr>
          <w:rFonts w:ascii="Arial" w:cs="Arial" w:eastAsia="Arial" w:hAnsi="Arial"/>
          <w:sz w:val="18"/>
          <w:szCs w:val="18"/>
          <w:color w:val="auto"/>
        </w:rPr>
        <w:t>governance standards of . Under these rules, a “controlled company” may elect not to comply with certain corporate governance requirements, including:</w:t>
      </w:r>
    </w:p>
    <w:p>
      <w:pPr>
        <w:spacing w:after="0" w:line="158" w:lineRule="exact"/>
        <w:rPr>
          <w:sz w:val="20"/>
          <w:szCs w:val="20"/>
          <w:color w:val="auto"/>
        </w:rPr>
      </w:pPr>
    </w:p>
    <w:p>
      <w:pPr>
        <w:ind w:left="1980" w:hanging="352"/>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4" w:lineRule="exact"/>
        <w:rPr>
          <w:rFonts w:ascii="Arial" w:cs="Arial" w:eastAsia="Arial" w:hAnsi="Arial"/>
          <w:sz w:val="18"/>
          <w:szCs w:val="18"/>
          <w:color w:val="auto"/>
        </w:rPr>
      </w:pPr>
    </w:p>
    <w:p>
      <w:pPr>
        <w:ind w:left="1980" w:right="1119" w:hanging="352"/>
        <w:spacing w:after="0" w:line="263"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143" w:lineRule="exact"/>
        <w:rPr>
          <w:rFonts w:ascii="Arial" w:cs="Arial" w:eastAsia="Arial" w:hAnsi="Arial"/>
          <w:sz w:val="18"/>
          <w:szCs w:val="18"/>
          <w:color w:val="auto"/>
        </w:rPr>
      </w:pPr>
    </w:p>
    <w:p>
      <w:pPr>
        <w:ind w:left="1980" w:right="1119" w:hanging="352"/>
        <w:spacing w:after="0" w:line="342" w:lineRule="auto"/>
        <w:tabs>
          <w:tab w:leader="none" w:pos="19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 and</w:t>
      </w:r>
    </w:p>
    <w:p>
      <w:pPr>
        <w:spacing w:after="0" w:line="83" w:lineRule="exact"/>
        <w:rPr>
          <w:rFonts w:ascii="Arial" w:cs="Arial" w:eastAsia="Arial" w:hAnsi="Arial"/>
          <w:sz w:val="16"/>
          <w:szCs w:val="16"/>
          <w:color w:val="auto"/>
        </w:rPr>
      </w:pPr>
    </w:p>
    <w:p>
      <w:pPr>
        <w:ind w:left="1980" w:right="1039" w:hanging="352"/>
        <w:spacing w:after="0" w:line="277"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committee and compensation committee.</w:t>
      </w:r>
    </w:p>
    <w:p>
      <w:pPr>
        <w:spacing w:after="0" w:line="62" w:lineRule="exact"/>
        <w:rPr>
          <w:sz w:val="20"/>
          <w:szCs w:val="20"/>
          <w:color w:val="auto"/>
        </w:rPr>
      </w:pPr>
    </w:p>
    <w:p>
      <w:pPr>
        <w:ind w:left="1260" w:right="939" w:firstLine="360"/>
        <w:spacing w:after="0" w:line="301" w:lineRule="auto"/>
        <w:rPr>
          <w:sz w:val="20"/>
          <w:szCs w:val="20"/>
          <w:color w:val="auto"/>
        </w:rPr>
      </w:pPr>
      <w:r>
        <w:rPr>
          <w:rFonts w:ascii="Arial" w:cs="Arial" w:eastAsia="Arial" w:hAnsi="Arial"/>
          <w:sz w:val="16"/>
          <w:szCs w:val="16"/>
          <w:color w:val="auto"/>
        </w:rPr>
        <w:t>Following this offering, we intend to utilize certain of these exemptions. As a result, we will not have a majority of independent directors, our nominating and corporate governance committee and compensation committee will not consist entirely of independent directors and such committees will not be subject to annual performance evaluations. Accordingly, you will not have the same protections afforded to</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19"/>
        <w:spacing w:after="0" w:line="291" w:lineRule="auto"/>
        <w:rPr>
          <w:sz w:val="20"/>
          <w:szCs w:val="20"/>
          <w:color w:val="auto"/>
        </w:rPr>
      </w:pPr>
      <w:r>
        <w:rPr>
          <w:rFonts w:ascii="Arial" w:cs="Arial" w:eastAsia="Arial" w:hAnsi="Arial"/>
          <w:sz w:val="16"/>
          <w:szCs w:val="16"/>
          <w:color w:val="auto"/>
        </w:rPr>
        <w:t>stockholders of companies that are subject to all of the applicable stock exchange rules. See “Risk Factors — Risks Relating to This Offering and Ownership of Our Class A Common Stock — We are a “controlled</w:t>
      </w:r>
    </w:p>
    <w:p>
      <w:pPr>
        <w:ind w:left="1260" w:right="939"/>
        <w:spacing w:after="0" w:line="260" w:lineRule="auto"/>
        <w:rPr>
          <w:sz w:val="20"/>
          <w:szCs w:val="20"/>
          <w:color w:val="auto"/>
        </w:rPr>
      </w:pPr>
      <w:r>
        <w:rPr>
          <w:rFonts w:ascii="Arial" w:cs="Arial" w:eastAsia="Arial" w:hAnsi="Arial"/>
          <w:sz w:val="18"/>
          <w:szCs w:val="18"/>
          <w:color w:val="auto"/>
        </w:rPr>
        <w:t>company” within the meaning of the corporate governance standards of and, as a result, will qualify for, and may rely on, exemptions from certain corporate governance requirements.”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Upon completion of this offering, our board of directors will have three committees: the audit committee; the compensation committee; and the nominating and corporate governance committee. Our board of directors may establish other committees to facilitate the management of our business. The expected composition and functions of the audit committee, compensation committee and nominating and corporate governance committee are described below.</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620"/>
        <w:spacing w:after="0"/>
        <w:tabs>
          <w:tab w:leader="none" w:pos="4940" w:val="left"/>
          <w:tab w:leader="none" w:pos="6380" w:val="left"/>
          <w:tab w:leader="none" w:pos="7180" w:val="left"/>
          <w:tab w:leader="none" w:pos="7660" w:val="left"/>
        </w:tabs>
        <w:rPr>
          <w:sz w:val="20"/>
          <w:szCs w:val="20"/>
          <w:color w:val="auto"/>
        </w:rPr>
      </w:pPr>
      <w:r>
        <w:rPr>
          <w:rFonts w:ascii="Arial" w:cs="Arial" w:eastAsia="Arial" w:hAnsi="Arial"/>
          <w:sz w:val="18"/>
          <w:szCs w:val="18"/>
          <w:color w:val="auto"/>
        </w:rPr>
        <w:t>The members of the audit committee are</w:t>
      </w:r>
      <w:r>
        <w:rPr>
          <w:sz w:val="20"/>
          <w:szCs w:val="20"/>
          <w:color w:val="auto"/>
        </w:rPr>
        <w:tab/>
      </w:r>
      <w:r>
        <w:rPr>
          <w:rFonts w:ascii="Arial" w:cs="Arial" w:eastAsia="Arial" w:hAnsi="Arial"/>
          <w:sz w:val="18"/>
          <w:szCs w:val="18"/>
          <w:color w:val="auto"/>
        </w:rPr>
        <w:t>, as Chairman,</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qualifies as our “audit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committee financial expert” within the meaning of regulations adopted by the SEC. Our board of directors has</w:t>
      </w:r>
    </w:p>
    <w:p>
      <w:pPr>
        <w:spacing w:after="0" w:line="21"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also determined that are “independent” as defined under the rules and the Exchange Act and rules and regulations promulgated thereunder. 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 of directors.</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620"/>
        <w:spacing w:after="0"/>
        <w:tabs>
          <w:tab w:leader="none" w:pos="5580" w:val="left"/>
          <w:tab w:leader="none" w:pos="7060" w:val="left"/>
          <w:tab w:leader="none" w:pos="7760" w:val="left"/>
        </w:tabs>
        <w:rPr>
          <w:sz w:val="20"/>
          <w:szCs w:val="20"/>
          <w:color w:val="auto"/>
        </w:rPr>
      </w:pPr>
      <w:r>
        <w:rPr>
          <w:rFonts w:ascii="Arial" w:cs="Arial" w:eastAsia="Arial" w:hAnsi="Arial"/>
          <w:sz w:val="18"/>
          <w:szCs w:val="18"/>
          <w:color w:val="auto"/>
        </w:rPr>
        <w:t>The members of the compensation committee are</w:t>
      </w:r>
      <w:r>
        <w:rPr>
          <w:sz w:val="20"/>
          <w:szCs w:val="20"/>
          <w:color w:val="auto"/>
        </w:rPr>
        <w:tab/>
      </w:r>
      <w:r>
        <w:rPr>
          <w:rFonts w:ascii="Arial" w:cs="Arial" w:eastAsia="Arial" w:hAnsi="Arial"/>
          <w:sz w:val="18"/>
          <w:szCs w:val="18"/>
          <w:color w:val="auto"/>
        </w:rPr>
        <w:t>, as Chairman,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The principal</w:t>
      </w:r>
    </w:p>
    <w:p>
      <w:pPr>
        <w:spacing w:after="0" w:line="23" w:lineRule="exact"/>
        <w:rPr>
          <w:sz w:val="20"/>
          <w:szCs w:val="20"/>
          <w:color w:val="auto"/>
        </w:rPr>
      </w:pPr>
    </w:p>
    <w:p>
      <w:pPr>
        <w:ind w:left="1260" w:right="819"/>
        <w:spacing w:after="0" w:line="302" w:lineRule="auto"/>
        <w:rPr>
          <w:sz w:val="20"/>
          <w:szCs w:val="20"/>
          <w:color w:val="auto"/>
        </w:rPr>
      </w:pPr>
      <w:r>
        <w:rPr>
          <w:rFonts w:ascii="Arial" w:cs="Arial" w:eastAsia="Arial" w:hAnsi="Arial"/>
          <w:sz w:val="16"/>
          <w:szCs w:val="16"/>
          <w:color w:val="auto"/>
        </w:rPr>
        <w:t>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w:t>
      </w:r>
    </w:p>
    <w:p>
      <w:pPr>
        <w:spacing w:after="0" w:line="14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left="1620"/>
        <w:spacing w:after="0"/>
        <w:tabs>
          <w:tab w:leader="none" w:pos="7300" w:val="left"/>
          <w:tab w:leader="none" w:pos="8740" w:val="left"/>
        </w:tabs>
        <w:rPr>
          <w:sz w:val="20"/>
          <w:szCs w:val="20"/>
          <w:color w:val="auto"/>
        </w:rPr>
      </w:pPr>
      <w:r>
        <w:rPr>
          <w:rFonts w:ascii="Arial" w:cs="Arial" w:eastAsia="Arial" w:hAnsi="Arial"/>
          <w:sz w:val="18"/>
          <w:szCs w:val="18"/>
          <w:color w:val="auto"/>
        </w:rPr>
        <w:t>The members of the nominating and corporate governance committee are</w:t>
      </w:r>
      <w:r>
        <w:rPr>
          <w:sz w:val="20"/>
          <w:szCs w:val="20"/>
          <w:color w:val="auto"/>
        </w:rPr>
        <w:tab/>
      </w:r>
      <w:r>
        <w:rPr>
          <w:rFonts w:ascii="Arial" w:cs="Arial" w:eastAsia="Arial" w:hAnsi="Arial"/>
          <w:sz w:val="18"/>
          <w:szCs w:val="18"/>
          <w:color w:val="auto"/>
        </w:rPr>
        <w:t>, as Chairman,</w:t>
      </w:r>
      <w:r>
        <w:rPr>
          <w:sz w:val="20"/>
          <w:szCs w:val="20"/>
          <w:color w:val="auto"/>
        </w:rPr>
        <w:tab/>
      </w:r>
      <w:r>
        <w:rPr>
          <w:rFonts w:ascii="Arial" w:cs="Arial" w:eastAsia="Arial" w:hAnsi="Arial"/>
          <w:sz w:val="15"/>
          <w:szCs w:val="15"/>
          <w:color w:val="auto"/>
        </w:rPr>
        <w:t>, and</w:t>
      </w:r>
    </w:p>
    <w:p>
      <w:pPr>
        <w:spacing w:after="0" w:line="23" w:lineRule="exact"/>
        <w:rPr>
          <w:sz w:val="20"/>
          <w:szCs w:val="20"/>
          <w:color w:val="auto"/>
        </w:rPr>
      </w:pPr>
    </w:p>
    <w:p>
      <w:pPr>
        <w:ind w:left="1260" w:right="1139" w:firstLine="413"/>
        <w:spacing w:after="0" w:line="302" w:lineRule="auto"/>
        <w:tabs>
          <w:tab w:leader="none" w:pos="175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assists our board of directors in identifying individuals qualified to become board members, makes recommendations for nominees for committees and develops, recommends to the board of directors and reviews our corporate governance principles.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None of our executive officers serves, or in the past year has served, as a member of the board of directors or compensation committee (or other committee performing equivalent functions) of any entity that has one or more executive officers serving on our board of directors or compensation committee. No interlocking relationship exists between any member of the compensation committee (or other committee performing equivalent functions) and any executive, member of the board of directors or member of the compensation committee (or other committee performing equivalent functions) of any other company.</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We have adopted a Code of Ethics and Business Conduct applicable to all of our directors, officers (including our principal executive officer, principal financial officer and principal accounting officer) and all global employees. Our Code of Ethics and Business Conduct is available on our website at www.tradeweb.com. In the event that we amend or waive certain provisions of our Code of Ethics and</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3" w:lineRule="auto"/>
        <w:rPr>
          <w:sz w:val="20"/>
          <w:szCs w:val="20"/>
          <w:color w:val="auto"/>
        </w:rPr>
      </w:pPr>
      <w:r>
        <w:rPr>
          <w:rFonts w:ascii="Arial" w:cs="Arial" w:eastAsia="Arial" w:hAnsi="Arial"/>
          <w:sz w:val="18"/>
          <w:szCs w:val="18"/>
          <w:color w:val="auto"/>
        </w:rPr>
        <w:t>Business Conduct applicable to our principal executive officer, principal financial officer or principal accounting officer that requires disclosure under applicable SEC rules, we intend to disclose the same on our website.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EXECUTIVE COMPENSATION</w:t>
      </w:r>
    </w:p>
    <w:p>
      <w:pPr>
        <w:spacing w:after="0" w:line="108" w:lineRule="exact"/>
        <w:rPr>
          <w:sz w:val="20"/>
          <w:szCs w:val="20"/>
          <w:color w:val="auto"/>
        </w:rPr>
      </w:pPr>
    </w:p>
    <w:p>
      <w:pPr>
        <w:ind w:left="1260" w:right="1019" w:firstLine="360"/>
        <w:spacing w:after="0" w:line="259" w:lineRule="auto"/>
        <w:rPr>
          <w:sz w:val="20"/>
          <w:szCs w:val="20"/>
          <w:color w:val="auto"/>
        </w:rPr>
      </w:pPr>
      <w:r>
        <w:rPr>
          <w:rFonts w:ascii="Arial" w:cs="Arial" w:eastAsia="Arial" w:hAnsi="Arial"/>
          <w:sz w:val="18"/>
          <w:szCs w:val="18"/>
          <w:color w:val="auto"/>
        </w:rPr>
        <w:t>As an emerging growth company, Tradeweb has opted to comply with the executive compensation rules applicable to “smaller reporting companies,” as defined under the Securities Act. Those rules require compensation disclosure only for Tradeweb’s principal executive officer and its next two most highly compensated executive officers.</w:t>
      </w:r>
    </w:p>
    <w:p>
      <w:pPr>
        <w:spacing w:after="0" w:line="7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tabular disclosure and discussion that follow describe Tradeweb’s executive compensation program during the most recently completed fiscal year, ended December 31, 2018, with respect to Tradeweb’s named executive officers, including: Lee Olesky, Tradeweb’s Chief Executive Officer; William Hult, Tradeweb’s President; and James Spencer, Tradeweb’s Chief Technology Officer (collectively, Tradeweb’s “named executive officers”).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0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The following table sets forth the compensation paid to the named executive officers (the “NEOs”) that is attributable to services performed during fiscal year 2018.</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Incentive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Plan</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Bonus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Total</w:t>
            </w:r>
          </w:p>
        </w:tc>
      </w:tr>
      <w:tr>
        <w:trPr>
          <w:trHeight w:val="186"/>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
        </w:trPr>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0"/>
        </w:trPr>
        <w:tc>
          <w:tcPr>
            <w:tcW w:w="2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Lee Olesky</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770,000</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2,952,000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19,933,644</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6,400,000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44,526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30,100,170</w:t>
            </w:r>
          </w:p>
        </w:tc>
      </w:tr>
      <w:tr>
        <w:trPr>
          <w:trHeight w:val="212"/>
        </w:trPr>
        <w:tc>
          <w:tcPr>
            <w:tcW w:w="21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Chief Executive Officer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6"/>
        </w:trPr>
        <w:tc>
          <w:tcPr>
            <w:tcW w:w="2140" w:type="dxa"/>
            <w:vAlign w:val="bottom"/>
            <w:gridSpan w:val="3"/>
          </w:tcPr>
          <w:p>
            <w:pPr>
              <w:spacing w:after="0"/>
              <w:rPr>
                <w:sz w:val="20"/>
                <w:szCs w:val="20"/>
                <w:color w:val="auto"/>
              </w:rPr>
            </w:pPr>
            <w:r>
              <w:rPr>
                <w:rFonts w:ascii="Arial" w:cs="Arial" w:eastAsia="Arial" w:hAnsi="Arial"/>
                <w:sz w:val="16"/>
                <w:szCs w:val="16"/>
                <w:color w:val="auto"/>
              </w:rPr>
              <w:t>William Hult</w:t>
            </w:r>
          </w:p>
        </w:tc>
        <w:tc>
          <w:tcPr>
            <w:tcW w:w="440" w:type="dxa"/>
            <w:vAlign w:val="bottom"/>
            <w:gridSpan w:val="2"/>
          </w:tcPr>
          <w:p>
            <w:pPr>
              <w:ind w:left="20"/>
              <w:spacing w:after="0"/>
              <w:rPr>
                <w:sz w:val="20"/>
                <w:szCs w:val="20"/>
                <w:color w:val="auto"/>
              </w:rPr>
            </w:pPr>
            <w:r>
              <w:rPr>
                <w:rFonts w:ascii="Arial" w:cs="Arial" w:eastAsia="Arial" w:hAnsi="Arial"/>
                <w:sz w:val="16"/>
                <w:szCs w:val="16"/>
                <w:color w:val="auto"/>
              </w:rPr>
              <w:t>2018</w:t>
            </w:r>
          </w:p>
        </w:tc>
        <w:tc>
          <w:tcPr>
            <w:tcW w:w="64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660,000</w:t>
            </w:r>
          </w:p>
        </w:tc>
        <w:tc>
          <w:tcPr>
            <w:tcW w:w="540" w:type="dxa"/>
            <w:vAlign w:val="bottom"/>
            <w:gridSpan w:val="2"/>
          </w:tcPr>
          <w:p>
            <w:pPr>
              <w:jc w:val="center"/>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2,461,250</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10,678,738</w:t>
            </w:r>
          </w:p>
        </w:tc>
        <w:tc>
          <w:tcPr>
            <w:tcW w:w="940" w:type="dxa"/>
            <w:vAlign w:val="bottom"/>
          </w:tcPr>
          <w:p>
            <w:pPr>
              <w:jc w:val="right"/>
              <w:ind w:right="45"/>
              <w:spacing w:after="0"/>
              <w:rPr>
                <w:sz w:val="20"/>
                <w:szCs w:val="20"/>
                <w:color w:val="auto"/>
              </w:rPr>
            </w:pPr>
            <w:r>
              <w:rPr>
                <w:rFonts w:ascii="Arial" w:cs="Arial" w:eastAsia="Arial" w:hAnsi="Arial"/>
                <w:sz w:val="16"/>
                <w:szCs w:val="16"/>
                <w:color w:val="auto"/>
              </w:rPr>
              <w:t>5,700,000</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43,676</w:t>
            </w: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19,543,664</w:t>
            </w:r>
          </w:p>
        </w:tc>
      </w:tr>
      <w:tr>
        <w:trPr>
          <w:trHeight w:val="209"/>
        </w:trPr>
        <w:tc>
          <w:tcPr>
            <w:tcW w:w="2140" w:type="dxa"/>
            <w:vAlign w:val="bottom"/>
            <w:gridSpan w:val="3"/>
          </w:tcPr>
          <w:p>
            <w:pPr>
              <w:ind w:left="180"/>
              <w:spacing w:after="0"/>
              <w:rPr>
                <w:sz w:val="20"/>
                <w:szCs w:val="20"/>
                <w:color w:val="auto"/>
              </w:rPr>
            </w:pPr>
            <w:r>
              <w:rPr>
                <w:rFonts w:ascii="Arial" w:cs="Arial" w:eastAsia="Arial" w:hAnsi="Arial"/>
                <w:sz w:val="16"/>
                <w:szCs w:val="16"/>
                <w:color w:val="auto"/>
              </w:rPr>
              <w:t>President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9"/>
        </w:trPr>
        <w:tc>
          <w:tcPr>
            <w:tcW w:w="2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Spencer</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400,000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1,993,364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38,222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2"/>
        </w:trPr>
        <w:tc>
          <w:tcPr>
            <w:tcW w:w="21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Chief Technology Officer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3"/>
        </w:trPr>
        <w:tc>
          <w:tcPr>
            <w:tcW w:w="1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-968375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-968375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-968375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-968375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-968375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-968375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-968375</wp:posOffset>
            </wp:positionV>
            <wp:extent cx="596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-968375</wp:posOffset>
            </wp:positionV>
            <wp:extent cx="514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ind w:left="1620" w:right="759" w:hanging="352"/>
        <w:spacing w:after="0" w:line="259" w:lineRule="auto"/>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Spencer is entitled to a discretionary annual bonus as described below in “Narrative Disclosure to Summary Compensation Table—Annual Cash Incentive Awards”. The amount included in the “Bonus” column represents the anticipated bonus to be paid in respect of 2018, which will be determined and paid in March 2019.</w:t>
      </w:r>
    </w:p>
    <w:p>
      <w:pPr>
        <w:spacing w:after="0" w:line="159" w:lineRule="exact"/>
        <w:rPr>
          <w:rFonts w:ascii="Arial" w:cs="Arial" w:eastAsia="Arial" w:hAnsi="Arial"/>
          <w:sz w:val="18"/>
          <w:szCs w:val="18"/>
          <w:color w:val="auto"/>
        </w:rPr>
      </w:pPr>
    </w:p>
    <w:p>
      <w:pPr>
        <w:ind w:left="1620" w:right="739" w:hanging="352"/>
        <w:spacing w:after="0" w:line="284" w:lineRule="auto"/>
        <w:tabs>
          <w:tab w:leader="none" w:pos="16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amounts included in the “Stock Awards” column represent the grant date fair value of PRSU awards computed in accordance with FASB ASC Topic 718. Details and assumptions used in calculating the grant date fair value of the PRSU awards may be found in Note 11, “Stock-based compensation,” to the Company’s audited consolidated financial statements included herein. In addition, assuming that the highest level of performance conditions will be achieved with respect to the PRSUs, the grant date fair value of these awards would have been $4,428,000 for Mr. Olesky, $3,691,875 for Mr. Hult and $675,000 for</w:t>
      </w:r>
    </w:p>
    <w:p>
      <w:pPr>
        <w:spacing w:after="0" w:line="4"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Mr. Spencer.</w:t>
      </w:r>
    </w:p>
    <w:p>
      <w:pPr>
        <w:spacing w:after="0" w:line="170" w:lineRule="exact"/>
        <w:rPr>
          <w:rFonts w:ascii="Arial" w:cs="Arial" w:eastAsia="Arial" w:hAnsi="Arial"/>
          <w:sz w:val="16"/>
          <w:szCs w:val="16"/>
          <w:color w:val="auto"/>
        </w:rPr>
      </w:pPr>
    </w:p>
    <w:p>
      <w:pPr>
        <w:ind w:left="1620" w:right="839" w:hanging="352"/>
        <w:spacing w:after="0" w:line="257" w:lineRule="auto"/>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amounts included in the “Option Awards” column represent the grant date fair value of option awards computed in accordance with FASB ASC Topic 718. Details and assumptions used in calculating the grant date fair value of the option awards may be found in the section titled “Management Discussion and Analysis of Financial Condition and Results of Operations—Critical Accounting Policies and Estimates— Stock-Based Compensation”.</w:t>
      </w:r>
    </w:p>
    <w:p>
      <w:pPr>
        <w:spacing w:after="0" w:line="147" w:lineRule="exact"/>
        <w:rPr>
          <w:rFonts w:ascii="Arial" w:cs="Arial" w:eastAsia="Arial" w:hAnsi="Arial"/>
          <w:sz w:val="18"/>
          <w:szCs w:val="18"/>
          <w:color w:val="auto"/>
        </w:rPr>
      </w:pPr>
    </w:p>
    <w:p>
      <w:pPr>
        <w:ind w:left="1620" w:right="679" w:hanging="352"/>
        <w:spacing w:after="0" w:line="257" w:lineRule="auto"/>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amounts included in the “Non-Equity Incentive Plan Compensation” column reflect Messrs. Olesky and Hult’s annual performance bonuses earned in respect of fiscal year 2018, which amounts are based on performance targets as set forth in their applicable employment agreements for such fiscal years as described below in “Narrative Disclosure to Summary Compensation Table—Employment Agreements”, and are anticipated to be paid in March 2019.</w:t>
      </w:r>
    </w:p>
    <w:p>
      <w:pPr>
        <w:spacing w:after="0" w:line="147" w:lineRule="exact"/>
        <w:rPr>
          <w:rFonts w:ascii="Arial" w:cs="Arial" w:eastAsia="Arial" w:hAnsi="Arial"/>
          <w:sz w:val="18"/>
          <w:szCs w:val="18"/>
          <w:color w:val="auto"/>
        </w:rPr>
      </w:pPr>
    </w:p>
    <w:p>
      <w:pPr>
        <w:ind w:left="1620" w:right="699" w:hanging="352"/>
        <w:spacing w:after="0" w:line="277" w:lineRule="auto"/>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amounts included in the “All Other Compensation” column represent (i) financial planning services, (ii) executive life insurance, (iii) group life insurance, (iv) matching contributions to the</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859"/>
        <w:spacing w:after="0" w:line="259" w:lineRule="auto"/>
        <w:rPr>
          <w:sz w:val="20"/>
          <w:szCs w:val="20"/>
          <w:color w:val="auto"/>
        </w:rPr>
      </w:pPr>
      <w:r>
        <w:rPr>
          <w:rFonts w:ascii="Arial" w:cs="Arial" w:eastAsia="Arial" w:hAnsi="Arial"/>
          <w:sz w:val="18"/>
          <w:szCs w:val="18"/>
          <w:color w:val="auto"/>
        </w:rPr>
        <w:t>Company’s 401(k) plan, and (v) for Messrs. Olesky and Hult, annual club membership dues. The value of any dividend equivalent rights accrued in respect of PRSU grants to the NEOs are not included in the “All Other Compensation” column because those amounts were factored into the grant date fair value for the relevant PRSU grants.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Messrs. Olesky and Hult are each party to an employment agreement with TWM LLC, summarized below.</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Chief Executive Officer (Lee Olesky)</w:t>
      </w:r>
    </w:p>
    <w:p>
      <w:pPr>
        <w:spacing w:after="0" w:line="104"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TWM LLC is party to an employment agreement with Mr. Olesky (the “CEO Employment Agreement”) for the position of Chief Executive Officer of TWM LLC (“CEO”). For as long as he is CEO, Mr. Olesky is entitled to be a member of the board of directors of the Company (the “Board”). The CEO Employment Agreement provides for an initial term ending on January 1, 2018, subject to automatic one-year extensions unless either TWM LLC or Mr. Olesky provides written notice of intent not to renew at least 90 days prior to the expiration of the then applicable term. The CEO Employment Agreement provides for a base salary of $770,000 per year, subject to increase at the discretion of the Board and/or the compensation committee of the Board. Mr. Olesky is also eligible to participate in an annual bonus plan, with a target bonus opportunity of $3.2 million (the “CEO Target Bonus”). Achievement of the CEO Target Bonus is based on TWM LLC’s attainment of certain performance goals set annually by the Board in consultation with Mr. Olesky. The actual amount paid to him can be greater or less than the CEO Target Bonus depending on the extent to which these goals are achieved (or exceeded). For 2018, achievement of the CEO Target Bonus is based on attainment of annual revenue targets and a minimum EBITDA threshold. Mr. Olesky is also entitled to participate in TWM LLC’s executive employee benefit plans, including its PRSU Plan (as described further below), and is entitled to six weeks of paid vacation annually.</w:t>
      </w:r>
    </w:p>
    <w:p>
      <w:pPr>
        <w:spacing w:after="0" w:line="74"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color w:val="auto"/>
        </w:rPr>
        <w:t>The CEO Employment Agreement subjects Mr. Olesky to the following restrictive covenants: (i) non-solicitation of employees of TWM LLC and non-interference with customers and clients of TWM LLC during employment and the Non-Solicitation Period (as defined below); (ii) non-competition during employment and the CEO Non-Competition Period (as defined below); and (iii) perpetual non-disclosure of confidential information. The “CEO Non-Competition Period” means (x) in the event of a termination without Cause or resignation for Good Reason, eighteen (18) months following termination; (y) in the event of a termination without Good Reason, twelve (12) months following termination; provided, that, in respect of clauses (x) and (y) above,</w:t>
      </w:r>
    </w:p>
    <w:p>
      <w:pPr>
        <w:spacing w:after="0" w:line="2" w:lineRule="exact"/>
        <w:rPr>
          <w:sz w:val="20"/>
          <w:szCs w:val="20"/>
          <w:color w:val="auto"/>
        </w:rPr>
      </w:pPr>
    </w:p>
    <w:p>
      <w:pPr>
        <w:ind w:left="1260" w:right="819"/>
        <w:spacing w:after="0" w:line="281" w:lineRule="auto"/>
        <w:rPr>
          <w:sz w:val="20"/>
          <w:szCs w:val="20"/>
          <w:color w:val="auto"/>
        </w:rPr>
      </w:pPr>
      <w:r>
        <w:rPr>
          <w:rFonts w:ascii="Arial" w:cs="Arial" w:eastAsia="Arial" w:hAnsi="Arial"/>
          <w:sz w:val="16"/>
          <w:szCs w:val="16"/>
          <w:color w:val="auto"/>
        </w:rPr>
        <w:t>Mr. Olesky’s service as a non-executive director or in a similar capacity with respect to a Restricted Enterprise (as defined in the CEO Employment Agreement) is not deemed to be a violation of the noncompetition restriction, unless the Restricted Enterprise is ICAP, MarketAxess, Markit or Bloomberg, in which case such service is not permitted for six (6) months following termination; and (z) in the event of a termination for Cause</w:t>
      </w:r>
    </w:p>
    <w:p>
      <w:pPr>
        <w:spacing w:after="0" w:line="2" w:lineRule="exact"/>
        <w:rPr>
          <w:sz w:val="20"/>
          <w:szCs w:val="20"/>
          <w:color w:val="auto"/>
        </w:rPr>
      </w:pPr>
    </w:p>
    <w:p>
      <w:pPr>
        <w:ind w:left="1260" w:right="679" w:firstLine="8"/>
        <w:spacing w:after="0" w:line="281" w:lineRule="auto"/>
        <w:tabs>
          <w:tab w:leader="none" w:pos="147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pursuant to clauses (a) or (d) of the definition of “Cause”, twelve (12) months following termination, and (ii) if pursuant to clauses (b) or (c) of the definition of “Cause”, six (6) months following termination. The definitions of “Cause” and “Good Reason” as defined in the CEO Employment Agreement are described below under “—Potential Payments upon Termination or Change in Control.” The “Non-Solicitation Period” means,</w:t>
      </w:r>
    </w:p>
    <w:p>
      <w:pPr>
        <w:spacing w:after="0" w:line="2" w:lineRule="exact"/>
        <w:rPr>
          <w:rFonts w:ascii="Arial" w:cs="Arial" w:eastAsia="Arial" w:hAnsi="Arial"/>
          <w:sz w:val="16"/>
          <w:szCs w:val="16"/>
          <w:color w:val="auto"/>
        </w:rPr>
      </w:pPr>
    </w:p>
    <w:p>
      <w:pPr>
        <w:ind w:left="1260" w:right="819" w:firstLine="8"/>
        <w:spacing w:after="0" w:line="255" w:lineRule="auto"/>
        <w:tabs>
          <w:tab w:leader="none" w:pos="15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of a termination without Cause or resignation for Good Reason, eighteen (18) months following termination; and (y) in the event of a termination without Good Reason, twelve (12) months following termination.</w:t>
      </w:r>
    </w:p>
    <w:p>
      <w:pPr>
        <w:spacing w:after="0" w:line="82"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The CEO Employment Agreement also provides for severance upon certain terminations of employment, as described below under “—Additional Narrative Disclosures—Potential Payments upon Termination or Change in Control.”</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President (William Hult)</w:t>
      </w:r>
    </w:p>
    <w:p>
      <w:pPr>
        <w:spacing w:after="0" w:line="104"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TWM LLC is party to an employment agreement with Mr. Hult (the “President Employment Agreement” and together with the CEO Employment Agreement, the “Employment Agreements”) for the position of President of TWM LLC. For as long as he is President, Mr. Hult is entitled to be a member of</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87" w:lineRule="auto"/>
        <w:rPr>
          <w:sz w:val="20"/>
          <w:szCs w:val="20"/>
          <w:color w:val="auto"/>
        </w:rPr>
      </w:pPr>
      <w:r>
        <w:rPr>
          <w:rFonts w:ascii="Arial" w:cs="Arial" w:eastAsia="Arial" w:hAnsi="Arial"/>
          <w:sz w:val="16"/>
          <w:szCs w:val="16"/>
          <w:color w:val="auto"/>
        </w:rPr>
        <w:t>the Board. The President Employment Agreement provides for an initial term ending on January 1, 2019, subject to automatic one-year extensions unless either TWM LLC or Mr. Hult provides written notice of intent not to renew at least 90 days prior to the expiration of the then applicable term. The President Employment Agreement provides for a base salary of $660,000 per year, subject to increase at the discretion of the Board and/or the compensation committee of the Board. Mr. Hult is also eligible to participate in an annual bonus plan, with a target bonus opportunity of $2.85 million (the “President Target Bonus”). Achievement of the President Target Bonus is based on TWM LLC’s attainment of certain performance goals set annually by the Board in consultation with Mr. Hult. The actual amount paid to him can be greater or less than the President Target Bonus depending on the extent to which these goals are achieved (or exceeded). For 2018, achievement of the President Target Bonus is based on attainment of annual revenue targets and a minimum EBITDA threshold. Mr. Hult is also entitled to participate in TWM LLC’s executive employee benefit plans, including its PRSU Plan (as described further below), and is entitled to six weeks of paid vacation annually.</w:t>
      </w:r>
    </w:p>
    <w:p>
      <w:pPr>
        <w:spacing w:after="0" w:line="60"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The President Employment Agreement subjects Mr. Hult to the following restrictive covenants: (i) non-solicitation of employees of TWM LLC and non-interference with customers and clients of TWM LLC during employment and the Non-Solicitation Period; (ii) non-competition during employment and the President Non-Competition Period (as defined below); and (iii) perpetual non-disclosure of confidential information. The “President Non-Competition Period” means (x) in the event of a termination without Cause or resignation for Good Reason, eighteen (18) months following termination; (y) in the event of a termination without Good Reason, twelve (12) months following termination; and (z) in the event of a termination for Cause (i) if pursuant to clauses (a) or (d) of the definition of “Cause”, twelve (12) months following termination, and (ii) if pursuant to clauses (b) or (c) of the definition of “Cause”, six (6) months following termination. The definitions of “Cause” and “Good Reason” as defined in the President Employment Agreement are described below under “— Additional Narrative Disclosures—Potential Payments upon Termination or Change in Control.”</w:t>
      </w:r>
    </w:p>
    <w:p>
      <w:pPr>
        <w:spacing w:after="0" w:line="74" w:lineRule="exact"/>
        <w:rPr>
          <w:sz w:val="20"/>
          <w:szCs w:val="20"/>
          <w:color w:val="auto"/>
        </w:rPr>
      </w:pPr>
    </w:p>
    <w:p>
      <w:pPr>
        <w:ind w:left="1260" w:right="1339" w:firstLine="360"/>
        <w:spacing w:after="0" w:line="342" w:lineRule="auto"/>
        <w:rPr>
          <w:sz w:val="20"/>
          <w:szCs w:val="20"/>
          <w:color w:val="auto"/>
        </w:rPr>
      </w:pPr>
      <w:r>
        <w:rPr>
          <w:rFonts w:ascii="Arial" w:cs="Arial" w:eastAsia="Arial" w:hAnsi="Arial"/>
          <w:sz w:val="16"/>
          <w:szCs w:val="16"/>
          <w:color w:val="auto"/>
        </w:rPr>
        <w:t>The President Employment Agreement also provides for severance upon certain terminations of employment, as described below under “—Potential Payments upon Termination or Change in Control.”</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Spencer is eligible to receive an annual cash bonus in the discretion of TWM LLC’s CEO.</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&amp; Restated Tradeweb Markets Inc. 2018 Share Option Plan</w:t>
      </w:r>
    </w:p>
    <w:p>
      <w:pPr>
        <w:spacing w:after="0" w:line="104"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The Board has adopted the Amended and Restated Tradeweb Markets Inc. 2018 Share Option Plan (previously the TWM LLC 2018 Share Option Plan), as may be amended from time to time (the “</w:t>
      </w:r>
      <w:r>
        <w:rPr>
          <w:rFonts w:ascii="Arial" w:cs="Arial" w:eastAsia="Arial" w:hAnsi="Arial"/>
          <w:sz w:val="17"/>
          <w:szCs w:val="17"/>
          <w:u w:val="single" w:color="auto"/>
          <w:color w:val="auto"/>
        </w:rPr>
        <w:t>Option Plan</w:t>
      </w:r>
      <w:r>
        <w:rPr>
          <w:rFonts w:ascii="Arial" w:cs="Arial" w:eastAsia="Arial" w:hAnsi="Arial"/>
          <w:sz w:val="17"/>
          <w:szCs w:val="17"/>
          <w:color w:val="auto"/>
        </w:rPr>
        <w:t>”), under which there are 13,912.7333 shares of Class A common stock of the Company (“Shares”) reserved for the issuance of options to purchase Shares (“Options”). The Option Plan was established to recruit and retain key employees and consultants and to motivate key employees, directors and consultants by providing such participating individuals with a proprietary interest in the performance of the Company.</w:t>
      </w:r>
    </w:p>
    <w:p>
      <w:pPr>
        <w:spacing w:after="0" w:line="70"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There are currently 13,912.7333 Shares reserved for issuance under the Option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 (the “Reserved Shares”). Any Shares related to an Option that lapses or otherwise terminates without issuance of the Shares shall again be available for issuance. Under the Option Plan, as of the date of an IPO of the Company or any of its affiliates (as defined in the Option Plan), the Reserved Shares will no longer be subject to increase, subject to certain provisions of the Option Plan related to technical adjustments. If at any time the Reserved Shares exceeds 8% of the fully diluted equity of the Company (excluding PRSUs granted prior to the date the Option Plan was adopted) (the “Share Cap”), the Reserved Shares will be reduced by such excess.</w:t>
      </w:r>
    </w:p>
    <w:p>
      <w:pPr>
        <w:spacing w:after="0" w:line="5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Following an IPO, the Option Plan will be administered by the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(the “Compensation Committee”). The Compensation Committee has the authority in its discretion to determine the employees, directors, and consultants of the Company to whom Options may be granted and in what amounts. The Compensation Committee also has the authority in its discretion to determine the exercise price of Options, the vesting schedules and other conditions of the Option, and the authority to interpret the Option Plan and to make any other determinations it deems</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necessary under the Option Plan. The Compensation Committee may correct any defect, supply any omission, or reconcile any inconsistency in the Option Plan or in any Option in the manner and to the extent it deems necessary to carry out the intent of the Option Plan. The Compensation Committee’s interpretations and determinations shall be final, binding and conclusive upon all persons.</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Plan Term.  </w:t>
      </w:r>
      <w:r>
        <w:rPr>
          <w:rFonts w:ascii="Arial" w:cs="Arial" w:eastAsia="Arial" w:hAnsi="Arial"/>
          <w:sz w:val="17"/>
          <w:szCs w:val="17"/>
          <w:color w:val="auto"/>
        </w:rPr>
        <w:t>The Option Plan became effective on August 6, 2018 and will terminate on the tenth (10th)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anniversary thereof, unless earlier terminated by the Board.</w:t>
      </w:r>
    </w:p>
    <w:p>
      <w:pPr>
        <w:spacing w:after="0" w:line="88" w:lineRule="exact"/>
        <w:rPr>
          <w:sz w:val="20"/>
          <w:szCs w:val="20"/>
          <w:color w:val="auto"/>
        </w:rPr>
      </w:pPr>
    </w:p>
    <w:p>
      <w:pPr>
        <w:jc w:val="both"/>
        <w:ind w:left="1260" w:right="719" w:firstLine="360"/>
        <w:spacing w:after="0" w:line="263" w:lineRule="auto"/>
        <w:rPr>
          <w:sz w:val="20"/>
          <w:szCs w:val="20"/>
          <w:color w:val="auto"/>
        </w:rPr>
      </w:pPr>
      <w:r>
        <w:rPr>
          <w:rFonts w:ascii="Arial" w:cs="Arial" w:eastAsia="Arial" w:hAnsi="Arial"/>
          <w:sz w:val="18"/>
          <w:szCs w:val="18"/>
          <w:i w:val="1"/>
          <w:iCs w:val="1"/>
          <w:color w:val="auto"/>
        </w:rPr>
        <w:t xml:space="preserve">Option Price. </w:t>
      </w:r>
      <w:r>
        <w:rPr>
          <w:rFonts w:ascii="Arial" w:cs="Arial" w:eastAsia="Arial" w:hAnsi="Arial"/>
          <w:sz w:val="18"/>
          <w:szCs w:val="18"/>
          <w:color w:val="auto"/>
        </w:rPr>
        <w:t>The exercise price for Options shall be determined by the Compensation Committee and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option agreement; provided, that the exercise price per Share under each Option shall not be less than the fair market value of a Share on the date the Option is granted.</w:t>
      </w:r>
    </w:p>
    <w:p>
      <w:pPr>
        <w:spacing w:after="0" w:line="76"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Options granted under the Option Plan shall be exercisable at such time and upon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as may be set forth in the applicable option agreement, but shall not be exercisable after the expiration of 10 years from the date it is granted.</w:t>
      </w:r>
    </w:p>
    <w:p>
      <w:pPr>
        <w:spacing w:after="0" w:line="76"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i w:val="1"/>
          <w:iCs w:val="1"/>
          <w:color w:val="auto"/>
        </w:rPr>
        <w:t xml:space="preserve">Vesting. </w:t>
      </w:r>
      <w:r>
        <w:rPr>
          <w:rFonts w:ascii="Arial" w:cs="Arial" w:eastAsia="Arial" w:hAnsi="Arial"/>
          <w:sz w:val="17"/>
          <w:szCs w:val="17"/>
          <w:color w:val="auto"/>
        </w:rPr>
        <w:t>The Compensation Committee shall determine the time or times at which an Option shall become</w:t>
      </w:r>
      <w:r>
        <w:rPr>
          <w:rFonts w:ascii="Arial" w:cs="Arial" w:eastAsia="Arial" w:hAnsi="Arial"/>
          <w:sz w:val="17"/>
          <w:szCs w:val="17"/>
          <w:i w:val="1"/>
          <w:iCs w:val="1"/>
          <w:color w:val="auto"/>
        </w:rPr>
        <w:t xml:space="preserve"> </w:t>
      </w:r>
      <w:r>
        <w:rPr>
          <w:rFonts w:ascii="Arial" w:cs="Arial" w:eastAsia="Arial" w:hAnsi="Arial"/>
          <w:sz w:val="17"/>
          <w:szCs w:val="17"/>
          <w:color w:val="auto"/>
        </w:rPr>
        <w:t>vested and exercisable. To date, all outstanding Options granted under the Option Plan are subject to the following vesting provisions: (i) 50% of the Option vests based over time on continued employment (the “Time-Based Portion”), and (ii) 50% of the Option vests based on satisfying certain performance conditions (the “Performance-Based Portion”), each as further described below.</w:t>
      </w:r>
    </w:p>
    <w:p>
      <w:pPr>
        <w:spacing w:after="0" w:line="68"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The Time-Based Portion vests 25% on January 1, 2019 and 25% on each anniversary thereafter until January 2022, and vests in full upon a change of control (as defined in the Option Plan), subject to continued employment on such date, or the participant’s termination without Cause or resignation for Good Reason (as such terms are defined in the Option Plan) within 90 days prior to the consummation of a change in control. In addition, the portions of the Time-Based Portion scheduled to vest on each of January 1, 2021 and January 1, 2022 will vest in the event of an IPO, subject to continued employment on such date, or the participant’s termination without Cause or resignation for Good Reason within 90 days prior to the IPO.</w:t>
      </w:r>
    </w:p>
    <w:p>
      <w:pPr>
        <w:spacing w:after="0" w:line="69" w:lineRule="exact"/>
        <w:rPr>
          <w:sz w:val="20"/>
          <w:szCs w:val="20"/>
          <w:color w:val="auto"/>
        </w:rPr>
      </w:pPr>
    </w:p>
    <w:p>
      <w:pPr>
        <w:ind w:left="1260" w:right="679" w:firstLine="360"/>
        <w:spacing w:after="0" w:line="285" w:lineRule="auto"/>
        <w:rPr>
          <w:sz w:val="20"/>
          <w:szCs w:val="20"/>
          <w:color w:val="auto"/>
        </w:rPr>
      </w:pPr>
      <w:r>
        <w:rPr>
          <w:rFonts w:ascii="Arial" w:cs="Arial" w:eastAsia="Arial" w:hAnsi="Arial"/>
          <w:sz w:val="16"/>
          <w:szCs w:val="16"/>
          <w:color w:val="auto"/>
        </w:rPr>
        <w:t>For the Performance-Based Portion, (i) 50% is eligible to vest in four equal installments in each of calendar years 2018, 2019, 2020 and 2021 based on achievement of Company EBITDA targets for the applicable calendar year, and (ii) 50% is eligible to vest in four equal installments in each of calendar years, 2018, 2019, 2020 and 2021 based on the Company’s achievement for the relevant calendar year of certain revenue targets (the “Revenue-Based Portion”). In the event at least 80% of the applicable revenue target is achieved for a given year, the Revenue-Based Portion will vest as to 0%, based on 80% achievement of target, and 100%, based on full achievement of target, and performance achievement between 80% and 100% of target will vest based on straight-line interpolation from 0% to 100%. To the extent the relevant EBITDA targets and revenue targets are not achieved for any calendar year, the portion of the Performance-Based Portion eligible to become vested for such year shall become vested the first time the relevant EBITDA and revenue targets are fully achieved in a later year, if at all. If a change in control occurs prior to the date the Compensation Committee determines whether the relevant performance-conditions have been achieved for 2021, any portion of the Performance-Vesting Portion that remains unvested shall be eligible to become vested as of the change of control to the extent the applicable remaining EBITDA targets or revenue targets will have been deemed satisfied as of the change of control (which targets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 Any remaining unvested portion will be forfeited upon such change of control.</w:t>
      </w:r>
    </w:p>
    <w:p>
      <w:pPr>
        <w:spacing w:after="0" w:line="63"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i w:val="1"/>
          <w:iCs w:val="1"/>
          <w:color w:val="auto"/>
        </w:rPr>
        <w:t xml:space="preserve">Termination of Employment; Retirement. </w:t>
      </w:r>
      <w:r>
        <w:rPr>
          <w:rFonts w:ascii="Arial" w:cs="Arial" w:eastAsia="Arial" w:hAnsi="Arial"/>
          <w:sz w:val="18"/>
          <w:szCs w:val="18"/>
          <w:color w:val="auto"/>
        </w:rPr>
        <w:t>The Compensation Committee may determine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Option following termination of employment. To date, all outstanding Options granted under the Option Plan are subject to the following terms upon certain terminations of employment.</w:t>
      </w:r>
    </w:p>
    <w:p>
      <w:pPr>
        <w:spacing w:after="0" w:line="76" w:lineRule="exact"/>
        <w:rPr>
          <w:sz w:val="20"/>
          <w:szCs w:val="20"/>
          <w:color w:val="auto"/>
        </w:rPr>
      </w:pPr>
    </w:p>
    <w:p>
      <w:pPr>
        <w:ind w:left="1260" w:right="1179" w:firstLine="360"/>
        <w:spacing w:after="0" w:line="301" w:lineRule="auto"/>
        <w:rPr>
          <w:sz w:val="20"/>
          <w:szCs w:val="20"/>
          <w:color w:val="auto"/>
        </w:rPr>
      </w:pPr>
      <w:r>
        <w:rPr>
          <w:rFonts w:ascii="Arial" w:cs="Arial" w:eastAsia="Arial" w:hAnsi="Arial"/>
          <w:sz w:val="16"/>
          <w:szCs w:val="16"/>
          <w:color w:val="auto"/>
        </w:rPr>
        <w:t>If a participant is terminated for Cause (as defined in the Option Plan) or is in breach of a restrictive covenant in favor of the Company, the Option will be terminated. Upon the termination of the participant’s employment for any reason other than Cause, the portion of the Option that is not vested on the date of termination shall be automatically cancelled by the Company and the vested portion of the Option shall</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86" w:lineRule="auto"/>
        <w:rPr>
          <w:sz w:val="20"/>
          <w:szCs w:val="20"/>
          <w:color w:val="auto"/>
        </w:rPr>
      </w:pPr>
      <w:r>
        <w:rPr>
          <w:rFonts w:ascii="Arial" w:cs="Arial" w:eastAsia="Arial" w:hAnsi="Arial"/>
          <w:sz w:val="16"/>
          <w:szCs w:val="16"/>
          <w:color w:val="auto"/>
        </w:rPr>
        <w:t>remain outstanding and exercisable for (i) in the case of the participant’s resignation without Good Reason, 45 days following the later of (u) the date of resignation and (v) the date on which the vested portion of the Option first becomes exercisable, (ii) in the case of a termination of the participant’s employment by the Company without Cause or by the participant for Good Reason, the ninety (90) day period following the later of</w:t>
      </w:r>
    </w:p>
    <w:p>
      <w:pPr>
        <w:spacing w:after="0" w:line="1" w:lineRule="exact"/>
        <w:rPr>
          <w:sz w:val="20"/>
          <w:szCs w:val="20"/>
          <w:color w:val="auto"/>
        </w:rPr>
      </w:pPr>
    </w:p>
    <w:p>
      <w:pPr>
        <w:jc w:val="both"/>
        <w:ind w:left="1260" w:right="819" w:firstLine="8"/>
        <w:spacing w:after="0" w:line="253" w:lineRule="auto"/>
        <w:tabs>
          <w:tab w:leader="none" w:pos="15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of termination and (x) the date on which the vested portion of the Option first becomes exercisable, or (iii) in the case of a termination of the participant’s employment on account of death or Disability (as defined in the Option Plan), the one (1) year period following the later of (y) the date of termination and (z) the date on which the vested portion of the Option first becomes exercisable.</w:t>
      </w:r>
    </w:p>
    <w:p>
      <w:pPr>
        <w:spacing w:after="0" w:line="85" w:lineRule="exact"/>
        <w:rPr>
          <w:sz w:val="20"/>
          <w:szCs w:val="20"/>
          <w:color w:val="auto"/>
        </w:rPr>
      </w:pPr>
    </w:p>
    <w:p>
      <w:pPr>
        <w:ind w:left="1260" w:right="699" w:firstLine="360"/>
        <w:spacing w:after="0" w:line="293" w:lineRule="auto"/>
        <w:rPr>
          <w:sz w:val="20"/>
          <w:szCs w:val="20"/>
          <w:color w:val="auto"/>
        </w:rPr>
      </w:pPr>
      <w:r>
        <w:rPr>
          <w:rFonts w:ascii="Arial" w:cs="Arial" w:eastAsia="Arial" w:hAnsi="Arial"/>
          <w:sz w:val="16"/>
          <w:szCs w:val="16"/>
          <w:color w:val="auto"/>
        </w:rPr>
        <w:t>If a participant’s employment has terminated due to retirement, a pro-rata portion (based on days completed in the applicable calendar year through the date of retirement) of the Performance-Based Portion that is otherwise eligible to become vested in the calendar year of retirement shall remain outstanding and shall become vested on the applicable performance-vesting date to the extent the EBITDA target and/or revenue target (as applicable) with respect to the calendar year of retirement is achieved. The vested portion of the Option will then remain outstanding until the expiration of the term (or a breach of restrictive covenants) or until exercised, if earlier.</w:t>
      </w:r>
    </w:p>
    <w:p>
      <w:pPr>
        <w:spacing w:after="0" w:line="56" w:lineRule="exact"/>
        <w:rPr>
          <w:sz w:val="20"/>
          <w:szCs w:val="20"/>
          <w:color w:val="auto"/>
        </w:rPr>
      </w:pPr>
    </w:p>
    <w:p>
      <w:pPr>
        <w:ind w:left="1260" w:right="679" w:firstLine="360"/>
        <w:spacing w:after="0" w:line="283" w:lineRule="auto"/>
        <w:rPr>
          <w:sz w:val="20"/>
          <w:szCs w:val="20"/>
          <w:color w:val="auto"/>
        </w:rPr>
      </w:pPr>
      <w:r>
        <w:rPr>
          <w:rFonts w:ascii="Arial" w:cs="Arial" w:eastAsia="Arial" w:hAnsi="Arial"/>
          <w:sz w:val="16"/>
          <w:szCs w:val="16"/>
          <w:i w:val="1"/>
          <w:iCs w:val="1"/>
          <w:color w:val="auto"/>
        </w:rPr>
        <w:t xml:space="preserve">Method of Exercise of Options &amp; Withholding. </w:t>
      </w:r>
      <w:r>
        <w:rPr>
          <w:rFonts w:ascii="Arial" w:cs="Arial" w:eastAsia="Arial" w:hAnsi="Arial"/>
          <w:sz w:val="16"/>
          <w:szCs w:val="16"/>
          <w:color w:val="auto"/>
        </w:rPr>
        <w:t>The vested portion of any Option may be exercised by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to the Company at its principal office written notice of intent to exercise (an “Exercise Notice”). The notice must specify the number of Shares with respect to which the Option is being exercised (the “Purchased Shares”) and must be accompanied by payment in full of the aggregate exercise price of the vested portion of the Option being exercised in cash or by check or wire transfer; provided, however, that payment of the aggregate exercise price may instead be made, in whole or in part, (A) by the delivery to the Company of a certificate or certificates, book-entry position or other applicable documentation representing Shares having a fair market value (defined as the closing price of a Share on the day before any relevant determination date as reported on the principal nationally recognized stock exchange on which the Shares are traded) on the date of exercise equal to the aggregate exercise price in respect of the Purchased Shares, duly endorsed, which delivery effectively transfers to the Company good and valid title to such Shares, free and clear of any pledge, commitment, lien, claim or other encumbrance (such Shares to be valued on the basis of the aggregate fair market value thereof on the date of such exercise); provided, that the Company is not then prohibited under applicable law, rules or regulations from purchasing or acquiring such Shares, (B) if such exercise occurs prior to the expiration of any underwriters’ lockup associated with an IPO (including any time prior to an IPO) and the participant’s service has not terminated or the participant was terminated without Cause or resigned for Good Reason, by a reduction in the number of Purchased Shares to be issued upon such exercise having a fair market value on the date of exercise equal to the aggregate exercise price in respect of the Purchased Shares, or (C) if such exercise occurs following the expiration of any underwriters’ lockup associated with an IPO,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foregoing clause (B)) and the Company has declined to do so. An Exercise Notice, once delivered, shall be irrevocable. If a participant’s service terminates other than for Cause following the delivery of an Exercise Notice, the Exercise Notice will be honored by the Company pursuant to the applicable provisions of the participant’s option agreement. For the avoidance of doubt, the participant will not have any rights to distributions or other rights of a shareholder with respect to Shares subject to the Option other than as explicitly set forth in the Option Plan until the participant has given written notice of exercise of the Option, has paid in full for such Shares and, if applicable, has satisfied any other conditions imposed by the Compensation Committee or pursuant to the Option Plan or the participant’s option agreement.</w:t>
      </w:r>
    </w:p>
    <w:p>
      <w:pPr>
        <w:spacing w:after="0" w:line="80"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As a condition to the exercise of any portion of the Option, the participant must, with respect to such exercise, remit to the Company any applicable withholding taxes, which the participant my remit by making a “cashless” or “net settlement” election as described below. Prior to the expiration of any underwriters’ lockup associated with an IPO, if the participant’s service has not terminated or the participant was terminated without Cause or resigned for Good Reason, the participant may choose to satisfy such obligations by electing at the time of exercise to reduce the number of Purchased Shares to be issued upon such exercise by a number of Shares having a fair market value on the date of exercise equal to the minimum withholding and employment taxes payable in respect of the Purchased Shares. Following the</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7" w:lineRule="auto"/>
        <w:rPr>
          <w:sz w:val="20"/>
          <w:szCs w:val="20"/>
          <w:color w:val="auto"/>
        </w:rPr>
      </w:pPr>
      <w:r>
        <w:rPr>
          <w:rFonts w:ascii="Arial" w:cs="Arial" w:eastAsia="Arial" w:hAnsi="Arial"/>
          <w:sz w:val="18"/>
          <w:szCs w:val="18"/>
          <w:color w:val="auto"/>
        </w:rPr>
        <w:t>expiration of any underwriters’ lockup associated with an IPO, the Participant may satisfy such obligations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immediately preceding sentence) and the Company has declined to do so.</w:t>
      </w:r>
    </w:p>
    <w:p>
      <w:pPr>
        <w:spacing w:after="0" w:line="80" w:lineRule="exact"/>
        <w:rPr>
          <w:sz w:val="20"/>
          <w:szCs w:val="20"/>
          <w:color w:val="auto"/>
        </w:rPr>
      </w:pPr>
    </w:p>
    <w:p>
      <w:pPr>
        <w:jc w:val="both"/>
        <w:ind w:left="1260" w:right="939" w:firstLine="360"/>
        <w:spacing w:after="0" w:line="287" w:lineRule="auto"/>
        <w:rPr>
          <w:sz w:val="20"/>
          <w:szCs w:val="20"/>
          <w:color w:val="auto"/>
        </w:rPr>
      </w:pPr>
      <w:r>
        <w:rPr>
          <w:rFonts w:ascii="Arial" w:cs="Arial" w:eastAsia="Arial" w:hAnsi="Arial"/>
          <w:sz w:val="16"/>
          <w:szCs w:val="16"/>
          <w:i w:val="1"/>
          <w:iCs w:val="1"/>
          <w:color w:val="auto"/>
        </w:rPr>
        <w:t xml:space="preserve">Underwriters’ Lockup. </w:t>
      </w:r>
      <w:r>
        <w:rPr>
          <w:rFonts w:ascii="Arial" w:cs="Arial" w:eastAsia="Arial" w:hAnsi="Arial"/>
          <w:sz w:val="16"/>
          <w:szCs w:val="16"/>
          <w:color w:val="auto"/>
        </w:rPr>
        <w:t>The participant cannot transfer any Shares acquired by the participant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Plan for a period commencing on the day the Company notifies the participant that the Company is in registration under the applicable securities laws until (i) 180 days following the pricing date of an IPO and (ii)</w:t>
      </w:r>
    </w:p>
    <w:p>
      <w:pPr>
        <w:spacing w:after="0" w:line="2" w:lineRule="exact"/>
        <w:rPr>
          <w:sz w:val="20"/>
          <w:szCs w:val="20"/>
          <w:color w:val="auto"/>
        </w:rPr>
      </w:pPr>
    </w:p>
    <w:p>
      <w:pPr>
        <w:ind w:left="1260" w:right="699"/>
        <w:spacing w:after="0" w:line="286" w:lineRule="auto"/>
        <w:rPr>
          <w:sz w:val="20"/>
          <w:szCs w:val="20"/>
          <w:color w:val="auto"/>
        </w:rPr>
      </w:pPr>
      <w:r>
        <w:rPr>
          <w:rFonts w:ascii="Arial" w:cs="Arial" w:eastAsia="Arial" w:hAnsi="Arial"/>
          <w:sz w:val="16"/>
          <w:szCs w:val="16"/>
          <w:color w:val="auto"/>
        </w:rPr>
        <w:t>90 days after the pricing date of any subsequent offering or, in each case, (x) such longer period of time as may be reasonably requested by the Company’s underwriter(s) in connection with such IPO or subsequent offering and (y) if such IPO or subsequent offering is in connection with a sale or similar corporate transaction, such longer period of time as may be set forth in any lock-up or market stand-off agreement executed by the beneficial owners of at least twenty five percent (25%) of the outstanding Shares immediately before such sale or similar corporate transaction. The participant shall execute and deliver such agreements as may be reasonably requested by the Company or its underwriter(s) that are consistent with the foregoing or which are necessary to give further effect thereto. The Company may impose stop-transfer instructions with respect to the Shares subject to the foregoing restriction until the end of the applicable period.</w:t>
      </w:r>
    </w:p>
    <w:p>
      <w:pPr>
        <w:spacing w:after="0" w:line="64"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i w:val="1"/>
          <w:iCs w:val="1"/>
          <w:color w:val="auto"/>
        </w:rPr>
        <w:t xml:space="preserve">Adjustments Generally.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the participant, whether by adjusting the terms of (including the exercise price of and/or the number of Shares underlying) the Option, the Share Cap, the Reserved Shares or by such other means as the Compensation Committee shall determine.</w:t>
      </w:r>
    </w:p>
    <w:p>
      <w:pPr>
        <w:spacing w:after="0" w:line="57" w:lineRule="exact"/>
        <w:rPr>
          <w:sz w:val="20"/>
          <w:szCs w:val="20"/>
          <w:color w:val="auto"/>
        </w:rPr>
      </w:pPr>
    </w:p>
    <w:p>
      <w:pPr>
        <w:ind w:left="1260" w:right="659" w:firstLine="360"/>
        <w:spacing w:after="0" w:line="266" w:lineRule="auto"/>
        <w:rPr>
          <w:sz w:val="20"/>
          <w:szCs w:val="20"/>
          <w:color w:val="auto"/>
        </w:rPr>
      </w:pPr>
      <w:r>
        <w:rPr>
          <w:rFonts w:ascii="Arial" w:cs="Arial" w:eastAsia="Arial" w:hAnsi="Arial"/>
          <w:sz w:val="17"/>
          <w:szCs w:val="17"/>
          <w:i w:val="1"/>
          <w:iCs w:val="1"/>
          <w:color w:val="auto"/>
        </w:rPr>
        <w:t xml:space="preserve">Adjustments in the Event of Change in Control. </w:t>
      </w:r>
      <w:r>
        <w:rPr>
          <w:rFonts w:ascii="Arial" w:cs="Arial" w:eastAsia="Arial" w:hAnsi="Arial"/>
          <w:sz w:val="17"/>
          <w:szCs w:val="17"/>
          <w:color w:val="auto"/>
        </w:rPr>
        <w:t>In the event of a change of control, (i) any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then held by participants which are unexercisable or otherwise unvested and subject solely to time-based vesting conditions shall automatically be deemed exercisable or otherwise vested upon the consummation of such change of control, and (ii) except as otherwise provided in the applicable option agreement, all outstanding Options shall terminate upon the consummation of the change of control unless provision is made in connection with such transaction (in the sole discretion of the Compensation Committee or the parties to the change of control) for the assumption or continuation of such Options by, or the substitution for such Options with new awards of, the surviving, or successor or resulting entity, or a parent or subsidiary thereof, with such adjustments as to the number and kind of shares or other securities or property subject to such new awards, option and stock appreciation right exercise or base prices, and other terms of such new awards as the Compensation Committee or the parties to the change of control shall agree. In the event that provision is made in writing as aforesaid in connection with a change of control, the Option Plan and the unexercised Options theretofore granted or the new awards substituted therefor shall continue in the manner and under the terms provided in such writing. Notwithstanding the foregoing, except as otherwise provided in the applicable option agreement, vested Options (including those Options that would become vested upon the consummation of the change of control) shall not be terminated upon the consummation of the change of control unless holders of affected Options are provided either (a) a period of at least fifteen (15) calendar days prior to the date of the consummation of the change of control to exercise the Options, or (b) payment (in cash or other consideration upon or following the consummation of the change of control, or, to the extent permitted by Section 409A of the Code, on a deferred basis, in each case as determined by the Compensation Committee in its discretion) in respect of each Share covered by the Option being cancelled in an amount equal to the excess, if any, of the per Share consideration to be paid or distributed to Members of the Company in the change of control (the value of any non-cash consideration to be determined by the Compensation Committee in good faith) over the exercise price of the Option. If the amount determined pursuant to the foregoing is zero or less, the affected Option may be cancelled without any payment therefor.</w:t>
      </w:r>
    </w:p>
    <w:p>
      <w:pPr>
        <w:spacing w:after="0" w:line="2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Unless otherwise determined by the Compensation Committee, an Option is not</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transferable or assignable by a participant in the Option Plan other than (a) an assignment or transfer to the participant’s spouse or descendants or any trust, limited partnership or other entity solely for the benefit of the participant or their spouse to descendants, provided that the transferee executes an option agreement, and (b) by will or the laws of descent and distribution.</w:t>
      </w:r>
    </w:p>
    <w:p>
      <w:pPr>
        <w:spacing w:after="0" w:line="8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i w:val="1"/>
          <w:iCs w:val="1"/>
          <w:color w:val="auto"/>
        </w:rPr>
        <w:t xml:space="preserve">Amendment or Termination of the Option Plan. </w:t>
      </w:r>
      <w:r>
        <w:rPr>
          <w:rFonts w:ascii="Arial" w:cs="Arial" w:eastAsia="Arial" w:hAnsi="Arial"/>
          <w:sz w:val="18"/>
          <w:szCs w:val="18"/>
          <w:color w:val="auto"/>
        </w:rPr>
        <w:t>The Board may amend, alter or discontinue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provided, however, that no alteration or discontinuation may be made without the consent of the participant if such action would diminish any of the rights of such participant under any Option. The Compensation Committee may amend the Option Plan (a) in such a manner as it reasonably deems necessary to comply with applicable law or to avoid the application of any tax penalty and (b) with the consent of the CEO, without the consent of the participant if so long as any such amendment, alteration or discontinuation treats each similarly situated participant in a materially similar manner.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 Awards Outstanding under the Option Plan</w:t>
      </w:r>
    </w:p>
    <w:p>
      <w:pPr>
        <w:spacing w:after="0" w:line="104" w:lineRule="exact"/>
        <w:rPr>
          <w:sz w:val="20"/>
          <w:szCs w:val="20"/>
          <w:color w:val="auto"/>
        </w:rPr>
      </w:pPr>
    </w:p>
    <w:p>
      <w:pPr>
        <w:ind w:left="1260" w:right="659" w:firstLine="360"/>
        <w:spacing w:after="0" w:line="301" w:lineRule="auto"/>
        <w:rPr>
          <w:sz w:val="20"/>
          <w:szCs w:val="20"/>
          <w:color w:val="auto"/>
        </w:rPr>
      </w:pPr>
      <w:r>
        <w:rPr>
          <w:rFonts w:ascii="Arial" w:cs="Arial" w:eastAsia="Arial" w:hAnsi="Arial"/>
          <w:sz w:val="16"/>
          <w:szCs w:val="16"/>
          <w:color w:val="auto"/>
        </w:rPr>
        <w:t>Each of our NEOs has been granted nonqualified stock options to acquire Shares pursuant to the Option Plan. Each of Messrs. Olesky, Hult and Spencer were granted a nonqualified stock option to purchase 4,869.4567, 2,608.6375 and 486.9457 Shares, respectively, on October 26, 2018. Each of the nonqualified stock options awards granted to Messrs. Olesky, Hult and Spencer was granted with an exercise price of $28,594.39 per Share.</w:t>
      </w:r>
    </w:p>
    <w:p>
      <w:pPr>
        <w:spacing w:after="0" w:line="49"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The option awards vest and become exercisable based on continued employment and achievement of certain performance thresholds, as further described above under “—Narrative Disclosure to Summary Compensation Table—Amended and Restated Tradeweb Markets Inc. 2018 Share Option Plan—Vesting</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all of the options awarded to our NEOs provide for accelerated vesting upon the occurrence of certain events, as described below in “—Additional Narrative Disclosures—Potential Payments upon Termination or Change in Control</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PRSU Awards Outstanding under the Amended &amp; Restated Tradeweb Markets Inc. PRSU Plan</w:t>
      </w:r>
    </w:p>
    <w:p>
      <w:pPr>
        <w:spacing w:after="0" w:line="104"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The Board has adopted the Amended &amp; Restated Tradeweb Markets Inc. PRSU Plan (previously the TWM LLC PRSU Plan), as may be amended from time to time (the “PRSU Plan”), which provides for the grants of performance-based restricted share units (“PRSUs”). The PRSU Plan was established to recruit and retain key employees and consultants and to motivate key employees, directors and consultants by providing those participating individuals with a proprietary interest in the performance of the Company. Each of our NEOs has been granted PRSUs pursuant to the PRSU Plan. Each of Messrs. Olesky, Hult and Spencer were granted PRSUs on February 26, 2016, May 9, 2017 and February 27, 2018 which vest in full on January 1 of 2019, 2020 and 2021, respectively, as further described below on table titled “Outstanding Equity Awards at Fiscal Year-End”. Following this offering, the Company does not intend to grant any new PRSU awards under the PRSU Plan.</w:t>
      </w:r>
    </w:p>
    <w:p>
      <w:pPr>
        <w:spacing w:after="0" w:line="58"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i w:val="1"/>
          <w:iCs w:val="1"/>
          <w:color w:val="auto"/>
        </w:rPr>
        <w:t xml:space="preserve">Grant Process. </w:t>
      </w:r>
      <w:r>
        <w:rPr>
          <w:rFonts w:ascii="Arial" w:cs="Arial" w:eastAsia="Arial" w:hAnsi="Arial"/>
          <w:sz w:val="16"/>
          <w:szCs w:val="16"/>
          <w:color w:val="auto"/>
        </w:rPr>
        <w:t>Grants are communicated to participants as an initial target dollar value and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PRSUs (determined by dividing the initial target dollar value by the closing price of a Share on the day before the relevant determination date as reported on the principal nationally recognized stock exchange on which the Shares are traded) on or as soon as reasonably practicable following February 15 of the applicable plan year.</w:t>
      </w:r>
    </w:p>
    <w:p>
      <w:pPr>
        <w:spacing w:after="0" w:line="49"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i w:val="1"/>
          <w:iCs w:val="1"/>
          <w:color w:val="auto"/>
        </w:rPr>
        <w:t xml:space="preserve">Payment &amp; Performance Modifier. </w:t>
      </w:r>
      <w:r>
        <w:rPr>
          <w:rFonts w:ascii="Arial" w:cs="Arial" w:eastAsia="Arial" w:hAnsi="Arial"/>
          <w:sz w:val="17"/>
          <w:szCs w:val="17"/>
          <w:color w:val="auto"/>
        </w:rPr>
        <w:t>Each year the Compensation Committee establishes an earnings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target for the applicable calendar year. Based on the extent to which the earnings per share target is achieved (or missed) a “Performance Modifier” between 50% and 150% is established. For the calendar year 2018, the Performance Modifier was 150%. Each award of PRSUs shall entitle the participant to receive a cash payment from the Company calculated by (i) multiplying the number of vested PRSUs subject to the award by the Performance Modifier associated with such award, (ii) multiplying the result in clause (i) by the closing price of a Share on the day before the relevant payment date, as reported on the principal nationally recognized stock exchange on which the Shares are traded on the date of payment and (iii) adding to the result in clause (ii) the product of any dividend equivalent rights payable with respect to</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the number of PRSUs underlying the award (after applying the Performance Modifier). Payments are made in the month of March following the vesting date related to an award. In all cases, payments shall be made in the calendar year following the applicable vesting date.</w:t>
      </w:r>
    </w:p>
    <w:p>
      <w:pPr>
        <w:spacing w:after="0" w:line="76"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i w:val="1"/>
          <w:iCs w:val="1"/>
          <w:color w:val="auto"/>
        </w:rPr>
        <w:t xml:space="preserve">Termination of Service. </w:t>
      </w:r>
      <w:r>
        <w:rPr>
          <w:rFonts w:ascii="Arial" w:cs="Arial" w:eastAsia="Arial" w:hAnsi="Arial"/>
          <w:sz w:val="18"/>
          <w:szCs w:val="18"/>
          <w:color w:val="auto"/>
        </w:rPr>
        <w:t>In the event a participant is terminated prior to the scheduled vesting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forfeits any right to payment under the award</w:t>
      </w:r>
      <w:r>
        <w:rPr>
          <w:rFonts w:ascii="Arial" w:cs="Arial" w:eastAsia="Arial" w:hAnsi="Arial"/>
          <w:sz w:val="18"/>
          <w:szCs w:val="18"/>
          <w:i w:val="1"/>
          <w:iCs w:val="1"/>
          <w:color w:val="auto"/>
        </w:rPr>
        <w:t>,</w:t>
      </w:r>
      <w:r>
        <w:rPr>
          <w:rFonts w:ascii="Arial" w:cs="Arial" w:eastAsia="Arial" w:hAnsi="Arial"/>
          <w:sz w:val="18"/>
          <w:szCs w:val="18"/>
          <w:color w:val="auto"/>
        </w:rPr>
        <w:t xml:space="preserve"> unless the participant is terminated (i) without Cause (as defined in the PRSU Plan) within 180 days prior to the relevant vesting date, (y) due to the participant’s death or disability or retirement (as such terms are defined in the PRSU Plan), in which case the participant will be entitled to retain a pro-rated number of the PRSUs, based on days worked since the beginning of the year in which the grant is made, which will remain eligible to vest.</w:t>
      </w:r>
    </w:p>
    <w:p>
      <w:pPr>
        <w:spacing w:after="0" w:line="84"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If a participant’s service is terminated without Cause within six months following a change of control (as defined in the PRSU Plan), that participant’s outstanding PRSUs will vest and continue to be paid out in accordance with the PRSU Plan; provided, however, that if the change of control constitutes a “Qualified Change of Control” (meaning it constitutes a change of control or ownership for purposes of Section 409A of the Code), payment will, subject to the following sentence, be made as soon as practicable after the participant’s termination. In the case of a termination without Cause following a Qualified Change of Control, (i) if the termination occurs more than six months before the end of the applicable vesting period, the Performance Modifier applicable to the participant’s PRSUs shall be deemed to be 100%, and (ii) if the termination occurs within six months of the end of the applicable vesting period, the Performance Modifier shall be determined based on the actual performance of the Company, if it has been finally determined by March 15 following the year of the Qualified Change of Control. Otherwise, the Performance Modifier applicable to the Participant’s PRSUs shall be deemed to be 100%.</w:t>
      </w:r>
    </w:p>
    <w:p>
      <w:pPr>
        <w:spacing w:after="0" w:line="6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The PRSUs accumulate dividend equivalent rights in respect of any dividends</w:t>
      </w:r>
      <w:r>
        <w:rPr>
          <w:rFonts w:ascii="Arial" w:cs="Arial" w:eastAsia="Arial" w:hAnsi="Arial"/>
          <w:sz w:val="17"/>
          <w:szCs w:val="17"/>
          <w:i w:val="1"/>
          <w:iCs w:val="1"/>
          <w:color w:val="auto"/>
        </w:rPr>
        <w:t xml:space="preserve"> </w:t>
      </w:r>
      <w:r>
        <w:rPr>
          <w:rFonts w:ascii="Arial" w:cs="Arial" w:eastAsia="Arial" w:hAnsi="Arial"/>
          <w:sz w:val="17"/>
          <w:szCs w:val="17"/>
          <w:color w:val="auto"/>
        </w:rPr>
        <w:t>paid on Shares (on a one Share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be forfeited. Dividend equivalent rights accumulated and not forfeited shall be added to, and be paid at the same time as, payments in respect of the related PRSUs as set forth above.</w:t>
      </w:r>
    </w:p>
    <w:p>
      <w:pPr>
        <w:spacing w:after="0" w:line="70" w:lineRule="exact"/>
        <w:rPr>
          <w:sz w:val="20"/>
          <w:szCs w:val="20"/>
          <w:color w:val="auto"/>
        </w:rPr>
      </w:pPr>
    </w:p>
    <w:p>
      <w:pPr>
        <w:ind w:left="1260" w:right="839" w:firstLine="360"/>
        <w:spacing w:after="0" w:line="289" w:lineRule="auto"/>
        <w:rPr>
          <w:sz w:val="20"/>
          <w:szCs w:val="20"/>
          <w:color w:val="auto"/>
        </w:rPr>
      </w:pPr>
      <w:r>
        <w:rPr>
          <w:rFonts w:ascii="Arial" w:cs="Arial" w:eastAsia="Arial" w:hAnsi="Arial"/>
          <w:sz w:val="16"/>
          <w:szCs w:val="16"/>
          <w:i w:val="1"/>
          <w:iCs w:val="1"/>
          <w:color w:val="auto"/>
        </w:rPr>
        <w:t xml:space="preserve">Adjustments in General.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affected participants, whether by adjusting the terms of an award (including the Performance Modifier applicable to such award and the manner of calculation thereof), the maximum dollar value in respect of which PRSUs may be issued at any time under the PRSU Plan, the underlying security to which an award relates or by such other means as the Compensation Committee shall determine.</w:t>
      </w:r>
    </w:p>
    <w:p>
      <w:pPr>
        <w:spacing w:after="0" w:line="58"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i w:val="1"/>
          <w:iCs w:val="1"/>
          <w:color w:val="auto"/>
        </w:rPr>
        <w:t xml:space="preserve">Adjustments in the Event of a Change of Control. </w:t>
      </w:r>
      <w:r>
        <w:rPr>
          <w:rFonts w:ascii="Arial" w:cs="Arial" w:eastAsia="Arial" w:hAnsi="Arial"/>
          <w:sz w:val="17"/>
          <w:szCs w:val="17"/>
          <w:color w:val="auto"/>
        </w:rPr>
        <w:t>In the event of a change of control,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shall either (A) take equitable actions to preserve the economic rights of affected participants as described above in the section title “Adjustments in General</w:t>
      </w:r>
      <w:r>
        <w:rPr>
          <w:rFonts w:ascii="Arial" w:cs="Arial" w:eastAsia="Arial" w:hAnsi="Arial"/>
          <w:sz w:val="17"/>
          <w:szCs w:val="17"/>
          <w:i w:val="1"/>
          <w:iCs w:val="1"/>
          <w:color w:val="auto"/>
        </w:rPr>
        <w:t>”</w:t>
      </w:r>
      <w:r>
        <w:rPr>
          <w:rFonts w:ascii="Arial" w:cs="Arial" w:eastAsia="Arial" w:hAnsi="Arial"/>
          <w:sz w:val="17"/>
          <w:szCs w:val="17"/>
          <w:color w:val="auto"/>
        </w:rPr>
        <w:t xml:space="preserve"> above (which may include, if the Compensation Committee determines it to be equitable, taking no action) or (B) provide that (i) the price per Share (which is generally deemed to be the closing price of a Share on the day before the relevant determination date as reported on the principal nationally recognized stock exchange on which the Shares are traded) for purposes of determining the value of a PRSU shall be fixed at the per Share consideration received in connection with such change of control, and (ii) the Performance Modifier shall be (1) based on actual performance if the change of control is within 12 months of the relevant vesting date, (2) based on the Company’s average earnings per share over the preceding two years if the change of control is between 12 and 24 months from the applicable vesting date, or (3) 100% if the change of control is more than 24 months from the applicable vesting date, and, in the case of either (A) or (B), payment with respect to vested PRSUs shall continue to be made in accordance with the PRSU Plan. Unless the Compensation Committee takes any action to the contrary in connection with a change of control, the vesting conditions applicable to all outstanding awards shall continue to apply (subject to any provisions governing terminations of service).</w:t>
      </w: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i w:val="1"/>
          <w:iCs w:val="1"/>
          <w:color w:val="auto"/>
        </w:rPr>
        <w:t xml:space="preserve">Adjustments in the Event of a Qualified Change of Control. </w:t>
      </w:r>
      <w:r>
        <w:rPr>
          <w:rFonts w:ascii="Arial" w:cs="Arial" w:eastAsia="Arial" w:hAnsi="Arial"/>
          <w:sz w:val="16"/>
          <w:szCs w:val="16"/>
          <w:color w:val="auto"/>
        </w:rPr>
        <w:t>In the event of a Qualified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may, within the 30 days preceding or the 12 months following such Qualified Change of Control, accelerate the vesting of all outstanding awards (including related dividend equivalent rights) and make a cash payment in respect thereof to participants within the 12 month period following such action, all to the extent permitted by, and in accordance with Section 409A of the Code. If such Qualified Change of Control occurs more than 12 months prior to the end of the vesting period applicable to an award, the Performance Modifier applicable to such award shall be (1) based on the Company’s average earnings per share over the preceding two years if the change of control is between 12 and 24 months from the applicable vesting date, or</w:t>
      </w:r>
    </w:p>
    <w:p>
      <w:pPr>
        <w:spacing w:after="0" w:line="1" w:lineRule="exact"/>
        <w:rPr>
          <w:sz w:val="20"/>
          <w:szCs w:val="20"/>
          <w:color w:val="auto"/>
        </w:rPr>
      </w:pPr>
    </w:p>
    <w:p>
      <w:pPr>
        <w:ind w:left="1260" w:right="679" w:firstLine="8"/>
        <w:spacing w:after="0" w:line="269" w:lineRule="auto"/>
        <w:tabs>
          <w:tab w:leader="none" w:pos="1515" w:val="left"/>
        </w:tabs>
        <w:numPr>
          <w:ilvl w:val="0"/>
          <w:numId w:val="84"/>
        </w:numPr>
        <w:rPr>
          <w:rFonts w:ascii="Arial" w:cs="Arial" w:eastAsia="Arial" w:hAnsi="Arial"/>
          <w:sz w:val="17"/>
          <w:szCs w:val="17"/>
          <w:color w:val="auto"/>
        </w:rPr>
      </w:pPr>
      <w:r>
        <w:rPr>
          <w:rFonts w:ascii="Arial" w:cs="Arial" w:eastAsia="Arial" w:hAnsi="Arial"/>
          <w:sz w:val="17"/>
          <w:szCs w:val="17"/>
          <w:color w:val="auto"/>
        </w:rPr>
        <w:t>100% if the change of control is more than 24 months from the applicable vesting date. If such Qualified Change of Control occurs less than 12 months prior to the end of the vesting period applicable to an award, payment shall not be made until the Performance Modifier applicable to such award has been established (and the Compensation Committee’s resolution to terminate the PRSU Plan shall be made at such time as would permit payment pursuant to the foregoing sentence to be made without violating Code Section 409A). In all cases, the value attributable to a PRSU that is liquidated in accordance with this provision will be the per Share consideration received in connection with such change of control.</w:t>
      </w:r>
    </w:p>
    <w:p>
      <w:pPr>
        <w:spacing w:after="0" w:line="72"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An award shall not be transferable or assignable by the participant other than by will or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descent and distribution.</w:t>
      </w:r>
    </w:p>
    <w:p>
      <w:pPr>
        <w:spacing w:after="0" w:line="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Amendment or Termination of the PRSU Plan. </w:t>
      </w:r>
      <w:r>
        <w:rPr>
          <w:rFonts w:ascii="Arial" w:cs="Arial" w:eastAsia="Arial" w:hAnsi="Arial"/>
          <w:sz w:val="18"/>
          <w:szCs w:val="18"/>
          <w:color w:val="auto"/>
        </w:rPr>
        <w:t>The Board may amend, alter or discontinue the PRSU Plan,</w:t>
      </w:r>
      <w:r>
        <w:rPr>
          <w:rFonts w:ascii="Arial" w:cs="Arial" w:eastAsia="Arial" w:hAnsi="Arial"/>
          <w:sz w:val="18"/>
          <w:szCs w:val="18"/>
          <w:i w:val="1"/>
          <w:iCs w:val="1"/>
          <w:color w:val="auto"/>
        </w:rPr>
        <w:t xml:space="preserve"> </w:t>
      </w:r>
      <w:r>
        <w:rPr>
          <w:rFonts w:ascii="Arial" w:cs="Arial" w:eastAsia="Arial" w:hAnsi="Arial"/>
          <w:sz w:val="18"/>
          <w:szCs w:val="18"/>
          <w:color w:val="auto"/>
        </w:rPr>
        <w:t>but no amendment, alteration or discontinuation shall be made without the consent of a participant, if such action would diminish any of the rights of such participant under any awards theretofore granted to such participant under the PRSU Plan; provided, however, that the Compensation Committee may amend the PRSU Plan in such manner as it reasonably deems necessary to comply with applicable law or to avoid the application of any tax penalty to any award.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Tradeweb Markets Inc. 2019 Omnibus Equity Incentive Plan</w:t>
      </w:r>
    </w:p>
    <w:p>
      <w:pPr>
        <w:sectPr>
          <w:pgSz w:w="11900" w:h="16838" w:orient="portrait"/>
          <w:cols w:equalWidth="0" w:num="1">
            <w:col w:w="10139"/>
          </w:cols>
          <w:pgMar w:left="320" w:top="131" w:right="1440" w:bottom="1440" w:gutter="0" w:footer="0" w:header="0"/>
        </w:sectPr>
      </w:pPr>
    </w:p>
    <w:p>
      <w:pPr>
        <w:spacing w:after="0" w:line="104" w:lineRule="exact"/>
        <w:rPr>
          <w:sz w:val="20"/>
          <w:szCs w:val="20"/>
          <w:color w:val="auto"/>
        </w:rPr>
      </w:pPr>
    </w:p>
    <w:p>
      <w:pPr>
        <w:ind w:left="1260" w:firstLine="360"/>
        <w:spacing w:after="0" w:line="285" w:lineRule="auto"/>
        <w:rPr>
          <w:sz w:val="20"/>
          <w:szCs w:val="20"/>
          <w:color w:val="auto"/>
        </w:rPr>
      </w:pPr>
      <w:r>
        <w:rPr>
          <w:rFonts w:ascii="Arial" w:cs="Arial" w:eastAsia="Arial" w:hAnsi="Arial"/>
          <w:sz w:val="16"/>
          <w:szCs w:val="16"/>
          <w:color w:val="auto"/>
        </w:rPr>
        <w:t>The Company has adopted the Tradeweb Markets Inc. 2019 Omnibus Equity Incentive Plan, (the “Equity Plan”) under which equity awards may be made in respect of shares of Class A common stock of the Company (the “Shares”), consisting of a Share Pool (as defined below) of Shares (or approximately of issued and outstanding Shares on a fully diluted basis after this offering), as described further below in the section titled “—Shares Available.” Under the Equity Plan, awards may be granted in the form of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489" w:lineRule="exact"/>
        <w:rPr>
          <w:sz w:val="20"/>
          <w:szCs w:val="20"/>
          <w:color w:val="auto"/>
        </w:rPr>
      </w:pPr>
    </w:p>
    <w:p>
      <w:pPr>
        <w:sectPr>
          <w:pgSz w:w="11900" w:h="16838" w:orient="portrait"/>
          <w:cols w:equalWidth="0" w:num="2">
            <w:col w:w="9220" w:space="20"/>
            <w:col w:w="899"/>
          </w:cols>
          <w:pgMar w:left="320" w:top="131" w:right="1440" w:bottom="1440" w:gutter="0" w:footer="0" w:header="0"/>
          <w:type w:val="continuous"/>
        </w:sectPr>
      </w:pPr>
    </w:p>
    <w:p>
      <w:pPr>
        <w:ind w:left="1260" w:right="939"/>
        <w:spacing w:after="0" w:line="260" w:lineRule="auto"/>
        <w:rPr>
          <w:sz w:val="20"/>
          <w:szCs w:val="20"/>
          <w:color w:val="auto"/>
        </w:rPr>
      </w:pPr>
      <w:r>
        <w:rPr>
          <w:rFonts w:ascii="Arial" w:cs="Arial" w:eastAsia="Arial" w:hAnsi="Arial"/>
          <w:sz w:val="18"/>
          <w:szCs w:val="18"/>
          <w:color w:val="auto"/>
        </w:rPr>
        <w:t>restricted stock, restricted stock units, stock appreciation rights, cash-based awards, dividend equivalent rights and share awards.</w:t>
      </w:r>
    </w:p>
    <w:p>
      <w:pPr>
        <w:spacing w:after="0" w:line="77"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Equity Plan will be administered by the Compensation Committee.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consist of at least two directors of the Board and may consist of the entire Board. The Compensation Committee will generally consist of at least two directors considered to be non-employee directors for purposes of Section 16 of the Exchange Act.</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6"/>
          <w:szCs w:val="16"/>
          <w:i w:val="1"/>
          <w:iCs w:val="1"/>
          <w:color w:val="auto"/>
        </w:rPr>
        <w:t xml:space="preserve">Plan Term.  </w:t>
      </w:r>
      <w:r>
        <w:rPr>
          <w:rFonts w:ascii="Arial" w:cs="Arial" w:eastAsia="Arial" w:hAnsi="Arial"/>
          <w:sz w:val="16"/>
          <w:szCs w:val="16"/>
          <w:color w:val="auto"/>
        </w:rPr>
        <w:t>The Equity Plan became effective as of the date it was approved by the board of directors on</w:t>
      </w:r>
    </w:p>
    <w:p>
      <w:pPr>
        <w:spacing w:after="0" w:line="46" w:lineRule="exact"/>
        <w:rPr>
          <w:sz w:val="20"/>
          <w:szCs w:val="20"/>
          <w:color w:val="auto"/>
        </w:rPr>
      </w:pPr>
    </w:p>
    <w:p>
      <w:pPr>
        <w:ind w:left="1260" w:right="1079" w:firstLine="818"/>
        <w:spacing w:after="0" w:line="260" w:lineRule="auto"/>
        <w:tabs>
          <w:tab w:leader="none" w:pos="2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its having been approved by the existing stockholders, and will terminate on the tenth (10th) anniversary thereof, unless earlier terminated by the board of directors.</w:t>
      </w:r>
    </w:p>
    <w:p>
      <w:pPr>
        <w:spacing w:after="0" w:line="77"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Under the Equity Plan, “Eligible Individuals” include officers, employees, consultants, advisors</w:t>
      </w:r>
      <w:r>
        <w:rPr>
          <w:rFonts w:ascii="Arial" w:cs="Arial" w:eastAsia="Arial" w:hAnsi="Arial"/>
          <w:sz w:val="17"/>
          <w:szCs w:val="17"/>
          <w:i w:val="1"/>
          <w:iCs w:val="1"/>
          <w:color w:val="auto"/>
        </w:rPr>
        <w:t xml:space="preserve"> </w:t>
      </w:r>
      <w:r>
        <w:rPr>
          <w:rFonts w:ascii="Arial" w:cs="Arial" w:eastAsia="Arial" w:hAnsi="Arial"/>
          <w:sz w:val="17"/>
          <w:szCs w:val="17"/>
          <w:color w:val="auto"/>
        </w:rPr>
        <w:t>and non-employee directors providing services to the Company and its subsidiaries and affiliates. The Compensation Committee will determine which Eligible Individuals will receive grants of awards.</w:t>
      </w:r>
    </w:p>
    <w:p>
      <w:pPr>
        <w:spacing w:after="0" w:line="57" w:lineRule="exact"/>
        <w:rPr>
          <w:sz w:val="20"/>
          <w:szCs w:val="20"/>
          <w:color w:val="auto"/>
        </w:rPr>
      </w:pPr>
    </w:p>
    <w:p>
      <w:pPr>
        <w:ind w:left="1260" w:right="759" w:firstLine="360"/>
        <w:spacing w:after="0" w:line="296" w:lineRule="auto"/>
        <w:rPr>
          <w:sz w:val="20"/>
          <w:szCs w:val="20"/>
          <w:color w:val="auto"/>
        </w:rPr>
      </w:pPr>
      <w:r>
        <w:rPr>
          <w:rFonts w:ascii="Arial" w:cs="Arial" w:eastAsia="Arial" w:hAnsi="Arial"/>
          <w:sz w:val="16"/>
          <w:szCs w:val="16"/>
          <w:i w:val="1"/>
          <w:iCs w:val="1"/>
          <w:color w:val="auto"/>
        </w:rPr>
        <w:t xml:space="preserve">Incentives Available. </w:t>
      </w:r>
      <w:r>
        <w:rPr>
          <w:rFonts w:ascii="Arial" w:cs="Arial" w:eastAsia="Arial" w:hAnsi="Arial"/>
          <w:sz w:val="16"/>
          <w:szCs w:val="16"/>
          <w:color w:val="auto"/>
        </w:rPr>
        <w:t>Under the Equity Plan, the Compensation Committee may grant any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types of awards to an Eligible Individual: incentive stock options (“ISOs”) and nonqualified stock options (“Nonqualified Stock Options” and, together with ISOs, “Options”); stock appreciation rights (“SARs”); restricted stock grants (“Restricted Stock Grants”); restricted stock units (“RSUs”); Dividend Equivalent Rights; Share Awards; and Cash Based Awards, each as defined below (each type of grant is considered an “Award”).</w:t>
      </w:r>
    </w:p>
    <w:p>
      <w:pPr>
        <w:spacing w:after="0" w:line="53" w:lineRule="exact"/>
        <w:rPr>
          <w:sz w:val="20"/>
          <w:szCs w:val="20"/>
          <w:color w:val="auto"/>
        </w:rPr>
      </w:pPr>
    </w:p>
    <w:p>
      <w:pPr>
        <w:ind w:left="1260" w:right="1059" w:firstLine="360"/>
        <w:spacing w:after="0" w:line="311" w:lineRule="auto"/>
        <w:rPr>
          <w:sz w:val="20"/>
          <w:szCs w:val="20"/>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Subject to any adjustment as provided in the Equity Plan, up to Shares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pursuant to Awards granted under the Equity Plan (the “Share Pool”), all of which may be granted pursuant to ISOs. The aggregate number of Shares that may be the subject of Awards (other than</w:t>
      </w: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79"/>
        <w:spacing w:after="0" w:line="274" w:lineRule="auto"/>
        <w:rPr>
          <w:sz w:val="20"/>
          <w:szCs w:val="20"/>
          <w:color w:val="auto"/>
        </w:rPr>
      </w:pPr>
      <w:r>
        <w:rPr>
          <w:rFonts w:ascii="Arial" w:cs="Arial" w:eastAsia="Arial" w:hAnsi="Arial"/>
          <w:sz w:val="17"/>
          <w:szCs w:val="17"/>
          <w:color w:val="auto"/>
        </w:rPr>
        <w:t>Cash Based Awards) granted in any calendar year may not exceed Shares in the case of an Eligible Individual who is not a non-employee director, or Shares in the case of a non-employee director. The</w:t>
      </w:r>
    </w:p>
    <w:p>
      <w:pPr>
        <w:ind w:left="1260"/>
        <w:spacing w:after="0"/>
        <w:rPr>
          <w:sz w:val="20"/>
          <w:szCs w:val="20"/>
          <w:color w:val="auto"/>
        </w:rPr>
      </w:pPr>
      <w:r>
        <w:rPr>
          <w:rFonts w:ascii="Arial" w:cs="Arial" w:eastAsia="Arial" w:hAnsi="Arial"/>
          <w:sz w:val="16"/>
          <w:szCs w:val="16"/>
          <w:color w:val="auto"/>
        </w:rPr>
        <w:t>maximum dollar amount of cash or the fair market value of Shares that may be the subject of Cash Based Awards</w:t>
      </w:r>
    </w:p>
    <w:p>
      <w:pPr>
        <w:spacing w:after="0" w:line="32" w:lineRule="exact"/>
        <w:rPr>
          <w:sz w:val="20"/>
          <w:szCs w:val="20"/>
          <w:color w:val="auto"/>
        </w:rPr>
      </w:pPr>
    </w:p>
    <w:p>
      <w:pPr>
        <w:ind w:left="1260"/>
        <w:spacing w:after="0"/>
        <w:tabs>
          <w:tab w:leader="none" w:pos="5040" w:val="left"/>
        </w:tabs>
        <w:rPr>
          <w:sz w:val="20"/>
          <w:szCs w:val="20"/>
          <w:color w:val="auto"/>
        </w:rPr>
      </w:pPr>
      <w:r>
        <w:rPr>
          <w:rFonts w:ascii="Arial" w:cs="Arial" w:eastAsia="Arial" w:hAnsi="Arial"/>
          <w:sz w:val="18"/>
          <w:szCs w:val="18"/>
          <w:color w:val="auto"/>
        </w:rPr>
        <w:t>granted in any calendar year may not exceed $</w:t>
      </w:r>
      <w:r>
        <w:rPr>
          <w:sz w:val="20"/>
          <w:szCs w:val="20"/>
          <w:color w:val="auto"/>
        </w:rPr>
        <w:tab/>
      </w:r>
      <w:r>
        <w:rPr>
          <w:rFonts w:ascii="Arial" w:cs="Arial" w:eastAsia="Arial" w:hAnsi="Arial"/>
          <w:sz w:val="16"/>
          <w:szCs w:val="16"/>
          <w:color w:val="auto"/>
        </w:rPr>
        <w:t>in the case of an Eligible Individual who is not a non-</w:t>
      </w:r>
    </w:p>
    <w:p>
      <w:pPr>
        <w:spacing w:after="0" w:line="9" w:lineRule="exact"/>
        <w:rPr>
          <w:sz w:val="20"/>
          <w:szCs w:val="20"/>
          <w:color w:val="auto"/>
        </w:rPr>
      </w:pPr>
    </w:p>
    <w:p>
      <w:pPr>
        <w:ind w:left="1260"/>
        <w:spacing w:after="0"/>
        <w:tabs>
          <w:tab w:leader="none" w:pos="3360" w:val="left"/>
        </w:tabs>
        <w:rPr>
          <w:sz w:val="20"/>
          <w:szCs w:val="20"/>
          <w:color w:val="auto"/>
        </w:rPr>
      </w:pPr>
      <w:r>
        <w:rPr>
          <w:rFonts w:ascii="Arial" w:cs="Arial" w:eastAsia="Arial" w:hAnsi="Arial"/>
          <w:sz w:val="18"/>
          <w:szCs w:val="18"/>
          <w:color w:val="auto"/>
        </w:rPr>
        <w:t>employee director, or $</w:t>
      </w:r>
      <w:r>
        <w:rPr>
          <w:sz w:val="20"/>
          <w:szCs w:val="20"/>
          <w:color w:val="auto"/>
        </w:rPr>
        <w:tab/>
      </w:r>
      <w:r>
        <w:rPr>
          <w:rFonts w:ascii="Arial" w:cs="Arial" w:eastAsia="Arial" w:hAnsi="Arial"/>
          <w:sz w:val="16"/>
          <w:szCs w:val="16"/>
          <w:color w:val="auto"/>
        </w:rPr>
        <w:t>in the case of a non-employee director.</w:t>
      </w:r>
    </w:p>
    <w:p>
      <w:pPr>
        <w:spacing w:after="0" w:line="103"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If an Award or any portion thereof (i) expires or otherwise terminates without all of the Shares covered by such Award having been issued or (ii) is settled in cash (i.e., the participant receives cash rather than Shares), such expiration, termination or settlement will not reduce (or otherwise offset) the number of Shares that may be available for issuance under the Equity Plan. Any Shares issued pursuant to an Award that are forfeited and returned back to or reacquired by the Company will again become available for issuance under the Equity Plan. Any Shares tendered or withheld to pay the exercise price of an Option or to satisfy tax withholding obligations associated with any Award, shall not become available again for issuance under the Equity Plan.</w:t>
      </w:r>
    </w:p>
    <w:p>
      <w:pPr>
        <w:spacing w:after="0" w:line="58" w:lineRule="exact"/>
        <w:rPr>
          <w:sz w:val="20"/>
          <w:szCs w:val="20"/>
          <w:color w:val="auto"/>
        </w:rPr>
      </w:pPr>
    </w:p>
    <w:p>
      <w:pPr>
        <w:jc w:val="both"/>
        <w:ind w:left="1260" w:right="799" w:firstLine="360"/>
        <w:spacing w:after="0" w:line="296"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Compensation Committee may grant Options (which may be ISOs or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to Eligible Individuals. An ISO is an Option intended to qualify for tax treatment applicable to ISOs under Section 422 of the Code. An ISO may be granted only to Eligible Individuals that are employees of the Company or any of its subsidiaries. A Nonqualified Stock Option is an Option that is not subject to statutory requirements and limitations required for certain tax advantages allowed under Section 422 of the Code.</w:t>
      </w:r>
    </w:p>
    <w:p>
      <w:pPr>
        <w:spacing w:after="0" w:line="5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i w:val="1"/>
          <w:iCs w:val="1"/>
          <w:color w:val="auto"/>
        </w:rPr>
        <w:t xml:space="preserve">Vesting and Exercise Periods. </w:t>
      </w:r>
      <w:r>
        <w:rPr>
          <w:rFonts w:ascii="Arial" w:cs="Arial" w:eastAsia="Arial" w:hAnsi="Arial"/>
          <w:sz w:val="18"/>
          <w:szCs w:val="18"/>
          <w:color w:val="auto"/>
        </w:rPr>
        <w:t>Each Option granted under the Equity Plan may be subject to certain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will become exercisable in accordance with the specific terms and conditions of the Option, as determined by the Compensation Committee at the time of grant and set forth in an Award agreement. The term of an Option generally may not exceed ten years from the date it is granted (five years in the case of an ISO granted to a ten-percent stockholder). Each Option, to the extent it becomes exercisable, may be exercised at any time in whole or in part until its expiration or termination, unless otherwise provided in the applicable Award agreement.</w:t>
      </w:r>
    </w:p>
    <w:p>
      <w:pPr>
        <w:spacing w:after="0" w:line="87"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6"/>
          <w:szCs w:val="16"/>
          <w:i w:val="1"/>
          <w:iCs w:val="1"/>
          <w:color w:val="auto"/>
        </w:rPr>
        <w:t xml:space="preserve">Exercise Price; Method of Exercise. </w:t>
      </w:r>
      <w:r>
        <w:rPr>
          <w:rFonts w:ascii="Arial" w:cs="Arial" w:eastAsia="Arial" w:hAnsi="Arial"/>
          <w:sz w:val="16"/>
          <w:szCs w:val="16"/>
          <w:color w:val="auto"/>
        </w:rPr>
        <w:t>The purchase price per Share with respect to any Option granted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Plan shall be determined by the Compensation Committee, provided that it may be not less than the greater of the par value of a Share and 100% of the fair market value of a Share on the date the Option is granted (110% in the case of an ISO granted to a ten-percent stockholder). The exercise price may be paid in (a) cash or its equivalent (e.g., a check) or (b) if permitted by the Compensation Committee, the transfer, either actually or by attestation, to the Company of Shares that have been held by the participant for at least six (6) months (or such lesser period as may be permitted by the Compensation Committee) prior to the exercise of the Option, such transfer to be upon such terms and conditions as determined by the Compensation Committee or (c) in the form of other property as determined by the Compensation Committee. In addition, (a) the Compensation Committee may provide for the payment of the exercise through Share withholding as a result of which the number of Shares issued upon exercise of an Option would be reduced by a number of Shares having a fair market value (as defined in the Equity Plan) equal to the exercise price and (b) an Option may be exercised through a registered broker-dealer pursuant to such cashless exercise procedures that are, from time to time, deemed acceptable by the Compensation Committee. The Company will not issue fractional shares.</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Limits on Incentive Stock Options.  </w:t>
      </w:r>
      <w:r>
        <w:rPr>
          <w:rFonts w:ascii="Arial" w:cs="Arial" w:eastAsia="Arial" w:hAnsi="Arial"/>
          <w:sz w:val="17"/>
          <w:szCs w:val="17"/>
          <w:color w:val="auto"/>
        </w:rPr>
        <w:t>In order to comply with the requirements for ISOs in the Code, no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person may receive a grant of an ISO for stock that would have an aggregate fair market value in excess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$100,000, determined when the ISO is granted, that would be exercisable for the first time during any calendar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If any grant of an ISO is made in excess of such limit, the Options will be treated as Nonqualified Stock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Options according to the order in which they were granted such that the most recently granted Options are first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treated as Nonqualified Stock Options.</w:t>
      </w:r>
    </w:p>
    <w:p>
      <w:pPr>
        <w:spacing w:after="0" w:line="103"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grant SARs to Eligible Individuals on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determined by the Compensation Committee at the time of grant and set forth in an Award agreement. An SAR may be granted (a) at any time if unrelated to an Option or (b) if related to an Option, either at the time of grant or at any time thereafter during the term of the Option.</w:t>
      </w: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96" w:lineRule="auto"/>
        <w:rPr>
          <w:sz w:val="20"/>
          <w:szCs w:val="20"/>
          <w:color w:val="auto"/>
        </w:rPr>
      </w:pPr>
      <w:r>
        <w:rPr>
          <w:rFonts w:ascii="Arial" w:cs="Arial" w:eastAsia="Arial" w:hAnsi="Arial"/>
          <w:sz w:val="16"/>
          <w:szCs w:val="16"/>
          <w:i w:val="1"/>
          <w:iCs w:val="1"/>
          <w:color w:val="auto"/>
        </w:rPr>
        <w:t xml:space="preserve">Vesting; Amount Payable. </w:t>
      </w:r>
      <w:r>
        <w:rPr>
          <w:rFonts w:ascii="Arial" w:cs="Arial" w:eastAsia="Arial" w:hAnsi="Arial"/>
          <w:sz w:val="16"/>
          <w:szCs w:val="16"/>
          <w:color w:val="auto"/>
        </w:rPr>
        <w:t>The Compensation Committee will determine the terms by which an SAR will</w:t>
      </w:r>
      <w:r>
        <w:rPr>
          <w:rFonts w:ascii="Arial" w:cs="Arial" w:eastAsia="Arial" w:hAnsi="Arial"/>
          <w:sz w:val="16"/>
          <w:szCs w:val="16"/>
          <w:i w:val="1"/>
          <w:iCs w:val="1"/>
          <w:color w:val="auto"/>
        </w:rPr>
        <w:t xml:space="preserve"> </w:t>
      </w:r>
      <w:r>
        <w:rPr>
          <w:rFonts w:ascii="Arial" w:cs="Arial" w:eastAsia="Arial" w:hAnsi="Arial"/>
          <w:sz w:val="16"/>
          <w:szCs w:val="16"/>
          <w:color w:val="auto"/>
        </w:rPr>
        <w:t>vest and become exercisable which terms will be set forth in an Award agreement. An SAR is a right granted to a participant to receive an amount equal to the excess of the fair market value of a Share on the last business day preceding the date of exercise of such SAR over the fair market value of a Share on the date the SAR was granted. An SAR may be settled or paid in cash, Shares or a combination of each, in accordance with its terms.</w:t>
      </w:r>
    </w:p>
    <w:p>
      <w:pPr>
        <w:spacing w:after="0" w:line="53" w:lineRule="exact"/>
        <w:rPr>
          <w:sz w:val="20"/>
          <w:szCs w:val="20"/>
          <w:color w:val="auto"/>
        </w:rPr>
      </w:pPr>
    </w:p>
    <w:p>
      <w:pPr>
        <w:ind w:left="1260" w:right="859" w:firstLine="360"/>
        <w:spacing w:after="0" w:line="342" w:lineRule="auto"/>
        <w:rPr>
          <w:sz w:val="20"/>
          <w:szCs w:val="20"/>
          <w:color w:val="auto"/>
        </w:rPr>
      </w:pPr>
      <w:r>
        <w:rPr>
          <w:rFonts w:ascii="Arial" w:cs="Arial" w:eastAsia="Arial" w:hAnsi="Arial"/>
          <w:sz w:val="16"/>
          <w:szCs w:val="16"/>
          <w:i w:val="1"/>
          <w:iCs w:val="1"/>
          <w:color w:val="auto"/>
        </w:rPr>
        <w:t xml:space="preserve">Duration. </w:t>
      </w:r>
      <w:r>
        <w:rPr>
          <w:rFonts w:ascii="Arial" w:cs="Arial" w:eastAsia="Arial" w:hAnsi="Arial"/>
          <w:sz w:val="16"/>
          <w:szCs w:val="16"/>
          <w:color w:val="auto"/>
        </w:rPr>
        <w:t>Each SAR will be exercisable or be forfeited or expire on such terms as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determines. Except in limited circumstances, an SAR shall have a term of no greater than ten years.</w:t>
      </w:r>
    </w:p>
    <w:p>
      <w:pPr>
        <w:spacing w:after="0" w:line="16"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i w:val="1"/>
          <w:iCs w:val="1"/>
          <w:color w:val="auto"/>
        </w:rPr>
        <w:t xml:space="preserve">Prohibition on Repricings. </w:t>
      </w:r>
      <w:r>
        <w:rPr>
          <w:rFonts w:ascii="Arial" w:cs="Arial" w:eastAsia="Arial" w:hAnsi="Arial"/>
          <w:sz w:val="16"/>
          <w:szCs w:val="16"/>
          <w:color w:val="auto"/>
        </w:rPr>
        <w:t>The Compensation Committee will have no authority to (i)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or amendment (other than in connection with certain changes in capitalization or certain corporate transactions in accordance with the terms of the Equity Plan, as generally described below) that reduces, or would have the effect of reducing, the exercise price of an Option or SAR previously granted under the Equity Plan or</w:t>
      </w:r>
    </w:p>
    <w:p>
      <w:pPr>
        <w:spacing w:after="0" w:line="1" w:lineRule="exact"/>
        <w:rPr>
          <w:sz w:val="20"/>
          <w:szCs w:val="20"/>
          <w:color w:val="auto"/>
        </w:rPr>
      </w:pPr>
    </w:p>
    <w:p>
      <w:pPr>
        <w:ind w:left="1260" w:right="779" w:firstLine="8"/>
        <w:spacing w:after="0" w:line="255" w:lineRule="auto"/>
        <w:tabs>
          <w:tab w:leader="none" w:pos="1525"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cancel for cash or other consideration any Option whose exercise price or SAR whose base price is greater than the fair market value per share, unless, in either case, the Company’s stockholders approve such adjustment or amendment.</w:t>
      </w:r>
    </w:p>
    <w:p>
      <w:pPr>
        <w:spacing w:after="0" w:line="82"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The Compensation Committee may grant dividend equivalent rights</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Equivalent Rights”), either in tandem with an Award or as a separate Award, to Eligible Individuals on terms and conditions determined by the Compensation Committee at the time of grant and set forth in an Award agreement. A Dividend Equivalent Right is a right to receive cash or Shares based on the value of dividends that are paid with respect to the Shares. Amounts payable in respect of Dividend Equivalent Rights may be payable currently or, if applicable, deferred until the lapsing of restrictions on such dividend equivalent rights or until the vesting, exercise, payment, settlement or other lapse of restrictions on the Award to which the Dividend Equivalent Rights relate, provided, however, that a Dividend Equivalent Right granted in tandem with another Award that vests based on the achievement of performance goals shall be subject to restrictions and risk of forfeiture to the same extent as the Awards with respect to which such dividends are payable. In the event that the amount payable in respect of Dividend Equivalent Rights is to be deferred, the Compensation Committee shall determine whether such amount is to be held in cash or reinvested in Shares or deemed (notionally) to be reinvested in Shares. Dividend Equivalent Rights may be settled in cash or shares of Common Stock or a combination thereof, in a single installment or multiple installments, as determined by the Compensation Committee.</w:t>
      </w:r>
    </w:p>
    <w:p>
      <w:pPr>
        <w:spacing w:after="0" w:line="74" w:lineRule="exact"/>
        <w:rPr>
          <w:sz w:val="20"/>
          <w:szCs w:val="20"/>
          <w:color w:val="auto"/>
        </w:rPr>
      </w:pPr>
    </w:p>
    <w:p>
      <w:pPr>
        <w:ind w:left="1260" w:right="679" w:firstLine="360"/>
        <w:spacing w:after="0" w:line="311" w:lineRule="auto"/>
        <w:rPr>
          <w:sz w:val="20"/>
          <w:szCs w:val="20"/>
          <w:color w:val="auto"/>
        </w:rPr>
      </w:pPr>
      <w:r>
        <w:rPr>
          <w:rFonts w:ascii="Arial" w:cs="Arial" w:eastAsia="Arial" w:hAnsi="Arial"/>
          <w:sz w:val="16"/>
          <w:szCs w:val="16"/>
          <w:i w:val="1"/>
          <w:iCs w:val="1"/>
          <w:color w:val="auto"/>
        </w:rPr>
        <w:t xml:space="preserve">Restricted Stock; Restricted Stock Units. </w:t>
      </w:r>
      <w:r>
        <w:rPr>
          <w:rFonts w:ascii="Arial" w:cs="Arial" w:eastAsia="Arial" w:hAnsi="Arial"/>
          <w:sz w:val="16"/>
          <w:szCs w:val="16"/>
          <w:color w:val="auto"/>
        </w:rPr>
        <w:t>The Compensation Committee may grant either Shares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phantom Shares (RSUs), in each case subject to certain vesting requirements, on terms and conditions determined by the Compensation Committee at the time of grant and set forth in an Award agreement.</w:t>
      </w:r>
    </w:p>
    <w:p>
      <w:pPr>
        <w:spacing w:after="0" w:line="41"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Unless the Compensation Committee determines otherwise, upon the issuance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Restricted Stock, the participant shall have all of the rights of a shareholder with respect to such Shares, including the right to vote the Shares and to receive all dividends or other distributions made with respect to the Shares. The Compensation Committee may determine that the payment to the participant of dividends, or a specified portion thereof, declared or paid on such Shares shall be deferred until the lapsing of the restrictions imposed upon such Shares and held by the Company for the account of the participant until such time, provided, however, that a dividend payable in respect of Restricted Stock that vests based on the achievement of performance goals shall be subject to restrictions and risk of forfeiture to the same extent as the Restricted Stock with respect to which such dividends are payable. Payment of deferred dividends in respect of shares of Restricted Stock shall be made upon the lapsing of restrictions imposed on the shares of Restricted Stock in respect of which the deferred dividends were paid, and any dividends deferred in respect of any shares of Restricted Stock shall be forfeited upon the forfeiture of such shares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Each RSU shall represent the right of the participant to receive a payment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the RSU, or on any later date specified by the Compensation Committee, of an amount equal to the fair market value of a Share as of the date the RSU becomes vested, or such later date as determined by the Compensation Committee at the time the RSU is granted (and which will be set forth in the applicable grant agreement). An RSU may be settled or paid in cash, Shares or a combination of each, as determined by the Compensation Committee.</w:t>
      </w:r>
    </w:p>
    <w:p>
      <w:pPr>
        <w:spacing w:after="0" w:line="84"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i w:val="1"/>
          <w:iCs w:val="1"/>
          <w:color w:val="auto"/>
        </w:rPr>
        <w:t xml:space="preserve">Share Awards. </w:t>
      </w:r>
      <w:r>
        <w:rPr>
          <w:rFonts w:ascii="Arial" w:cs="Arial" w:eastAsia="Arial" w:hAnsi="Arial"/>
          <w:sz w:val="18"/>
          <w:szCs w:val="18"/>
          <w:color w:val="auto"/>
        </w:rPr>
        <w:t>The Compensation Committee may grant an Award of Shares (“Share Awards”) to an</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Individual on such terms and conditions as the Compensation Committee may determine at the time of grant. A Share Award may be made as additional compensation for services rendered by the Eligible Individual or may be in lieu of cash or other compensation to which the Eligible Individual is entitled from the Company. Any dividend payable in respect of a Share Award that vests based on the achievement of performance goals shall be subject to restrictions and risk of forfeiture to the same extent as the Restricted Stock with respect to which such dividends are payable.</w:t>
      </w:r>
    </w:p>
    <w:p>
      <w:pPr>
        <w:spacing w:after="0" w:line="87" w:lineRule="exact"/>
        <w:rPr>
          <w:sz w:val="20"/>
          <w:szCs w:val="20"/>
          <w:color w:val="auto"/>
        </w:rPr>
      </w:pPr>
    </w:p>
    <w:p>
      <w:pPr>
        <w:ind w:left="1260" w:right="659" w:firstLine="360"/>
        <w:spacing w:after="0" w:line="287" w:lineRule="auto"/>
        <w:rPr>
          <w:sz w:val="20"/>
          <w:szCs w:val="20"/>
          <w:color w:val="auto"/>
        </w:rPr>
      </w:pPr>
      <w:r>
        <w:rPr>
          <w:rFonts w:ascii="Arial" w:cs="Arial" w:eastAsia="Arial" w:hAnsi="Arial"/>
          <w:sz w:val="16"/>
          <w:szCs w:val="16"/>
          <w:i w:val="1"/>
          <w:iCs w:val="1"/>
          <w:color w:val="auto"/>
        </w:rPr>
        <w:t xml:space="preserve">Cash Based Awards. </w:t>
      </w:r>
      <w:r>
        <w:rPr>
          <w:rFonts w:ascii="Arial" w:cs="Arial" w:eastAsia="Arial" w:hAnsi="Arial"/>
          <w:sz w:val="16"/>
          <w:szCs w:val="16"/>
          <w:color w:val="auto"/>
        </w:rPr>
        <w:t>The Compensation Committee may grant awards initially denominated by reference to</w:t>
      </w:r>
      <w:r>
        <w:rPr>
          <w:rFonts w:ascii="Arial" w:cs="Arial" w:eastAsia="Arial" w:hAnsi="Arial"/>
          <w:sz w:val="16"/>
          <w:szCs w:val="16"/>
          <w:i w:val="1"/>
          <w:iCs w:val="1"/>
          <w:color w:val="auto"/>
        </w:rPr>
        <w:t xml:space="preserve"> </w:t>
      </w:r>
      <w:r>
        <w:rPr>
          <w:rFonts w:ascii="Arial" w:cs="Arial" w:eastAsia="Arial" w:hAnsi="Arial"/>
          <w:sz w:val="16"/>
          <w:szCs w:val="16"/>
          <w:color w:val="auto"/>
        </w:rPr>
        <w:t>a specified amount of cash (“Cash Based Awards”) to an Eligible Individual. Cash Based Awards are contingent upon the attainment of specified conditions as may be determined by the Compensation Committee, and represent the right to receive payment of the specified dollar amount or a percentage or multiple of the specified dollar amount as determined pursuant to the applicable award agreement. The Compensation Committee may at the time a Cash Based Award is granted specify a maximum amount payable in respect of a vested Cash Based Award. Each award agreement will specify the conditions which must be satisfied in order for the Cash Based Award to vest and the circumstances under which the award will be forfeited. Payments in respect of the Cash Based Awards will be at such time or times as the Compensation Committee may determine following vesting of the award. Such payments may be made entirely in Shares valued at their fair market value (as defined in the Equity Plan), entirely in cash or in such combination of Shares and cash as the Compensation Committee in its discretion shall determine at any time prior to such payment.</w:t>
      </w:r>
    </w:p>
    <w:p>
      <w:pPr>
        <w:spacing w:after="0" w:line="60"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i w:val="1"/>
          <w:iCs w:val="1"/>
          <w:color w:val="auto"/>
        </w:rPr>
        <w:t xml:space="preserve">Adjustments upon Changes in Capitalization. </w:t>
      </w:r>
      <w:r>
        <w:rPr>
          <w:rFonts w:ascii="Arial" w:cs="Arial" w:eastAsia="Arial" w:hAnsi="Arial"/>
          <w:sz w:val="17"/>
          <w:szCs w:val="17"/>
          <w:color w:val="auto"/>
        </w:rPr>
        <w:t>In the event that the outstanding Shares are changed into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a different number or kind of Shares or other stock or securities or other equity interests of the Company or another corporation or entity, whether through merger, consolidation, reorganizations, recapitalization, reclassification, stock dividend, stock split, reverse stock split, substitution or other similar corporate event or transaction, or an extraordinary dividend or distribution by the Company in respect of its Shares or other capital stock or securities convertible into capital stock in cash, securities or other property, the Compensation Committee shall determine the appropriate adjustments, if any, to (a) the maximum number and kind of shares of stock or other securities or other equity interests as to which Awards may be granted under the Equity Plan, (b) the maximum number and class of Shares or other stock or securities that may be issued upon exercise of ISOs, (c) the number and kind of Shares or other securities covered by any or all outstanding Awards that have been granted under the Equity Plan, and (d) the option price of outstanding Options and the base price of outstanding SARs.</w:t>
      </w:r>
    </w:p>
    <w:p>
      <w:pPr>
        <w:spacing w:after="0" w:line="71"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i w:val="1"/>
          <w:iCs w:val="1"/>
          <w:color w:val="auto"/>
        </w:rPr>
        <w:t xml:space="preserve">Effect of Change in Control or Certain Other Transactions. </w:t>
      </w:r>
      <w:r>
        <w:rPr>
          <w:rFonts w:ascii="Arial" w:cs="Arial" w:eastAsia="Arial" w:hAnsi="Arial"/>
          <w:sz w:val="16"/>
          <w:szCs w:val="16"/>
          <w:color w:val="auto"/>
        </w:rPr>
        <w:t>Generally, the Award agreement evidencing</w:t>
      </w:r>
      <w:r>
        <w:rPr>
          <w:rFonts w:ascii="Arial" w:cs="Arial" w:eastAsia="Arial" w:hAnsi="Arial"/>
          <w:sz w:val="16"/>
          <w:szCs w:val="16"/>
          <w:i w:val="1"/>
          <w:iCs w:val="1"/>
          <w:color w:val="auto"/>
        </w:rPr>
        <w:t xml:space="preserve"> </w:t>
      </w:r>
      <w:r>
        <w:rPr>
          <w:rFonts w:ascii="Arial" w:cs="Arial" w:eastAsia="Arial" w:hAnsi="Arial"/>
          <w:sz w:val="16"/>
          <w:szCs w:val="16"/>
          <w:color w:val="auto"/>
        </w:rPr>
        <w:t>each Award will provide any specific terms applicable to that Award in the event of a Change in Control of the Company (as defined below). Unless otherwise provided in an Award agreement, in connection with a merger, consolidation, reorganization, recapitalization or other similar change in the capital stock of the Company, or a liquidation or dissolution of the Company (each, a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(a Corporate Transaction may be a transaction that is also a Change in Control), Awards shall either: (a) continue following such Corporate Transaction, which may include, in the discretion of the Compensation Committee or the parties to the Corporate Transaction, the assumption, continuation or substitution of the Awards, in each case with appropriate adjustments to the number, kind of shares, and exercise prices of the Awards; or (b) terminate.</w:t>
      </w:r>
    </w:p>
    <w:p>
      <w:pPr>
        <w:spacing w:after="0" w:line="58" w:lineRule="exact"/>
        <w:rPr>
          <w:sz w:val="20"/>
          <w:szCs w:val="20"/>
          <w:color w:val="auto"/>
        </w:rPr>
      </w:pPr>
    </w:p>
    <w:p>
      <w:pPr>
        <w:ind w:left="1260" w:right="1199" w:firstLine="360"/>
        <w:spacing w:after="0" w:line="301" w:lineRule="auto"/>
        <w:rPr>
          <w:sz w:val="20"/>
          <w:szCs w:val="20"/>
          <w:color w:val="auto"/>
        </w:rPr>
      </w:pPr>
      <w:r>
        <w:rPr>
          <w:rFonts w:ascii="Arial" w:cs="Arial" w:eastAsia="Arial" w:hAnsi="Arial"/>
          <w:sz w:val="16"/>
          <w:szCs w:val="16"/>
          <w:color w:val="auto"/>
        </w:rPr>
        <w:t>For purposes of the Equity Plan, “Change in Control” generally means the occurrence of any of the following events with respect to the Company: (a) any person (other than directly from the Company) first acquires securities of the Company representing fifty percent or more of the combined voting power of the Company’s then outstanding voting securities, other than an acquisition by certain employee benefit plans,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87" w:lineRule="auto"/>
        <w:rPr>
          <w:sz w:val="20"/>
          <w:szCs w:val="20"/>
          <w:color w:val="auto"/>
        </w:rPr>
      </w:pPr>
      <w:r>
        <w:rPr>
          <w:rFonts w:ascii="Arial" w:cs="Arial" w:eastAsia="Arial" w:hAnsi="Arial"/>
          <w:sz w:val="16"/>
          <w:szCs w:val="16"/>
          <w:color w:val="auto"/>
        </w:rPr>
        <w:t>the Company or a related entity, or any person in connection with a non-control transaction; (b) a majority of the members of the board of directors is replaced by directors whose appointment or election is not endorsed by a majority of the members of the board of directors serving immediately prior to such appointment or election;</w:t>
      </w:r>
    </w:p>
    <w:p>
      <w:pPr>
        <w:spacing w:after="0" w:line="2" w:lineRule="exact"/>
        <w:rPr>
          <w:sz w:val="20"/>
          <w:szCs w:val="20"/>
          <w:color w:val="auto"/>
        </w:rPr>
      </w:pPr>
    </w:p>
    <w:p>
      <w:pPr>
        <w:ind w:left="1260" w:right="679" w:firstLine="8"/>
        <w:spacing w:after="0" w:line="268" w:lineRule="auto"/>
        <w:tabs>
          <w:tab w:leader="none" w:pos="1505"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merger, consolidation or reorganization, other than in a non-control transaction; (d) a complete liquidation or dissolution or (e) sale or disposition of all or substantially all of the assets. A “non-control transaction” generally includes any transaction in which (i) stockholders immediately before such transaction continue to own at least a majority of the combined voting power of such resulting entity following the transaction; (ii) a majority of the members of the board of directors immediately before such transaction continue to constitute at least a majority of the board of the surviving entity following such transaction or (iii) with certain exceptions, no person other than any person who had beneficial ownership of more than fifty percent of the combined voting power of the Company’s then outstanding voting securities immediately prior to such transaction has beneficial ownership of more than fifty percent of the combined voting power of the surviving entity’s outstanding voting securities immediately after such transaction.</w:t>
      </w:r>
    </w:p>
    <w:p>
      <w:pPr>
        <w:spacing w:after="0" w:line="71"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i w:val="1"/>
          <w:iCs w:val="1"/>
          <w:color w:val="auto"/>
        </w:rPr>
        <w:t xml:space="preserve">Options and SARs. </w:t>
      </w:r>
      <w:r>
        <w:rPr>
          <w:rFonts w:ascii="Arial" w:cs="Arial" w:eastAsia="Arial" w:hAnsi="Arial"/>
          <w:sz w:val="16"/>
          <w:szCs w:val="16"/>
          <w:color w:val="auto"/>
        </w:rPr>
        <w:t>If Options or SARs are to terminate in the event of a corporate transaction, the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vested Options or SARs must be provided either (a) fifteen days to exercise their Options or SARs or</w:t>
      </w:r>
    </w:p>
    <w:p>
      <w:pPr>
        <w:ind w:left="1260" w:right="679" w:firstLine="8"/>
        <w:spacing w:after="0" w:line="287" w:lineRule="auto"/>
        <w:tabs>
          <w:tab w:leader="none" w:pos="1515" w:val="left"/>
        </w:tabs>
        <w:numPr>
          <w:ilvl w:val="0"/>
          <w:numId w:val="88"/>
        </w:numPr>
        <w:rPr>
          <w:rFonts w:ascii="Arial" w:cs="Arial" w:eastAsia="Arial" w:hAnsi="Arial"/>
          <w:sz w:val="16"/>
          <w:szCs w:val="16"/>
          <w:color w:val="auto"/>
        </w:rPr>
      </w:pPr>
      <w:r>
        <w:rPr>
          <w:rFonts w:ascii="Arial" w:cs="Arial" w:eastAsia="Arial" w:hAnsi="Arial"/>
          <w:sz w:val="16"/>
          <w:szCs w:val="16"/>
          <w:color w:val="auto"/>
        </w:rPr>
        <w:t>payment (in cash or other consideration) in respect of each Share covered by the Option or SAR being cancelled in an amount equal to the excess, if any, of the per Share price to be paid to stockholders in the Corporate Transaction over the price of the Option or the SAR. If the per Share price to be paid to stockholders in the Corporate Transaction is less than the exercise price of the Option or SAR, the Option or SAR may be terminated without payment of any kind. The holders of unvested Options or SARs may also receive payment, at the discretion of the Compensation Committee, in the same manner as described above for vested Options and SARs. The Compensation Committee may also accelerate the vesting on any unvested Option or SAR and provide holders of such Options or SARs a reasonable opportunity to exercise the Award.</w:t>
      </w:r>
    </w:p>
    <w:p>
      <w:pPr>
        <w:spacing w:after="0" w:line="62" w:lineRule="exact"/>
        <w:rPr>
          <w:sz w:val="20"/>
          <w:szCs w:val="20"/>
          <w:color w:val="auto"/>
        </w:rPr>
      </w:pPr>
    </w:p>
    <w:p>
      <w:pPr>
        <w:ind w:left="1260" w:right="659" w:firstLine="360"/>
        <w:spacing w:after="0" w:line="272"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If Awards other than Options and SARs are to terminate in connection with a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holders of vested Awards will be provided, and holders of unvested Awards may be provided, at the discretion of the Compensation Committee, payment (in cash or other consideration upon or immediately following the Corporate Transaction, or, to the extent permitted by Section 409A of the Code, on a deferred basis) in respect of each Share covered by the Award being cancelled in an amount equal to the per Share price to be paid to stockholders in the Corporate Transaction, where the value of any non-cash consideration will be determined by the Compensation Committee in good faith.</w:t>
      </w:r>
    </w:p>
    <w:p>
      <w:pPr>
        <w:spacing w:after="0" w:line="69" w:lineRule="exact"/>
        <w:rPr>
          <w:sz w:val="20"/>
          <w:szCs w:val="20"/>
          <w:color w:val="auto"/>
        </w:rPr>
      </w:pPr>
    </w:p>
    <w:p>
      <w:pPr>
        <w:jc w:val="both"/>
        <w:ind w:left="1260" w:right="1239" w:firstLine="360"/>
        <w:spacing w:after="0" w:line="311" w:lineRule="auto"/>
        <w:rPr>
          <w:sz w:val="20"/>
          <w:szCs w:val="20"/>
          <w:color w:val="auto"/>
        </w:rPr>
      </w:pPr>
      <w:r>
        <w:rPr>
          <w:rFonts w:ascii="Arial" w:cs="Arial" w:eastAsia="Arial" w:hAnsi="Arial"/>
          <w:sz w:val="16"/>
          <w:szCs w:val="16"/>
          <w:color w:val="auto"/>
        </w:rPr>
        <w:t>The Compensation Committee may, in its sole discretion, provide for different treatment for different Awards or Awards held by different parties, and where alternative treatment is available for a participant’s Awards, may allow the participant to choose which treatment will apply to his or her Awards.</w:t>
      </w:r>
    </w:p>
    <w:p>
      <w:pPr>
        <w:spacing w:after="0" w:line="41"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The Equity Plan generally restricts the transfer of any Awards, except (a) transfers by will</w:t>
      </w:r>
      <w:r>
        <w:rPr>
          <w:rFonts w:ascii="Arial" w:cs="Arial" w:eastAsia="Arial" w:hAnsi="Arial"/>
          <w:sz w:val="17"/>
          <w:szCs w:val="17"/>
          <w:i w:val="1"/>
          <w:iCs w:val="1"/>
          <w:color w:val="auto"/>
        </w:rPr>
        <w:t xml:space="preserve"> </w:t>
      </w:r>
      <w:r>
        <w:rPr>
          <w:rFonts w:ascii="Arial" w:cs="Arial" w:eastAsia="Arial" w:hAnsi="Arial"/>
          <w:sz w:val="17"/>
          <w:szCs w:val="17"/>
          <w:color w:val="auto"/>
        </w:rPr>
        <w:t>or the laws of descent and distribution or (b) to a beneficiary designated by the participant, to whom any benefit under the Equity Plan is to be paid or who may exercise any rights of the participant in the event of the participant’s death before he or she receives any or all of such benefit or exercises an Award.</w:t>
      </w:r>
    </w:p>
    <w:p>
      <w:pPr>
        <w:spacing w:after="0" w:line="63"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i w:val="1"/>
          <w:iCs w:val="1"/>
          <w:color w:val="auto"/>
        </w:rPr>
        <w:t xml:space="preserve">Amendment or Termination of the Equity Plan. </w:t>
      </w:r>
      <w:r>
        <w:rPr>
          <w:rFonts w:ascii="Arial" w:cs="Arial" w:eastAsia="Arial" w:hAnsi="Arial"/>
          <w:sz w:val="17"/>
          <w:szCs w:val="17"/>
          <w:color w:val="auto"/>
        </w:rPr>
        <w:t>The Equity Plan may be amended or terminated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without shareholder approval unless shareholder approval of the amendment or termination is required under applicable law, regulation or exchange requirement. No amendment may materially and adversely alter or materially impair any Awards that had been granted under the Equity Plan prior to the amendment without the impacted participant’s consent. The Equity Plan will terminate on the tenth anniversary of its effective date; however, when the Equity Plan terminates, any applicable terms will remain in effect for administration of any Awards outstanding at the time of the Equity Plan’s termination.</w:t>
      </w:r>
    </w:p>
    <w:p>
      <w:pPr>
        <w:spacing w:after="0" w:line="69"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i w:val="1"/>
          <w:iCs w:val="1"/>
          <w:color w:val="auto"/>
        </w:rPr>
        <w:t xml:space="preserve">Forfeiture Events; Clawback. </w:t>
      </w:r>
      <w:r>
        <w:rPr>
          <w:rFonts w:ascii="Arial" w:cs="Arial" w:eastAsia="Arial" w:hAnsi="Arial"/>
          <w:sz w:val="17"/>
          <w:szCs w:val="17"/>
          <w:color w:val="auto"/>
        </w:rPr>
        <w:t>The Compensation Committee may specify in an Award agreement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rights, payments and benefits with respect to an Award shall be subject to reduction, cancellation, forfeiture, clawback or recoupment upon the occurrence of certain specified events or as required by law, in addition to any otherwise applicable forfeiture provisions that apply to the Award.</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08"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The following table summarizes the number of securities underlying the equity awards held by each of the NEOs as of the fiscal year ended December 31, 2018.</w:t>
      </w:r>
    </w:p>
    <w:p>
      <w:pPr>
        <w:spacing w:after="0" w:line="85"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2"/>
              </w:rPr>
              <w:t>Option awards</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4"/>
          </w:tcPr>
          <w:p>
            <w:pPr>
              <w:jc w:val="right"/>
              <w:ind w:right="606"/>
              <w:spacing w:after="0"/>
              <w:rPr>
                <w:sz w:val="20"/>
                <w:szCs w:val="20"/>
                <w:color w:val="auto"/>
              </w:rPr>
            </w:pPr>
            <w:r>
              <w:rPr>
                <w:rFonts w:ascii="Arial" w:cs="Arial" w:eastAsia="Arial" w:hAnsi="Arial"/>
                <w:sz w:val="13"/>
                <w:szCs w:val="13"/>
                <w:b w:val="1"/>
                <w:bCs w:val="1"/>
                <w:color w:val="auto"/>
              </w:rPr>
              <w:t>Stock awards</w:t>
            </w:r>
          </w:p>
        </w:tc>
      </w:tr>
      <w:tr>
        <w:trPr>
          <w:trHeight w:val="144"/>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Equity</w:t>
            </w: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incentive</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plan</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awards: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Number of</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Number of</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Number of</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Number of</w:t>
            </w:r>
          </w:p>
        </w:tc>
        <w:tc>
          <w:tcPr>
            <w:tcW w:w="960" w:type="dxa"/>
            <w:vAlign w:val="bottom"/>
            <w:gridSpan w:val="2"/>
          </w:tcPr>
          <w:p>
            <w:pPr>
              <w:jc w:val="center"/>
              <w:ind w:right="146"/>
              <w:spacing w:after="0"/>
              <w:rPr>
                <w:sz w:val="20"/>
                <w:szCs w:val="20"/>
                <w:color w:val="auto"/>
              </w:rPr>
            </w:pPr>
            <w:r>
              <w:rPr>
                <w:rFonts w:ascii="Arial" w:cs="Arial" w:eastAsia="Arial" w:hAnsi="Arial"/>
                <w:sz w:val="13"/>
                <w:szCs w:val="13"/>
                <w:b w:val="1"/>
                <w:bCs w:val="1"/>
                <w:color w:val="auto"/>
                <w:w w:val="95"/>
              </w:rPr>
              <w:t>Market</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securities</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securities</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securities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1"/>
              </w:rPr>
              <w:t>shares</w:t>
            </w:r>
          </w:p>
        </w:tc>
        <w:tc>
          <w:tcPr>
            <w:tcW w:w="960" w:type="dxa"/>
            <w:vAlign w:val="bottom"/>
            <w:gridSpan w:val="2"/>
          </w:tcPr>
          <w:p>
            <w:pPr>
              <w:jc w:val="center"/>
              <w:ind w:right="166"/>
              <w:spacing w:after="0"/>
              <w:rPr>
                <w:sz w:val="20"/>
                <w:szCs w:val="20"/>
                <w:color w:val="auto"/>
              </w:rPr>
            </w:pPr>
            <w:r>
              <w:rPr>
                <w:rFonts w:ascii="Arial" w:cs="Arial" w:eastAsia="Arial" w:hAnsi="Arial"/>
                <w:sz w:val="13"/>
                <w:szCs w:val="13"/>
                <w:b w:val="1"/>
                <w:bCs w:val="1"/>
                <w:color w:val="auto"/>
                <w:w w:val="85"/>
              </w:rPr>
              <w:t>value of</w:t>
            </w: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underlying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underlying</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underlying</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or units</w:t>
            </w:r>
          </w:p>
        </w:tc>
        <w:tc>
          <w:tcPr>
            <w:tcW w:w="960" w:type="dxa"/>
            <w:vAlign w:val="bottom"/>
            <w:gridSpan w:val="2"/>
          </w:tcPr>
          <w:p>
            <w:pPr>
              <w:jc w:val="center"/>
              <w:ind w:right="146"/>
              <w:spacing w:after="0"/>
              <w:rPr>
                <w:sz w:val="20"/>
                <w:szCs w:val="20"/>
                <w:color w:val="auto"/>
              </w:rPr>
            </w:pPr>
            <w:r>
              <w:rPr>
                <w:rFonts w:ascii="Arial" w:cs="Arial" w:eastAsia="Arial" w:hAnsi="Arial"/>
                <w:sz w:val="13"/>
                <w:szCs w:val="13"/>
                <w:b w:val="1"/>
                <w:bCs w:val="1"/>
                <w:color w:val="auto"/>
                <w:w w:val="81"/>
              </w:rPr>
              <w:t>shares or</w:t>
            </w: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unexercised</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unexercised</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unexercised</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Option</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of stock</w:t>
            </w:r>
          </w:p>
        </w:tc>
        <w:tc>
          <w:tcPr>
            <w:tcW w:w="960" w:type="dxa"/>
            <w:vAlign w:val="bottom"/>
            <w:gridSpan w:val="2"/>
          </w:tcPr>
          <w:p>
            <w:pPr>
              <w:jc w:val="center"/>
              <w:ind w:right="146"/>
              <w:spacing w:after="0"/>
              <w:rPr>
                <w:sz w:val="20"/>
                <w:szCs w:val="20"/>
                <w:color w:val="auto"/>
              </w:rPr>
            </w:pPr>
            <w:r>
              <w:rPr>
                <w:rFonts w:ascii="Arial" w:cs="Arial" w:eastAsia="Arial" w:hAnsi="Arial"/>
                <w:sz w:val="13"/>
                <w:szCs w:val="13"/>
                <w:b w:val="1"/>
                <w:bCs w:val="1"/>
                <w:color w:val="auto"/>
                <w:w w:val="85"/>
              </w:rPr>
              <w:t>units of stock</w:t>
            </w: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Year</w:t>
            </w: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options</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options</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unearned</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exercise</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Option</w:t>
            </w: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that have</w:t>
            </w:r>
          </w:p>
        </w:tc>
        <w:tc>
          <w:tcPr>
            <w:tcW w:w="960" w:type="dxa"/>
            <w:vAlign w:val="bottom"/>
            <w:gridSpan w:val="2"/>
          </w:tcPr>
          <w:p>
            <w:pPr>
              <w:jc w:val="center"/>
              <w:ind w:right="166"/>
              <w:spacing w:after="0"/>
              <w:rPr>
                <w:sz w:val="20"/>
                <w:szCs w:val="20"/>
                <w:color w:val="auto"/>
              </w:rPr>
            </w:pPr>
            <w:r>
              <w:rPr>
                <w:rFonts w:ascii="Arial" w:cs="Arial" w:eastAsia="Arial" w:hAnsi="Arial"/>
                <w:sz w:val="13"/>
                <w:szCs w:val="13"/>
                <w:b w:val="1"/>
                <w:bCs w:val="1"/>
                <w:color w:val="auto"/>
                <w:w w:val="87"/>
              </w:rPr>
              <w:t>that have</w:t>
            </w: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exercisable</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unexercisable</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options</w:t>
            </w: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price</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expiration</w:t>
            </w: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not vested</w:t>
            </w:r>
          </w:p>
        </w:tc>
        <w:tc>
          <w:tcPr>
            <w:tcW w:w="960" w:type="dxa"/>
            <w:vAlign w:val="bottom"/>
            <w:gridSpan w:val="2"/>
          </w:tcPr>
          <w:p>
            <w:pPr>
              <w:jc w:val="center"/>
              <w:ind w:right="166"/>
              <w:spacing w:after="0"/>
              <w:rPr>
                <w:sz w:val="20"/>
                <w:szCs w:val="20"/>
                <w:color w:val="auto"/>
              </w:rPr>
            </w:pPr>
            <w:r>
              <w:rPr>
                <w:rFonts w:ascii="Arial" w:cs="Arial" w:eastAsia="Arial" w:hAnsi="Arial"/>
                <w:sz w:val="13"/>
                <w:szCs w:val="13"/>
                <w:b w:val="1"/>
                <w:bCs w:val="1"/>
                <w:color w:val="auto"/>
                <w:w w:val="82"/>
              </w:rPr>
              <w:t>not vested</w:t>
            </w:r>
          </w:p>
        </w:tc>
      </w:tr>
      <w:tr>
        <w:trPr>
          <w:trHeight w:val="174"/>
        </w:trPr>
        <w:tc>
          <w:tcPr>
            <w:tcW w:w="1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Grant</w:t>
            </w:r>
          </w:p>
        </w:tc>
        <w:tc>
          <w:tcPr>
            <w:tcW w:w="240" w:type="dxa"/>
            <w:vAlign w:val="bottom"/>
            <w:tcBorders>
              <w:bottom w:val="single" w:sz="8" w:color="CCEEFF"/>
            </w:tcBorders>
            <w:gridSpan w:val="2"/>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date</w:t>
            </w:r>
          </w:p>
        </w:tc>
        <w:tc>
          <w:tcPr>
            <w:tcW w:w="2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5"/>
                <w:szCs w:val="15"/>
                <w:color w:val="auto"/>
              </w:rPr>
            </w:pPr>
          </w:p>
        </w:tc>
      </w:tr>
      <w:tr>
        <w:trPr>
          <w:trHeight w:val="203"/>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Lee Olesky</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4"/>
                <w:szCs w:val="14"/>
                <w:color w:val="auto"/>
              </w:rPr>
              <w:t>115.12</w:t>
            </w:r>
            <w:r>
              <w:rPr>
                <w:rFonts w:ascii="Arial" w:cs="Arial" w:eastAsia="Arial" w:hAnsi="Arial"/>
                <w:sz w:val="21"/>
                <w:szCs w:val="21"/>
                <w:color w:val="auto"/>
                <w:vertAlign w:val="superscript"/>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3,291,786.18</w:t>
            </w:r>
          </w:p>
        </w:tc>
        <w:tc>
          <w:tcPr>
            <w:tcW w:w="180" w:type="dxa"/>
            <w:vAlign w:val="bottom"/>
          </w:tcPr>
          <w:p>
            <w:pPr>
              <w:spacing w:after="0"/>
              <w:rPr>
                <w:sz w:val="20"/>
                <w:szCs w:val="20"/>
                <w:color w:val="auto"/>
              </w:rPr>
            </w:pPr>
            <w:r>
              <w:rPr>
                <w:rFonts w:ascii="Arial" w:cs="Arial" w:eastAsia="Arial" w:hAnsi="Arial"/>
                <w:sz w:val="11"/>
                <w:szCs w:val="11"/>
                <w:color w:val="auto"/>
              </w:rPr>
              <w:t>(2)</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4"/>
                <w:szCs w:val="14"/>
                <w:color w:val="auto"/>
                <w:w w:val="97"/>
              </w:rPr>
              <w:t>137.686</w:t>
            </w:r>
            <w:r>
              <w:rPr>
                <w:rFonts w:ascii="Arial" w:cs="Arial" w:eastAsia="Arial" w:hAnsi="Arial"/>
                <w:sz w:val="21"/>
                <w:szCs w:val="21"/>
                <w:color w:val="auto"/>
                <w:w w:val="97"/>
                <w:vertAlign w:val="superscript"/>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3,937,047.18</w:t>
            </w:r>
          </w:p>
        </w:tc>
        <w:tc>
          <w:tcPr>
            <w:tcW w:w="180" w:type="dxa"/>
            <w:vAlign w:val="bottom"/>
          </w:tcPr>
          <w:p>
            <w:pPr>
              <w:spacing w:after="0"/>
              <w:rPr>
                <w:sz w:val="20"/>
                <w:szCs w:val="20"/>
                <w:color w:val="auto"/>
              </w:rPr>
            </w:pPr>
            <w:r>
              <w:rPr>
                <w:rFonts w:ascii="Arial" w:cs="Arial" w:eastAsia="Arial" w:hAnsi="Arial"/>
                <w:sz w:val="11"/>
                <w:szCs w:val="11"/>
                <w:color w:val="auto"/>
              </w:rPr>
              <w:t>(4)</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5"/>
              </w:rPr>
              <w:t>2,434.72835</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2,434.72835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28,594.39</w:t>
            </w:r>
          </w:p>
        </w:tc>
        <w:tc>
          <w:tcPr>
            <w:tcW w:w="8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4"/>
                <w:szCs w:val="14"/>
                <w:color w:val="auto"/>
                <w:w w:val="94"/>
              </w:rPr>
              <w:t>10/26/28</w:t>
            </w:r>
            <w:r>
              <w:rPr>
                <w:rFonts w:ascii="Arial" w:cs="Arial" w:eastAsia="Arial" w:hAnsi="Arial"/>
                <w:sz w:val="21"/>
                <w:szCs w:val="21"/>
                <w:color w:val="auto"/>
                <w:w w:val="94"/>
                <w:vertAlign w:val="superscript"/>
              </w:rPr>
              <w:t>(5)</w:t>
            </w:r>
          </w:p>
        </w:tc>
        <w:tc>
          <w:tcPr>
            <w:tcW w:w="9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4"/>
                <w:szCs w:val="14"/>
                <w:color w:val="auto"/>
              </w:rPr>
              <w:t>149.55</w:t>
            </w:r>
            <w:r>
              <w:rPr>
                <w:rFonts w:ascii="Arial" w:cs="Arial" w:eastAsia="Arial" w:hAnsi="Arial"/>
                <w:sz w:val="21"/>
                <w:szCs w:val="21"/>
                <w:color w:val="auto"/>
                <w:vertAlign w:val="superscript"/>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4,276,291.02</w:t>
            </w:r>
          </w:p>
        </w:tc>
        <w:tc>
          <w:tcPr>
            <w:tcW w:w="180" w:type="dxa"/>
            <w:vAlign w:val="bottom"/>
          </w:tcPr>
          <w:p>
            <w:pPr>
              <w:spacing w:after="0"/>
              <w:rPr>
                <w:sz w:val="20"/>
                <w:szCs w:val="20"/>
                <w:color w:val="auto"/>
              </w:rPr>
            </w:pPr>
            <w:r>
              <w:rPr>
                <w:rFonts w:ascii="Arial" w:cs="Arial" w:eastAsia="Arial" w:hAnsi="Arial"/>
                <w:sz w:val="11"/>
                <w:szCs w:val="11"/>
                <w:color w:val="auto"/>
              </w:rPr>
              <w:t>(7)</w:t>
            </w:r>
          </w:p>
        </w:tc>
      </w:tr>
      <w:tr>
        <w:trPr>
          <w:trHeight w:val="314"/>
        </w:trPr>
        <w:tc>
          <w:tcPr>
            <w:tcW w:w="1280" w:type="dxa"/>
            <w:vAlign w:val="bottom"/>
            <w:gridSpan w:val="2"/>
          </w:tcPr>
          <w:p>
            <w:pPr>
              <w:spacing w:after="0"/>
              <w:rPr>
                <w:sz w:val="20"/>
                <w:szCs w:val="20"/>
                <w:color w:val="auto"/>
              </w:rPr>
            </w:pPr>
            <w:r>
              <w:rPr>
                <w:rFonts w:ascii="Arial" w:cs="Arial" w:eastAsia="Arial" w:hAnsi="Arial"/>
                <w:sz w:val="14"/>
                <w:szCs w:val="14"/>
                <w:color w:val="auto"/>
              </w:rPr>
              <w:t>William Hult</w:t>
            </w:r>
          </w:p>
        </w:tc>
        <w:tc>
          <w:tcPr>
            <w:tcW w:w="46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2016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95.933</w:t>
            </w:r>
            <w:r>
              <w:rPr>
                <w:rFonts w:ascii="Arial" w:cs="Arial" w:eastAsia="Arial" w:hAnsi="Arial"/>
                <w:sz w:val="21"/>
                <w:szCs w:val="21"/>
                <w:color w:val="auto"/>
                <w:vertAlign w:val="superscript"/>
              </w:rPr>
              <w:t>(1)</w:t>
            </w:r>
          </w:p>
        </w:tc>
        <w:tc>
          <w:tcPr>
            <w:tcW w:w="960" w:type="dxa"/>
            <w:vAlign w:val="bottom"/>
            <w:gridSpan w:val="2"/>
          </w:tcPr>
          <w:p>
            <w:pPr>
              <w:jc w:val="right"/>
              <w:ind w:right="6"/>
              <w:spacing w:after="0"/>
              <w:rPr>
                <w:sz w:val="20"/>
                <w:szCs w:val="20"/>
                <w:color w:val="auto"/>
              </w:rPr>
            </w:pPr>
            <w:r>
              <w:rPr>
                <w:rFonts w:ascii="Arial" w:cs="Arial" w:eastAsia="Arial" w:hAnsi="Arial"/>
                <w:sz w:val="14"/>
                <w:szCs w:val="14"/>
                <w:color w:val="auto"/>
                <w:w w:val="88"/>
              </w:rPr>
              <w:t>2,743,145.62</w:t>
            </w:r>
            <w:r>
              <w:rPr>
                <w:rFonts w:ascii="Arial" w:cs="Arial" w:eastAsia="Arial" w:hAnsi="Arial"/>
                <w:sz w:val="21"/>
                <w:szCs w:val="21"/>
                <w:color w:val="auto"/>
                <w:w w:val="88"/>
                <w:vertAlign w:val="superscript"/>
              </w:rPr>
              <w:t>(8)</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2017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203" w:lineRule="exact"/>
              <w:rPr>
                <w:sz w:val="20"/>
                <w:szCs w:val="20"/>
                <w:color w:val="auto"/>
              </w:rPr>
            </w:pPr>
            <w:r>
              <w:rPr>
                <w:rFonts w:ascii="Arial" w:cs="Arial" w:eastAsia="Arial" w:hAnsi="Arial"/>
                <w:sz w:val="14"/>
                <w:szCs w:val="14"/>
                <w:color w:val="auto"/>
                <w:w w:val="97"/>
              </w:rPr>
              <w:t>114.738</w:t>
            </w:r>
            <w:r>
              <w:rPr>
                <w:rFonts w:ascii="Arial" w:cs="Arial" w:eastAsia="Arial" w:hAnsi="Arial"/>
                <w:sz w:val="21"/>
                <w:szCs w:val="21"/>
                <w:color w:val="auto"/>
                <w:w w:val="97"/>
                <w:vertAlign w:val="superscript"/>
              </w:rPr>
              <w:t>(3)</w:t>
            </w:r>
          </w:p>
        </w:tc>
        <w:tc>
          <w:tcPr>
            <w:tcW w:w="960" w:type="dxa"/>
            <w:vAlign w:val="bottom"/>
            <w:gridSpan w:val="2"/>
          </w:tcPr>
          <w:p>
            <w:pPr>
              <w:jc w:val="right"/>
              <w:ind w:right="6"/>
              <w:spacing w:after="0" w:line="203" w:lineRule="exact"/>
              <w:rPr>
                <w:sz w:val="20"/>
                <w:szCs w:val="20"/>
                <w:color w:val="auto"/>
              </w:rPr>
            </w:pPr>
            <w:r>
              <w:rPr>
                <w:rFonts w:ascii="Arial" w:cs="Arial" w:eastAsia="Arial" w:hAnsi="Arial"/>
                <w:sz w:val="14"/>
                <w:szCs w:val="14"/>
                <w:color w:val="auto"/>
                <w:w w:val="88"/>
              </w:rPr>
              <w:t>3,280,863.12</w:t>
            </w:r>
            <w:r>
              <w:rPr>
                <w:rFonts w:ascii="Arial" w:cs="Arial" w:eastAsia="Arial" w:hAnsi="Arial"/>
                <w:sz w:val="21"/>
                <w:szCs w:val="21"/>
                <w:color w:val="auto"/>
                <w:w w:val="88"/>
                <w:vertAlign w:val="superscript"/>
              </w:rPr>
              <w:t>(9)</w:t>
            </w:r>
          </w:p>
        </w:tc>
      </w:tr>
      <w:tr>
        <w:trPr>
          <w:trHeight w:val="199"/>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2018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1,304.31875</w:t>
            </w:r>
          </w:p>
        </w:tc>
        <w:tc>
          <w:tcPr>
            <w:tcW w:w="1160" w:type="dxa"/>
            <w:vAlign w:val="bottom"/>
            <w:gridSpan w:val="3"/>
          </w:tcPr>
          <w:p>
            <w:pPr>
              <w:jc w:val="right"/>
              <w:ind w:right="220"/>
              <w:spacing w:after="0"/>
              <w:rPr>
                <w:sz w:val="20"/>
                <w:szCs w:val="20"/>
                <w:color w:val="auto"/>
              </w:rPr>
            </w:pPr>
            <w:r>
              <w:rPr>
                <w:rFonts w:ascii="Arial" w:cs="Arial" w:eastAsia="Arial" w:hAnsi="Arial"/>
                <w:sz w:val="14"/>
                <w:szCs w:val="14"/>
                <w:color w:val="auto"/>
              </w:rPr>
              <w:t>1,304.31875</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28,594.39</w:t>
            </w:r>
          </w:p>
        </w:tc>
        <w:tc>
          <w:tcPr>
            <w:tcW w:w="840" w:type="dxa"/>
            <w:vAlign w:val="bottom"/>
            <w:gridSpan w:val="2"/>
          </w:tcPr>
          <w:p>
            <w:pPr>
              <w:jc w:val="right"/>
              <w:ind w:right="140"/>
              <w:spacing w:after="0" w:line="199" w:lineRule="exact"/>
              <w:rPr>
                <w:sz w:val="20"/>
                <w:szCs w:val="20"/>
                <w:color w:val="auto"/>
              </w:rPr>
            </w:pPr>
            <w:r>
              <w:rPr>
                <w:rFonts w:ascii="Arial" w:cs="Arial" w:eastAsia="Arial" w:hAnsi="Arial"/>
                <w:sz w:val="14"/>
                <w:szCs w:val="14"/>
                <w:color w:val="auto"/>
                <w:w w:val="94"/>
              </w:rPr>
              <w:t>10/26/28</w:t>
            </w:r>
            <w:r>
              <w:rPr>
                <w:rFonts w:ascii="Arial" w:cs="Arial" w:eastAsia="Arial" w:hAnsi="Arial"/>
                <w:sz w:val="21"/>
                <w:szCs w:val="21"/>
                <w:color w:val="auto"/>
                <w:w w:val="94"/>
                <w:vertAlign w:val="superscript"/>
              </w:rPr>
              <w:t>(5)</w:t>
            </w:r>
          </w:p>
        </w:tc>
        <w:tc>
          <w:tcPr>
            <w:tcW w:w="920" w:type="dxa"/>
            <w:vAlign w:val="bottom"/>
            <w:gridSpan w:val="2"/>
          </w:tcPr>
          <w:p>
            <w:pPr>
              <w:jc w:val="right"/>
              <w:ind w:right="240"/>
              <w:spacing w:after="0" w:line="199" w:lineRule="exact"/>
              <w:rPr>
                <w:sz w:val="20"/>
                <w:szCs w:val="20"/>
                <w:color w:val="auto"/>
              </w:rPr>
            </w:pPr>
            <w:r>
              <w:rPr>
                <w:rFonts w:ascii="Arial" w:cs="Arial" w:eastAsia="Arial" w:hAnsi="Arial"/>
                <w:sz w:val="14"/>
                <w:szCs w:val="14"/>
                <w:color w:val="auto"/>
                <w:w w:val="97"/>
              </w:rPr>
              <w:t>124.688</w:t>
            </w:r>
            <w:r>
              <w:rPr>
                <w:rFonts w:ascii="Arial" w:cs="Arial" w:eastAsia="Arial" w:hAnsi="Arial"/>
                <w:sz w:val="21"/>
                <w:szCs w:val="21"/>
                <w:color w:val="auto"/>
                <w:w w:val="97"/>
                <w:vertAlign w:val="superscript"/>
              </w:rPr>
              <w:t>(6)</w:t>
            </w:r>
          </w:p>
        </w:tc>
        <w:tc>
          <w:tcPr>
            <w:tcW w:w="960" w:type="dxa"/>
            <w:vAlign w:val="bottom"/>
            <w:gridSpan w:val="2"/>
          </w:tcPr>
          <w:p>
            <w:pPr>
              <w:jc w:val="right"/>
              <w:spacing w:after="0" w:line="199" w:lineRule="exact"/>
              <w:rPr>
                <w:sz w:val="20"/>
                <w:szCs w:val="20"/>
                <w:color w:val="auto"/>
              </w:rPr>
            </w:pPr>
            <w:r>
              <w:rPr>
                <w:rFonts w:ascii="Arial" w:cs="Arial" w:eastAsia="Arial" w:hAnsi="Arial"/>
                <w:sz w:val="14"/>
                <w:szCs w:val="14"/>
                <w:color w:val="auto"/>
                <w:w w:val="88"/>
              </w:rPr>
              <w:t>3,565,377.30</w:t>
            </w:r>
            <w:r>
              <w:rPr>
                <w:rFonts w:ascii="Arial" w:cs="Arial" w:eastAsia="Arial" w:hAnsi="Arial"/>
                <w:sz w:val="21"/>
                <w:szCs w:val="21"/>
                <w:color w:val="auto"/>
                <w:w w:val="88"/>
                <w:vertAlign w:val="superscript"/>
              </w:rPr>
              <w:t>(10)</w:t>
            </w:r>
          </w:p>
        </w:tc>
      </w:tr>
      <w:tr>
        <w:trPr>
          <w:trHeight w:val="311"/>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Spencer</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22.573</w:t>
            </w:r>
            <w:r>
              <w:rPr>
                <w:rFonts w:ascii="Arial" w:cs="Arial" w:eastAsia="Arial" w:hAnsi="Arial"/>
                <w:sz w:val="21"/>
                <w:szCs w:val="21"/>
                <w:color w:val="auto"/>
                <w:vertAlign w:val="superscript"/>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645,461.17</w:t>
            </w:r>
          </w:p>
        </w:tc>
        <w:tc>
          <w:tcPr>
            <w:tcW w:w="180" w:type="dxa"/>
            <w:vAlign w:val="bottom"/>
          </w:tcPr>
          <w:p>
            <w:pPr>
              <w:spacing w:after="0"/>
              <w:rPr>
                <w:sz w:val="20"/>
                <w:szCs w:val="20"/>
                <w:color w:val="auto"/>
              </w:rPr>
            </w:pPr>
            <w:r>
              <w:rPr>
                <w:rFonts w:ascii="Arial" w:cs="Arial" w:eastAsia="Arial" w:hAnsi="Arial"/>
                <w:sz w:val="11"/>
                <w:szCs w:val="11"/>
                <w:color w:val="auto"/>
                <w:w w:val="81"/>
              </w:rPr>
              <w:t>(11)</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4"/>
                <w:szCs w:val="14"/>
                <w:color w:val="auto"/>
              </w:rPr>
              <w:t>25.712</w:t>
            </w:r>
            <w:r>
              <w:rPr>
                <w:rFonts w:ascii="Arial" w:cs="Arial" w:eastAsia="Arial" w:hAnsi="Arial"/>
                <w:sz w:val="21"/>
                <w:szCs w:val="21"/>
                <w:color w:val="auto"/>
                <w:vertAlign w:val="superscript"/>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735,218.96</w:t>
            </w:r>
          </w:p>
        </w:tc>
        <w:tc>
          <w:tcPr>
            <w:tcW w:w="180" w:type="dxa"/>
            <w:vAlign w:val="bottom"/>
          </w:tcPr>
          <w:p>
            <w:pPr>
              <w:spacing w:after="0"/>
              <w:rPr>
                <w:sz w:val="20"/>
                <w:szCs w:val="20"/>
                <w:color w:val="auto"/>
              </w:rPr>
            </w:pPr>
            <w:r>
              <w:rPr>
                <w:rFonts w:ascii="Arial" w:cs="Arial" w:eastAsia="Arial" w:hAnsi="Arial"/>
                <w:sz w:val="11"/>
                <w:szCs w:val="11"/>
                <w:color w:val="auto"/>
                <w:w w:val="81"/>
              </w:rPr>
              <w:t>(12)</w:t>
            </w:r>
          </w:p>
        </w:tc>
      </w:tr>
      <w:tr>
        <w:trPr>
          <w:trHeight w:val="270"/>
        </w:trPr>
        <w:tc>
          <w:tcPr>
            <w:tcW w:w="1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2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243.47285</w:t>
            </w:r>
          </w:p>
        </w:tc>
        <w:tc>
          <w:tcPr>
            <w:tcW w:w="11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243.47285</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28,594.39</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10/26/28</w:t>
            </w:r>
            <w:r>
              <w:rPr>
                <w:rFonts w:ascii="Arial" w:cs="Arial" w:eastAsia="Arial" w:hAnsi="Arial"/>
                <w:sz w:val="21"/>
                <w:szCs w:val="21"/>
                <w:color w:val="auto"/>
                <w:w w:val="94"/>
                <w:vertAlign w:val="superscript"/>
              </w:rPr>
              <w:t>(5)</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22.797</w:t>
            </w:r>
            <w:r>
              <w:rPr>
                <w:rFonts w:ascii="Arial" w:cs="Arial" w:eastAsia="Arial" w:hAnsi="Arial"/>
                <w:sz w:val="21"/>
                <w:szCs w:val="21"/>
                <w:color w:val="auto"/>
                <w:vertAlign w:val="superscript"/>
              </w:rPr>
              <w:t>(6)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651,866.31</w:t>
            </w:r>
          </w:p>
        </w:tc>
        <w:tc>
          <w:tcPr>
            <w:tcW w:w="180" w:type="dxa"/>
            <w:vAlign w:val="bottom"/>
          </w:tcPr>
          <w:p>
            <w:pPr>
              <w:spacing w:after="0"/>
              <w:rPr>
                <w:sz w:val="20"/>
                <w:szCs w:val="20"/>
                <w:color w:val="auto"/>
              </w:rPr>
            </w:pPr>
            <w:r>
              <w:rPr>
                <w:rFonts w:ascii="Arial" w:cs="Arial" w:eastAsia="Arial" w:hAnsi="Arial"/>
                <w:sz w:val="11"/>
                <w:szCs w:val="11"/>
                <w:color w:val="auto"/>
                <w:w w:val="81"/>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-1353820</wp:posOffset>
            </wp:positionV>
            <wp:extent cx="1885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-1353820</wp:posOffset>
            </wp:positionV>
            <wp:extent cx="1543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-1353820</wp:posOffset>
            </wp:positionV>
            <wp:extent cx="1543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-1353820</wp:posOffset>
            </wp:positionV>
            <wp:extent cx="1543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-1353820</wp:posOffset>
            </wp:positionV>
            <wp:extent cx="15430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-1353820</wp:posOffset>
            </wp:positionV>
            <wp:extent cx="15430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-1353820</wp:posOffset>
            </wp:positionV>
            <wp:extent cx="15430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-1353820</wp:posOffset>
            </wp:positionV>
            <wp:extent cx="15430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14" w:lineRule="exact"/>
        <w:rPr>
          <w:sz w:val="20"/>
          <w:szCs w:val="20"/>
          <w:color w:val="auto"/>
        </w:rPr>
      </w:pPr>
    </w:p>
    <w:p>
      <w:pPr>
        <w:ind w:left="1620" w:hanging="352"/>
        <w:spacing w:after="0"/>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2019, subject to continued employment.</w:t>
      </w:r>
    </w:p>
    <w:p>
      <w:pPr>
        <w:spacing w:after="0" w:line="117" w:lineRule="exact"/>
        <w:rPr>
          <w:rFonts w:ascii="Arial" w:cs="Arial" w:eastAsia="Arial" w:hAnsi="Arial"/>
          <w:sz w:val="18"/>
          <w:szCs w:val="18"/>
          <w:color w:val="auto"/>
        </w:rPr>
      </w:pPr>
    </w:p>
    <w:p>
      <w:pPr>
        <w:ind w:left="1620" w:right="81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$315,314 in respect of this grant of PRSUs, to be paid at the time the award itself settles.</w:t>
      </w:r>
    </w:p>
    <w:p>
      <w:pPr>
        <w:spacing w:after="0" w:line="75" w:lineRule="exact"/>
        <w:rPr>
          <w:rFonts w:ascii="Arial" w:cs="Arial" w:eastAsia="Arial" w:hAnsi="Arial"/>
          <w:sz w:val="18"/>
          <w:szCs w:val="18"/>
          <w:color w:val="auto"/>
        </w:rPr>
      </w:pPr>
    </w:p>
    <w:p>
      <w:pPr>
        <w:ind w:left="1620" w:hanging="352"/>
        <w:spacing w:after="0"/>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2020, subject to continued employment.</w:t>
      </w:r>
    </w:p>
    <w:p>
      <w:pPr>
        <w:spacing w:after="0" w:line="117" w:lineRule="exact"/>
        <w:rPr>
          <w:rFonts w:ascii="Arial" w:cs="Arial" w:eastAsia="Arial" w:hAnsi="Arial"/>
          <w:sz w:val="18"/>
          <w:szCs w:val="18"/>
          <w:color w:val="auto"/>
        </w:rPr>
      </w:pPr>
    </w:p>
    <w:p>
      <w:pPr>
        <w:ind w:left="1620" w:right="81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$259,400 in respect of this grant of PRSUs, to be paid at the time the award itself settles.</w:t>
      </w:r>
    </w:p>
    <w:p>
      <w:pPr>
        <w:spacing w:after="0" w:line="75" w:lineRule="exact"/>
        <w:rPr>
          <w:rFonts w:ascii="Arial" w:cs="Arial" w:eastAsia="Arial" w:hAnsi="Arial"/>
          <w:sz w:val="18"/>
          <w:szCs w:val="18"/>
          <w:color w:val="auto"/>
        </w:rPr>
      </w:pPr>
    </w:p>
    <w:p>
      <w:pPr>
        <w:ind w:left="1620" w:right="739" w:hanging="352"/>
        <w:spacing w:after="0" w:line="291" w:lineRule="auto"/>
        <w:tabs>
          <w:tab w:leader="none" w:pos="16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Each NEO received a grant of options on October 26, 2018, which vest as follows: (i) 50% vests based over time on continued employment, vesting 25% on January 1, 2019 and 25% on each anniversary thereafter until January 2022, with accelerated vesting for the tranches scheduled to vest on January 1, 2021 and January 1, 2022 upon the effectiveness of this offering and (ii) 50% vests based on satisfying certain performance conditions, including achievement of EBITDA and revenue targets, for calendar years 2018, 2019, 2020 and 2021, as further described above under “—Narrative Disclosure to Summary Compensation Table—Amended and Restated Tradeweb Markets Inc. 2018 Share Option Plan—Vesting”.</w:t>
      </w:r>
    </w:p>
    <w:p>
      <w:pPr>
        <w:spacing w:after="0" w:line="58" w:lineRule="exact"/>
        <w:rPr>
          <w:rFonts w:ascii="Arial" w:cs="Arial" w:eastAsia="Arial" w:hAnsi="Arial"/>
          <w:sz w:val="16"/>
          <w:szCs w:val="16"/>
          <w:color w:val="auto"/>
        </w:rPr>
      </w:pPr>
    </w:p>
    <w:p>
      <w:pPr>
        <w:ind w:left="1620" w:hanging="352"/>
        <w:spacing w:after="0"/>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2021, subject to continued employment.</w:t>
      </w:r>
    </w:p>
    <w:p>
      <w:pPr>
        <w:spacing w:after="0" w:line="130" w:lineRule="exact"/>
        <w:rPr>
          <w:rFonts w:ascii="Arial" w:cs="Arial" w:eastAsia="Arial" w:hAnsi="Arial"/>
          <w:sz w:val="18"/>
          <w:szCs w:val="18"/>
          <w:color w:val="auto"/>
        </w:rPr>
      </w:pPr>
    </w:p>
    <w:p>
      <w:pPr>
        <w:ind w:left="1620" w:right="81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$133,399 in respect of this grant of PRSUs, to be paid at the time the award itself settles.</w:t>
      </w:r>
    </w:p>
    <w:p>
      <w:pPr>
        <w:spacing w:after="0" w:line="62" w:lineRule="exact"/>
        <w:rPr>
          <w:rFonts w:ascii="Arial" w:cs="Arial" w:eastAsia="Arial" w:hAnsi="Arial"/>
          <w:sz w:val="18"/>
          <w:szCs w:val="18"/>
          <w:color w:val="auto"/>
        </w:rPr>
      </w:pPr>
    </w:p>
    <w:p>
      <w:pPr>
        <w:ind w:left="1620" w:right="79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$262,762 in respect of this grant of PRSUs, to be paid at the time the award itself settles.</w:t>
      </w:r>
    </w:p>
    <w:p>
      <w:pPr>
        <w:spacing w:after="0" w:line="75" w:lineRule="exact"/>
        <w:rPr>
          <w:rFonts w:ascii="Arial" w:cs="Arial" w:eastAsia="Arial" w:hAnsi="Arial"/>
          <w:sz w:val="18"/>
          <w:szCs w:val="18"/>
          <w:color w:val="auto"/>
        </w:rPr>
      </w:pPr>
    </w:p>
    <w:p>
      <w:pPr>
        <w:ind w:left="1620" w:right="79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$216,167 in respect of this grant of PRSUs, to be paid at the time the award itself settles.</w:t>
      </w:r>
    </w:p>
    <w:p>
      <w:pPr>
        <w:spacing w:after="0" w:line="75" w:lineRule="exact"/>
        <w:rPr>
          <w:rFonts w:ascii="Arial" w:cs="Arial" w:eastAsia="Arial" w:hAnsi="Arial"/>
          <w:sz w:val="18"/>
          <w:szCs w:val="18"/>
          <w:color w:val="auto"/>
        </w:rPr>
      </w:pPr>
    </w:p>
    <w:p>
      <w:pPr>
        <w:ind w:left="1620" w:right="81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$111,221 in respect of this grant of PRSUs, to be paid at the time the award itself settles.</w:t>
      </w:r>
    </w:p>
    <w:p>
      <w:pPr>
        <w:spacing w:after="0" w:line="62" w:lineRule="exact"/>
        <w:rPr>
          <w:rFonts w:ascii="Arial" w:cs="Arial" w:eastAsia="Arial" w:hAnsi="Arial"/>
          <w:sz w:val="18"/>
          <w:szCs w:val="18"/>
          <w:color w:val="auto"/>
        </w:rPr>
      </w:pPr>
    </w:p>
    <w:p>
      <w:pPr>
        <w:ind w:left="1620" w:right="83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$61,826 in respect of this grant of PRSUs, to be paid at the time the award itself settles.</w:t>
      </w:r>
    </w:p>
    <w:p>
      <w:pPr>
        <w:spacing w:after="0" w:line="75" w:lineRule="exact"/>
        <w:rPr>
          <w:rFonts w:ascii="Arial" w:cs="Arial" w:eastAsia="Arial" w:hAnsi="Arial"/>
          <w:sz w:val="18"/>
          <w:szCs w:val="18"/>
          <w:color w:val="auto"/>
        </w:rPr>
      </w:pPr>
    </w:p>
    <w:p>
      <w:pPr>
        <w:ind w:left="1620" w:right="839" w:hanging="352"/>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$48,441 in respect of this grant of PRSUs, to be paid at the time the award itself settles.</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right="839" w:hanging="352"/>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$20,335 in respect of this grant of PRSUs, to be paid at the time the award itself settles.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Narrative Disclosures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Retirement Benefit Programs</w:t>
      </w:r>
    </w:p>
    <w:p>
      <w:pPr>
        <w:spacing w:after="0" w:line="104"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Company maintains a tax-qualified defined contribution plan (the “</w:t>
      </w:r>
      <w:r>
        <w:rPr>
          <w:rFonts w:ascii="Arial" w:cs="Arial" w:eastAsia="Arial" w:hAnsi="Arial"/>
          <w:sz w:val="18"/>
          <w:szCs w:val="18"/>
          <w:u w:val="single" w:color="auto"/>
          <w:color w:val="auto"/>
        </w:rPr>
        <w:t>401(k) Plan</w:t>
      </w:r>
      <w:r>
        <w:rPr>
          <w:rFonts w:ascii="Arial" w:cs="Arial" w:eastAsia="Arial" w:hAnsi="Arial"/>
          <w:sz w:val="18"/>
          <w:szCs w:val="18"/>
          <w:color w:val="auto"/>
        </w:rPr>
        <w:t>”) that provides retirement benefits to employees, including matching contributions. The NEOs are eligible to participate in the 401(k) Plan on the same terms as other participating employees.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Severance under Employment Agreements</w:t>
      </w:r>
    </w:p>
    <w:p>
      <w:pPr>
        <w:spacing w:after="0" w:line="104"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Pursuant to the terms of the Employment Agreements, each of Messrs. Olesky and Hult are entitled to receive certain payments in connection with certain termination events.</w:t>
      </w:r>
    </w:p>
    <w:p>
      <w:pPr>
        <w:spacing w:after="0" w:line="62"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6"/>
          <w:szCs w:val="16"/>
          <w:color w:val="auto"/>
        </w:rPr>
        <w:t>In the event that (i) Mr. Olesky or Mr. Hult is terminated by the TWM LLC without Cause (as defined below), (ii) Mr. Olesky or Mr. Hult resigns for Good Reason (as defined below), (iii) TMW LLC elects not to renew Mr. Olesky or Mr. Hult’s Employment Agreement prior to its expiration or any subsequent renewal term and Mr. Olesky or Mr. Hult’s Employment Agreement and Mr. Olesky or Mr. Hult’s employment is terminated or</w:t>
      </w:r>
    </w:p>
    <w:p>
      <w:pPr>
        <w:spacing w:after="0" w:line="1" w:lineRule="exact"/>
        <w:rPr>
          <w:sz w:val="20"/>
          <w:szCs w:val="20"/>
          <w:color w:val="auto"/>
        </w:rPr>
      </w:pPr>
    </w:p>
    <w:p>
      <w:pPr>
        <w:ind w:left="1260" w:right="659" w:firstLine="8"/>
        <w:spacing w:after="0" w:line="268" w:lineRule="auto"/>
        <w:tabs>
          <w:tab w:leader="none" w:pos="1565" w:val="left"/>
        </w:tabs>
        <w:numPr>
          <w:ilvl w:val="0"/>
          <w:numId w:val="91"/>
        </w:numPr>
        <w:rPr>
          <w:rFonts w:ascii="Arial" w:cs="Arial" w:eastAsia="Arial" w:hAnsi="Arial"/>
          <w:sz w:val="17"/>
          <w:szCs w:val="17"/>
          <w:color w:val="auto"/>
        </w:rPr>
      </w:pPr>
      <w:r>
        <w:rPr>
          <w:rFonts w:ascii="Arial" w:cs="Arial" w:eastAsia="Arial" w:hAnsi="Arial"/>
          <w:sz w:val="17"/>
          <w:szCs w:val="17"/>
          <w:color w:val="auto"/>
        </w:rPr>
        <w:t>Mr. Olesky or Mr. Hult’s employment is terminated due to his death or Disability (as defined in the applicable Employment Agreement), each of Mr. Olesky and Mr. Hult are entitled to (A) continuation of their base salary for eighteen (18) months following termination, (B) the CEO Target Bonus or President Target Bonus, as applicable, payable in equal installments over eighteen (18) months, (C) a pro rata bonus for the year of termination based on actual TWM LLC performance for the year of termination, payable at the time when bonuses are otherwise paid, (D) continuation of healthcare benefits for eighteen (18) months, and (E) any earned but unpaid base salary, accrued vacation pay and unreimbursed business expenses and other benefits payable in accordance with TWM LLC policies. Payment of the severance benefits described above is subject to each of Mr. Olesky and Mr. Hult’s continued compliance with the restrictive covenants included in the applicable Employment Agreement, and their execution of a release of claims.</w:t>
      </w:r>
    </w:p>
    <w:p>
      <w:pPr>
        <w:spacing w:after="0" w:line="71"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For purposes of the Employment Agreements, “Cause” means any of the following that remains uncured (if curable) for ten (10) days after the executive’s receipt of written notice thereof from TWM LLC: (a) the executive has engaged in dishonesty, gross negligence, or willful misconduct of more than a de minimis nature, in each case, with regard to TWM LLC that is demonstrably injurious to TWM LLC; (b) the executive has failed to attempt, in good faith, to substantially perform his duties with TWM LLC (other than as a result of the executive’s physical or mental incapacity); (c) the executive has failed to attempt, in good faith, to follow the lawful written direction of, for Mr. Olesky, the Board and for Mr. Hult, the Chief Executive Officer; or (d) the executive has been convicted of, or entered a plea of guilty or no contest to, a felony (other than as a result of vicarious liability or a traffic infraction).</w:t>
      </w:r>
    </w:p>
    <w:p>
      <w:pPr>
        <w:spacing w:after="0" w:line="88" w:lineRule="exact"/>
        <w:rPr>
          <w:sz w:val="20"/>
          <w:szCs w:val="20"/>
          <w:color w:val="auto"/>
        </w:rPr>
      </w:pPr>
    </w:p>
    <w:p>
      <w:pPr>
        <w:jc w:val="both"/>
        <w:ind w:left="1260" w:right="1059" w:firstLine="360"/>
        <w:spacing w:after="0" w:line="291" w:lineRule="auto"/>
        <w:rPr>
          <w:sz w:val="20"/>
          <w:szCs w:val="20"/>
          <w:color w:val="auto"/>
        </w:rPr>
      </w:pPr>
      <w:r>
        <w:rPr>
          <w:rFonts w:ascii="Arial" w:cs="Arial" w:eastAsia="Arial" w:hAnsi="Arial"/>
          <w:sz w:val="16"/>
          <w:szCs w:val="16"/>
          <w:color w:val="auto"/>
        </w:rPr>
        <w:t>For purposes of the Employment Agreements, “Good Reason” means any of the following that remains uncured (if curable) for ten (10) days after TWM LLC’s receipt of written notice thereof from the executive:</w:t>
      </w:r>
    </w:p>
    <w:p>
      <w:pPr>
        <w:ind w:left="1260" w:right="659" w:firstLine="8"/>
        <w:spacing w:after="0" w:line="251" w:lineRule="auto"/>
        <w:tabs>
          <w:tab w:leader="none" w:pos="15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executive is serving in a position below, for Mr. Olesky, Chief Executive Officer (or is not reporting directly to the Board) and for Mr. Hult, President; (b) a material diminution of the executive’s duties, responsibilities or authority or the assignment to the executive of duties or responsibilities that are materially adversely inconsistent with the executive’s then position; (c) TWM LLC has reduced the executive’s annual salary or annual bonus target; (d) TWM LLC has required the executive to relocate his principal place of employment by more than fifty (50) miles; (e) any material breach by TWM LLC of the Employment Agreement. In addition, for Mr. Olesky, “Good Reason” means a sale of TWM LLC (whether by merger, share sale or sale of all or substantially all of its assets).</w:t>
      </w:r>
    </w:p>
    <w:p>
      <w:pPr>
        <w:spacing w:after="0" w:line="90" w:lineRule="exact"/>
        <w:rPr>
          <w:sz w:val="20"/>
          <w:szCs w:val="20"/>
          <w:color w:val="auto"/>
        </w:rPr>
      </w:pPr>
    </w:p>
    <w:p>
      <w:pPr>
        <w:ind w:left="1260" w:right="879" w:firstLine="360"/>
        <w:spacing w:after="0" w:line="286" w:lineRule="auto"/>
        <w:rPr>
          <w:sz w:val="20"/>
          <w:szCs w:val="20"/>
          <w:color w:val="auto"/>
        </w:rPr>
      </w:pPr>
      <w:r>
        <w:rPr>
          <w:rFonts w:ascii="Arial" w:cs="Arial" w:eastAsia="Arial" w:hAnsi="Arial"/>
          <w:sz w:val="17"/>
          <w:szCs w:val="17"/>
          <w:color w:val="auto"/>
        </w:rPr>
        <w:t>Pursuant to the Employment Agreements, in the event that any of the payments or benefits provided by TWM LLC or any affiliate to TWM LLC (whether pursuant to the terms of the Employment Agreement or any equity compensation or other agreement with the Company or any affiliate) would</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86" w:lineRule="auto"/>
        <w:rPr>
          <w:sz w:val="20"/>
          <w:szCs w:val="20"/>
          <w:color w:val="auto"/>
        </w:rPr>
      </w:pPr>
      <w:r>
        <w:rPr>
          <w:rFonts w:ascii="Arial" w:cs="Arial" w:eastAsia="Arial" w:hAnsi="Arial"/>
          <w:sz w:val="16"/>
          <w:szCs w:val="16"/>
          <w:color w:val="auto"/>
        </w:rPr>
        <w:t>constitute “parachute payments” (“Parachute Payments”) within the meaning of Section 280G of the Internal Revenue Code of 1986, as amended (the “Code”), and would be subject to the excise tax imposed under Section 4999 of the Code or any interest or penalties with respect to such excise tax (collectively, the “Excise Tax”), then such Parachute Payments to be made to Messrs. Olesky and Hult shall be payable either (1) in full or</w:t>
      </w:r>
    </w:p>
    <w:p>
      <w:pPr>
        <w:spacing w:after="0" w:line="1" w:lineRule="exact"/>
        <w:rPr>
          <w:sz w:val="20"/>
          <w:szCs w:val="20"/>
          <w:color w:val="auto"/>
        </w:rPr>
      </w:pPr>
    </w:p>
    <w:p>
      <w:pPr>
        <w:ind w:left="1260" w:right="739" w:firstLine="8"/>
        <w:spacing w:after="0" w:line="270" w:lineRule="auto"/>
        <w:tabs>
          <w:tab w:leader="none" w:pos="1515" w:val="left"/>
        </w:tabs>
        <w:numPr>
          <w:ilvl w:val="0"/>
          <w:numId w:val="93"/>
        </w:numPr>
        <w:rPr>
          <w:rFonts w:ascii="Arial" w:cs="Arial" w:eastAsia="Arial" w:hAnsi="Arial"/>
          <w:sz w:val="17"/>
          <w:szCs w:val="17"/>
          <w:color w:val="auto"/>
        </w:rPr>
      </w:pPr>
      <w:r>
        <w:rPr>
          <w:rFonts w:ascii="Arial" w:cs="Arial" w:eastAsia="Arial" w:hAnsi="Arial"/>
          <w:sz w:val="17"/>
          <w:szCs w:val="17"/>
          <w:color w:val="auto"/>
        </w:rPr>
        <w:t>as to such lesser amount which would result in no portion of such Parachute Payments being subject to the Excise Tax, whichever of the foregoing amounts, taking into account the applicable federal, state and local income taxes and the Excise Tax, results in the executive’s receipt on an after-tax basis, of the greatest amount of economic benefits under the Employment Agreement, notwithstanding that all or some portion of such benefits may be subject to the Excise Tax. If a reduction in the Parachute Payment is necessary, then the reduction shall occur in accordance with the terms of the Employment Agreement.</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Equity Awards</w:t>
      </w:r>
    </w:p>
    <w:p>
      <w:pPr>
        <w:spacing w:after="0" w:line="104"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Each of our NEOs has been granted an Option under the Company’s Option Plan (described above under “—Narrative Disclosure to Summary Compensation Table—Option Awards outstanding under the Option Plan”). Each of the Options granted to our NEOs fully vest as to the Time-Based Portion of the Option upon a change of control (as defined in the Option Plan), or upon the NEO’s termination without Cause or resignation for Good Reason within 90 days prior to the change of control. In addition, in the event of a change in control prior to the date the Compensation Committee determines whether the relevant performance-conditions for the Performance-Based Portion of such Option have been achieved for 2021 (as further described above under “—Narrative Disclosure to Summary Compensation Table—Amended and Restated Tradeweb Markets Inc. 2018 Share Option Plan—Vesting”) any portion of the Performance-Vesting Portion that remains unvested shall be eligible to become vested as of the change of control to the extent the applicable remaining EBITDA targets or revenue targets will have been deemed satisfied as of the change of control (which targets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w:t>
      </w:r>
    </w:p>
    <w:p>
      <w:pPr>
        <w:spacing w:after="0" w:line="63"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Each of our NEOs has been granted PRSUs under the Company’s PRSU Plan, as described above under “— Narrative Disclosure to Summary Compensation Table—PRSU Awards outstanding under the Amended and Restated Tradeweb Markets Inc. PRSU Plan”). In the event an NEO is terminated (i) without Cause (as defined in the PRSU Plan) within 180 days prior to the relevant vesting date, (y) due to the participant’s death or disability or retirement (as such terms are defined in the PRSU Plan), the NEO will be entitled to retain a pro-rated number of the PRSUs, based on days worked for the vesting period, which will remain eligible to vest. In the event the NEO’s service is terminated without Cause within six months following a change of control (as defined in the PRSU Plan), any outstanding PRSUs will vest and continue to be paid out in accordance with the PRSU Plan; provided, however, that if the change of control constitutes a “Qualified Change of Control” (as defined above), payment applicable to the PRSU will be made as soon as practicable after the participant’s termination, as further described above under “—Narrative Disclosure to Summary Compensation Table—PRSU Awards outstanding under the Amended and Restated Tradeweb Markets Inc. PRSU Plan—Termination of Service</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0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directors for fiscal year 2018 included Lee Olesky, William Hult, Debra Walton, Steve Leith, Richard Lee, Christopher Conetta, Bill Hartnett, Rob Huntington, Rana Yared, Thomas Pluta, Patrick Haskell (Chairman), Simon Wilson and Paolo Croce. None of these individuals received any compensation for their service as directors in fiscal year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our Class B common stock and our Class D common stock, after the completion of the Reorganization Transactions, including this offering, for:</w:t>
      </w:r>
    </w:p>
    <w:p>
      <w:pPr>
        <w:spacing w:after="0" w:line="76" w:lineRule="exact"/>
        <w:rPr>
          <w:sz w:val="20"/>
          <w:szCs w:val="20"/>
          <w:color w:val="auto"/>
        </w:rPr>
      </w:pPr>
    </w:p>
    <w:p>
      <w:pPr>
        <w:ind w:left="1980" w:right="919" w:hanging="352"/>
        <w:spacing w:after="0" w:line="277"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common stock, our Class B common stock or our Class D common stock;</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As described in “The Reorganization Transactions” and “Certain Relationships and Related Party Transactions,” each Continuing LLC Owner will be entitled to have its LLC Interests redeemed for Class A common stock or Class B common stock on a one-for-one basis or, at the option of Tradeweb, cash equal to the volume weighted average market price of the applicable number of our shares of Class A common stock. In connection with this offering, we will issue to each Continuing LLC Owner for nominal consideration one share of Class D common stock for each LLC Interest it owns. As a result, the number of shares of Class D common stock listed in the table below correlate to the number of LLC Interests each such Continuing LLC Owner will own immediately after this offering. There will be no outstanding shares of our Class C common stock upon completion of this offering. See “The Reorganization Transactions.”</w:t>
      </w:r>
    </w:p>
    <w:p>
      <w:pPr>
        <w:spacing w:after="0" w:line="73" w:lineRule="exact"/>
        <w:rPr>
          <w:sz w:val="20"/>
          <w:szCs w:val="20"/>
          <w:color w:val="auto"/>
        </w:rPr>
      </w:pPr>
    </w:p>
    <w:p>
      <w:pPr>
        <w:ind w:left="1260" w:right="799" w:firstLine="360"/>
        <w:spacing w:after="0" w:line="284"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held by such person that have vested or will vest within 60 days of the date of this prospectus are considered outstanding, although these shares are not considered outstanding for purposes of computing</w:t>
      </w:r>
    </w:p>
    <w:p>
      <w:pPr>
        <w:spacing w:after="0" w:line="2"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pacing w:after="0" w:line="246"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 of Class A</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 of Class B</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Shares of Class D</w:t>
            </w: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Combined voting</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3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13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common stock</w:t>
            </w:r>
          </w:p>
        </w:tc>
        <w:tc>
          <w:tcPr>
            <w:tcW w:w="13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common stock</w:t>
            </w: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3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beneficially owned</w:t>
            </w: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beneficially owned</w:t>
            </w: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beneficially owned</w:t>
            </w:r>
          </w:p>
        </w:tc>
        <w:tc>
          <w:tcPr>
            <w:tcW w:w="11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power</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after this offering</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after this offering</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after this offering</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after this offering</w:t>
            </w:r>
          </w:p>
        </w:tc>
        <w:tc>
          <w:tcPr>
            <w:tcW w:w="0" w:type="dxa"/>
            <w:vAlign w:val="bottom"/>
          </w:tcPr>
          <w:p>
            <w:pPr>
              <w:spacing w:after="0"/>
              <w:rPr>
                <w:sz w:val="1"/>
                <w:szCs w:val="1"/>
                <w:color w:val="auto"/>
              </w:rPr>
            </w:pPr>
          </w:p>
        </w:tc>
      </w:tr>
      <w:tr>
        <w:trPr>
          <w:trHeight w:val="301"/>
        </w:trPr>
        <w:tc>
          <w:tcPr>
            <w:tcW w:w="398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  %</w:t>
            </w:r>
            <w:r>
              <w:rPr>
                <w:rFonts w:ascii="Arial" w:cs="Arial" w:eastAsia="Arial" w:hAnsi="Arial"/>
                <w:sz w:val="21"/>
                <w:szCs w:val="21"/>
                <w:b w:val="1"/>
                <w:bCs w:val="1"/>
                <w:color w:val="auto"/>
                <w:w w:val="98"/>
                <w:vertAlign w:val="superscript"/>
              </w:rPr>
              <w:t>(1)</w:t>
            </w:r>
            <w:r>
              <w:rPr>
                <w:rFonts w:ascii="Arial" w:cs="Arial" w:eastAsia="Arial" w:hAnsi="Arial"/>
                <w:sz w:val="14"/>
                <w:szCs w:val="14"/>
                <w:b w:val="1"/>
                <w:bCs w:val="1"/>
                <w:color w:val="auto"/>
                <w:w w:val="98"/>
              </w:rPr>
              <w:t xml:space="preserve">  %</w:t>
            </w:r>
            <w:r>
              <w:rPr>
                <w:rFonts w:ascii="Arial" w:cs="Arial" w:eastAsia="Arial" w:hAnsi="Arial"/>
                <w:sz w:val="21"/>
                <w:szCs w:val="21"/>
                <w:b w:val="1"/>
                <w:bCs w:val="1"/>
                <w:color w:val="auto"/>
                <w:w w:val="98"/>
                <w:vertAlign w:val="superscript"/>
              </w:rPr>
              <w:t>(2)</w:t>
            </w:r>
          </w:p>
        </w:tc>
        <w:tc>
          <w:tcPr>
            <w:tcW w:w="100" w:type="dxa"/>
            <w:vAlign w:val="bottom"/>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Number    %</w:t>
            </w:r>
            <w:r>
              <w:rPr>
                <w:rFonts w:ascii="Arial" w:cs="Arial" w:eastAsia="Arial" w:hAnsi="Arial"/>
                <w:sz w:val="21"/>
                <w:szCs w:val="21"/>
                <w:b w:val="1"/>
                <w:bCs w:val="1"/>
                <w:color w:val="auto"/>
                <w:vertAlign w:val="superscript"/>
              </w:rPr>
              <w:t>(1)</w:t>
            </w:r>
          </w:p>
        </w:tc>
        <w:tc>
          <w:tcPr>
            <w:tcW w:w="100" w:type="dxa"/>
            <w:vAlign w:val="bottom"/>
          </w:tcPr>
          <w:p>
            <w:pPr>
              <w:spacing w:after="0"/>
              <w:rPr>
                <w:sz w:val="24"/>
                <w:szCs w:val="2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Number    %</w:t>
            </w:r>
            <w:r>
              <w:rPr>
                <w:rFonts w:ascii="Arial" w:cs="Arial" w:eastAsia="Arial" w:hAnsi="Arial"/>
                <w:sz w:val="21"/>
                <w:szCs w:val="21"/>
                <w:b w:val="1"/>
                <w:bCs w:val="1"/>
                <w:color w:val="auto"/>
                <w:vertAlign w:val="superscript"/>
              </w:rPr>
              <w:t>(1)</w:t>
            </w:r>
          </w:p>
        </w:tc>
        <w:tc>
          <w:tcPr>
            <w:tcW w:w="120" w:type="dxa"/>
            <w:vAlign w:val="bottom"/>
          </w:tcPr>
          <w:p>
            <w:pPr>
              <w:spacing w:after="0"/>
              <w:rPr>
                <w:sz w:val="24"/>
                <w:szCs w:val="24"/>
                <w:color w:val="auto"/>
              </w:rPr>
            </w:pPr>
          </w:p>
        </w:tc>
        <w:tc>
          <w:tcPr>
            <w:tcW w:w="540" w:type="dxa"/>
            <w:vAlign w:val="bottom"/>
            <w:tcBorders>
              <w:top w:val="single" w:sz="8" w:color="auto"/>
            </w:tcBorders>
          </w:tcPr>
          <w:p>
            <w:pPr>
              <w:jc w:val="right"/>
              <w:ind w:right="93"/>
              <w:spacing w:after="0" w:line="301"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(1)</w:t>
            </w:r>
          </w:p>
        </w:tc>
        <w:tc>
          <w:tcPr>
            <w:tcW w:w="560" w:type="dxa"/>
            <w:vAlign w:val="bottom"/>
            <w:tcBorders>
              <w:top w:val="single" w:sz="8" w:color="auto"/>
            </w:tcBorders>
          </w:tcPr>
          <w:p>
            <w:pPr>
              <w:jc w:val="right"/>
              <w:ind w:right="66"/>
              <w:spacing w:after="0" w:line="301"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-36195</wp:posOffset>
            </wp:positionV>
            <wp:extent cx="5760720" cy="1631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60720" cy="16319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6"/>
          <w:szCs w:val="16"/>
          <w:b w:val="1"/>
          <w:bCs w:val="1"/>
          <w:color w:val="auto"/>
        </w:rPr>
        <w:t>5% Stockholders</w:t>
      </w:r>
    </w:p>
    <w:p>
      <w:pPr>
        <w:spacing w:after="0" w:line="4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Entities affiliated with Refinitiv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17780</wp:posOffset>
            </wp:positionV>
            <wp:extent cx="576072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Directors and Named Executive Officers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17780</wp:posOffset>
            </wp:positionV>
            <wp:extent cx="5760720" cy="1631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60720" cy="163195"/>
                    </a:xfrm>
                    <a:prstGeom prst="rect">
                      <a:avLst/>
                    </a:prstGeom>
                    <a:noFill/>
                  </pic:spPr>
                </pic:pic>
              </a:graphicData>
            </a:graphic>
          </wp:anchor>
        </w:drawing>
      </w:r>
    </w:p>
    <w:p>
      <w:pPr>
        <w:spacing w:after="0" w:line="5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Billy Hult</w:t>
      </w:r>
    </w:p>
    <w:p>
      <w:pPr>
        <w:spacing w:after="0" w:line="6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All executive officers and directors as a group (</w:t>
      </w:r>
    </w:p>
    <w:p>
      <w:pPr>
        <w:ind w:left="1020"/>
        <w:spacing w:after="0"/>
        <w:rPr>
          <w:sz w:val="20"/>
          <w:szCs w:val="20"/>
          <w:color w:val="auto"/>
        </w:rPr>
      </w:pPr>
      <w:r>
        <w:rPr>
          <w:rFonts w:ascii="Arial" w:cs="Arial" w:eastAsia="Arial" w:hAnsi="Arial"/>
          <w:sz w:val="16"/>
          <w:szCs w:val="16"/>
          <w:color w:val="auto"/>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172085</wp:posOffset>
            </wp:positionV>
            <wp:extent cx="123444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200" w:hanging="364"/>
        <w:spacing w:after="0"/>
        <w:tabs>
          <w:tab w:leader="none" w:pos="12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Assumes no exercise by the underwriters of their option to purchase additional shares of Class A common stock.</w:t>
      </w:r>
    </w:p>
    <w:p>
      <w:pPr>
        <w:spacing w:after="0" w:line="88" w:lineRule="exact"/>
        <w:rPr>
          <w:rFonts w:ascii="Arial" w:cs="Arial" w:eastAsia="Arial" w:hAnsi="Arial"/>
          <w:sz w:val="17"/>
          <w:szCs w:val="17"/>
          <w:color w:val="auto"/>
        </w:rPr>
      </w:pPr>
    </w:p>
    <w:p>
      <w:pPr>
        <w:ind w:left="1200" w:hanging="364"/>
        <w:spacing w:after="0"/>
        <w:tabs>
          <w:tab w:leader="none" w:pos="12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Assumes full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following is a description of transactions since January 1, 2015 to which we were a party in which the amount involved exceeded or will exceed $120,000, and in which any of our executive officers, directors or holders of more than 5% of any class of our voting securities,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Refinitiv/Thomson Reuters</w:t>
      </w:r>
    </w:p>
    <w:p>
      <w:pPr>
        <w:spacing w:after="0" w:line="10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Following this offering, we expect Refinitiv will continue to provide data and insurance and, at least in the near term, office space and related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6 months prior to such date. During each of the years ended December 31, 2017, 2016 and 2015, we incurred shared services fees of $4.3 million per year relating to this agreement. These fees are included in occupancy and general and administrative expenses in our consolidated statements of income included elsewhere in this prospectus.</w:t>
      </w:r>
    </w:p>
    <w:p>
      <w:pPr>
        <w:spacing w:after="0" w:line="66" w:lineRule="exact"/>
        <w:rPr>
          <w:sz w:val="20"/>
          <w:szCs w:val="20"/>
          <w:color w:val="auto"/>
        </w:rPr>
      </w:pPr>
    </w:p>
    <w:p>
      <w:pPr>
        <w:ind w:left="1260" w:right="699" w:firstLine="360"/>
        <w:spacing w:after="0" w:line="289" w:lineRule="auto"/>
        <w:rPr>
          <w:sz w:val="20"/>
          <w:szCs w:val="20"/>
          <w:color w:val="auto"/>
        </w:rPr>
      </w:pPr>
      <w:r>
        <w:rPr>
          <w:rFonts w:ascii="Arial" w:cs="Arial" w:eastAsia="Arial" w:hAnsi="Arial"/>
          <w:sz w:val="16"/>
          <w:szCs w:val="16"/>
          <w:color w:val="auto"/>
        </w:rPr>
        <w:t>We maintain a market data license agreement with Refinitiv (formerly Thomson Reuters), pursuant to which we earn license fees and royalties. Under the terms of this agreement, we provide Refinitiv with certain real-time market data feeds for 20 fixed income and derivatives products under an exclusive license pursuant to which Refinitiv redistributes such market data feeds to its customers on its Eikon platform. We also earn royalties from Refinitiv for referrals of new Eikon customers based on customer conversion rates. The market license data agreement was renewed and amended effective November 2018 for a minimum term of six years. Either party can terminate this agreement by written notice if the cause of the breach is not cured within 30 days of receiving such notice. During the years ended December 31, 2017, 2016 and 2015, we earned approximately $50.1 million, $50.6 million and $52.2 million, respectively, of revenue under this agreement.</w:t>
      </w:r>
    </w:p>
    <w:p>
      <w:pPr>
        <w:spacing w:after="0" w:line="5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We are party to a master agreement with Refinitiv (formerly Thomson Reuters) and the Bank Stockholders, which was entered into in connection with the initial investment in our business by the Bank Stockholders and subsequently amended in connection with restructurings of our business and additional investments by the Bank Stockholders. Under the master agreement, each party is subject to confidentiality obligations regarding both the nonpublic information of our business and the terms of those definitive agreements, subject to customary disclosure exceptions. In addition, the master agreement prohibits Refinitiv from establishing, investing in, or acting as primary business operator or manager of, an electronic trade execution platform for trading in fixed income securities or equity derivatives for so long as Refinitiv continues to directly or indirectly own a majority of our equity interests, subject to certain exceptions.</w:t>
      </w:r>
    </w:p>
    <w:p>
      <w:pPr>
        <w:spacing w:after="0" w:line="73" w:lineRule="exact"/>
        <w:rPr>
          <w:sz w:val="20"/>
          <w:szCs w:val="20"/>
          <w:color w:val="auto"/>
        </w:rPr>
      </w:pPr>
    </w:p>
    <w:p>
      <w:pPr>
        <w:jc w:val="both"/>
        <w:ind w:left="1260" w:right="799" w:firstLine="360"/>
        <w:spacing w:after="0" w:line="279" w:lineRule="auto"/>
        <w:rPr>
          <w:sz w:val="20"/>
          <w:szCs w:val="20"/>
          <w:color w:val="auto"/>
        </w:rPr>
      </w:pPr>
      <w:r>
        <w:rPr>
          <w:rFonts w:ascii="Arial" w:cs="Arial" w:eastAsia="Arial" w:hAnsi="Arial"/>
          <w:sz w:val="17"/>
          <w:szCs w:val="17"/>
          <w:color w:val="auto"/>
        </w:rPr>
        <w:t>We reimburse affiliates of Thomson Reuters for expenses paid on our behalf for various services including payroll, marketing, professional fees, communications, data costs and certain other administrative services. For the years ended December 31, 2017, 2016 and 2015, we reimbursed such affiliates approximately $38.4 million, $34.4 million and $31.0 million, respectively, for these expenses.</w:t>
      </w:r>
    </w:p>
    <w:p>
      <w:pPr>
        <w:spacing w:after="0" w:line="63" w:lineRule="exact"/>
        <w:rPr>
          <w:sz w:val="20"/>
          <w:szCs w:val="20"/>
          <w:color w:val="auto"/>
        </w:rPr>
      </w:pPr>
    </w:p>
    <w:p>
      <w:pPr>
        <w:ind w:left="1260" w:right="739" w:firstLine="360"/>
        <w:spacing w:after="0" w:line="296" w:lineRule="auto"/>
        <w:rPr>
          <w:sz w:val="20"/>
          <w:szCs w:val="20"/>
          <w:color w:val="auto"/>
        </w:rPr>
      </w:pPr>
      <w:r>
        <w:rPr>
          <w:rFonts w:ascii="Arial" w:cs="Arial" w:eastAsia="Arial" w:hAnsi="Arial"/>
          <w:sz w:val="16"/>
          <w:szCs w:val="16"/>
          <w:color w:val="auto"/>
        </w:rPr>
        <w:t>In 2013, we borrowed $29.3 million from a subsidiary of Thomson Reuters under a convertible term note. Interest charged on the outstanding borrowings was the greater of LIBOR or 150 basis points, plus 300 basis points per annum, and was reset and payable quarterly. During 2017, Thomson Reuters converted all outstanding borrowings into 1,835.122 Class A Shares (as defined in TWM LLC’s fourth amended and restated limited liability company agreement) at the price of $15,958 per share. During the years ended</w:t>
      </w: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63" w:lineRule="auto"/>
        <w:rPr>
          <w:sz w:val="20"/>
          <w:szCs w:val="20"/>
          <w:color w:val="auto"/>
        </w:rPr>
      </w:pPr>
      <w:r>
        <w:rPr>
          <w:rFonts w:ascii="Arial" w:cs="Arial" w:eastAsia="Arial" w:hAnsi="Arial"/>
          <w:sz w:val="18"/>
          <w:szCs w:val="18"/>
          <w:color w:val="auto"/>
        </w:rPr>
        <w:t>December 31, 2017, 2016 and 2015, the interest rate charged was 4.50% per annum. We paid and expensed approximately $0.5 million, $1.3 million and $1.3 million of interest related to this note during the years ended December 31, 2017, 2016 and 2015, respectively.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Bank Stockholders</w:t>
      </w:r>
    </w:p>
    <w:p>
      <w:pPr>
        <w:spacing w:after="0" w:line="108" w:lineRule="exact"/>
        <w:rPr>
          <w:sz w:val="20"/>
          <w:szCs w:val="20"/>
          <w:color w:val="auto"/>
        </w:rPr>
      </w:pPr>
    </w:p>
    <w:p>
      <w:pPr>
        <w:ind w:left="1260" w:right="1039" w:firstLine="360"/>
        <w:spacing w:after="0" w:line="259" w:lineRule="auto"/>
        <w:rPr>
          <w:sz w:val="20"/>
          <w:szCs w:val="20"/>
          <w:color w:val="auto"/>
        </w:rPr>
      </w:pPr>
      <w:r>
        <w:rPr>
          <w:rFonts w:ascii="Arial" w:cs="Arial" w:eastAsia="Arial" w:hAnsi="Arial"/>
          <w:sz w:val="18"/>
          <w:szCs w:val="18"/>
          <w:color w:val="auto"/>
        </w:rPr>
        <w:t>During the years ended December 31, 2017, 2016 and 2015, we earned $40,000, $80,000 and $83,000, respectively, of interest income from money market funds invested with and savings accounts deposited with affiliates of the Bank Stockholders. Interest rates earned on the money market and savings accounts are comparable to rates offered to third parties.</w:t>
      </w:r>
    </w:p>
    <w:p>
      <w:pPr>
        <w:spacing w:after="0" w:line="79"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During the years ended December 31, 2017, 2016 and 2015, we earned approximately $232.4 million, $211.7 million and $220.1 million, respectively, of transaction fees, subscription fees and commissions from affiliates of the Bank Stockholders. Over the same period, none of our dealer investors accounted for more than 10% of our revenues.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Certain Original LLC Owners</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 July 31, 2018 upon the achievement of specific revenue earnout milestones related to the growth of specified credit products, with a value of $156.2 million.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Entered Into in Connection With This Offering</w:t>
      </w:r>
    </w:p>
    <w:p>
      <w:pPr>
        <w:spacing w:after="0" w:line="108" w:lineRule="exact"/>
        <w:rPr>
          <w:sz w:val="20"/>
          <w:szCs w:val="20"/>
          <w:color w:val="auto"/>
        </w:rPr>
      </w:pPr>
    </w:p>
    <w:p>
      <w:pPr>
        <w:ind w:left="1260" w:right="899" w:firstLine="360"/>
        <w:spacing w:after="0" w:line="286" w:lineRule="auto"/>
        <w:rPr>
          <w:sz w:val="20"/>
          <w:szCs w:val="20"/>
          <w:color w:val="auto"/>
        </w:rPr>
      </w:pPr>
      <w:r>
        <w:rPr>
          <w:rFonts w:ascii="Arial" w:cs="Arial" w:eastAsia="Arial" w:hAnsi="Arial"/>
          <w:sz w:val="17"/>
          <w:szCs w:val="17"/>
          <w:color w:val="auto"/>
        </w:rPr>
        <w:t>In connection with the Reorganization Transactions, we will engage in certain transactions with certain of our directors, executive officers and other persons and entities which are holders of 5% or more of our voting securities. These transactions are described in “The Reorganization Transactions.”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Immediately following this offering, we will use the net proceeds from this offering to purchase</w:t>
      </w:r>
    </w:p>
    <w:p>
      <w:pPr>
        <w:spacing w:after="0" w:line="23" w:lineRule="exact"/>
        <w:rPr>
          <w:sz w:val="20"/>
          <w:szCs w:val="20"/>
          <w:color w:val="auto"/>
        </w:rPr>
      </w:pPr>
    </w:p>
    <w:p>
      <w:pPr>
        <w:ind w:left="1260" w:right="859" w:firstLine="990"/>
        <w:spacing w:after="0" w:line="253" w:lineRule="auto"/>
        <w:rPr>
          <w:sz w:val="20"/>
          <w:szCs w:val="20"/>
          <w:color w:val="auto"/>
        </w:rPr>
      </w:pPr>
      <w:r>
        <w:rPr>
          <w:rFonts w:ascii="Arial" w:cs="Arial" w:eastAsia="Arial" w:hAnsi="Arial"/>
          <w:sz w:val="18"/>
          <w:szCs w:val="18"/>
          <w:color w:val="auto"/>
        </w:rPr>
        <w:t>issued and outstanding LLC Interests from certain of the Other LLC Owners. The following table sets forth the cash proceeds that certain of the Other LLC Owners will receive from the purchase by us of LLC Interests with the net proceeds of this offering, based on the midpoint of the price range set forth on the cover page of this prospectus:</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Number of LLC Interests,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 of LLC</w:t>
            </w:r>
          </w:p>
        </w:tc>
        <w:tc>
          <w:tcPr>
            <w:tcW w:w="60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assuming the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 assuming the</w:t>
            </w:r>
          </w:p>
        </w:tc>
        <w:tc>
          <w:tcPr>
            <w:tcW w:w="60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underwriters’ option to</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underwriters’ option to</w:t>
            </w:r>
          </w:p>
        </w:tc>
        <w:tc>
          <w:tcPr>
            <w:tcW w:w="60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purchase additional</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purchase additional</w:t>
            </w:r>
          </w:p>
        </w:tc>
        <w:tc>
          <w:tcPr>
            <w:tcW w:w="60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 of Class A</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Cash</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shares of Class A</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common stock is not</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Proceeds</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common stock is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w:t>
            </w:r>
          </w:p>
        </w:tc>
      </w:tr>
      <w:tr>
        <w:trPr>
          <w:trHeight w:val="186"/>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exercised</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exercised in full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5"/>
        </w:trPr>
        <w:tc>
          <w:tcPr>
            <w:tcW w:w="3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3"/>
        </w:trPr>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-179070</wp:posOffset>
            </wp:positionV>
            <wp:extent cx="137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-179070</wp:posOffset>
            </wp:positionV>
            <wp:extent cx="1371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-179070</wp:posOffset>
            </wp:positionV>
            <wp:extent cx="1371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-179070</wp:posOffset>
            </wp:positionV>
            <wp:extent cx="1371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TWM LLC Agreement</w:t>
      </w:r>
    </w:p>
    <w:p>
      <w:pPr>
        <w:spacing w:after="0" w:line="104" w:lineRule="exact"/>
        <w:rPr>
          <w:sz w:val="20"/>
          <w:szCs w:val="20"/>
          <w:color w:val="auto"/>
        </w:rPr>
      </w:pPr>
    </w:p>
    <w:p>
      <w:pPr>
        <w:ind w:left="1260" w:right="799" w:firstLine="360"/>
        <w:spacing w:after="0" w:line="301" w:lineRule="auto"/>
        <w:rPr>
          <w:sz w:val="20"/>
          <w:szCs w:val="20"/>
          <w:color w:val="auto"/>
        </w:rPr>
      </w:pPr>
      <w:r>
        <w:rPr>
          <w:rFonts w:ascii="Arial" w:cs="Arial" w:eastAsia="Arial" w:hAnsi="Arial"/>
          <w:sz w:val="16"/>
          <w:szCs w:val="16"/>
          <w:color w:val="auto"/>
        </w:rPr>
        <w:t>We will operate our business through TWM LLC and its subsidiaries. In connection with the completion of this offering, we and the Original LLC Owners will enter into TWM LLC’s fifth amended and restated limited liability company agreement, which we refer to as the “TWM LLC Agreement.” The operations of TWM LLC, and the rights and obligations of the holders of LLC Interests, will be set forth in the TWM LLC Agreement.</w:t>
      </w:r>
    </w:p>
    <w:p>
      <w:pPr>
        <w:spacing w:after="0" w:line="49"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i w:val="1"/>
          <w:iCs w:val="1"/>
          <w:color w:val="auto"/>
        </w:rPr>
        <w:t xml:space="preserve">Appointment as Manager. </w:t>
      </w:r>
      <w:r>
        <w:rPr>
          <w:rFonts w:ascii="Arial" w:cs="Arial" w:eastAsia="Arial" w:hAnsi="Arial"/>
          <w:sz w:val="17"/>
          <w:szCs w:val="17"/>
          <w:color w:val="auto"/>
        </w:rPr>
        <w:t>Under the TWM LLC Agreement, we will become a member and the sole</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of TWM LLC. As the sole manager, we will be able to control all of the day-to-day business affairs and decision-making of TWM LLC without the approval of any other member, unless otherwise stated in the TWM LLC Agreement. As such, we, through our officers and directors, will be responsible for</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63" w:lineRule="auto"/>
        <w:rPr>
          <w:sz w:val="20"/>
          <w:szCs w:val="20"/>
          <w:color w:val="auto"/>
        </w:rPr>
      </w:pPr>
      <w:r>
        <w:rPr>
          <w:rFonts w:ascii="Arial" w:cs="Arial" w:eastAsia="Arial" w:hAnsi="Arial"/>
          <w:sz w:val="18"/>
          <w:szCs w:val="18"/>
          <w:color w:val="auto"/>
        </w:rPr>
        <w:t>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76"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We will not be entitled to compensation for our services as manager. We will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TWM LLC for fees and expenses incurred on behalf of TWM LLC, including all expenses associated with this offering and maintaining our existence as a separate legal entity.</w:t>
      </w:r>
    </w:p>
    <w:p>
      <w:pPr>
        <w:spacing w:after="0" w:line="57"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The TWM LLC Agreement recapitalizes the units currently held by the existing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TWM LLC into a new single class of common membership units, which we refer to as the “LLC Interests.” The TWM LLC Agreement will also reflect a split of LLC Interests such that one LLC Interest can be acquired with the net proceeds received in the initial offering from the sale of one share of our Class A common stock. Each LLC Interest will entitle the holder to a pro rata share of the net profits and net losses and distributions of TWM LLC.</w:t>
      </w:r>
    </w:p>
    <w:p>
      <w:pPr>
        <w:spacing w:after="0" w:line="84"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i w:val="1"/>
          <w:iCs w:val="1"/>
          <w:color w:val="auto"/>
        </w:rPr>
        <w:t xml:space="preserve">Distributions. </w:t>
      </w:r>
      <w:r>
        <w:rPr>
          <w:rFonts w:ascii="Arial" w:cs="Arial" w:eastAsia="Arial" w:hAnsi="Arial"/>
          <w:sz w:val="17"/>
          <w:szCs w:val="17"/>
          <w:color w:val="auto"/>
        </w:rPr>
        <w:t>In connection with any tax period, the TWM LLC Agreement will require TWM LLC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distributions 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will also allow for distributions to be made by TWM LLC to its members on a pro rata basis out of distributable cash. We expect TWM LLC may make distributions out of distributable cash periodically to the extent permitted by our agreements governing our indebtedness and necessary to enable us to cover our operating expenses and other obligations, as well as to make dividend payments, if any, to the holders of our Class A common stock and Class B common stock.</w:t>
      </w:r>
    </w:p>
    <w:p>
      <w:pPr>
        <w:spacing w:after="0" w:line="81" w:lineRule="exact"/>
        <w:rPr>
          <w:sz w:val="20"/>
          <w:szCs w:val="20"/>
          <w:color w:val="auto"/>
        </w:rPr>
      </w:pPr>
    </w:p>
    <w:p>
      <w:pPr>
        <w:ind w:left="1260" w:right="699" w:firstLine="360"/>
        <w:spacing w:after="0" w:line="250" w:lineRule="auto"/>
        <w:rPr>
          <w:sz w:val="20"/>
          <w:szCs w:val="20"/>
          <w:color w:val="auto"/>
        </w:rPr>
      </w:pPr>
      <w:r>
        <w:rPr>
          <w:rFonts w:ascii="Arial" w:cs="Arial" w:eastAsia="Arial" w:hAnsi="Arial"/>
          <w:sz w:val="17"/>
          <w:szCs w:val="17"/>
          <w:i w:val="1"/>
          <w:iCs w:val="1"/>
          <w:color w:val="auto"/>
        </w:rPr>
        <w:t xml:space="preserve">LLC Interest Redemption Right. </w:t>
      </w:r>
      <w:r>
        <w:rPr>
          <w:rFonts w:ascii="Arial" w:cs="Arial" w:eastAsia="Arial" w:hAnsi="Arial"/>
          <w:sz w:val="17"/>
          <w:szCs w:val="17"/>
          <w:color w:val="auto"/>
        </w:rPr>
        <w:t>The TWM LLC Agreement provides a redemption right to the Continuing</w:t>
      </w:r>
      <w:r>
        <w:rPr>
          <w:rFonts w:ascii="Arial" w:cs="Arial" w:eastAsia="Arial" w:hAnsi="Arial"/>
          <w:sz w:val="17"/>
          <w:szCs w:val="17"/>
          <w:i w:val="1"/>
          <w:iCs w:val="1"/>
          <w:color w:val="auto"/>
        </w:rPr>
        <w:t xml:space="preserve"> </w:t>
      </w:r>
      <w:r>
        <w:rPr>
          <w:rFonts w:ascii="Arial" w:cs="Arial" w:eastAsia="Arial" w:hAnsi="Arial"/>
          <w:sz w:val="17"/>
          <w:szCs w:val="17"/>
          <w:color w:val="auto"/>
        </w:rPr>
        <w:t>LLC Owners which entitles them to have their LLC Interests redeemed, at the election of each such person, for newly issued shares of our Class A common stock or Class B common stock on a one-for-one basis or, at our option, as determined by or at the direction of our board of directors, which will include directors who hold LLC Interests or are affiliated with holders of LLC Interests and may include such directors in the future, a cash payment equal to a volume weighted average market price of one share of Class A common stock for each LLC Interest redeemed (subject to customary adjustments, including for stock splits, stock dividends and reclassifications). A Continuing LLC Owner has the option to rescind its redemption request within a specified time period. Upon the exercise of the redemption right, the redeeming member will surrender its LLC Interests to TWM LLC for cancellation. The TWM LLC Agreement requires that we contribute cash or shares of our Class A common stock or Class B common stock to TWM LLC in exchange for an amount of newly issued LLC Interests in TWM LLC that will be issued to us equal to the number of LLC Interests redeemed from the Continuing LLC Owner.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86"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i w:val="1"/>
          <w:iCs w:val="1"/>
          <w:color w:val="auto"/>
        </w:rPr>
        <w:t xml:space="preserve">Issuance of LLC Interests Upon Exercise of Options or Issuance of Other Equity Compensation. </w:t>
      </w:r>
      <w:r>
        <w:rPr>
          <w:rFonts w:ascii="Arial" w:cs="Arial" w:eastAsia="Arial" w:hAnsi="Arial"/>
          <w:sz w:val="17"/>
          <w:szCs w:val="17"/>
          <w:color w:val="auto"/>
        </w:rPr>
        <w:t>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options issued by us, or the 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w:t>
      </w:r>
    </w:p>
    <w:p>
      <w:pPr>
        <w:spacing w:after="0" w:line="2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51" w:lineRule="auto"/>
        <w:rPr>
          <w:sz w:val="20"/>
          <w:szCs w:val="20"/>
          <w:color w:val="auto"/>
        </w:rPr>
      </w:pPr>
      <w:r>
        <w:rPr>
          <w:rFonts w:ascii="Arial" w:cs="Arial" w:eastAsia="Arial" w:hAnsi="Arial"/>
          <w:sz w:val="17"/>
          <w:szCs w:val="17"/>
          <w:color w:val="auto"/>
        </w:rPr>
        <w:t>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81"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i w:val="1"/>
          <w:iCs w:val="1"/>
          <w:color w:val="auto"/>
        </w:rPr>
        <w:t xml:space="preserve">Maintenance of one-to-one ratio of shares of Class A common stock, Class B common stock and LLC Interests owned by Tradeweb. </w:t>
      </w:r>
      <w:r>
        <w:rPr>
          <w:rFonts w:ascii="Arial" w:cs="Arial" w:eastAsia="Arial" w:hAnsi="Arial"/>
          <w:sz w:val="16"/>
          <w:szCs w:val="16"/>
          <w:color w:val="auto"/>
        </w:rPr>
        <w:t>Our amended and restated certificate of incorporation and the TWM LLC</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will require that (i) we at all times maintain a ratio of one LLC Interest owned by us for each share of</w:t>
      </w:r>
    </w:p>
    <w:p>
      <w:pPr>
        <w:spacing w:after="0" w:line="2" w:lineRule="exact"/>
        <w:rPr>
          <w:sz w:val="20"/>
          <w:szCs w:val="20"/>
          <w:color w:val="auto"/>
        </w:rPr>
      </w:pPr>
    </w:p>
    <w:p>
      <w:pPr>
        <w:ind w:left="1260" w:right="879" w:firstLine="8"/>
        <w:spacing w:after="0" w:line="290" w:lineRule="auto"/>
        <w:tabs>
          <w:tab w:leader="none" w:pos="1485" w:val="left"/>
        </w:tabs>
        <w:numPr>
          <w:ilvl w:val="0"/>
          <w:numId w:val="96"/>
        </w:numPr>
        <w:rPr>
          <w:rFonts w:ascii="Arial" w:cs="Arial" w:eastAsia="Arial" w:hAnsi="Arial"/>
          <w:sz w:val="16"/>
          <w:szCs w:val="16"/>
          <w:color w:val="auto"/>
        </w:rPr>
      </w:pPr>
      <w:r>
        <w:rPr>
          <w:rFonts w:ascii="Arial" w:cs="Arial" w:eastAsia="Arial" w:hAnsi="Arial"/>
          <w:sz w:val="16"/>
          <w:szCs w:val="16"/>
          <w:color w:val="auto"/>
        </w:rPr>
        <w:t>Class A common stock issued by us and (II) Class B common stock issued by us, in each case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56"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TWM LLC Agreement generally does not permit transfers of LLC Interests by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79"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The TWM LLC Agreement will provide that the decision of the manager (pursuant to a</w:t>
      </w:r>
      <w:r>
        <w:rPr>
          <w:rFonts w:ascii="Arial" w:cs="Arial" w:eastAsia="Arial" w:hAnsi="Arial"/>
          <w:sz w:val="17"/>
          <w:szCs w:val="17"/>
          <w:i w:val="1"/>
          <w:iCs w:val="1"/>
          <w:color w:val="auto"/>
        </w:rPr>
        <w:t xml:space="preserve"> </w:t>
      </w:r>
      <w:r>
        <w:rPr>
          <w:rFonts w:ascii="Arial" w:cs="Arial" w:eastAsia="Arial" w:hAnsi="Arial"/>
          <w:sz w:val="17"/>
          <w:szCs w:val="17"/>
          <w:color w:val="auto"/>
        </w:rPr>
        <w:t>unanimous decision of our board of directors) together with the Requisite Majority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TWC LLC’s debts, liabilities and obligations (including all expenses incurred in liquidation) and the remaining assets of TWC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73" w:lineRule="exact"/>
        <w:rPr>
          <w:sz w:val="20"/>
          <w:szCs w:val="20"/>
          <w:color w:val="auto"/>
        </w:rPr>
      </w:pPr>
    </w:p>
    <w:p>
      <w:pPr>
        <w:ind w:left="1260" w:right="1199" w:firstLine="360"/>
        <w:spacing w:after="0" w:line="257" w:lineRule="auto"/>
        <w:rPr>
          <w:sz w:val="20"/>
          <w:szCs w:val="20"/>
          <w:color w:val="auto"/>
        </w:rPr>
      </w:pPr>
      <w:r>
        <w:rPr>
          <w:rFonts w:ascii="Arial" w:cs="Arial" w:eastAsia="Arial" w:hAnsi="Arial"/>
          <w:sz w:val="18"/>
          <w:szCs w:val="18"/>
          <w:i w:val="1"/>
          <w:iCs w:val="1"/>
          <w:color w:val="auto"/>
        </w:rPr>
        <w:t xml:space="preserve">Confidentiality. </w:t>
      </w:r>
      <w:r>
        <w:rPr>
          <w:rFonts w:ascii="Arial" w:cs="Arial" w:eastAsia="Arial" w:hAnsi="Arial"/>
          <w:sz w:val="18"/>
          <w:szCs w:val="18"/>
          <w:color w:val="auto"/>
        </w:rPr>
        <w:t>Each member will agree to maintain the confidentiality of TWM LLC’s confidential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This obligation excludes (i) information that is independently obtained or developed by the members, information that is in the public domain or otherwise disclosed to a member not in violation of a confidentiality obligation and (ii) disclosures required by law or judicial process or approved by our chief executive officer.</w:t>
      </w:r>
    </w:p>
    <w:p>
      <w:pPr>
        <w:spacing w:after="0" w:line="80"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i w:val="1"/>
          <w:iCs w:val="1"/>
          <w:color w:val="auto"/>
        </w:rPr>
        <w:t xml:space="preserve">Indemnification and Exculpation. </w:t>
      </w:r>
      <w:r>
        <w:rPr>
          <w:rFonts w:ascii="Arial" w:cs="Arial" w:eastAsia="Arial" w:hAnsi="Arial"/>
          <w:sz w:val="17"/>
          <w:szCs w:val="17"/>
          <w:color w:val="auto"/>
        </w:rPr>
        <w:t>The TWM LLC Agreement provides for indemnification of the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and officers of TWM LLC. To the extent permitted by applicable law, TWM LLC will indemnify us, as its sole manager, and its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69" w:lineRule="exact"/>
        <w:rPr>
          <w:sz w:val="20"/>
          <w:szCs w:val="20"/>
          <w:color w:val="auto"/>
        </w:rPr>
      </w:pPr>
    </w:p>
    <w:p>
      <w:pPr>
        <w:ind w:left="1260" w:right="1039" w:firstLine="360"/>
        <w:spacing w:after="0" w:line="342" w:lineRule="auto"/>
        <w:rPr>
          <w:sz w:val="20"/>
          <w:szCs w:val="20"/>
          <w:color w:val="auto"/>
        </w:rPr>
      </w:pPr>
      <w:r>
        <w:rPr>
          <w:rFonts w:ascii="Arial" w:cs="Arial" w:eastAsia="Arial" w:hAnsi="Arial"/>
          <w:sz w:val="16"/>
          <w:szCs w:val="16"/>
          <w:color w:val="auto"/>
        </w:rPr>
        <w:t>We, as the sole manager of TWM LLC, and our affiliates and our respective agents, will not be liable to TWM LLC or its members for damages incurred by any acts or omissions of these persons, provided</w:t>
      </w: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86" w:lineRule="auto"/>
        <w:rPr>
          <w:sz w:val="20"/>
          <w:szCs w:val="20"/>
          <w:color w:val="auto"/>
        </w:rPr>
      </w:pPr>
      <w:r>
        <w:rPr>
          <w:rFonts w:ascii="Arial" w:cs="Arial" w:eastAsia="Arial" w:hAnsi="Arial"/>
          <w:sz w:val="17"/>
          <w:szCs w:val="17"/>
          <w:color w:val="auto"/>
        </w:rPr>
        <w:t>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57"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i w:val="1"/>
          <w:iCs w:val="1"/>
          <w:color w:val="auto"/>
        </w:rPr>
        <w:t xml:space="preserve">Amendments. </w:t>
      </w:r>
      <w:r>
        <w:rPr>
          <w:rFonts w:ascii="Arial" w:cs="Arial" w:eastAsia="Arial" w:hAnsi="Arial"/>
          <w:sz w:val="18"/>
          <w:szCs w:val="18"/>
          <w:color w:val="auto"/>
        </w:rPr>
        <w:t>The TWM LLC Agreement may be amended with the consent of the holders of a majority in</w:t>
      </w:r>
      <w:r>
        <w:rPr>
          <w:rFonts w:ascii="Arial" w:cs="Arial" w:eastAsia="Arial" w:hAnsi="Arial"/>
          <w:sz w:val="18"/>
          <w:szCs w:val="18"/>
          <w:i w:val="1"/>
          <w:iCs w:val="1"/>
          <w:color w:val="auto"/>
        </w:rPr>
        <w:t xml:space="preserve"> </w:t>
      </w:r>
      <w:r>
        <w:rPr>
          <w:rFonts w:ascii="Arial" w:cs="Arial" w:eastAsia="Arial" w:hAnsi="Arial"/>
          <w:sz w:val="18"/>
          <w:szCs w:val="18"/>
          <w:color w:val="auto"/>
        </w:rPr>
        <w:t>voting power of the outstanding LLC Interests; provided that if the sole manager holds greater than 33% of the LLC Interests, then it may be amended with the consent of the sole manager together with holders of at least 50% of the outstanding LLC Interests, excluding LLC Interests held by the sole manager.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04" w:lineRule="exact"/>
        <w:rPr>
          <w:sz w:val="20"/>
          <w:szCs w:val="20"/>
          <w:color w:val="auto"/>
        </w:rPr>
      </w:pPr>
    </w:p>
    <w:p>
      <w:pPr>
        <w:ind w:left="1620"/>
        <w:spacing w:after="0"/>
        <w:tabs>
          <w:tab w:leader="none" w:pos="8360" w:val="left"/>
        </w:tabs>
        <w:rPr>
          <w:sz w:val="20"/>
          <w:szCs w:val="20"/>
          <w:color w:val="auto"/>
        </w:rPr>
      </w:pPr>
      <w:r>
        <w:rPr>
          <w:rFonts w:ascii="Arial" w:cs="Arial" w:eastAsia="Arial" w:hAnsi="Arial"/>
          <w:sz w:val="18"/>
          <w:szCs w:val="18"/>
          <w:color w:val="auto"/>
        </w:rPr>
        <w:t>In connection with this offering, we intend to enter into a Stockholders Agreement with</w:t>
      </w:r>
      <w:r>
        <w:rPr>
          <w:sz w:val="20"/>
          <w:szCs w:val="20"/>
          <w:color w:val="auto"/>
        </w:rPr>
        <w:tab/>
      </w:r>
      <w:r>
        <w:rPr>
          <w:rFonts w:ascii="Arial" w:cs="Arial" w:eastAsia="Arial" w:hAnsi="Arial"/>
          <w:sz w:val="16"/>
          <w:szCs w:val="16"/>
          <w:color w:val="auto"/>
        </w:rPr>
        <w:t>granting them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certain board designation rights so long as they maintain a certain percentage of ownership of our outstanding</w:t>
      </w:r>
    </w:p>
    <w:p>
      <w:pPr>
        <w:spacing w:after="0" w:line="32"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common stock. As part of their board nomination rights under the Stockholders Agreement, intend to appoint each of Lee Olesky, our Chief Executive Officer, and Billy Hult, our President, as members of our board of directors.</w:t>
      </w:r>
    </w:p>
    <w:p>
      <w:pPr>
        <w:sectPr>
          <w:pgSz w:w="11900" w:h="16838" w:orient="portrait"/>
          <w:cols w:equalWidth="0" w:num="1">
            <w:col w:w="10139"/>
          </w:cols>
          <w:pgMar w:left="320" w:top="131" w:right="1440" w:bottom="1440" w:gutter="0" w:footer="0" w:header="0"/>
        </w:sectPr>
      </w:pPr>
    </w:p>
    <w:p>
      <w:pPr>
        <w:spacing w:after="0" w:line="82" w:lineRule="exact"/>
        <w:rPr>
          <w:sz w:val="20"/>
          <w:szCs w:val="20"/>
          <w:color w:val="auto"/>
        </w:rPr>
      </w:pPr>
    </w:p>
    <w:p>
      <w:pPr>
        <w:ind w:left="1260" w:firstLine="360"/>
        <w:spacing w:after="0" w:line="263" w:lineRule="auto"/>
        <w:rPr>
          <w:sz w:val="20"/>
          <w:szCs w:val="20"/>
          <w:color w:val="auto"/>
        </w:rPr>
      </w:pPr>
      <w:r>
        <w:rPr>
          <w:rFonts w:ascii="Arial" w:cs="Arial" w:eastAsia="Arial" w:hAnsi="Arial"/>
          <w:sz w:val="18"/>
          <w:szCs w:val="18"/>
          <w:color w:val="auto"/>
        </w:rPr>
        <w:t>The above-described provisions of the Stockholders Agreement will remain in effect until longer entitled to nominate any directors pursuant to the Stockholders Agreement, unless terminate at an earlier date.</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are no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request that it</w:t>
      </w:r>
    </w:p>
    <w:p>
      <w:pPr>
        <w:spacing w:after="0" w:line="342" w:lineRule="exact"/>
        <w:rPr>
          <w:sz w:val="20"/>
          <w:szCs w:val="20"/>
          <w:color w:val="auto"/>
        </w:rPr>
      </w:pPr>
    </w:p>
    <w:p>
      <w:pPr>
        <w:sectPr>
          <w:pgSz w:w="11900" w:h="16838" w:orient="portrait"/>
          <w:cols w:equalWidth="0" w:num="2">
            <w:col w:w="8100" w:space="20"/>
            <w:col w:w="2019"/>
          </w:cols>
          <w:pgMar w:left="320" w:top="131" w:right="1440" w:bottom="1440" w:gutter="0" w:footer="0" w:header="0"/>
          <w:type w:val="continuous"/>
        </w:sectPr>
      </w:pPr>
    </w:p>
    <w:p>
      <w:pPr>
        <w:ind w:left="12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620"/>
        <w:spacing w:after="0"/>
        <w:tabs>
          <w:tab w:leader="none" w:pos="6120" w:val="left"/>
          <w:tab w:leader="none" w:pos="8800" w:val="left"/>
        </w:tabs>
        <w:rPr>
          <w:sz w:val="20"/>
          <w:szCs w:val="20"/>
          <w:color w:val="auto"/>
        </w:rPr>
      </w:pPr>
      <w:r>
        <w:rPr>
          <w:rFonts w:ascii="Arial" w:cs="Arial" w:eastAsia="Arial" w:hAnsi="Arial"/>
          <w:sz w:val="18"/>
          <w:szCs w:val="18"/>
          <w:color w:val="auto"/>
        </w:rPr>
        <w:t>We will enter into a Registration Rights Agreement with</w:t>
      </w:r>
      <w:r>
        <w:rPr>
          <w:sz w:val="20"/>
          <w:szCs w:val="20"/>
          <w:color w:val="auto"/>
        </w:rPr>
        <w:tab/>
      </w:r>
      <w:r>
        <w:rPr>
          <w:rFonts w:ascii="Arial" w:cs="Arial" w:eastAsia="Arial" w:hAnsi="Arial"/>
          <w:sz w:val="18"/>
          <w:szCs w:val="18"/>
          <w:color w:val="auto"/>
        </w:rPr>
        <w:t>pursuant to which we will grant</w:t>
      </w:r>
      <w:r>
        <w:rPr>
          <w:sz w:val="20"/>
          <w:szCs w:val="20"/>
          <w:color w:val="auto"/>
        </w:rPr>
        <w:tab/>
      </w:r>
      <w:r>
        <w:rPr>
          <w:rFonts w:ascii="Arial" w:cs="Arial" w:eastAsia="Arial" w:hAnsi="Arial"/>
          <w:sz w:val="16"/>
          <w:szCs w:val="16"/>
          <w:color w:val="auto"/>
        </w:rPr>
        <w:t>, their</w:t>
      </w:r>
    </w:p>
    <w:p>
      <w:pPr>
        <w:sectPr>
          <w:pgSz w:w="11900" w:h="16838" w:orient="portrait"/>
          <w:cols w:equalWidth="0" w:num="1">
            <w:col w:w="10139"/>
          </w:cols>
          <w:pgMar w:left="320" w:top="131" w:right="1440" w:bottom="1440" w:gutter="0" w:footer="0" w:header="0"/>
          <w:type w:val="continuous"/>
        </w:sectPr>
      </w:pPr>
    </w:p>
    <w:p>
      <w:pPr>
        <w:spacing w:after="0" w:line="23" w:lineRule="exact"/>
        <w:rPr>
          <w:sz w:val="20"/>
          <w:szCs w:val="20"/>
          <w:color w:val="auto"/>
        </w:rPr>
      </w:pPr>
    </w:p>
    <w:p>
      <w:pPr>
        <w:ind w:left="1260" w:right="739"/>
        <w:spacing w:after="0" w:line="302" w:lineRule="auto"/>
        <w:rPr>
          <w:sz w:val="20"/>
          <w:szCs w:val="20"/>
          <w:color w:val="auto"/>
        </w:rPr>
      </w:pPr>
      <w:r>
        <w:rPr>
          <w:rFonts w:ascii="Arial" w:cs="Arial" w:eastAsia="Arial" w:hAnsi="Arial"/>
          <w:sz w:val="16"/>
          <w:szCs w:val="16"/>
          <w:color w:val="auto"/>
        </w:rPr>
        <w:t>affiliates and certain of their transferees the right, under certain circumstances and subject to certain restrictions, to require us to register under the Securities Act shares of Class A common stock. will have the right to request an unlimited number of “demand” registrations and will have customary “piggyback” registration rights.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We intend to enter into indemnification agreements with our directors and executive officers. These agreements will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56"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8" w:lineRule="exact"/>
        <w:rPr>
          <w:sz w:val="20"/>
          <w:szCs w:val="20"/>
          <w:color w:val="auto"/>
        </w:rPr>
      </w:pPr>
    </w:p>
    <w:p>
      <w:pPr>
        <w:jc w:val="both"/>
        <w:ind w:left="1260" w:right="719" w:firstLine="360"/>
        <w:spacing w:after="0" w:line="285" w:lineRule="auto"/>
        <w:rPr>
          <w:sz w:val="20"/>
          <w:szCs w:val="20"/>
          <w:color w:val="auto"/>
        </w:rPr>
      </w:pPr>
      <w:r>
        <w:rPr>
          <w:rFonts w:ascii="Arial" w:cs="Arial" w:eastAsia="Arial" w:hAnsi="Arial"/>
          <w:sz w:val="16"/>
          <w:szCs w:val="16"/>
          <w:color w:val="auto"/>
        </w:rPr>
        <w:t>Prior to the completion of this offering, we expect that our board of directors will adopt a policy providing that the audit committee will review and approve or ratify transactions in excess of $120,000 of value in which we participate and in which a director, executive officer or beneficial holder of more than 5% of any class of our voting securities has or will have a direct or indirect material interest. Under this policy, the audit committee is to obtain all information it believes to be relevant to a review and approval or ratification of these transactions.</w:t>
      </w:r>
    </w:p>
    <w:p>
      <w:pPr>
        <w:spacing w:after="0" w:line="2" w:lineRule="exact"/>
        <w:rPr>
          <w:sz w:val="20"/>
          <w:szCs w:val="20"/>
          <w:color w:val="auto"/>
        </w:rPr>
      </w:pPr>
    </w:p>
    <w:p>
      <w:pPr>
        <w:ind w:left="1260" w:right="719"/>
        <w:spacing w:after="0" w:line="252" w:lineRule="auto"/>
        <w:rPr>
          <w:sz w:val="20"/>
          <w:szCs w:val="20"/>
          <w:color w:val="auto"/>
        </w:rPr>
      </w:pPr>
      <w:r>
        <w:rPr>
          <w:rFonts w:ascii="Arial" w:cs="Arial" w:eastAsia="Arial" w:hAnsi="Arial"/>
          <w:sz w:val="18"/>
          <w:szCs w:val="18"/>
          <w:color w:val="auto"/>
        </w:rPr>
        <w:t>After consideration of the relevant information, the audit committee is to approve only those related party transactions that the audit committee believes are on their terms, taken as a whole, no less favorable to us than could be obtained in an arm’s-length transaction with an unrelated third party and that the audit committee determines are not inconsistent with the best interests of the Company. In particular, our policy with respect to related party transactions will require our audit committee to consider the benefits to the Company, the impact on a director’s independence in the event the</w:t>
      </w:r>
    </w:p>
    <w:p>
      <w:pPr>
        <w:spacing w:after="0" w:line="2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93" w:lineRule="auto"/>
        <w:rPr>
          <w:sz w:val="20"/>
          <w:szCs w:val="20"/>
          <w:color w:val="auto"/>
        </w:rPr>
      </w:pPr>
      <w:r>
        <w:rPr>
          <w:rFonts w:ascii="Arial" w:cs="Arial" w:eastAsia="Arial" w:hAnsi="Arial"/>
          <w:sz w:val="16"/>
          <w:szCs w:val="16"/>
          <w:color w:val="auto"/>
        </w:rPr>
        <w:t>related person is a director, an immediate family member of a director or an entity in which a director has a position or relationship, the availability of other sources for comparable products or services, the terms of the transaction and the terms available to unrelated third parties or to employees generally. A “related party” is any person who is or was one of our executive officers, directors or director nominees or is a holder of more than 5% of our common stock, or their immediate family members or any entity owned or controlled by any of the foregoing persons. All of the transactions described above were entered into prior to the adoption of this policy.</w:t>
      </w:r>
    </w:p>
    <w:p>
      <w:pPr>
        <w:spacing w:after="0" w:line="56"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www.sec.gov</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CAPITAL STOCK</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In connection with this offering, we will amend and restate our certificate of incorporation and our bylaws. The following is a description of the material terms of, and is qualified in its entirety by, our amended and restated certificate of incorporation and amended and restated bylaws, each of which will be in effect upon the completion of this offering, the forms of which are filed as exhibits to the registration statement of which this prospectus forms a part. Under “Description of Capital Stock,” “we,” “us,” “our” and “our company” refer to Tradeweb Markets Inc. and not to any of its subsidiaries.</w:t>
      </w:r>
    </w:p>
    <w:p>
      <w:pPr>
        <w:spacing w:after="0" w:line="84" w:lineRule="exact"/>
        <w:rPr>
          <w:sz w:val="20"/>
          <w:szCs w:val="20"/>
          <w:color w:val="auto"/>
        </w:rPr>
      </w:pPr>
    </w:p>
    <w:p>
      <w:pPr>
        <w:ind w:left="1260" w:right="1039" w:firstLine="360"/>
        <w:spacing w:after="0" w:line="291" w:lineRule="auto"/>
        <w:rPr>
          <w:sz w:val="20"/>
          <w:szCs w:val="20"/>
          <w:color w:val="auto"/>
        </w:rPr>
      </w:pPr>
      <w:r>
        <w:rPr>
          <w:rFonts w:ascii="Arial" w:cs="Arial" w:eastAsia="Arial" w:hAnsi="Arial"/>
          <w:sz w:val="16"/>
          <w:szCs w:val="16"/>
          <w:color w:val="auto"/>
        </w:rPr>
        <w:t>Our purpose is to engage in any lawful act or activity for which corporations may now or hereafter be organized under the DGCL. Upon the completion of this offering, our authorized capital stock will consist of</w:t>
      </w:r>
    </w:p>
    <w:p>
      <w:pPr>
        <w:ind w:left="1260" w:right="839" w:firstLine="405"/>
        <w:spacing w:after="0" w:line="281" w:lineRule="auto"/>
        <w:rPr>
          <w:sz w:val="20"/>
          <w:szCs w:val="20"/>
          <w:color w:val="auto"/>
        </w:rPr>
      </w:pPr>
      <w:r>
        <w:rPr>
          <w:rFonts w:ascii="Arial" w:cs="Arial" w:eastAsia="Arial" w:hAnsi="Arial"/>
          <w:sz w:val="16"/>
          <w:szCs w:val="16"/>
          <w:color w:val="auto"/>
        </w:rPr>
        <w:t>shares of Class A common stock, par value $0.01 per share, shares of Class B common stock, par value $0.01 per share, shares of Class C common stock, par value $0.01 per share, shares of Class D common stock, par value $0.01 per share, and shares of preferred stock, par value $0.01 per share. Unless</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our board of directors determines otherwise, we will issue all shares of our capital stock in uncertificated form.</w:t>
      </w:r>
    </w:p>
    <w:p>
      <w:pPr>
        <w:spacing w:after="0" w:line="126" w:lineRule="exact"/>
        <w:rPr>
          <w:sz w:val="20"/>
          <w:szCs w:val="20"/>
          <w:color w:val="auto"/>
        </w:rPr>
      </w:pPr>
    </w:p>
    <w:p>
      <w:pPr>
        <w:jc w:val="both"/>
        <w:ind w:left="1260" w:right="799" w:firstLine="360"/>
        <w:spacing w:after="0" w:line="286" w:lineRule="auto"/>
        <w:rPr>
          <w:sz w:val="20"/>
          <w:szCs w:val="20"/>
          <w:color w:val="auto"/>
        </w:rPr>
      </w:pPr>
      <w:r>
        <w:rPr>
          <w:rFonts w:ascii="Arial" w:cs="Arial" w:eastAsia="Arial" w:hAnsi="Arial"/>
          <w:sz w:val="17"/>
          <w:szCs w:val="17"/>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79" w:lineRule="exact"/>
        <w:rPr>
          <w:sz w:val="20"/>
          <w:szCs w:val="20"/>
          <w:color w:val="auto"/>
        </w:rPr>
      </w:pPr>
    </w:p>
    <w:p>
      <w:pPr>
        <w:ind w:left="1260" w:right="679" w:firstLine="360"/>
        <w:spacing w:after="0" w:line="293" w:lineRule="auto"/>
        <w:rPr>
          <w:sz w:val="20"/>
          <w:szCs w:val="20"/>
          <w:color w:val="auto"/>
        </w:rPr>
      </w:pPr>
      <w:r>
        <w:rPr>
          <w:rFonts w:ascii="Arial" w:cs="Arial" w:eastAsia="Arial" w:hAnsi="Arial"/>
          <w:sz w:val="16"/>
          <w:szCs w:val="16"/>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A common stock unless they are declared or paid in the same amount in respect of Class B common stock, and vice versa. With respect to stock dividends, holders of Class A common stock must receive Class A common stock.</w:t>
      </w:r>
    </w:p>
    <w:p>
      <w:pPr>
        <w:spacing w:after="0" w:line="56"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A common stock and Class B common stock will be entitled to share ratably our remaining assets available for distribution.</w:t>
      </w:r>
    </w:p>
    <w:p>
      <w:pPr>
        <w:spacing w:after="0" w:line="79"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All shares of our Class A common stock that will be outstanding upon the completion of this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0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Holders of shares of our Class B common stock are entitled to ten votes for each share held of record on all matters on which stockholders are entitled to vote generally, including the election or removal of directors elected by our stockholders generally. The holders of our Class B common stock do not have cumulative voting rights in the election of directors.</w:t>
      </w: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93" w:lineRule="auto"/>
        <w:rPr>
          <w:sz w:val="20"/>
          <w:szCs w:val="20"/>
          <w:color w:val="auto"/>
        </w:rPr>
      </w:pPr>
      <w:r>
        <w:rPr>
          <w:rFonts w:ascii="Arial" w:cs="Arial" w:eastAsia="Arial" w:hAnsi="Arial"/>
          <w:sz w:val="16"/>
          <w:szCs w:val="16"/>
          <w:color w:val="auto"/>
        </w:rPr>
        <w:t>Holders of shares of our Class B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B common stock unless they are declared or paid in the same amount in respect of Class A common stock, and vice versa. With respect to stock dividends, holders of Class B common stock must receive Class B common stock.</w:t>
      </w:r>
    </w:p>
    <w:p>
      <w:pPr>
        <w:spacing w:after="0" w:line="56"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B common stock and Class A common stock will be entitled to share ratably our remaining assets available for distribution.</w:t>
      </w:r>
    </w:p>
    <w:p>
      <w:pPr>
        <w:spacing w:after="0" w:line="79"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All shares of our Class B common stock that will be outstanding at the time of the completion of the offering will be fully paid and non-assessable. The Class B common stock will not be subject to further calls or assessments by us. Holders of shares of our Class B common stock do not have preemptive, subscription, redemption or conversion rights. There will be no redemption or sinking fund provisions applicable to the Class B common stock. The rights, powers, preferences and privileges of our Class B common stock will be subject to those of the holders of any shares of our preferred stock or any other series or class of stock we may authorize and issue in the future.</w:t>
      </w:r>
    </w:p>
    <w:p>
      <w:pPr>
        <w:spacing w:after="0" w:line="87" w:lineRule="exact"/>
        <w:rPr>
          <w:sz w:val="20"/>
          <w:szCs w:val="20"/>
          <w:color w:val="auto"/>
        </w:rPr>
      </w:pPr>
    </w:p>
    <w:p>
      <w:pPr>
        <w:jc w:val="both"/>
        <w:ind w:left="1260" w:right="659" w:firstLine="360"/>
        <w:spacing w:after="0" w:line="277" w:lineRule="auto"/>
        <w:rPr>
          <w:sz w:val="20"/>
          <w:szCs w:val="20"/>
          <w:color w:val="auto"/>
        </w:rPr>
      </w:pPr>
      <w:r>
        <w:rPr>
          <w:rFonts w:ascii="Arial" w:cs="Arial" w:eastAsia="Arial" w:hAnsi="Arial"/>
          <w:sz w:val="18"/>
          <w:szCs w:val="18"/>
          <w:color w:val="auto"/>
        </w:rPr>
        <w:t>Upon the completion of this offering, the Refinitiv Direct Owners will own 100% of our outstanding Class B common stock.</w:t>
      </w:r>
    </w:p>
    <w:p>
      <w:pPr>
        <w:spacing w:after="0" w:line="62" w:lineRule="exact"/>
        <w:rPr>
          <w:sz w:val="20"/>
          <w:szCs w:val="20"/>
          <w:color w:val="auto"/>
        </w:rPr>
      </w:pPr>
    </w:p>
    <w:p>
      <w:pPr>
        <w:jc w:val="both"/>
        <w:ind w:left="1260" w:right="659" w:firstLine="360"/>
        <w:spacing w:after="0" w:line="263" w:lineRule="auto"/>
        <w:rPr>
          <w:sz w:val="20"/>
          <w:szCs w:val="20"/>
          <w:color w:val="auto"/>
        </w:rPr>
      </w:pPr>
      <w:r>
        <w:rPr>
          <w:rFonts w:ascii="Arial" w:cs="Arial" w:eastAsia="Arial" w:hAnsi="Arial"/>
          <w:sz w:val="18"/>
          <w:szCs w:val="18"/>
          <w:color w:val="auto"/>
        </w:rPr>
        <w:t>Shares of Class B common stock may be exchanged at any time, at the option of the holder, for newly issued shares of Class A common stock, on a one-for-one basis (in which case their shares of Class B common stock will be cancelled on a one-for-one basis upon any such issuance).</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Each share of Class B common stock will automatically convert into one share of Class A common stock</w:t>
      </w:r>
    </w:p>
    <w:p>
      <w:pPr>
        <w:spacing w:after="0" w:line="35" w:lineRule="exact"/>
        <w:rPr>
          <w:sz w:val="20"/>
          <w:szCs w:val="20"/>
          <w:color w:val="auto"/>
        </w:rPr>
      </w:pPr>
    </w:p>
    <w:p>
      <w:pPr>
        <w:ind w:left="1260" w:right="819" w:firstLine="8"/>
        <w:spacing w:after="0" w:line="253" w:lineRule="auto"/>
        <w:tabs>
          <w:tab w:leader="none" w:pos="14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immediately prior to any sale or other transfer of such share by a holder or any of its affiliates or permitted transferees or (ii) once the Refinitiv Owners and their affiliates together no longer beneficially own a number of shares of our common stock and LLC Interests that together entitle them to at least 10% of our economic interests.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Holders of shares of our Class C common stock are entitled to one vote for each share held of record on all matters on which stockholders are entitled to vote generally, including the election or removal of directors elected by our stockholders generally, with the number of shares of Class C common stock held by each holder being equivalent to the number of LLC Interests held by such holder. The holders of our Class C common stock do not have cumulative voting rights in the election of directors.</w:t>
      </w:r>
    </w:p>
    <w:p>
      <w:pPr>
        <w:spacing w:after="0" w:line="68"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Holders of shares of our Class C common stock are not entitled to receive dividends or a distribution upon our liquidation, dissolution or winding up.</w:t>
      </w:r>
    </w:p>
    <w:p>
      <w:pPr>
        <w:spacing w:after="0" w:line="62"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The Class C common stock will not be subject to further calls or assessments by us. Holders of shares of our Class C common stock do not have preemptive, subscription, redemption or conversion rights. There will be no redemption or sinking fund provisions applicable to the Class C common stock. The rights powers, preferences and privileges of our Class C common stock will be subject to those of the holders of any shares of our preferred stock or any other series or class of stock we may authorize and issue in the future.</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will be no outstanding shares of Class C common stock upon completion of this offering.</w:t>
      </w:r>
    </w:p>
    <w:p>
      <w:pPr>
        <w:spacing w:after="0" w:line="117"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Shares of Class C common stock will only be issued in the future to the extent (i) the Continuing LLC Owners from time to time exchange all or a portion of their shares of our Class D common stock for newly issued shares of Class C common stock on a one-for-one basis (in which case their shares of Class D common stock will be cancelled on a one-for-one basis upon such issuance), or (ii) necessary to maintain a one-to-one ratio between the number of shares of Class C common stock issued to the Continuing LLC Owners and the number of related LLC interests held by the Continuing LLC Owners. Shares of Class C</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common stock will be cancelled on a one-for-one basis if we, at the election of a holder, redeem the related LLC Interests held by such holder pursuant to the terms of the TWM LLC Agreement. Our Class C common stock is non-transferable, other than in connection with a transfer of the related LLC Interests to a permitted transferee under the TWM LLC Agreement, in which case a like number of shares of Class C common stock must be transferred to the permitted transferee.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Holders of shares of our Class D common stock are entitled to ten votes for each share held of record on all matters on which stockholders are entitled to vote generally, including the election or removal of directors elected by our stockholders generally, with the number of shares of Class D common stock held by each holder being equivalent to the number of LLC Interests held by such holder. The holders of our Class D common stock do not have cumulative voting rights in the election of directors.</w:t>
      </w:r>
    </w:p>
    <w:p>
      <w:pPr>
        <w:spacing w:after="0" w:line="6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Holders of shares of our Class D common stock are not entitled to receive dividends or a distribution upon our liquidation, dissolution or winding up.</w:t>
      </w:r>
    </w:p>
    <w:p>
      <w:pPr>
        <w:spacing w:after="0" w:line="6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All shares of our Class D common stock that will be outstanding upon completion of this offering will be fully paid and non-assessable. The Class D common stock will not be subject to further calls or assessments by us. Holders of shares of our Class D common stock do not have preemptive, subscription, redemption or conversion rights. There will be no redemption or sinking fund provisions applicable to the Class D common stock. The rights, powers, preferences and privileges of our Class D common stock will be subject to those of the holders of any shares of our preferred stock or any other series or class of stock we may authorize and issue in the future.</w:t>
      </w:r>
    </w:p>
    <w:p>
      <w:pPr>
        <w:spacing w:after="0" w:line="87"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Upon the completion of this offering, the Continuing LLC Owners will own 100% of our outstanding Class D common stock, with the number of shares of Class D common stock held by any such Continuing LLC Owner being equivalent to the number of LLC Interests held by such Continuing LLC Owner.</w:t>
      </w:r>
    </w:p>
    <w:p>
      <w:pPr>
        <w:spacing w:after="0" w:line="57"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Shares of Class D common stock will only be issued in the future to the extent necessary to maintain a one-to-one ratio between the number of shares of Class D common stock issued to the Continuing LLC Owners and the number of related LLC Intersts held by the Continuing LLC Owners. Shares of Class D common stock will be cancelled on a one-for-one basis if we, at the election of a Continuing LLC Owner, redeem the related LLC Interests held by such Continuing LLC Owner pursuant to the terms of the TWM LLC Agreement. Furthermore, the Continuing LLC Owners may from time to time exchange all or a portion of their shares of our Class D common stock for newly issued shares of Class C common stock on a one-for-one basis (in which case their shares of Class D common stock will be cancelled on a one-for-one basis upon such issuance). Our Class D common stock is non-transferable, other than in connection with a transfer of the related LLC Interests to a permitted transferee under the TWM LLC Agreement, in which case a like number of shares of Class D common stock must be transferred to the permitted transferee.</w:t>
      </w:r>
    </w:p>
    <w:p>
      <w:pPr>
        <w:spacing w:after="0" w:line="7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Each share of Class D common stock will automatically convert into one share of Class C common stock</w:t>
      </w:r>
    </w:p>
    <w:p>
      <w:pPr>
        <w:spacing w:after="0" w:line="46" w:lineRule="exact"/>
        <w:rPr>
          <w:sz w:val="20"/>
          <w:szCs w:val="20"/>
          <w:color w:val="auto"/>
        </w:rPr>
      </w:pPr>
    </w:p>
    <w:p>
      <w:pPr>
        <w:ind w:left="1260" w:right="699" w:firstLine="8"/>
        <w:spacing w:after="0" w:line="253" w:lineRule="auto"/>
        <w:tabs>
          <w:tab w:leader="none" w:pos="147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immediately prior to any sale or other transfer of such share by a Continuing LLC Owner or any of its affiliates or permitted transferees, which sale or transfer will be limited by the transfer restrictions on LLC Interests contained in the TWM LLC Agreement, or (ii) once the Refinitiv Owners and their affiliates together no longer beneficially own a number of shares of our common stock and LLC Interests that together entitle them to at least 10% of our economic interests.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No shares of preferred stock will be issued or outstanding immediately after the offering contemplated by this prospectus.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03" w:lineRule="exact"/>
        <w:rPr>
          <w:rFonts w:ascii="Arial" w:cs="Arial" w:eastAsia="Arial" w:hAnsi="Arial"/>
          <w:sz w:val="18"/>
          <w:szCs w:val="18"/>
          <w:color w:val="auto"/>
        </w:rPr>
      </w:pPr>
    </w:p>
    <w:p>
      <w:pPr>
        <w:jc w:val="both"/>
        <w:ind w:left="1980" w:right="779" w:hanging="352"/>
        <w:spacing w:after="0" w:line="311" w:lineRule="auto"/>
        <w:tabs>
          <w:tab w:leader="none" w:pos="1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13" w:lineRule="exact"/>
        <w:rPr>
          <w:rFonts w:ascii="Arial" w:cs="Arial" w:eastAsia="Arial" w:hAnsi="Arial"/>
          <w:sz w:val="16"/>
          <w:szCs w:val="16"/>
          <w:color w:val="auto"/>
        </w:rPr>
      </w:pPr>
    </w:p>
    <w:p>
      <w:pPr>
        <w:ind w:left="1980" w:hanging="352"/>
        <w:spacing w:after="0"/>
        <w:tabs>
          <w:tab w:leader="none" w:pos="19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15" w:lineRule="exact"/>
        <w:rPr>
          <w:rFonts w:ascii="Arial" w:cs="Arial" w:eastAsia="Arial" w:hAnsi="Arial"/>
          <w:sz w:val="17"/>
          <w:szCs w:val="17"/>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redemption or repurchase rights and price or prices, if any, for shares of the series;</w:t>
      </w:r>
    </w:p>
    <w:p>
      <w:pPr>
        <w:spacing w:after="0" w:line="90"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48"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w:t>
      </w:r>
    </w:p>
    <w:p>
      <w:pPr>
        <w:spacing w:after="0" w:line="35" w:lineRule="exact"/>
        <w:rPr>
          <w:rFonts w:ascii="Arial" w:cs="Arial" w:eastAsia="Arial" w:hAnsi="Arial"/>
          <w:sz w:val="18"/>
          <w:szCs w:val="18"/>
          <w:color w:val="auto"/>
        </w:rPr>
      </w:pPr>
    </w:p>
    <w:p>
      <w:pPr>
        <w:ind w:left="1980" w:right="719" w:hanging="352"/>
        <w:spacing w:after="0" w:line="257"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6" w:lineRule="exact"/>
        <w:rPr>
          <w:rFonts w:ascii="Arial" w:cs="Arial" w:eastAsia="Arial" w:hAnsi="Arial"/>
          <w:sz w:val="18"/>
          <w:szCs w:val="18"/>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Class A common stock.</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73"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We have no current plans to pay dividends on our Class A common stock or Class B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will only be able to pay dividends from funds we receive from our subsidiaries. In addition, our ability to pay dividends may be limited by the agreements governing indebtedness we or our subsidiaries incur in the future.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08" w:lineRule="exact"/>
        <w:rPr>
          <w:sz w:val="20"/>
          <w:szCs w:val="20"/>
          <w:color w:val="auto"/>
        </w:rPr>
      </w:pPr>
    </w:p>
    <w:p>
      <w:pPr>
        <w:jc w:val="both"/>
        <w:ind w:left="1260" w:right="799" w:firstLine="360"/>
        <w:spacing w:after="0" w:line="263"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1159"/>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Delaware law does not require stockholder approval for any issuance of shares that are authorized and</w:t>
      </w:r>
    </w:p>
    <w:p>
      <w:pPr>
        <w:spacing w:after="0" w:line="35" w:lineRule="exact"/>
        <w:rPr>
          <w:sz w:val="20"/>
          <w:szCs w:val="20"/>
          <w:color w:val="auto"/>
        </w:rPr>
      </w:pPr>
    </w:p>
    <w:p>
      <w:pPr>
        <w:ind w:left="1260" w:right="659"/>
        <w:spacing w:after="0" w:line="265" w:lineRule="auto"/>
        <w:rPr>
          <w:sz w:val="20"/>
          <w:szCs w:val="20"/>
          <w:color w:val="auto"/>
        </w:rPr>
      </w:pPr>
      <w:r>
        <w:rPr>
          <w:rFonts w:ascii="Arial" w:cs="Arial" w:eastAsia="Arial" w:hAnsi="Arial"/>
          <w:sz w:val="17"/>
          <w:szCs w:val="17"/>
          <w:color w:val="auto"/>
        </w:rPr>
        <w:t>available for issuance. However, the listing requirements of the , which would apply so long as our Class A common stock remains listed on the , require stockholder approval of certain issuances equal to or</w:t>
      </w:r>
    </w:p>
    <w:p>
      <w:pPr>
        <w:jc w:val="both"/>
        <w:ind w:left="1260" w:right="719"/>
        <w:spacing w:after="0" w:line="255" w:lineRule="auto"/>
        <w:rPr>
          <w:sz w:val="20"/>
          <w:szCs w:val="20"/>
          <w:color w:val="auto"/>
        </w:rPr>
      </w:pPr>
      <w:r>
        <w:rPr>
          <w:rFonts w:ascii="Arial" w:cs="Arial" w:eastAsia="Arial" w:hAnsi="Arial"/>
          <w:sz w:val="18"/>
          <w:szCs w:val="18"/>
          <w:color w:val="auto"/>
        </w:rPr>
        <w:t>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82" w:lineRule="exact"/>
        <w:rPr>
          <w:sz w:val="20"/>
          <w:szCs w:val="20"/>
          <w:color w:val="auto"/>
        </w:rPr>
      </w:pPr>
    </w:p>
    <w:p>
      <w:pPr>
        <w:ind w:left="1260" w:right="1039" w:firstLine="360"/>
        <w:spacing w:after="0" w:line="255" w:lineRule="auto"/>
        <w:rPr>
          <w:sz w:val="20"/>
          <w:szCs w:val="20"/>
          <w:color w:val="auto"/>
        </w:rPr>
      </w:pPr>
      <w:r>
        <w:rPr>
          <w:rFonts w:ascii="Arial" w:cs="Arial" w:eastAsia="Arial" w:hAnsi="Arial"/>
          <w:sz w:val="18"/>
          <w:szCs w:val="18"/>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8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4"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4"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60" w:lineRule="exact"/>
        <w:rPr>
          <w:sz w:val="20"/>
          <w:szCs w:val="20"/>
          <w:color w:val="auto"/>
        </w:rPr>
      </w:pPr>
    </w:p>
    <w:p>
      <w:pPr>
        <w:ind w:left="1980" w:right="899" w:hanging="352"/>
        <w:spacing w:after="0" w:line="277" w:lineRule="auto"/>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39" w:hanging="352"/>
        <w:spacing w:after="0" w:line="263" w:lineRule="auto"/>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43" w:lineRule="exact"/>
        <w:rPr>
          <w:rFonts w:ascii="Arial" w:cs="Arial" w:eastAsia="Arial" w:hAnsi="Arial"/>
          <w:sz w:val="18"/>
          <w:szCs w:val="18"/>
          <w:color w:val="auto"/>
        </w:rPr>
      </w:pPr>
    </w:p>
    <w:p>
      <w:pPr>
        <w:ind w:left="1980" w:right="699" w:hanging="352"/>
        <w:spacing w:after="0" w:line="231" w:lineRule="auto"/>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80"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8"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04" w:lineRule="exact"/>
        <w:rPr>
          <w:sz w:val="20"/>
          <w:szCs w:val="20"/>
          <w:color w:val="auto"/>
        </w:rPr>
      </w:pPr>
    </w:p>
    <w:p>
      <w:pPr>
        <w:ind w:left="1260" w:right="699" w:firstLine="360"/>
        <w:spacing w:after="0" w:line="276" w:lineRule="auto"/>
        <w:rPr>
          <w:sz w:val="20"/>
          <w:szCs w:val="20"/>
          <w:color w:val="auto"/>
        </w:rPr>
      </w:pPr>
      <w:r>
        <w:rPr>
          <w:rFonts w:ascii="Arial" w:cs="Arial" w:eastAsia="Arial" w:hAnsi="Arial"/>
          <w:sz w:val="16"/>
          <w:szCs w:val="16"/>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directors may be removed with or without cause upon the affirmative vote of a majority in voting power of all outstanding shares of stock entitled to vote generally in the election of directors, voting together as a single class; provided, however, at any time when Refinitiv Owners and its affiliates beneficially own in the aggregate, less than % of the voting power of all the outstanding shares of our stock entitled to vote generally in the election of directors, directors may only be removed for cause, and only upon the affirmative vote of holders of at least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voting power of all the then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the Refinitiv Owners and their affiliates beneficially own, in</w:t>
      </w:r>
    </w:p>
    <w:p>
      <w:pPr>
        <w:spacing w:after="0" w:line="10" w:lineRule="exact"/>
        <w:rPr>
          <w:sz w:val="20"/>
          <w:szCs w:val="20"/>
          <w:color w:val="auto"/>
        </w:rPr>
      </w:pPr>
    </w:p>
    <w:p>
      <w:pPr>
        <w:ind w:left="1260" w:right="699"/>
        <w:spacing w:after="0" w:line="253" w:lineRule="auto"/>
        <w:rPr>
          <w:sz w:val="20"/>
          <w:szCs w:val="20"/>
          <w:color w:val="auto"/>
        </w:rPr>
      </w:pPr>
      <w:r>
        <w:rPr>
          <w:rFonts w:ascii="Arial" w:cs="Arial" w:eastAsia="Arial" w:hAnsi="Arial"/>
          <w:sz w:val="18"/>
          <w:szCs w:val="18"/>
          <w:color w:val="auto"/>
        </w:rPr>
        <w:t>the aggregate, less than % of the voting power of all outstanding Shares of our stock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60" w:right="1039" w:firstLine="360"/>
        <w:spacing w:after="0" w:line="301" w:lineRule="auto"/>
        <w:rPr>
          <w:sz w:val="20"/>
          <w:szCs w:val="20"/>
          <w:color w:val="auto"/>
        </w:rPr>
      </w:pPr>
      <w:r>
        <w:rPr>
          <w:rFonts w:ascii="Arial" w:cs="Arial" w:eastAsia="Arial" w:hAnsi="Arial"/>
          <w:sz w:val="16"/>
          <w:szCs w:val="16"/>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04"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6"/>
          <w:szCs w:val="16"/>
          <w:color w:val="auto"/>
        </w:rPr>
        <w:t>Our amended and restated certificate of incorporation provides that special meetings of our stockholders may be called at any time only by or at the direction of the board of directors or the chairman of the board of directors; provided, however, at any time when the Refinitiv Owners and their affiliates beneficially own, in the</w:t>
      </w:r>
    </w:p>
    <w:p>
      <w:pPr>
        <w:spacing w:after="0" w:line="2" w:lineRule="exact"/>
        <w:rPr>
          <w:sz w:val="20"/>
          <w:szCs w:val="20"/>
          <w:color w:val="auto"/>
        </w:rPr>
      </w:pPr>
    </w:p>
    <w:p>
      <w:pPr>
        <w:ind w:left="1260" w:right="739"/>
        <w:spacing w:after="0" w:line="252" w:lineRule="auto"/>
        <w:rPr>
          <w:sz w:val="20"/>
          <w:szCs w:val="20"/>
          <w:color w:val="auto"/>
        </w:rPr>
      </w:pPr>
      <w:r>
        <w:rPr>
          <w:rFonts w:ascii="Arial" w:cs="Arial" w:eastAsia="Arial" w:hAnsi="Arial"/>
          <w:sz w:val="18"/>
          <w:szCs w:val="18"/>
          <w:color w:val="auto"/>
        </w:rPr>
        <w:t>aggregate, at least % in voting power of the stock entitled to vote generally in the election of directors, special meetings of our stockholders shall also be called by the board of directors or the chairman of the board of directors at the request of the Refinitiv Owners and their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04"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Refinitiv Owners and their affiliates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04"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at any time when the Refinitiv Owners and their affiliates own, in the</w:t>
      </w:r>
    </w:p>
    <w:p>
      <w:pPr>
        <w:spacing w:after="0" w:line="2" w:lineRule="exact"/>
        <w:rPr>
          <w:sz w:val="20"/>
          <w:szCs w:val="20"/>
          <w:color w:val="auto"/>
        </w:rPr>
      </w:pPr>
    </w:p>
    <w:p>
      <w:pPr>
        <w:ind w:left="1260"/>
        <w:spacing w:after="0"/>
        <w:tabs>
          <w:tab w:leader="none" w:pos="3060" w:val="left"/>
        </w:tabs>
        <w:rPr>
          <w:sz w:val="20"/>
          <w:szCs w:val="20"/>
          <w:color w:val="auto"/>
        </w:rPr>
      </w:pPr>
      <w:r>
        <w:rPr>
          <w:rFonts w:ascii="Arial" w:cs="Arial" w:eastAsia="Arial" w:hAnsi="Arial"/>
          <w:sz w:val="18"/>
          <w:szCs w:val="18"/>
          <w:color w:val="auto"/>
        </w:rPr>
        <w:t>aggregate, less than</w:t>
      </w:r>
      <w:r>
        <w:rPr>
          <w:sz w:val="20"/>
          <w:szCs w:val="20"/>
          <w:color w:val="auto"/>
        </w:rPr>
        <w:tab/>
      </w:r>
      <w:r>
        <w:rPr>
          <w:rFonts w:ascii="Arial" w:cs="Arial" w:eastAsia="Arial" w:hAnsi="Arial"/>
          <w:sz w:val="16"/>
          <w:szCs w:val="16"/>
          <w:color w:val="auto"/>
        </w:rPr>
        <w:t>% in voting power of our stock entitled to vote generally in the election of directors.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For as long as the Refinitiv Owners and their affiliates</w:t>
      </w:r>
    </w:p>
    <w:p>
      <w:pPr>
        <w:spacing w:after="0" w:line="1" w:lineRule="exact"/>
        <w:rPr>
          <w:sz w:val="20"/>
          <w:szCs w:val="20"/>
          <w:color w:val="auto"/>
        </w:rPr>
      </w:pPr>
    </w:p>
    <w:p>
      <w:pPr>
        <w:ind w:left="1260" w:right="899"/>
        <w:spacing w:after="0" w:line="281" w:lineRule="auto"/>
        <w:rPr>
          <w:sz w:val="20"/>
          <w:szCs w:val="20"/>
          <w:color w:val="auto"/>
        </w:rPr>
      </w:pPr>
      <w:r>
        <w:rPr>
          <w:rFonts w:ascii="Arial" w:cs="Arial" w:eastAsia="Arial" w:hAnsi="Arial"/>
          <w:sz w:val="16"/>
          <w:szCs w:val="16"/>
          <w:color w:val="auto"/>
        </w:rPr>
        <w:t>beneficially own, in the aggregate, at least % in voting power of our stock entitled to vote generally in the election of directors, any amendment, alteration, change, addition or repeal of our bylaws by our stockholders requires the affirmative vote of a majority in voting power of the outstanding shares of our stock present in person or represented by proxy at the meeting and entitled to vote on such amendment, alteration, rescission or</w:t>
      </w:r>
    </w:p>
    <w:p>
      <w:pPr>
        <w:spacing w:after="0" w:line="2" w:lineRule="exact"/>
        <w:rPr>
          <w:sz w:val="20"/>
          <w:szCs w:val="20"/>
          <w:color w:val="auto"/>
        </w:rPr>
      </w:pPr>
    </w:p>
    <w:p>
      <w:pPr>
        <w:ind w:left="1260" w:right="739"/>
        <w:spacing w:after="0" w:line="301" w:lineRule="auto"/>
        <w:rPr>
          <w:sz w:val="20"/>
          <w:szCs w:val="20"/>
          <w:color w:val="auto"/>
        </w:rPr>
      </w:pPr>
      <w:r>
        <w:rPr>
          <w:rFonts w:ascii="Arial" w:cs="Arial" w:eastAsia="Arial" w:hAnsi="Arial"/>
          <w:sz w:val="16"/>
          <w:szCs w:val="16"/>
          <w:color w:val="auto"/>
        </w:rPr>
        <w:t>repeal. At any time when Refinitiv and its affiliates beneficially own, in the aggregate, less than % in voting power of our stock entitled to vote generally in the election of directors, any amendment, alteration, rescission or repeal of our bylaws by our stockholders requires the affirmative vote of the holders of at least 66</w:t>
      </w:r>
      <w:r>
        <w:rPr>
          <w:rFonts w:ascii="Arial" w:cs="Arial" w:eastAsia="Arial" w:hAnsi="Arial"/>
          <w:sz w:val="11"/>
          <w:szCs w:val="11"/>
          <w:color w:val="auto"/>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voting power of all the then outstanding shares of stock entitled to vote thereon, voting together as a single class.</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99" w:firstLine="360"/>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Our amended and restated certificate of incorporation provides that at any time when the Refinitiv Owners</w:t>
      </w:r>
    </w:p>
    <w:p>
      <w:pPr>
        <w:spacing w:after="0" w:line="46" w:lineRule="exact"/>
        <w:rPr>
          <w:sz w:val="20"/>
          <w:szCs w:val="20"/>
          <w:color w:val="auto"/>
        </w:rPr>
      </w:pPr>
    </w:p>
    <w:p>
      <w:pPr>
        <w:ind w:left="1260" w:right="799"/>
        <w:spacing w:after="0" w:line="256" w:lineRule="auto"/>
        <w:rPr>
          <w:sz w:val="20"/>
          <w:szCs w:val="20"/>
          <w:color w:val="auto"/>
        </w:rPr>
      </w:pPr>
      <w:r>
        <w:rPr>
          <w:rFonts w:ascii="Arial" w:cs="Arial" w:eastAsia="Arial" w:hAnsi="Arial"/>
          <w:sz w:val="18"/>
          <w:szCs w:val="18"/>
          <w:color w:val="auto"/>
        </w:rPr>
        <w:t>and their affiliates beneficially own, in the aggregate, less than % in voting power of our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all the then outstanding shares of our stock entitled to vote thereon, voting together as a single class:</w:t>
      </w:r>
    </w:p>
    <w:p>
      <w:pPr>
        <w:spacing w:after="0" w:line="164" w:lineRule="exact"/>
        <w:rPr>
          <w:sz w:val="20"/>
          <w:szCs w:val="20"/>
          <w:color w:val="auto"/>
        </w:rPr>
      </w:pPr>
    </w:p>
    <w:p>
      <w:pPr>
        <w:ind w:left="1980" w:right="1239" w:hanging="352"/>
        <w:spacing w:after="0" w:line="223"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 for stockholders to amend our amended and restated bylaws;</w:t>
      </w:r>
    </w:p>
    <w:p>
      <w:pPr>
        <w:spacing w:after="0" w:line="161" w:lineRule="exact"/>
        <w:rPr>
          <w:rFonts w:ascii="Arial" w:cs="Arial" w:eastAsia="Arial" w:hAnsi="Arial"/>
          <w:sz w:val="18"/>
          <w:szCs w:val="18"/>
          <w:color w:val="auto"/>
        </w:rPr>
      </w:pPr>
    </w:p>
    <w:p>
      <w:pPr>
        <w:ind w:left="1980" w:hanging="352"/>
        <w:spacing w:after="0"/>
        <w:tabs>
          <w:tab w:leader="none" w:pos="19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96" w:lineRule="exact"/>
        <w:rPr>
          <w:rFonts w:ascii="Arial" w:cs="Arial" w:eastAsia="Arial" w:hAnsi="Arial"/>
          <w:sz w:val="17"/>
          <w:szCs w:val="17"/>
          <w:color w:val="auto"/>
        </w:rPr>
      </w:pPr>
    </w:p>
    <w:p>
      <w:pPr>
        <w:ind w:left="1980" w:hanging="352"/>
        <w:spacing w:after="0"/>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newly-created directorships;</w:t>
      </w:r>
    </w:p>
    <w:p>
      <w:pPr>
        <w:spacing w:after="0" w:line="196" w:lineRule="exact"/>
        <w:rPr>
          <w:rFonts w:ascii="Arial" w:cs="Arial" w:eastAsia="Arial" w:hAnsi="Arial"/>
          <w:sz w:val="17"/>
          <w:szCs w:val="17"/>
          <w:color w:val="auto"/>
        </w:rPr>
      </w:pPr>
    </w:p>
    <w:p>
      <w:pPr>
        <w:ind w:left="1980" w:hanging="352"/>
        <w:spacing w:after="0"/>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84" w:lineRule="exact"/>
        <w:rPr>
          <w:rFonts w:ascii="Arial" w:cs="Arial" w:eastAsia="Arial" w:hAnsi="Arial"/>
          <w:sz w:val="18"/>
          <w:szCs w:val="18"/>
          <w:color w:val="auto"/>
        </w:rPr>
      </w:pPr>
    </w:p>
    <w:p>
      <w:pPr>
        <w:ind w:left="1980" w:right="1479" w:hanging="352"/>
        <w:spacing w:after="0" w:line="293"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w:t>
      </w:r>
    </w:p>
    <w:p>
      <w:pPr>
        <w:spacing w:after="0" w:line="48"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8" w:lineRule="exact"/>
        <w:rPr>
          <w:sz w:val="20"/>
          <w:szCs w:val="20"/>
          <w:color w:val="auto"/>
        </w:rPr>
      </w:pPr>
    </w:p>
    <w:p>
      <w:pPr>
        <w:ind w:left="1260" w:right="679" w:firstLine="360"/>
        <w:spacing w:after="0" w:line="289" w:lineRule="auto"/>
        <w:rPr>
          <w:sz w:val="20"/>
          <w:szCs w:val="20"/>
          <w:color w:val="auto"/>
        </w:rPr>
      </w:pPr>
      <w:r>
        <w:rPr>
          <w:rFonts w:ascii="Arial" w:cs="Arial" w:eastAsia="Arial" w:hAnsi="Arial"/>
          <w:sz w:val="16"/>
          <w:szCs w:val="16"/>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08"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Derivative Actions</w:t>
      </w:r>
    </w:p>
    <w:p>
      <w:pPr>
        <w:spacing w:after="0" w:line="108"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08"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Our amended and restated certificate of incorporation provides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employee of our company to our company or our company’s stockholders, (iii) action asserting a claim against our company or any director or officer of our company arising pursuant to any provision of the DGCL or our amended and restated certificate of incorporation or our amended and restated bylaws, or (iv) action asserting a claim against our company governed by the internal affairs doctrine. Any person or entity purchasing or otherwise acquiring any interest in shares of capital stock of our company shall be deemed to have notice of and consented to the forum provisions in our amended and restated certificate of incorporation. However, it is possible that a court could find our forum selection provision to be inapplicable or unenforceable.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Refinitiv Owners or any of its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Refinitiv Owners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08" w:lineRule="exact"/>
        <w:rPr>
          <w:sz w:val="20"/>
          <w:szCs w:val="20"/>
          <w:color w:val="auto"/>
        </w:rPr>
      </w:pPr>
    </w:p>
    <w:p>
      <w:pPr>
        <w:ind w:left="1260" w:right="939" w:firstLine="360"/>
        <w:spacing w:after="0" w:line="272"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w:t>
      </w: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75" w:lineRule="auto"/>
        <w:rPr>
          <w:sz w:val="20"/>
          <w:szCs w:val="20"/>
          <w:color w:val="auto"/>
        </w:rPr>
      </w:pPr>
      <w:r>
        <w:rPr>
          <w:rFonts w:ascii="Arial" w:cs="Arial" w:eastAsia="Arial" w:hAnsi="Arial"/>
          <w:sz w:val="17"/>
          <w:szCs w:val="17"/>
          <w:color w:val="auto"/>
        </w:rPr>
        <w:t>recover monetary damages from a director for breach of fiduciary duty as a director, including breaches resulting from grossly negligent behavior. However, exculpation does not apply to any breaches of the director’s duty of loyalty, 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spacing w:after="0" w:line="68"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6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7"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We intend to enter into an indemnification agreement with each of our directors and executive officers as described in “Certain Relationships and Related Party Transactions — Indemnification Agreements.”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transfer agent and registrar for shares of our Class A common stock, Class B common stock, Class C</w:t>
      </w:r>
    </w:p>
    <w:p>
      <w:pPr>
        <w:spacing w:after="0" w:line="46" w:lineRule="exact"/>
        <w:rPr>
          <w:sz w:val="20"/>
          <w:szCs w:val="20"/>
          <w:color w:val="auto"/>
        </w:rPr>
      </w:pPr>
    </w:p>
    <w:p>
      <w:pPr>
        <w:ind w:left="1260"/>
        <w:spacing w:after="0"/>
        <w:tabs>
          <w:tab w:leader="none" w:pos="5260" w:val="left"/>
        </w:tabs>
        <w:rPr>
          <w:sz w:val="20"/>
          <w:szCs w:val="20"/>
          <w:color w:val="auto"/>
        </w:rPr>
      </w:pPr>
      <w:r>
        <w:rPr>
          <w:rFonts w:ascii="Arial" w:cs="Arial" w:eastAsia="Arial" w:hAnsi="Arial"/>
          <w:sz w:val="18"/>
          <w:szCs w:val="18"/>
          <w:color w:val="auto"/>
        </w:rPr>
        <w:t>common stock and Class D common stock will be</w:t>
      </w:r>
      <w:r>
        <w:rPr>
          <w:sz w:val="20"/>
          <w:szCs w:val="20"/>
          <w:color w:val="auto"/>
        </w:rPr>
        <w:tab/>
      </w:r>
      <w:r>
        <w:rPr>
          <w:rFonts w:ascii="Arial" w:cs="Arial" w:eastAsia="Arial" w:hAnsi="Arial"/>
          <w:sz w:val="13"/>
          <w:szCs w:val="13"/>
          <w:color w:val="auto"/>
        </w:rPr>
        <w:t>.</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ectPr>
          <w:pgSz w:w="11900" w:h="16838" w:orient="portrait"/>
          <w:cols w:equalWidth="0" w:num="1">
            <w:col w:w="10139"/>
          </w:cols>
          <w:pgMar w:left="320" w:top="132" w:right="1440" w:bottom="1440" w:gutter="0" w:footer="0" w:header="0"/>
        </w:sectPr>
      </w:pP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have applied to list our Class A common stock 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under the symbol “TW.”</w:t>
      </w:r>
    </w:p>
    <w:p>
      <w:pPr>
        <w:spacing w:after="0" w:line="200" w:lineRule="exact"/>
        <w:rPr>
          <w:sz w:val="20"/>
          <w:szCs w:val="20"/>
          <w:color w:val="auto"/>
        </w:rPr>
      </w:pPr>
    </w:p>
    <w:p>
      <w:pPr>
        <w:sectPr>
          <w:pgSz w:w="11900" w:h="16838" w:orient="portrait"/>
          <w:cols w:equalWidth="0" w:num="2">
            <w:col w:w="5480" w:space="680"/>
            <w:col w:w="397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SHARES ELIGIBLE FOR FUTURE SALE</w:t>
      </w:r>
    </w:p>
    <w:p>
      <w:pPr>
        <w:spacing w:after="0" w:line="10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Immediately prior to this offering, there was no public market for our Class A common stock. Future sales of substantial amounts of our Class A common stock in the public market (including securities convertible into or redeemable, exchangeable or exercisable for shares of Class A common stock), or the perception that such sales may occur, after this offering could adversely affect the prevailing market price of our Class A common stock.</w:t>
      </w:r>
    </w:p>
    <w:p>
      <w:pPr>
        <w:spacing w:after="0" w:line="1"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Furthermore, because % of our Class A common stock outstanding prior to the completion of this offering (including securities convertible into or redeemable, exchangeable or exercisable for shares of our Class A common stock) will be subject to the contractual and legal restrictions on resale described below, the sale of a substantial amount of Class A common stock in the public market after these restrictions lapse could materially adversely affect the prevailing market price of our Class A common stock and our ability to raise equity capital in the future.</w:t>
      </w:r>
    </w:p>
    <w:p>
      <w:pPr>
        <w:spacing w:after="0" w:line="86" w:lineRule="exact"/>
        <w:rPr>
          <w:sz w:val="20"/>
          <w:szCs w:val="20"/>
          <w:color w:val="auto"/>
        </w:rPr>
      </w:pPr>
    </w:p>
    <w:p>
      <w:pPr>
        <w:ind w:left="1260" w:right="699" w:firstLine="360"/>
        <w:spacing w:after="0" w:line="288" w:lineRule="auto"/>
        <w:rPr>
          <w:sz w:val="20"/>
          <w:szCs w:val="20"/>
          <w:color w:val="auto"/>
        </w:rPr>
      </w:pPr>
      <w:r>
        <w:rPr>
          <w:rFonts w:ascii="Arial" w:cs="Arial" w:eastAsia="Arial" w:hAnsi="Arial"/>
          <w:sz w:val="16"/>
          <w:szCs w:val="16"/>
          <w:color w:val="auto"/>
        </w:rPr>
        <w:t>Upon completion of this offering, we expect to have outstanding an aggregate of shares of our Class A common stock, assuming no exercise of outstanding options and assuming that the underwriters have not exercised their option to purchase additional shares of Class A common stock. All of the shares of Class A common stock sold in this offering will be freely transferable without restriction or further registration under the Securities Act by persons other than “affiliates,” as that term is defined in Rule 144 under the Securities Act. Generally, the balance of our outstanding shares of Class A common stock are “restricted securities” within the meaning of Rule 144 under the Securities Act, subject to the limitations and restrictions that are described below. Class A common stock purchased by our affiliates will be “restricted securities” under Rule 144. Restricted securities may be sold in the public market only if registered or if they qualify for an exemption from registration under Rule 144 or Rule 701 under the Securities Act. These rules are summarized below.</w:t>
      </w:r>
    </w:p>
    <w:p>
      <w:pPr>
        <w:spacing w:after="0" w:line="60"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In addition, based on an assumed initial public offering price of $ per share (the midpoint of the price range set forth on the cover page of this prospectus), upon completion of the offering, (i) the Other LLC Owners</w:t>
      </w:r>
    </w:p>
    <w:p>
      <w:pPr>
        <w:ind w:left="1260" w:right="1059"/>
        <w:spacing w:after="0" w:line="250" w:lineRule="auto"/>
        <w:rPr>
          <w:sz w:val="20"/>
          <w:szCs w:val="20"/>
          <w:color w:val="auto"/>
        </w:rPr>
      </w:pPr>
      <w:r>
        <w:rPr>
          <w:rFonts w:ascii="Arial" w:cs="Arial" w:eastAsia="Arial" w:hAnsi="Arial"/>
          <w:sz w:val="18"/>
          <w:szCs w:val="18"/>
          <w:color w:val="auto"/>
        </w:rPr>
        <w:t>will own an aggregate of LLC Interests and shares of our Class D common stock (or LLC Interests and shares of our Class D common stock if the underwriters’ exercise their option to purchase additional shares), (ii) the Refinitiv LLC Owners will own an aggregate of LLC Interests and</w:t>
      </w:r>
    </w:p>
    <w:p>
      <w:pPr>
        <w:spacing w:after="0" w:line="1" w:lineRule="exact"/>
        <w:rPr>
          <w:sz w:val="20"/>
          <w:szCs w:val="20"/>
          <w:color w:val="auto"/>
        </w:rPr>
      </w:pPr>
    </w:p>
    <w:p>
      <w:pPr>
        <w:jc w:val="center"/>
        <w:ind w:left="1460" w:right="120"/>
        <w:spacing w:after="0" w:line="265" w:lineRule="auto"/>
        <w:rPr>
          <w:sz w:val="20"/>
          <w:szCs w:val="20"/>
          <w:color w:val="auto"/>
        </w:rPr>
      </w:pPr>
      <w:r>
        <w:rPr>
          <w:rFonts w:ascii="Arial" w:cs="Arial" w:eastAsia="Arial" w:hAnsi="Arial"/>
          <w:sz w:val="17"/>
          <w:szCs w:val="17"/>
          <w:color w:val="auto"/>
        </w:rPr>
        <w:t>shares of our Class D common stock and (iii) the Refinitiv Direct Owners will own an aggregate of shares of our Class B common stock. Pursuant to the TWM LLC Agreement and, subject to certain restrictions set forth therein and as described elsewhere in this prospectus, the Continuing LLC Owners will be granted the right to have their LLC Interests redeemed, at their election, for shares of our Class A common stock</w:t>
      </w:r>
    </w:p>
    <w:p>
      <w:pPr>
        <w:spacing w:after="0" w:line="1" w:lineRule="exact"/>
        <w:rPr>
          <w:sz w:val="20"/>
          <w:szCs w:val="20"/>
          <w:color w:val="auto"/>
        </w:rPr>
      </w:pPr>
    </w:p>
    <w:p>
      <w:pPr>
        <w:ind w:left="1260" w:right="659"/>
        <w:spacing w:after="0" w:line="267" w:lineRule="auto"/>
        <w:rPr>
          <w:sz w:val="20"/>
          <w:szCs w:val="20"/>
          <w:color w:val="auto"/>
        </w:rPr>
      </w:pPr>
      <w:r>
        <w:rPr>
          <w:rFonts w:ascii="Arial" w:cs="Arial" w:eastAsia="Arial" w:hAnsi="Arial"/>
          <w:sz w:val="17"/>
          <w:szCs w:val="17"/>
          <w:color w:val="auto"/>
        </w:rPr>
        <w:t>or Class B common stock, in each case, on a one-for-one basis (and such holders’ shares of Class C common stock or Class D common stock, as the case may be, will be cancelled on a one-for-one basis upon such issuance). Shares of our Class B common stock may be exchanged at any time, at the option of the Refinitiv Direct Owner or any other future holder of Class B common stock, for shares of our Class A common stock on a one-for-one basis (and such holders’ shares of Class B common stock will be cancelled on a one-for-one basis upon any such issuance). The Continuing LLC Owners may from time to time exchange all or a portion of their shares of our Class D common stock for newly issued shares of Class C common stock on a one-for-one basis (in which case their shares of Class D common stock will be cancelled on a one-for-one basis upon such issuance). Shares of our Class B common stock and Class D common stock will automatically convert into shares of Class A common stock and Class C common stock, respectively, under certain circumstances. See “Description of Our Capital Stock.” Shares of our Class A common stock issuable upon redemption, exchange or conversion, would be considered “restricted securities” under Rule 144, although it is anticipated that the holders will be able to “tack” the holding period of their Class A common stock to the ownership of the redeemed, exchanged or converted security.</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Upon the expiration of the lock-up agreements described below 180 days after the date of this prospectus,</w:t>
      </w:r>
    </w:p>
    <w:p>
      <w:pPr>
        <w:spacing w:after="0" w:line="46" w:lineRule="exact"/>
        <w:rPr>
          <w:sz w:val="20"/>
          <w:szCs w:val="20"/>
          <w:color w:val="auto"/>
        </w:rPr>
      </w:pPr>
    </w:p>
    <w:p>
      <w:pPr>
        <w:ind w:left="1260" w:right="779"/>
        <w:spacing w:after="0" w:line="253" w:lineRule="auto"/>
        <w:rPr>
          <w:sz w:val="20"/>
          <w:szCs w:val="20"/>
          <w:color w:val="auto"/>
        </w:rPr>
      </w:pPr>
      <w:r>
        <w:rPr>
          <w:rFonts w:ascii="Arial" w:cs="Arial" w:eastAsia="Arial" w:hAnsi="Arial"/>
          <w:sz w:val="18"/>
          <w:szCs w:val="18"/>
          <w:color w:val="auto"/>
        </w:rPr>
        <w:t>and subject to the provisions of Rule 144, an additional shares of Class A common stock (including securities convertible into or redeemable, exchangeable or exercisable for shares of Class A common stock) will be available for sale in the public market. The sale of these restricted securities is subject, in the case of shares held by affiliates, to the volume restrictions contained in those rules.</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connection with this offering, we, our directors and executive officers and stockholders currently</w:t>
      </w:r>
    </w:p>
    <w:p>
      <w:pPr>
        <w:spacing w:after="0" w:line="23" w:lineRule="exact"/>
        <w:rPr>
          <w:sz w:val="20"/>
          <w:szCs w:val="20"/>
          <w:color w:val="auto"/>
        </w:rPr>
      </w:pPr>
    </w:p>
    <w:p>
      <w:pPr>
        <w:ind w:left="1260" w:right="699"/>
        <w:spacing w:after="0" w:line="281" w:lineRule="auto"/>
        <w:rPr>
          <w:sz w:val="20"/>
          <w:szCs w:val="20"/>
          <w:color w:val="auto"/>
        </w:rPr>
      </w:pPr>
      <w:r>
        <w:rPr>
          <w:rFonts w:ascii="Arial" w:cs="Arial" w:eastAsia="Arial" w:hAnsi="Arial"/>
          <w:sz w:val="16"/>
          <w:szCs w:val="16"/>
          <w:color w:val="auto"/>
        </w:rPr>
        <w:t>representing % of the outstanding shares of our Class A common stock (including securities convertible into or redeemable, exchangeable or exercisable for shares of our Class A common stock) will agree with the underwriters to enter into lock-up agreements described in “Underwriting (Conflicts of Interest),” pursuant to which shares of our Class A common stock outstanding after this offering (including securities convertible into or redeemable, exchangeable or exercisable for shares of our Class A common stock) will be restricted from immediate resale in accordance with the terms of such lock-up agreements without the prior written consent of</w:t>
      </w:r>
    </w:p>
    <w:p>
      <w:pPr>
        <w:spacing w:after="0" w:line="4" w:lineRule="exact"/>
        <w:rPr>
          <w:sz w:val="20"/>
          <w:szCs w:val="20"/>
          <w:color w:val="auto"/>
        </w:rPr>
      </w:pPr>
    </w:p>
    <w:p>
      <w:pPr>
        <w:ind w:left="1260" w:right="799" w:firstLine="1088"/>
        <w:spacing w:after="0" w:line="270" w:lineRule="auto"/>
        <w:tabs>
          <w:tab w:leader="none" w:pos="242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Under these agreements, subject to limited exceptions, neither we nor any of our directors or executive officers or these stockholders may dispose of, hedge or otherwise transfer the economic consequences of ownership of any shares of our Class A common stock or securities convertible into or redeemable, exchangeable or exercisable for shares of our Class A common stock. These restrictions will be in effect for a period of 180 days after the date of this prospectus. Certain transfers or dispositions can be made sooner, provided the transferee becomes bound to the terms of the lock-up.</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In general, under Rule 144 as in effect on the date of this prospectus, beginning 90 days after the completion of this offering, a person (or persons whose common stock is required to be aggregated) who is an affiliate and who has beneficially owned our common stock for at least six months is entitled to sell in any three-month period a number of shares that does not exceed the greater of:</w:t>
      </w:r>
    </w:p>
    <w:p>
      <w:pPr>
        <w:spacing w:after="0" w:line="52" w:lineRule="exact"/>
        <w:rPr>
          <w:sz w:val="20"/>
          <w:szCs w:val="20"/>
          <w:color w:val="auto"/>
        </w:rPr>
      </w:pPr>
    </w:p>
    <w:p>
      <w:pPr>
        <w:ind w:left="1980" w:hanging="352"/>
        <w:spacing w:after="0"/>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w:t>
      </w:r>
    </w:p>
    <w:p>
      <w:pPr>
        <w:sectPr>
          <w:pgSz w:w="11900" w:h="16838" w:orient="portrait"/>
          <w:cols w:equalWidth="0" w:num="1">
            <w:col w:w="10139"/>
          </w:cols>
          <w:pgMar w:left="320" w:top="132" w:right="1440" w:bottom="1440" w:gutter="0" w:footer="0" w:header="0"/>
        </w:sectPr>
      </w:pPr>
    </w:p>
    <w:p>
      <w:pPr>
        <w:spacing w:after="0" w:line="23" w:lineRule="exact"/>
        <w:rPr>
          <w:sz w:val="20"/>
          <w:szCs w:val="20"/>
          <w:color w:val="auto"/>
        </w:rPr>
      </w:pPr>
    </w:p>
    <w:p>
      <w:pPr>
        <w:ind w:left="1980"/>
        <w:spacing w:after="0"/>
        <w:tabs>
          <w:tab w:leader="none" w:pos="3460" w:val="left"/>
        </w:tabs>
        <w:rPr>
          <w:sz w:val="20"/>
          <w:szCs w:val="20"/>
          <w:color w:val="auto"/>
        </w:rPr>
      </w:pPr>
      <w:r>
        <w:rPr>
          <w:rFonts w:ascii="Arial" w:cs="Arial" w:eastAsia="Arial" w:hAnsi="Arial"/>
          <w:sz w:val="16"/>
          <w:szCs w:val="16"/>
          <w:color w:val="auto"/>
        </w:rPr>
        <w:t>approximately</w:t>
      </w:r>
      <w:r>
        <w:rPr>
          <w:sz w:val="20"/>
          <w:szCs w:val="20"/>
          <w:color w:val="auto"/>
        </w:rPr>
        <w:tab/>
      </w:r>
      <w:r>
        <w:rPr>
          <w:rFonts w:ascii="Arial" w:cs="Arial" w:eastAsia="Arial" w:hAnsi="Arial"/>
          <w:sz w:val="16"/>
          <w:szCs w:val="16"/>
          <w:color w:val="auto"/>
        </w:rPr>
        <w:t>shares immediately after completion of this offering; or</w:t>
      </w:r>
    </w:p>
    <w:p>
      <w:pPr>
        <w:sectPr>
          <w:pgSz w:w="11900" w:h="16838" w:orient="portrait"/>
          <w:cols w:equalWidth="0" w:num="1">
            <w:col w:w="10139"/>
          </w:cols>
          <w:pgMar w:left="320" w:top="132" w:right="1440" w:bottom="1440" w:gutter="0" w:footer="0" w:header="0"/>
          <w:type w:val="continuous"/>
        </w:sectPr>
      </w:pP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039"/>
        <w:spacing w:after="0" w:line="277" w:lineRule="auto"/>
        <w:rPr>
          <w:sz w:val="20"/>
          <w:szCs w:val="20"/>
          <w:color w:val="auto"/>
        </w:rPr>
      </w:pPr>
      <w:r>
        <w:rPr>
          <w:rFonts w:ascii="Arial" w:cs="Arial" w:eastAsia="Arial" w:hAnsi="Arial"/>
          <w:sz w:val="18"/>
          <w:szCs w:val="18"/>
          <w:color w:val="auto"/>
        </w:rPr>
        <w:t>the average weekly trading volume in our Class A common stock on during the four calendar weeks preceding the filing of a notice on Form 144 with respect to such a sale.</w:t>
      </w:r>
    </w:p>
    <w:p>
      <w:pPr>
        <w:spacing w:after="0" w:line="62" w:lineRule="exact"/>
        <w:rPr>
          <w:sz w:val="20"/>
          <w:szCs w:val="20"/>
          <w:color w:val="auto"/>
        </w:rPr>
      </w:pPr>
    </w:p>
    <w:p>
      <w:pPr>
        <w:sectPr>
          <w:pgSz w:w="11900" w:h="16838" w:orient="portrait"/>
          <w:cols w:equalWidth="0" w:num="2">
            <w:col w:w="1700" w:space="280"/>
            <w:col w:w="8159"/>
          </w:cols>
          <w:pgMar w:left="320" w:top="132" w:right="1440" w:bottom="1440" w:gutter="0" w:footer="0" w:header="0"/>
          <w:type w:val="continuous"/>
        </w:sectPr>
      </w:pPr>
    </w:p>
    <w:p>
      <w:pPr>
        <w:jc w:val="both"/>
        <w:ind w:left="1260" w:right="759" w:firstLine="360"/>
        <w:spacing w:after="0" w:line="311" w:lineRule="auto"/>
        <w:rPr>
          <w:sz w:val="20"/>
          <w:szCs w:val="20"/>
          <w:color w:val="auto"/>
        </w:rPr>
      </w:pPr>
      <w:r>
        <w:rPr>
          <w:rFonts w:ascii="Arial" w:cs="Arial" w:eastAsia="Arial" w:hAnsi="Arial"/>
          <w:sz w:val="16"/>
          <w:szCs w:val="16"/>
          <w:color w:val="auto"/>
        </w:rPr>
        <w:t>Sales by our affiliates under Rule 144 are also subject to manner of sale provisions and notice requirements and to the availability of current public information about us. An “affiliate” is a person that directly, or indirectly through one or more intermediaries, controls or is controlled by, or is under common control with, an issuer.</w:t>
      </w:r>
    </w:p>
    <w:p>
      <w:pPr>
        <w:spacing w:after="0" w:line="41"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Under Rule 144, a person (or persons whose shares are aggregated) who is not deemed to have been an affiliate of ours at any time during the 90 days preceding a sale, and who has beneficially owned the shares proposed to be sold for at least six months (including the holding period of any prior owner other than an affiliate), would be entitled to sell those shares subject only to availability of current public information about us, and after beneficially owning such shares for at least twelve months, would be entitled to sell an unlimited number of shares without restriction. To the extent that our affiliates sell their common stock, other than pursuant to Rule 144 or a registration statement, the purchaser’s holding period for the purpose of effecting a sale under Rule 144 commences on the date of transfer from the affiliate.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0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In general, under Rule 701 as in effect on the date of this prospectus, any of our employees, directors, officers, consultants or advisors who purchased shares from us in reliance on Rule 701 in connection with a compensatory stock or option plan or other written agreement before the effective date of this offering, or who purchased shares from us after that date upon the exercise of options granted before that date, are eligible to resell such shares 90 days after the effective date of this offering in reliance upon Rule 144. If such person is not an affiliate, such sale may be made subject only to the manner of sale provisions of Rule 144. If such a person is an affiliate, such sale may be made under Rule 144 without compliance with the holding period requirement, but subject to the other Rule 144 restrictions described above.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Plans</w:t>
      </w:r>
    </w:p>
    <w:p>
      <w:pPr>
        <w:spacing w:after="0" w:line="108" w:lineRule="exact"/>
        <w:rPr>
          <w:sz w:val="20"/>
          <w:szCs w:val="20"/>
          <w:color w:val="auto"/>
        </w:rPr>
      </w:pPr>
    </w:p>
    <w:p>
      <w:pPr>
        <w:ind w:left="1260" w:right="999" w:firstLine="360"/>
        <w:spacing w:after="0" w:line="311"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w:t>
      </w: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419"/>
        <w:spacing w:after="0" w:line="291" w:lineRule="auto"/>
        <w:rPr>
          <w:sz w:val="20"/>
          <w:szCs w:val="20"/>
          <w:color w:val="auto"/>
        </w:rPr>
      </w:pPr>
      <w:r>
        <w:rPr>
          <w:rFonts w:ascii="Arial" w:cs="Arial" w:eastAsia="Arial" w:hAnsi="Arial"/>
          <w:sz w:val="16"/>
          <w:szCs w:val="16"/>
          <w:color w:val="auto"/>
        </w:rPr>
        <w:t>such registration statements will be available for sale in the open market following the expiration of the applicable lock-up period. We expect that the initial registration statement on Form S-8 will cover</w:t>
      </w:r>
    </w:p>
    <w:p>
      <w:pPr>
        <w:ind w:left="1260" w:right="919" w:firstLine="405"/>
        <w:spacing w:after="0" w:line="302" w:lineRule="auto"/>
        <w:rPr>
          <w:sz w:val="20"/>
          <w:szCs w:val="20"/>
          <w:color w:val="auto"/>
        </w:rPr>
      </w:pPr>
      <w:r>
        <w:rPr>
          <w:rFonts w:ascii="Arial" w:cs="Arial" w:eastAsia="Arial" w:hAnsi="Arial"/>
          <w:sz w:val="16"/>
          <w:szCs w:val="16"/>
          <w:color w:val="auto"/>
        </w:rPr>
        <w:t>shares of our Class A common stock. Shares issued upon the exercise of stock options after the effective date of the applicable Form S-8 registration statement will be eligible for resale in the public market without restriction, subject to Rule 144 limitations applicable to affiliates and the lock-up agreements described above.</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ectPr>
          <w:pgSz w:w="11900" w:h="16838" w:orient="portrait"/>
          <w:cols w:equalWidth="0" w:num="1">
            <w:col w:w="10139"/>
          </w:cols>
          <w:pgMar w:left="320" w:top="132" w:right="1440" w:bottom="1440" w:gutter="0" w:footer="0" w:header="0"/>
        </w:sectPr>
      </w:pPr>
    </w:p>
    <w:p>
      <w:pPr>
        <w:spacing w:after="0" w:line="108" w:lineRule="exact"/>
        <w:rPr>
          <w:sz w:val="20"/>
          <w:szCs w:val="20"/>
          <w:color w:val="auto"/>
        </w:rPr>
      </w:pPr>
    </w:p>
    <w:p>
      <w:pPr>
        <w:ind w:left="1260" w:firstLine="360"/>
        <w:spacing w:after="0" w:line="342" w:lineRule="auto"/>
        <w:rPr>
          <w:sz w:val="20"/>
          <w:szCs w:val="20"/>
          <w:color w:val="auto"/>
        </w:rPr>
      </w:pPr>
      <w:r>
        <w:rPr>
          <w:rFonts w:ascii="Arial" w:cs="Arial" w:eastAsia="Arial" w:hAnsi="Arial"/>
          <w:sz w:val="16"/>
          <w:szCs w:val="16"/>
          <w:color w:val="auto"/>
        </w:rPr>
        <w:t>We also intend to enter into the Registration Rights Agreement with Relationships and Related Party Transactions — Registration Rights Agreement.”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 See “Certain</w:t>
      </w:r>
    </w:p>
    <w:p>
      <w:pPr>
        <w:spacing w:after="0" w:line="540" w:lineRule="exact"/>
        <w:rPr>
          <w:sz w:val="20"/>
          <w:szCs w:val="20"/>
          <w:color w:val="auto"/>
        </w:rPr>
      </w:pPr>
    </w:p>
    <w:p>
      <w:pPr>
        <w:sectPr>
          <w:pgSz w:w="11900" w:h="16838" w:orient="portrait"/>
          <w:cols w:equalWidth="0" w:num="2">
            <w:col w:w="7140" w:space="380"/>
            <w:col w:w="261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NON-U.S. HOLDERS OF OUR COMMON STOCK</w:t>
      </w:r>
    </w:p>
    <w:p>
      <w:pPr>
        <w:spacing w:after="0" w:line="8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following is a summary of the material U.S. federal income and estate tax consequences of the ownership and disposition of our Class A common stock that is being issued pursuant to this offering. This summary is limited to Non-U.S. Holders (as defined below) that hold our Class A common stock as a capital asset (generally, property held for investment) for U.S. federal income tax purposes. This summary does not discuss all of the aspects of U.S. federal income and estate taxation that may be relevant to a Non-U.S. Holder in light of the Non-U.S. Holder’s particular investment or other circumstances. Accordingly, all prospective Non-U.S. Holders should consult their own tax advisors with respect to the U.S. federal, state, local and non-U.S. tax consequences of the ownership and disposition of our Class A common stock.</w:t>
      </w:r>
    </w:p>
    <w:p>
      <w:pPr>
        <w:spacing w:after="0" w:line="70"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This summary is based on provisions of the U.S. Internal Revenue Code of 1986, as amended (which we refer to as the “Code”), applicable U.S. Treasury regulations and administrative and judicial interpretations, all as in effect or in existence on the date of this prospectus. Subsequent developments in U.S. federal income or estate tax law, including changes in law or differing interpretations, which may be applied retroactively, could alter the U.S. federal income and estate tax consequences of owning and disposing of our Class A common stock as described in this summary. There can be no assurance that the IRS will not take a contrary position with respect to one or more of the tax consequences described herein and we have not obtained, nor do we intend to obtain, a ruling from the IRS with respect to the U.S. federal income or estate tax consequences of the ownership or disposition of our Class A common stock.</w:t>
      </w:r>
    </w:p>
    <w:p>
      <w:pPr>
        <w:spacing w:after="0" w:line="73"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As used in this summary, the term “Non-U.S. Holder” means a beneficial owner of our Class A common stock that is not, for U.S. federal income tax purposes:</w:t>
      </w:r>
    </w:p>
    <w:p>
      <w:pPr>
        <w:spacing w:after="0" w:line="62" w:lineRule="exact"/>
        <w:rPr>
          <w:sz w:val="20"/>
          <w:szCs w:val="20"/>
          <w:color w:val="auto"/>
        </w:rPr>
      </w:pPr>
    </w:p>
    <w:p>
      <w:pPr>
        <w:ind w:left="1980" w:hanging="352"/>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980" w:right="839" w:hanging="352"/>
        <w:spacing w:after="0" w:line="342" w:lineRule="auto"/>
        <w:tabs>
          <w:tab w:leader="none" w:pos="1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entity or arrangement treated as a partnership;</w:t>
      </w:r>
    </w:p>
    <w:p>
      <w:pPr>
        <w:spacing w:after="0" w:line="117" w:lineRule="exact"/>
        <w:rPr>
          <w:rFonts w:ascii="Arial" w:cs="Arial" w:eastAsia="Arial" w:hAnsi="Arial"/>
          <w:sz w:val="18"/>
          <w:szCs w:val="18"/>
          <w:color w:val="auto"/>
        </w:rPr>
      </w:pPr>
    </w:p>
    <w:p>
      <w:pPr>
        <w:ind w:left="1980" w:right="679" w:hanging="352"/>
        <w:spacing w:after="0" w:line="277" w:lineRule="auto"/>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62" w:lineRule="exact"/>
        <w:rPr>
          <w:rFonts w:ascii="Arial" w:cs="Arial" w:eastAsia="Arial" w:hAnsi="Arial"/>
          <w:sz w:val="18"/>
          <w:szCs w:val="18"/>
          <w:color w:val="auto"/>
        </w:rPr>
      </w:pPr>
    </w:p>
    <w:p>
      <w:pPr>
        <w:jc w:val="both"/>
        <w:ind w:left="1980" w:right="679" w:hanging="352"/>
        <w:spacing w:after="0" w:line="259" w:lineRule="auto"/>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U.S. Treasury regulations to be treated as a United States person.</w:t>
      </w:r>
    </w:p>
    <w:p>
      <w:pPr>
        <w:spacing w:after="0" w:line="79"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such a partnership generally will depend upon the status of the partner, the activities of the partnership and certain determinations made at the partner level. Partnerships, and partners in partnerships, that hold our Class A common stock should consult their own tax advisors as to the particular U.S. federal income and estate tax consequences of owning and disposing of our Class A common stock that are applicable to them.</w:t>
      </w:r>
    </w:p>
    <w:p>
      <w:pPr>
        <w:spacing w:after="0" w:line="84"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color w:val="auto"/>
        </w:rPr>
        <w:t>This summary does not address all U.S. federal income or estate tax consequences relevant to a Non-U.S. Holder’s particular circumstances, including the impact of the Medicare contribution tax on net investment income. In addition, this summary does not consider any specific facts or circumstances that may apply to a Non-U.S. Holder and does not address any special tax rules that may apply to particular Non-U.S. Holders, such as:</w:t>
      </w:r>
    </w:p>
    <w:p>
      <w:pPr>
        <w:spacing w:after="0" w:line="63" w:lineRule="exact"/>
        <w:rPr>
          <w:sz w:val="20"/>
          <w:szCs w:val="20"/>
          <w:color w:val="auto"/>
        </w:rPr>
      </w:pPr>
    </w:p>
    <w:p>
      <w:pPr>
        <w:ind w:left="1980" w:right="699" w:hanging="352"/>
        <w:spacing w:after="0" w:line="255" w:lineRule="auto"/>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Non-U.S. Holder that is a financial institution, insurance company, tax-exempt organization, pension plan, broker, dealer or trader in stocks, securities or currencies, U.S. expatriate, accrual method taxpayer for U.S. federal income tax purposes required to accelerate the recognition of any item of gross income with respect to our Class A common stock as a result of such income being recognized on an applicable financial statement, controlled foreign corporation or passive foreign investment company;</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779" w:hanging="352"/>
        <w:spacing w:after="0" w:line="277" w:lineRule="auto"/>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Non-U.S. Holder holding our Class A common stock as part of a conversion, constructive sale, wash sale or other integrated transaction or a hedge, straddle or synthetic security;</w:t>
      </w:r>
    </w:p>
    <w:p>
      <w:pPr>
        <w:spacing w:after="0" w:line="129"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Non-U.S. Holder that holds or receives our Class A common stock pursuant to the exercise of any employee stock option or otherwise as compensation; or</w:t>
      </w:r>
    </w:p>
    <w:p>
      <w:pPr>
        <w:spacing w:after="0" w:line="129"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Non-U.S. Holder that at any time owns, directly, indirectly or constructively, 5% or more of our outstanding Class A common stock.</w:t>
      </w:r>
    </w:p>
    <w:p>
      <w:pPr>
        <w:spacing w:after="0" w:line="62"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In addition, this summary does not address any U.S. state or local, or non-U.S. or other tax consequences, or any U.S. federal income or estate tax consequences for beneficial owners of a Non-U.S. Holder, including shareholders of a controlled foreign corporation or passive foreign investment company that holds our Class A common stock.</w:t>
      </w:r>
    </w:p>
    <w:p>
      <w:pPr>
        <w:spacing w:after="0" w:line="75" w:lineRule="exact"/>
        <w:rPr>
          <w:sz w:val="20"/>
          <w:szCs w:val="20"/>
          <w:color w:val="auto"/>
        </w:rPr>
      </w:pPr>
    </w:p>
    <w:p>
      <w:pPr>
        <w:ind w:left="1260" w:right="879" w:firstLine="360"/>
        <w:spacing w:after="0" w:line="312" w:lineRule="auto"/>
        <w:rPr>
          <w:sz w:val="20"/>
          <w:szCs w:val="20"/>
          <w:color w:val="auto"/>
        </w:rPr>
      </w:pPr>
      <w:r>
        <w:rPr>
          <w:rFonts w:ascii="Arial" w:cs="Arial" w:eastAsia="Arial" w:hAnsi="Arial"/>
          <w:sz w:val="17"/>
          <w:szCs w:val="17"/>
          <w:b w:val="1"/>
          <w:bCs w:val="1"/>
          <w:color w:val="auto"/>
        </w:rPr>
        <w:t>Each Non-U.S. Holder should consult its own tax advisor regarding the U.S. federal, state, local and non-U.S. tax consequences of owning and disposing of our Class A common stock.</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As discussed under “Dividend Policy” above, we do not intend to pay cash dividends on our Class A common stock for the foreseeable future. If we make distributions of cash or property (other than certain pro rata distributions of our stock) with respect to our Class A common stock, any such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nontaxable return of capital to the extent of the Non-U.S. Holder’s adjusted tax basis in its Class A common stock and will reduce (but not below zero) such Non-U.S. Holder’s adjusted tax basis in its Class A common stock. Any remaining excess will be treated as gain from a disposition of our Class A common stock subject to the tax treatment described below in “Sales or Other Dispositions of Our Class A Common Stock”.</w:t>
      </w:r>
    </w:p>
    <w:p>
      <w:pPr>
        <w:spacing w:after="0" w:line="77" w:lineRule="exact"/>
        <w:rPr>
          <w:sz w:val="20"/>
          <w:szCs w:val="20"/>
          <w:color w:val="auto"/>
        </w:rPr>
      </w:pPr>
    </w:p>
    <w:p>
      <w:pPr>
        <w:ind w:left="1260" w:right="679" w:firstLine="360"/>
        <w:spacing w:after="0" w:line="289" w:lineRule="auto"/>
        <w:rPr>
          <w:sz w:val="20"/>
          <w:szCs w:val="20"/>
          <w:color w:val="auto"/>
        </w:rPr>
      </w:pPr>
      <w:r>
        <w:rPr>
          <w:rFonts w:ascii="Arial" w:cs="Arial" w:eastAsia="Arial" w:hAnsi="Arial"/>
          <w:sz w:val="16"/>
          <w:szCs w:val="16"/>
          <w:color w:val="auto"/>
        </w:rPr>
        <w:t>Distributions on our Class A common stock that are treated as dividends, and that are not effectively connected with a Non-U.S. Holder’s conduct of a trade or business in the United States, generally will be subject to withholding of U.S. federal income tax at a rate of 30%. A Non-U.S. Holder may be eligible for a lower rate under an applicable income tax treaty between the United States and its jurisdiction of tax residence. In order to claim the benefit of an applicable income tax treaty, a Non-U.S. Holder will be required to provide to the applicable withholding agent a properly executed IRS Form W-8BEN or W-8BEN-E (or other applicable form) in accordance with the applicable certification and disclosure requirements. Special rules apply to partnerships and other pass-through entities and these certification and disclosure requirements also may apply to beneficial owners of partnerships and other pass-through entities that hold our Class A common stock.</w:t>
      </w:r>
    </w:p>
    <w:p>
      <w:pPr>
        <w:spacing w:after="0" w:line="58"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Distributions on our Class A common stock that are treated as dividends, and that are effectively connected with a Non-U.S. Holder’s conduct of a trade or business in the United States will be taxed on a net income basis at the regular graduated rates and in the manner applicable to United States persons (unless the Non-U.S. Holder is eligible for and properly claims the benefit of an applicable income tax treaty and the dividends are not attributable to a permanent establishment or fixed base maintained by the Non-U.S. Holder in the United States, in which case the Non-U.S. Holder may be eligible for a lower rate under an applicable income tax treaty between the United States and its jurisdiction of tax residence). Dividends that are effectively connected with a Non-U.S. Holder’s conduct of a trade or business in the United States, will not be subject to the withholding of U.S. federal income tax discussed above if the Non-U.S. Holder provides to the applicable withholding agent a properly executed IRS Form W-8ECI (or other applicable form) in accordance with the applicable certification and disclosure requirements. A Non-U.S. Holder that is treated as a corporation for U.S. federal income tax purposes may also be subject to a “branch profits” tax at a 30% rate (or a lower rate if the Non-U.S. Holder is eligible for a lower rate under an applicable income tax treaty) on the Non-U.S. Holder’s earnings and profits (attributable to dividends on our Class A common stock or otherwise) that are effectively connected with the Non-U.S. Holder’s conduct of a trade or business within the United States, subject to certain adjustments.</w:t>
      </w: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dividends and must be updated periodically. A Non-U.S. Holder may obtain a refund or credit of any excess amounts withheld by timely filing an appropriate claim for a refund with the IRS. Non-U.S. Holders should consult their own tax advisors regarding their eligibility for benefits under a relevant income tax treaty and the manner of claiming such benefits.</w:t>
      </w:r>
    </w:p>
    <w:p>
      <w:pPr>
        <w:spacing w:after="0" w:line="80"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or Other Dispositions of Our Class A Common Stock</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 Non-U.S. Holder generally will not be subject to U.S. federal income tax (including withholding thereof)</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 any gain recognized on any sales or other dispositions of our Class A common stock unless:</w:t>
      </w:r>
    </w:p>
    <w:p>
      <w:pPr>
        <w:spacing w:after="0" w:line="184" w:lineRule="exact"/>
        <w:rPr>
          <w:sz w:val="20"/>
          <w:szCs w:val="20"/>
          <w:color w:val="auto"/>
        </w:rPr>
      </w:pPr>
    </w:p>
    <w:p>
      <w:pPr>
        <w:ind w:left="1980" w:right="719" w:hanging="352"/>
        <w:spacing w:after="0" w:line="272" w:lineRule="auto"/>
        <w:tabs>
          <w:tab w:leader="none" w:pos="19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 in this case, the gain will be subject to U.S. federal income tax on a net income basis at the regular graduated rates and in the manner applicable to United States persons (unless an applicable income tax treaty provides otherwise) and, if the Non-U.S. Holder is treated as a corporation for U.S. federal income tax purposes, the “branch profits tax” described above may also apply;</w:t>
      </w:r>
    </w:p>
    <w:p>
      <w:pPr>
        <w:spacing w:after="0" w:line="136" w:lineRule="exact"/>
        <w:rPr>
          <w:rFonts w:ascii="Arial" w:cs="Arial" w:eastAsia="Arial" w:hAnsi="Arial"/>
          <w:sz w:val="17"/>
          <w:szCs w:val="17"/>
          <w:color w:val="auto"/>
        </w:rPr>
      </w:pPr>
    </w:p>
    <w:p>
      <w:pPr>
        <w:ind w:left="1980" w:right="799" w:hanging="352"/>
        <w:spacing w:after="0" w:line="275" w:lineRule="auto"/>
        <w:tabs>
          <w:tab w:leader="none" w:pos="19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more than 182 days in the taxable year of the disposition and meets certain other requirements; in this case, except as otherwise provided by an applicable income tax treaty, the gain, which may be offset by certain U.S. source capital losses, generally will be subject to a flat 30% U.S. federal income tax, even though the Non-U.S. Holder is not considered a resident of the United States under the Code; or</w:t>
      </w:r>
    </w:p>
    <w:p>
      <w:pPr>
        <w:spacing w:after="0" w:line="135" w:lineRule="exact"/>
        <w:rPr>
          <w:rFonts w:ascii="Arial" w:cs="Arial" w:eastAsia="Arial" w:hAnsi="Arial"/>
          <w:sz w:val="17"/>
          <w:szCs w:val="17"/>
          <w:color w:val="auto"/>
        </w:rPr>
      </w:pPr>
    </w:p>
    <w:p>
      <w:pPr>
        <w:ind w:left="1980" w:right="739" w:hanging="352"/>
        <w:spacing w:after="0" w:line="286" w:lineRule="auto"/>
        <w:tabs>
          <w:tab w:leader="none" w:pos="19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(i) the five-year period ending on the date of disposition and (ii) the period that the Non-U.S. Holder held our Class A common stock.</w:t>
      </w:r>
    </w:p>
    <w:p>
      <w:pPr>
        <w:spacing w:after="0" w:line="57"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Generally, a 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We believe that we are not currently, and we do not anticipate becoming in the future, a United States real property holding corporation. However, because the determination of whether we are a United States real property holding corporation is made from time to time and depends on the relative fair market values of our assets, there can be no assurance in this regard. If we were a United States real property holding corporation, the tax relating to disposition of stock in a United States real property holding corporation generally will not apply to a Non-U.S. Holder whose holdings, direct, indirect and constructive, constituted 5% or less of our Class A common stock at all times during the applicable period, provided that our Class A common stock is “regularly traded on an established securities market” (as provided in applicable U.S. Treasury regulations) at any time during the calendar year in which the disposition occurs. However, no assurance can be provided that our Class A common stock will be regularly traded on an established securities market for purposes of the rules described above. Non-U.S. Holders should consult their own tax advisors regarding the possible adverse U.S. federal income tax consequences to them if we are, or were to become, a United States real property holding corporation.</w:t>
      </w:r>
    </w:p>
    <w:p>
      <w:pPr>
        <w:spacing w:after="0" w:line="59"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08" w:lineRule="exact"/>
        <w:rPr>
          <w:sz w:val="20"/>
          <w:szCs w:val="20"/>
          <w:color w:val="auto"/>
        </w:rPr>
      </w:pPr>
    </w:p>
    <w:p>
      <w:pPr>
        <w:ind w:left="1260" w:right="859" w:firstLine="360"/>
        <w:spacing w:after="0" w:line="301" w:lineRule="auto"/>
        <w:rPr>
          <w:sz w:val="20"/>
          <w:szCs w:val="20"/>
          <w:color w:val="auto"/>
        </w:rPr>
      </w:pPr>
      <w:r>
        <w:rPr>
          <w:rFonts w:ascii="Arial" w:cs="Arial" w:eastAsia="Arial" w:hAnsi="Arial"/>
          <w:sz w:val="16"/>
          <w:szCs w:val="16"/>
          <w:color w:val="auto"/>
        </w:rPr>
        <w:t>Our Class A Class A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Backup withholding (currently at a rate of 24%) will not apply to payments of dividends on our Class A common stock to a Non-U.S. Holder if the Non-U.S. Holder provides to the applicable withholding agent a properly executed IRS Form W-8BEN or W-8BEN-E (or other applicable form) certifying under penalties of perjury that the Non-U.S. Holder is not a United States person, or otherwise qualifies for an exemption. However, the applicable withholding agent generally will be required to report to the IRS and to such Non-U.S. Holder payments of dividends on our Class A common stock and the amount of U.S. federal income tax, if any, withheld with respect to those payments. Copies of the information returns reporting such dividends and any withholding may also be made available to the tax authorities in the country in which the Non-U.S. Holder resides under the provisions of a treaty or agreement.</w:t>
      </w:r>
    </w:p>
    <w:p>
      <w:pPr>
        <w:spacing w:after="0" w:line="7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gross proceeds from sales or other dispositions of our Class A common stock may be subject, in certain circumstances discussed below, to U.S. backup withholding and information reporting. If a Non-U.S. Holder sells or otherwise disposes of our Class A common stock outside the United States through a non-U.S. office of a non-U.S. broker and the disposition proceeds are paid to the Non-U.S. Holder outside the United States, then the U.S. backup withholding and information reporting requirements generally will not apply to that payment. However, U.S. information reporting, but not U.S. backup withholding, will apply to a payment of disposition proceeds, even if that payment is made outside the United States, if a Non-U.S. Holder sells our Class A common stock through a non-U.S. office of a broker that is a United States person or has certain enumerated connections with the United States, unless the broker has documentary evidence in its files that the Non-U.S. Holder is not a United States person and certain other conditions are met or the Non-U.S. Holder otherwise qualifies for an exemption.</w:t>
      </w:r>
    </w:p>
    <w:p>
      <w:pPr>
        <w:spacing w:after="0" w:line="74"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If a Non-U.S. Holder receives payments of the proceeds of a disposition of our Class A common stock to or through a U.S. office of a broker, the payment will be subject to both U.S. backup withholding and information reporting unless the Non-U.S. Holder provides to the broker a properly executed IRS Form W-8BEN or W-8BEN-E (or other applicable form) certifying under penalties of perjury that the Non-U.S. Holder is not a United States person, or the Non-U.S. Holder otherwise qualifies for an exemption.</w:t>
      </w:r>
    </w:p>
    <w:p>
      <w:pPr>
        <w:spacing w:after="0" w:line="6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credited against the Non-U.S. Holder’s U.S. federal income tax liability (which may result in the Non-U.S. Holder being entitled to a refund), provided that the required information is timely furnished to the IRS.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w:t>
      </w:r>
    </w:p>
    <w:p>
      <w:pPr>
        <w:spacing w:after="0" w:line="108" w:lineRule="exact"/>
        <w:rPr>
          <w:sz w:val="20"/>
          <w:szCs w:val="20"/>
          <w:color w:val="auto"/>
        </w:rPr>
      </w:pPr>
    </w:p>
    <w:p>
      <w:pPr>
        <w:ind w:left="1260" w:right="1259" w:firstLine="360"/>
        <w:spacing w:after="0" w:line="291" w:lineRule="auto"/>
        <w:rPr>
          <w:sz w:val="20"/>
          <w:szCs w:val="20"/>
          <w:color w:val="auto"/>
        </w:rPr>
      </w:pPr>
      <w:r>
        <w:rPr>
          <w:rFonts w:ascii="Arial" w:cs="Arial" w:eastAsia="Arial" w:hAnsi="Arial"/>
          <w:sz w:val="16"/>
          <w:szCs w:val="16"/>
          <w:color w:val="auto"/>
        </w:rPr>
        <w:t>The Foreign Account Tax Compliance Act and related Treasury guidance (commonly referred to as “FATCA”) impose U.S. federal withholding tax at a rate of 30% on payments to certain foreign entities of</w:t>
      </w:r>
    </w:p>
    <w:p>
      <w:pPr>
        <w:ind w:left="1260" w:right="959" w:firstLine="8"/>
        <w:spacing w:after="0" w:line="281" w:lineRule="auto"/>
        <w:tabs>
          <w:tab w:leader="none" w:pos="147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U.S.-source dividends (including dividends paid on our Class A common stock) and (ii) the gross proceeds from the sale or other disposition after December 31, 2018 of property that produces U.S.-source dividends (including sales or other dispositions of our Class A common stock). This withholding tax applies to a foreign entity, whether acting as a beneficial owner or an intermediary, unless such foreign entity complies with</w:t>
      </w:r>
    </w:p>
    <w:p>
      <w:pPr>
        <w:spacing w:after="0" w:line="2" w:lineRule="exact"/>
        <w:rPr>
          <w:rFonts w:ascii="Arial" w:cs="Arial" w:eastAsia="Arial" w:hAnsi="Arial"/>
          <w:sz w:val="16"/>
          <w:szCs w:val="16"/>
          <w:color w:val="auto"/>
        </w:rPr>
      </w:pPr>
    </w:p>
    <w:p>
      <w:pPr>
        <w:ind w:left="1260" w:right="1039" w:firstLine="8"/>
        <w:spacing w:after="0" w:line="253" w:lineRule="auto"/>
        <w:tabs>
          <w:tab w:leader="none" w:pos="14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information reporting requirements regarding its U.S. account holders and its U.S. owners and (ii) certain withholding obligations regarding certain payments to its account holders and certain other persons. Accordingly, the entity through which a Non-U.S. Holder holds its Class A common stock will affect the determination of whether such withholding is required. Non-U.S. Holders are encouraged to consult their tax advisors regarding FATCA.</w:t>
      </w: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UNDERWRITING (CONFLICTS OF INTEREST)</w:t>
      </w:r>
    </w:p>
    <w:p>
      <w:pPr>
        <w:spacing w:after="0" w:line="10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We are offering shares of our Class A common stock described in this prospectus through a number of underwriters. Citigroup Global Markets Inc., Goldman Sachs &amp; Co. LLC, J.P. Morgan Securities LLC and Morgan Stanley &amp; Co. LLC are acting as joint book-running managers of the offering and as representatives on behalf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ectPr>
          <w:pgSz w:w="11900" w:h="16838" w:orient="portrait"/>
          <w:cols w:equalWidth="0" w:num="1">
            <w:col w:w="10139"/>
          </w:cols>
          <w:pgMar w:left="320" w:top="132" w:right="1440" w:bottom="1440" w:gutter="0" w:footer="0" w:header="0"/>
        </w:sectPr>
      </w:pPr>
    </w:p>
    <w:p>
      <w:pPr>
        <w:spacing w:after="0" w:line="264"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22225</wp:posOffset>
            </wp:positionV>
            <wp:extent cx="4749165" cy="1714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7680" w:space="720"/>
            <w:col w:w="1739"/>
          </w:cols>
          <w:pgMar w:left="320" w:top="132"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Citigroup Global Markets Inc.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14605</wp:posOffset>
            </wp:positionV>
            <wp:extent cx="4749165" cy="162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J.P. Morgan Securities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4749165" cy="179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31750</wp:posOffset>
            </wp:positionV>
            <wp:extent cx="4540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19"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underwriters are committed to purchase all the shares of Class A common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80"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The underwriters propose to offer the shares directly to the public at the initial public offering price set forth on the cover page of this prospectus and to certain dealers at that price less a concession not in excess of</w:t>
      </w:r>
    </w:p>
    <w:p>
      <w:pPr>
        <w:ind w:left="1720" w:hanging="452"/>
        <w:spacing w:after="0"/>
        <w:tabs>
          <w:tab w:leader="none" w:pos="17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per share. Any such dealers may resell shares to certain other brokers or dealers at a discount of up to</w:t>
      </w:r>
    </w:p>
    <w:p>
      <w:pPr>
        <w:spacing w:after="0" w:line="20" w:lineRule="exact"/>
        <w:rPr>
          <w:rFonts w:ascii="Arial" w:cs="Arial" w:eastAsia="Arial" w:hAnsi="Arial"/>
          <w:sz w:val="17"/>
          <w:szCs w:val="17"/>
          <w:color w:val="auto"/>
        </w:rPr>
      </w:pPr>
    </w:p>
    <w:p>
      <w:pPr>
        <w:ind w:left="1260" w:right="919" w:firstLine="8"/>
        <w:spacing w:after="0" w:line="255" w:lineRule="auto"/>
        <w:tabs>
          <w:tab w:leader="none" w:pos="171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 share from the initial public offering price. After the initial offering of the shares to the public, the offering price and the other selling terms may be changed by the underwriters. Sales of shares made outside of the United States may be made by affiliates of the underwriters.</w:t>
      </w:r>
    </w:p>
    <w:p>
      <w:pPr>
        <w:spacing w:after="0" w:line="82"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The underwriters have an option to buy up to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of Class A common stock, the underwriters will severally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69"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The underwriting fee is equal to the public offering price per share of Class A common stock less the amount paid by the underwriters to us per share of Class A common stock. The following table shows the per share and total underwriting discounts and commissions to be paid to the underwriters assuming both no exercise and full exercise of the underwriters’ option to purchase additional shares of Class A common stock.</w:t>
      </w:r>
    </w:p>
    <w:p>
      <w:pPr>
        <w:spacing w:after="0" w:line="95"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No</w:t>
            </w: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Full</w:t>
            </w:r>
          </w:p>
        </w:tc>
      </w:tr>
      <w:tr>
        <w:trPr>
          <w:trHeight w:val="186"/>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exercise</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exercise</w:t>
            </w:r>
          </w:p>
        </w:tc>
      </w:tr>
      <w:tr>
        <w:trPr>
          <w:trHeight w:val="25"/>
        </w:trPr>
        <w:tc>
          <w:tcPr>
            <w:tcW w:w="51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6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57"/>
        </w:trPr>
        <w:tc>
          <w:tcPr>
            <w:tcW w:w="5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-334010</wp:posOffset>
            </wp:positionV>
            <wp:extent cx="37973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195" w:lineRule="exact"/>
        <w:rPr>
          <w:sz w:val="20"/>
          <w:szCs w:val="20"/>
          <w:color w:val="auto"/>
        </w:rPr>
      </w:pPr>
    </w:p>
    <w:p>
      <w:pPr>
        <w:ind w:left="1260" w:right="959" w:firstLine="360"/>
        <w:spacing w:after="0" w:line="291"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 excluding the underwriting discounts and commissions, will be</w:t>
      </w:r>
    </w:p>
    <w:p>
      <w:pPr>
        <w:ind w:left="1260"/>
        <w:spacing w:after="0"/>
        <w:tabs>
          <w:tab w:leader="none" w:pos="28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w:t>
      </w:r>
    </w:p>
    <w:p>
      <w:pPr>
        <w:spacing w:after="0" w:line="103" w:lineRule="exact"/>
        <w:rPr>
          <w:sz w:val="20"/>
          <w:szCs w:val="20"/>
          <w:color w:val="auto"/>
        </w:rPr>
      </w:pPr>
    </w:p>
    <w:p>
      <w:pPr>
        <w:jc w:val="both"/>
        <w:ind w:left="1260" w:right="1159" w:firstLine="360"/>
        <w:spacing w:after="0" w:line="311"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w:t>
      </w: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color w:val="auto"/>
        </w:rPr>
        <w:t>account holders. Internet distributions will be allocated by the representatives to underwriters and selling group members that may make Internet distributions on the same basis as other allocations.</w:t>
      </w:r>
    </w:p>
    <w:p>
      <w:pPr>
        <w:spacing w:after="0" w:line="62" w:lineRule="exact"/>
        <w:rPr>
          <w:sz w:val="20"/>
          <w:szCs w:val="20"/>
          <w:color w:val="auto"/>
        </w:rPr>
      </w:pPr>
    </w:p>
    <w:p>
      <w:pPr>
        <w:ind w:left="1260" w:right="679" w:firstLine="360"/>
        <w:spacing w:after="0" w:line="283" w:lineRule="auto"/>
        <w:rPr>
          <w:sz w:val="20"/>
          <w:szCs w:val="20"/>
          <w:color w:val="auto"/>
        </w:rPr>
      </w:pPr>
      <w:r>
        <w:rPr>
          <w:rFonts w:ascii="Arial" w:cs="Arial" w:eastAsia="Arial" w:hAnsi="Arial"/>
          <w:sz w:val="16"/>
          <w:szCs w:val="16"/>
          <w:color w:val="auto"/>
        </w:rPr>
        <w:t>We have agreed that for a period of 180 days after the date of this prospectus, subject to certain exceptions,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Class A common stock or securities convertible into or redeemable, exchangeable or exercisable for any shares of our Class A common stock (including, without limitation, the LLC Interests), or publicly disclose the intention to make any offer, sale, pledge,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w:t>
      </w:r>
    </w:p>
    <w:p>
      <w:pPr>
        <w:spacing w:after="0" w:line="5" w:lineRule="exact"/>
        <w:rPr>
          <w:sz w:val="20"/>
          <w:szCs w:val="20"/>
          <w:color w:val="auto"/>
        </w:rPr>
      </w:pPr>
    </w:p>
    <w:p>
      <w:pPr>
        <w:jc w:val="both"/>
        <w:ind w:left="1260" w:right="859"/>
        <w:spacing w:after="0" w:line="255" w:lineRule="auto"/>
        <w:rPr>
          <w:sz w:val="20"/>
          <w:szCs w:val="20"/>
          <w:color w:val="auto"/>
        </w:rPr>
      </w:pPr>
      <w:r>
        <w:rPr>
          <w:rFonts w:ascii="Arial" w:cs="Arial" w:eastAsia="Arial" w:hAnsi="Arial"/>
          <w:sz w:val="18"/>
          <w:szCs w:val="18"/>
          <w:color w:val="auto"/>
        </w:rPr>
        <w:t>in each case without the prior written consent of , other than the shares of our Class A common stock to be sold hereunder and any shares of our Class A common stock issued upon the exercise of options granted under our existing management incentive plans.</w:t>
      </w:r>
    </w:p>
    <w:p>
      <w:pPr>
        <w:spacing w:after="0" w:line="82"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Our directors and executive officers and substantially all of our other stockholders have entered into lock-up agreements with the underwriters prior to the commencement of this offering pursuant to which each of these persons or entities, with limited exceptions, for a period of 180 days after the date of this prospectus, may not,</w:t>
      </w:r>
    </w:p>
    <w:p>
      <w:pPr>
        <w:spacing w:after="0" w:line="2"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without the prior written consent of , (1) offer, pledge, announce the intention to sell,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redeemable, exercisable or exchangeable for our Class A common stock, including the LLC Interests (and including, without limitation, Class A common stock or such other securities which may be deemed to be beneficially owned by such directors, executive officers, managers and members in accordance with the rules and regulations of the SEC and securities which may be issued upon exercise of a stock option) or (2) enter into any swap or other agreement that transfers, in whole or in part, any of the economic consequences of ownership of the Class A common stock or such other securities, whether any such transaction described in clause (1) or (2) 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Class A common stock.</w:t>
      </w:r>
    </w:p>
    <w:p>
      <w:pPr>
        <w:spacing w:after="0" w:line="75" w:lineRule="exact"/>
        <w:rPr>
          <w:sz w:val="20"/>
          <w:szCs w:val="20"/>
          <w:color w:val="auto"/>
        </w:rPr>
      </w:pPr>
    </w:p>
    <w:p>
      <w:pPr>
        <w:ind w:left="1260" w:right="679" w:firstLine="728"/>
        <w:spacing w:after="0" w:line="277" w:lineRule="auto"/>
        <w:tabs>
          <w:tab w:leader="none" w:pos="207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their sole discretion, may release the Class A common stock and other securities subject to the lock-up agreements described above in whole or in part at any time.</w:t>
      </w:r>
    </w:p>
    <w:p>
      <w:pPr>
        <w:spacing w:after="0" w:line="62"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62" w:lineRule="exact"/>
        <w:rPr>
          <w:sz w:val="20"/>
          <w:szCs w:val="20"/>
          <w:color w:val="auto"/>
        </w:rPr>
      </w:pPr>
    </w:p>
    <w:p>
      <w:pPr>
        <w:ind w:left="1620"/>
        <w:spacing w:after="0"/>
        <w:tabs>
          <w:tab w:leader="none" w:pos="7260" w:val="left"/>
        </w:tabs>
        <w:rPr>
          <w:sz w:val="20"/>
          <w:szCs w:val="20"/>
          <w:color w:val="auto"/>
        </w:rPr>
      </w:pPr>
      <w:r>
        <w:rPr>
          <w:rFonts w:ascii="Arial" w:cs="Arial" w:eastAsia="Arial" w:hAnsi="Arial"/>
          <w:sz w:val="18"/>
          <w:szCs w:val="18"/>
          <w:color w:val="auto"/>
        </w:rPr>
        <w:t>We will apply to have our Class A common stock approved for listing on</w:t>
      </w:r>
      <w:r>
        <w:rPr>
          <w:sz w:val="20"/>
          <w:szCs w:val="20"/>
          <w:color w:val="auto"/>
        </w:rPr>
        <w:tab/>
      </w:r>
      <w:r>
        <w:rPr>
          <w:rFonts w:ascii="Arial" w:cs="Arial" w:eastAsia="Arial" w:hAnsi="Arial"/>
          <w:sz w:val="16"/>
          <w:szCs w:val="16"/>
          <w:color w:val="auto"/>
        </w:rPr>
        <w:t>under the symbol “TW.”</w:t>
      </w:r>
    </w:p>
    <w:p>
      <w:pPr>
        <w:spacing w:after="0" w:line="117"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the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w:t>
      </w: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86" w:lineRule="auto"/>
        <w:rPr>
          <w:sz w:val="20"/>
          <w:szCs w:val="20"/>
          <w:color w:val="auto"/>
        </w:rPr>
      </w:pPr>
      <w:r>
        <w:rPr>
          <w:rFonts w:ascii="Arial" w:cs="Arial" w:eastAsia="Arial" w:hAnsi="Arial"/>
          <w:sz w:val="17"/>
          <w:szCs w:val="17"/>
          <w:color w:val="auto"/>
        </w:rPr>
        <w:t>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5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discounts and commissions received by them.</w:t>
      </w:r>
    </w:p>
    <w:p>
      <w:pPr>
        <w:spacing w:after="0" w:line="8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 in the over-the-counter market or otherwise.</w:t>
      </w:r>
    </w:p>
    <w:p>
      <w:pPr>
        <w:spacing w:after="0" w:line="6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46" w:lineRule="exact"/>
        <w:rPr>
          <w:sz w:val="20"/>
          <w:szCs w:val="20"/>
          <w:color w:val="auto"/>
        </w:rPr>
      </w:pPr>
    </w:p>
    <w:p>
      <w:pPr>
        <w:ind w:left="1980" w:hanging="352"/>
        <w:spacing w:after="0"/>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71"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17" w:lineRule="exact"/>
        <w:rPr>
          <w:sz w:val="20"/>
          <w:szCs w:val="20"/>
          <w:color w:val="auto"/>
        </w:rPr>
      </w:pPr>
    </w:p>
    <w:p>
      <w:pPr>
        <w:ind w:left="1260" w:right="1139" w:firstLine="360"/>
        <w:spacing w:after="0" w:line="308"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shares, or that the shares will trade in the public market at or above the initial public offering price.</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 Other Relationships</w:t>
      </w:r>
    </w:p>
    <w:p>
      <w:pPr>
        <w:spacing w:after="0" w:line="108" w:lineRule="exact"/>
        <w:rPr>
          <w:sz w:val="20"/>
          <w:szCs w:val="20"/>
          <w:color w:val="auto"/>
        </w:rPr>
      </w:pPr>
    </w:p>
    <w:p>
      <w:pPr>
        <w:ind w:left="2260" w:right="839" w:hanging="629"/>
        <w:spacing w:after="0" w:line="274" w:lineRule="auto"/>
        <w:rPr>
          <w:sz w:val="20"/>
          <w:szCs w:val="20"/>
          <w:color w:val="auto"/>
        </w:rPr>
      </w:pPr>
      <w:r>
        <w:rPr>
          <w:rFonts w:ascii="Arial" w:cs="Arial" w:eastAsia="Arial" w:hAnsi="Arial"/>
          <w:sz w:val="18"/>
          <w:szCs w:val="18"/>
          <w:color w:val="auto"/>
        </w:rPr>
        <w:t>Affiliates of</w:t>
      </w:r>
      <w:r>
        <w:rPr>
          <w:sz w:val="20"/>
          <w:szCs w:val="20"/>
          <w:color w:val="auto"/>
        </w:rPr>
        <w:t xml:space="preserve"> </w:t>
      </w:r>
      <w:r>
        <w:rPr>
          <w:rFonts w:ascii="Arial" w:cs="Arial" w:eastAsia="Arial" w:hAnsi="Arial"/>
          <w:sz w:val="17"/>
          <w:szCs w:val="17"/>
          <w:color w:val="auto"/>
        </w:rPr>
        <w:t>will receive more than 5.0% of the net proceeds from this offering. As a result, is deemed to have a “conflict of interest” pursuant to FINRA Rule 5121(f)(5)(C)(ii). Accordingly,</w:t>
      </w:r>
    </w:p>
    <w:p>
      <w:pPr>
        <w:ind w:left="1260" w:right="759"/>
        <w:spacing w:after="0" w:line="281" w:lineRule="auto"/>
        <w:rPr>
          <w:sz w:val="20"/>
          <w:szCs w:val="20"/>
          <w:color w:val="auto"/>
        </w:rPr>
      </w:pPr>
      <w:r>
        <w:rPr>
          <w:rFonts w:ascii="Arial" w:cs="Arial" w:eastAsia="Arial" w:hAnsi="Arial"/>
          <w:sz w:val="16"/>
          <w:szCs w:val="16"/>
          <w:color w:val="auto"/>
        </w:rPr>
        <w:t>this offering will be made in compliance with the applicable provisions of Rule 5121. As such, any underwriter that has a conflict of interest pursuant to Rule 5121 will not confirm sales to accounts in which it exercises discretionary authority without the prior written consent of the customer. Pursuant to Rule 5121, a “qualified independent underwriter” (as defined in Rule 5121) must participate in the preparation of the prospectus and perform its usual standard of due diligence with respect to the registration statement and this prospectus. has</w:t>
      </w:r>
    </w:p>
    <w:p>
      <w:pPr>
        <w:spacing w:after="0" w:line="3"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agreed to act as qualified independent underwriter for the offering and to undertake the legal responsibilities and liabilities of an underwriter under the Securities Act, specifically including those inherent in Section 11 of the Securities Act. We have also agreed to indemnify against certain liabilities incurred in connection with it acting as a qualified independent underwriter in this offering, including liabilities under the Securities Act.</w:t>
      </w:r>
    </w:p>
    <w:p>
      <w:pPr>
        <w:spacing w:after="0" w:line="68"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In addition, in the ordinary course of their business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919"/>
        <w:spacing w:after="0" w:line="311" w:lineRule="auto"/>
        <w:rPr>
          <w:sz w:val="20"/>
          <w:szCs w:val="20"/>
          <w:color w:val="auto"/>
        </w:rPr>
      </w:pPr>
      <w:r>
        <w:rPr>
          <w:rFonts w:ascii="Arial" w:cs="Arial" w:eastAsia="Arial" w:hAnsi="Arial"/>
          <w:sz w:val="16"/>
          <w:szCs w:val="16"/>
          <w:color w:val="auto"/>
        </w:rPr>
        <w:t>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08"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04" w:lineRule="exact"/>
        <w:rPr>
          <w:sz w:val="20"/>
          <w:szCs w:val="20"/>
          <w:color w:val="auto"/>
        </w:rPr>
      </w:pPr>
    </w:p>
    <w:p>
      <w:pPr>
        <w:jc w:val="both"/>
        <w:ind w:left="1260" w:right="939" w:firstLine="360"/>
        <w:spacing w:after="0" w:line="342" w:lineRule="auto"/>
        <w:rPr>
          <w:sz w:val="20"/>
          <w:szCs w:val="20"/>
          <w:color w:val="auto"/>
        </w:rPr>
      </w:pPr>
      <w:r>
        <w:rPr>
          <w:rFonts w:ascii="Arial" w:cs="Arial" w:eastAsia="Arial" w:hAnsi="Arial"/>
          <w:sz w:val="16"/>
          <w:szCs w:val="16"/>
          <w:color w:val="auto"/>
        </w:rPr>
        <w:t>In relation to each Member State of the European Economic Area (each, a “Relevant Member State”), no offer of shares of Class A common stock may be made to the public in that Relevant Member State other than:</w:t>
      </w:r>
    </w:p>
    <w:p>
      <w:pPr>
        <w:spacing w:after="0" w:line="56" w:lineRule="exact"/>
        <w:rPr>
          <w:sz w:val="20"/>
          <w:szCs w:val="20"/>
          <w:color w:val="auto"/>
        </w:rPr>
      </w:pPr>
    </w:p>
    <w:p>
      <w:pPr>
        <w:ind w:left="1980" w:hanging="352"/>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7" w:lineRule="exact"/>
        <w:rPr>
          <w:rFonts w:ascii="Arial" w:cs="Arial" w:eastAsia="Arial" w:hAnsi="Arial"/>
          <w:sz w:val="18"/>
          <w:szCs w:val="18"/>
          <w:color w:val="auto"/>
        </w:rPr>
      </w:pPr>
    </w:p>
    <w:p>
      <w:pPr>
        <w:ind w:left="1980" w:right="899" w:hanging="352"/>
        <w:spacing w:after="0" w:line="263"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129" w:lineRule="exact"/>
        <w:rPr>
          <w:rFonts w:ascii="Arial" w:cs="Arial" w:eastAsia="Arial" w:hAnsi="Arial"/>
          <w:sz w:val="18"/>
          <w:szCs w:val="18"/>
          <w:color w:val="auto"/>
        </w:rPr>
      </w:pPr>
    </w:p>
    <w:p>
      <w:pPr>
        <w:ind w:left="1980" w:right="679" w:hanging="352"/>
        <w:spacing w:after="0" w:line="259"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Class A common stock shall require the Company or the representatives to publish a prospectus pursuant to Article 3 of the Prospectus Directive or supplement a prospectus pursuant to Article 16 of the Prospectus Directive.</w:t>
      </w:r>
    </w:p>
    <w:p>
      <w:pPr>
        <w:spacing w:after="0" w:line="79"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Each person in a Relevant Member State who initially acquires any shares of Class A common stock or to whom any offer is made will be deemed to have represented, acknowledged and agreed that it is a “qualified investor” within the meaning of the law in that Relevant Member State implementing Article 2(1)(e) of the Prospectus Directive. In the case of any shares of Class A common stock being offered to a financial intermediary as that term is used in Article 3(2) of the Prospectus Directive,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Member State to qualified investors as so defined or in circumstances in which the prior consent of the representatives has been obtained to each such proposed offer or resale.</w:t>
      </w:r>
    </w:p>
    <w:p>
      <w:pPr>
        <w:spacing w:after="0" w:line="7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acknowledgments and agreements.</w:t>
      </w:r>
    </w:p>
    <w:p>
      <w:pPr>
        <w:spacing w:after="0" w:line="62"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This prospectus has been prepared on the basis that any offer of shares in any Relevant Member State will be made pursuant to an exemption under the Prospectus Directive from the requirement to publish a prospectus for offers of shares of Class A common stock. Accordingly any person making or intending to make an offer in that Relevant Member State of shares of Class A common stock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of Class A common stock in circumstances in which an obligation arises for the Company or the underwriters to publish a prospectus for such offer.</w:t>
      </w: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For the purpose of the above provisions, the expression “an offer to the public” in relation to any shares of Class A common stock in any Relevant Member State means the communication in any form and by any means of sufficient information on the terms of the offer and the shares of Class A common stock to be offered so as to enable an investor to decide to purchase or subscribe the shares of Class A common stock,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04" w:lineRule="exact"/>
        <w:rPr>
          <w:sz w:val="20"/>
          <w:szCs w:val="20"/>
          <w:color w:val="auto"/>
        </w:rPr>
      </w:pPr>
    </w:p>
    <w:p>
      <w:pPr>
        <w:ind w:left="1260" w:right="859" w:firstLine="360"/>
        <w:spacing w:after="0" w:line="254"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87"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04" w:lineRule="exact"/>
        <w:rPr>
          <w:sz w:val="20"/>
          <w:szCs w:val="20"/>
          <w:color w:val="auto"/>
        </w:rPr>
      </w:pPr>
    </w:p>
    <w:p>
      <w:pPr>
        <w:ind w:left="1260" w:right="939" w:firstLine="360"/>
        <w:spacing w:after="0" w:line="273" w:lineRule="auto"/>
        <w:rPr>
          <w:sz w:val="20"/>
          <w:szCs w:val="20"/>
          <w:color w:val="auto"/>
        </w:rPr>
      </w:pPr>
      <w:r>
        <w:rPr>
          <w:rFonts w:ascii="Arial" w:cs="Arial" w:eastAsia="Arial" w:hAnsi="Arial"/>
          <w:sz w:val="17"/>
          <w:szCs w:val="17"/>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must be made in accordance with an exemption from, or in a transaction not subject to, the prospectus requirements of applicable securities laws.</w:t>
      </w:r>
    </w:p>
    <w:p>
      <w:pPr>
        <w:spacing w:after="0" w:line="70"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04"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0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w:t>
      </w:r>
    </w:p>
    <w:p>
      <w:pPr>
        <w:spacing w:after="0" w:line="198" w:lineRule="exact"/>
        <w:rPr>
          <w:sz w:val="20"/>
          <w:szCs w:val="20"/>
          <w:color w:val="auto"/>
        </w:rPr>
      </w:pPr>
    </w:p>
    <w:p>
      <w:pPr>
        <w:ind w:left="1980" w:right="779" w:hanging="352"/>
        <w:spacing w:after="0" w:line="277" w:lineRule="auto"/>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w:t>
      </w:r>
    </w:p>
    <w:p>
      <w:pPr>
        <w:spacing w:after="0" w:line="129" w:lineRule="exact"/>
        <w:rPr>
          <w:rFonts w:ascii="Arial" w:cs="Arial" w:eastAsia="Arial" w:hAnsi="Arial"/>
          <w:sz w:val="18"/>
          <w:szCs w:val="18"/>
          <w:color w:val="auto"/>
        </w:rPr>
      </w:pPr>
    </w:p>
    <w:p>
      <w:pPr>
        <w:ind w:left="1980" w:right="699" w:hanging="352"/>
        <w:spacing w:after="0" w:line="259" w:lineRule="auto"/>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146" w:lineRule="exact"/>
        <w:rPr>
          <w:rFonts w:ascii="Arial" w:cs="Arial" w:eastAsia="Arial" w:hAnsi="Arial"/>
          <w:sz w:val="18"/>
          <w:szCs w:val="18"/>
          <w:color w:val="auto"/>
        </w:rPr>
      </w:pPr>
    </w:p>
    <w:p>
      <w:pPr>
        <w:ind w:left="1980" w:right="819" w:hanging="352"/>
        <w:spacing w:after="0" w:line="263" w:lineRule="auto"/>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76"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70"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04" w:lineRule="exact"/>
        <w:rPr>
          <w:sz w:val="20"/>
          <w:szCs w:val="20"/>
          <w:color w:val="auto"/>
        </w:rPr>
      </w:pPr>
    </w:p>
    <w:p>
      <w:pPr>
        <w:ind w:left="1260" w:right="859" w:firstLine="360"/>
        <w:spacing w:after="0" w:line="301"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Act. Accordingly, the shares of common stock may not be offered or sold, directly or indirectly, in Japan or to, or for the benefit of, any resident of Japan (which term as used herein means any person resident in Japan, including any corporation or other entity organized under the laws of Japan), or</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04"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64"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04"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7"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16" w:lineRule="exact"/>
        <w:rPr>
          <w:sz w:val="20"/>
          <w:szCs w:val="20"/>
          <w:color w:val="auto"/>
        </w:rPr>
      </w:pPr>
    </w:p>
    <w:p>
      <w:pPr>
        <w:ind w:left="1980" w:right="759" w:hanging="352"/>
        <w:spacing w:after="0" w:line="263"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1260" w:right="89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1" w:lineRule="exact"/>
        <w:rPr>
          <w:sz w:val="20"/>
          <w:szCs w:val="20"/>
          <w:color w:val="auto"/>
        </w:rPr>
      </w:pPr>
    </w:p>
    <w:p>
      <w:pPr>
        <w:ind w:left="1980" w:right="1179" w:hanging="352"/>
        <w:spacing w:after="0" w:line="342" w:lineRule="auto"/>
        <w:tabs>
          <w:tab w:leader="none" w:pos="1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56" w:lineRule="exact"/>
        <w:rPr>
          <w:rFonts w:ascii="Arial" w:cs="Arial" w:eastAsia="Arial" w:hAnsi="Arial"/>
          <w:sz w:val="16"/>
          <w:szCs w:val="16"/>
          <w:color w:val="auto"/>
        </w:rPr>
      </w:pPr>
    </w:p>
    <w:p>
      <w:pPr>
        <w:ind w:left="1980" w:hanging="352"/>
        <w:spacing w:after="0"/>
        <w:tabs>
          <w:tab w:leader="none" w:pos="1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1980" w:right="1339" w:hanging="352"/>
        <w:spacing w:after="0" w:line="277" w:lineRule="auto"/>
        <w:tabs>
          <w:tab w:leader="none" w:pos="1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The validity of the shares of Class A common stock offered hereby will be passed upon for us by Fried, Frank, Harris, Shriver &amp; Jacobson LLP, New York, New York. Legal matters in connection with this offering will be passed upon for the underwriters by Davis Polk &amp; Wardwell LLP, New York, New York.</w:t>
      </w:r>
    </w:p>
    <w:p>
      <w:pPr>
        <w:spacing w:after="0" w:line="14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108"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As a result of the Refinitiv Transaction, PricewaterhouseCoopers LLP, Tradeweb Markets LLC’s independent registered public accounting firm, ceased to be independent with respect to Tradeweb Markets LLC on October 1, 2018. Accordingly, PricewaterhouseCoopers LLP was dismissed as Tradeweb Markets LLC’s independent registered public accounting firm for financial statement periods beginning subsequent to September 30, 2018. The dismissal of PricewaterhouseCoopers LLP will become effective upon issuance by PricewaterhouseCoopers LLP of its report on the consolidated financial statements as of and for the nine months ended September 30, 2018 to be included in this prospectus.</w:t>
      </w:r>
    </w:p>
    <w:p>
      <w:pPr>
        <w:spacing w:after="0" w:line="69"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6"/>
          <w:szCs w:val="16"/>
          <w:color w:val="auto"/>
        </w:rPr>
        <w:t>During the years ended December 31, 2017 and 2016, and the subsequent interim period through September 30, 2018, (i) 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58"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6"/>
          <w:szCs w:val="16"/>
          <w:color w:val="auto"/>
        </w:rPr>
        <w:t>Tradeweb Markets LLC has provided a copy of the above statements to PricewaterhouseCoopers LLP and requested that PricewaterhouseCoopers LLP furnish Tradeweb Markets LLC with a letter addressed to the SEC</w:t>
      </w:r>
    </w:p>
    <w:p>
      <w:pPr>
        <w:ind w:left="1260" w:right="959"/>
        <w:spacing w:after="0" w:line="260" w:lineRule="auto"/>
        <w:rPr>
          <w:sz w:val="20"/>
          <w:szCs w:val="20"/>
          <w:color w:val="auto"/>
        </w:rPr>
      </w:pPr>
      <w:r>
        <w:rPr>
          <w:rFonts w:ascii="Arial" w:cs="Arial" w:eastAsia="Arial" w:hAnsi="Arial"/>
          <w:sz w:val="18"/>
          <w:szCs w:val="18"/>
          <w:color w:val="auto"/>
        </w:rPr>
        <w:t>stating whether or not they agree with the above disclosure. A copy of that letter, dated , , is filed as an exhibit to the registration statement of which this prospectus is a part.</w:t>
      </w:r>
    </w:p>
    <w:p>
      <w:pPr>
        <w:spacing w:after="0" w:line="7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On November 11, 2018, Tradeweb Markets Inc. engaged Deloitte &amp; Touche LLP as its independent registered public accounting firm, and Tradeweb Markets LLC also will engage Deloitte &amp; Touche LLP as its independent registered public accounting firm. During the fiscal years ended December 31, 2017 and 2016 and the subsequent interim period through September 30, 2018, Tradeweb Markets LLC (or any person on its behalf) did not consult with Deloitte &amp; Touche LLP regarding any of the matters described in Items 304(a)(2)(i) or 304(a)(2)(ii) of Regulation S-K.</w:t>
      </w:r>
    </w:p>
    <w:p>
      <w:pPr>
        <w:spacing w:after="0" w:line="175"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The financial statement of Tradeweb Markets Inc. as of November 7, 2018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79"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The consolidated financial statements of Tradeweb Markets LLC and its subsidiaries as of and for the years ended December 31, 2017 and 2016, appearing in this prospectus and registration statement, have been audited by PricewaterhouseCoopers LLP, an independent registered public accounting firm, as set forth in their report thereon appearing elsewhere herein, and are included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19" w:firstLine="360"/>
        <w:spacing w:after="0" w:line="293"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Class A common stock to be sold in this offering. As allowed by SEC rules, this prospectus, which constitutes a part of the registration statement, does not contain all of the information set forth in the registration statement or the exhibits and schedules that are part of the registration statement. For further information about us and our Class A common stock offered hereby, you should refer to the registration statement, including all amendments, supplements, schedules, and exhibits thereto.</w:t>
      </w:r>
    </w:p>
    <w:p>
      <w:pPr>
        <w:spacing w:after="0" w:line="56"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9"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will file annual, quarterly and current reports, proxy statements and other information with the SEC.</w:t>
      </w:r>
    </w:p>
    <w:p>
      <w:pPr>
        <w:spacing w:after="0" w:line="76"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You can review the registration statement, as well as our future SEC filings, by accessing the SEC’s website at www.sec.gov. You may also request copies of those documents, at no cost to you, by contacting us at the following address:</w:t>
      </w:r>
    </w:p>
    <w:p>
      <w:pPr>
        <w:spacing w:after="0" w:line="7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(646) 430-6000</w:t>
      </w:r>
    </w:p>
    <w:p>
      <w:pPr>
        <w:spacing w:after="0" w:line="103"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We intend to furnish our stockholders with annual reports containing financial statements audited by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INDEX TO FINANCIAL STATEMENTS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3"/>
              </w:rPr>
              <w:t>Page</w:t>
            </w:r>
          </w:p>
        </w:tc>
      </w:tr>
      <w:tr>
        <w:trPr>
          <w:trHeight w:val="186"/>
        </w:trPr>
        <w:tc>
          <w:tcPr>
            <w:tcW w:w="1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39"/>
        </w:trPr>
        <w:tc>
          <w:tcPr>
            <w:tcW w:w="180" w:type="dxa"/>
            <w:vAlign w:val="bottom"/>
            <w:tcBorders>
              <w:bottom w:val="single" w:sz="8" w:color="CCEEFF"/>
            </w:tcBorders>
          </w:tcPr>
          <w:p>
            <w:pPr>
              <w:spacing w:after="0"/>
              <w:rPr>
                <w:sz w:val="3"/>
                <w:szCs w:val="3"/>
                <w:color w:val="auto"/>
              </w:rPr>
            </w:pPr>
          </w:p>
        </w:tc>
        <w:tc>
          <w:tcPr>
            <w:tcW w:w="2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3"/>
        </w:trPr>
        <w:tc>
          <w:tcPr>
            <w:tcW w:w="7700" w:type="dxa"/>
            <w:vAlign w:val="bottom"/>
            <w:gridSpan w:val="11"/>
            <w:shd w:val="clear" w:color="auto" w:fill="CCEEFF"/>
          </w:tcPr>
          <w:p>
            <w:pPr>
              <w:spacing w:after="0"/>
              <w:rPr>
                <w:sz w:val="20"/>
                <w:szCs w:val="20"/>
                <w:color w:val="auto"/>
              </w:rPr>
            </w:pPr>
            <w:r>
              <w:rPr>
                <w:rFonts w:ascii="Arial" w:cs="Arial" w:eastAsia="Arial" w:hAnsi="Arial"/>
                <w:sz w:val="18"/>
                <w:szCs w:val="18"/>
                <w:b w:val="1"/>
                <w:bCs w:val="1"/>
                <w:color w:val="auto"/>
              </w:rPr>
              <w:t>Tradeweb Markets Inc. Statement of Financial Condition</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43"/>
        </w:trPr>
        <w:tc>
          <w:tcPr>
            <w:tcW w:w="7700" w:type="dxa"/>
            <w:vAlign w:val="bottom"/>
            <w:gridSpan w:val="11"/>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80"/>
              <w:spacing w:after="0"/>
              <w:rPr>
                <w:rFonts w:ascii="Arial" w:cs="Arial" w:eastAsia="Arial" w:hAnsi="Arial"/>
                <w:sz w:val="18"/>
                <w:szCs w:val="18"/>
                <w:color w:val="0000EE"/>
                <w:w w:val="88"/>
              </w:rPr>
            </w:pPr>
            <w:hyperlink w:anchor="page179">
              <w:r>
                <w:rPr>
                  <w:rFonts w:ascii="Arial" w:cs="Arial" w:eastAsia="Arial" w:hAnsi="Arial"/>
                  <w:sz w:val="18"/>
                  <w:szCs w:val="18"/>
                  <w:color w:val="0000EE"/>
                  <w:w w:val="88"/>
                </w:rPr>
                <w:t>F-2</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700" w:type="dxa"/>
            <w:vAlign w:val="bottom"/>
            <w:gridSpan w:val="11"/>
            <w:shd w:val="clear" w:color="auto" w:fill="CCEEFF"/>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Statement of Financial Condition as of November 7, 2018</w:t>
              </w:r>
            </w:hyperlink>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80"/>
              <w:spacing w:after="0"/>
              <w:rPr>
                <w:rFonts w:ascii="Arial" w:cs="Arial" w:eastAsia="Arial" w:hAnsi="Arial"/>
                <w:sz w:val="18"/>
                <w:szCs w:val="18"/>
                <w:color w:val="0000EE"/>
                <w:w w:val="88"/>
              </w:rPr>
            </w:pPr>
            <w:hyperlink w:anchor="page180">
              <w:r>
                <w:rPr>
                  <w:rFonts w:ascii="Arial" w:cs="Arial" w:eastAsia="Arial" w:hAnsi="Arial"/>
                  <w:sz w:val="18"/>
                  <w:szCs w:val="18"/>
                  <w:color w:val="0000EE"/>
                  <w:w w:val="88"/>
                </w:rPr>
                <w:t>F-3</w:t>
              </w:r>
            </w:hyperlink>
          </w:p>
        </w:tc>
      </w:tr>
      <w:tr>
        <w:trPr>
          <w:trHeight w:val="243"/>
        </w:trPr>
        <w:tc>
          <w:tcPr>
            <w:tcW w:w="4180" w:type="dxa"/>
            <w:vAlign w:val="bottom"/>
            <w:tcBorders>
              <w:top w:val="single" w:sz="8" w:color="0000EE"/>
            </w:tcBorders>
            <w:gridSpan w:val="5"/>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Notes to Statement of Financial Condition</w:t>
              </w:r>
            </w:hyperlink>
          </w:p>
        </w:tc>
        <w:tc>
          <w:tcPr>
            <w:tcW w:w="3520" w:type="dxa"/>
            <w:vAlign w:val="bottom"/>
            <w:tcBorders>
              <w:top w:val="single" w:sz="8" w:color="CCEEFF"/>
            </w:tcBorders>
            <w:gridSpan w:val="6"/>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60" w:type="dxa"/>
            <w:vAlign w:val="bottom"/>
            <w:tcBorders>
              <w:top w:val="single" w:sz="8" w:color="0000EE"/>
            </w:tcBorders>
          </w:tcPr>
          <w:p>
            <w:pPr>
              <w:jc w:val="right"/>
              <w:spacing w:after="0"/>
              <w:rPr>
                <w:rFonts w:ascii="Arial" w:cs="Arial" w:eastAsia="Arial" w:hAnsi="Arial"/>
                <w:sz w:val="18"/>
                <w:szCs w:val="18"/>
                <w:color w:val="0000EE"/>
                <w:w w:val="88"/>
              </w:rPr>
            </w:pPr>
            <w:hyperlink w:anchor="page181">
              <w:r>
                <w:rPr>
                  <w:rFonts w:ascii="Arial" w:cs="Arial" w:eastAsia="Arial" w:hAnsi="Arial"/>
                  <w:sz w:val="18"/>
                  <w:szCs w:val="18"/>
                  <w:color w:val="0000EE"/>
                  <w:w w:val="88"/>
                </w:rPr>
                <w:t>F-4</w:t>
              </w:r>
            </w:hyperlink>
          </w:p>
        </w:tc>
        <w:tc>
          <w:tcPr>
            <w:tcW w:w="80" w:type="dxa"/>
            <w:vAlign w:val="bottom"/>
            <w:tcBorders>
              <w:top w:val="single" w:sz="8" w:color="CCEEFF"/>
            </w:tcBorders>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2"/>
        </w:trPr>
        <w:tc>
          <w:tcPr>
            <w:tcW w:w="7700" w:type="dxa"/>
            <w:vAlign w:val="bottom"/>
            <w:gridSpan w:val="11"/>
            <w:shd w:val="clear" w:color="auto" w:fill="CCEEFF"/>
          </w:tcPr>
          <w:p>
            <w:pPr>
              <w:spacing w:after="0"/>
              <w:rPr>
                <w:sz w:val="20"/>
                <w:szCs w:val="20"/>
                <w:color w:val="auto"/>
              </w:rPr>
            </w:pPr>
            <w:r>
              <w:rPr>
                <w:rFonts w:ascii="Arial" w:cs="Arial" w:eastAsia="Arial" w:hAnsi="Arial"/>
                <w:sz w:val="18"/>
                <w:szCs w:val="18"/>
                <w:b w:val="1"/>
                <w:bCs w:val="1"/>
                <w:color w:val="auto"/>
              </w:rPr>
              <w:t>Tradeweb Markets LLC and Subsidiaries Consolidated Financial Statements</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43"/>
        </w:trPr>
        <w:tc>
          <w:tcPr>
            <w:tcW w:w="7700" w:type="dxa"/>
            <w:vAlign w:val="bottom"/>
            <w:gridSpan w:val="11"/>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80"/>
              <w:spacing w:after="0"/>
              <w:rPr>
                <w:rFonts w:ascii="Arial" w:cs="Arial" w:eastAsia="Arial" w:hAnsi="Arial"/>
                <w:sz w:val="18"/>
                <w:szCs w:val="18"/>
                <w:color w:val="0000EE"/>
                <w:w w:val="88"/>
              </w:rPr>
            </w:pPr>
            <w:hyperlink w:anchor="page182">
              <w:r>
                <w:rPr>
                  <w:rFonts w:ascii="Arial" w:cs="Arial" w:eastAsia="Arial" w:hAnsi="Arial"/>
                  <w:sz w:val="18"/>
                  <w:szCs w:val="18"/>
                  <w:color w:val="0000EE"/>
                  <w:w w:val="88"/>
                </w:rPr>
                <w:t>F-5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7700" w:type="dxa"/>
            <w:vAlign w:val="bottom"/>
            <w:gridSpan w:val="11"/>
            <w:shd w:val="clear" w:color="auto" w:fill="CCEEFF"/>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Consolidated Statements of Financial Condition as of December 31, 2017 and 2016</w:t>
              </w:r>
            </w:hyperlink>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rFonts w:ascii="Arial" w:cs="Arial" w:eastAsia="Arial" w:hAnsi="Arial"/>
                <w:sz w:val="18"/>
                <w:szCs w:val="18"/>
                <w:color w:val="0000EE"/>
                <w:w w:val="88"/>
              </w:rPr>
            </w:pPr>
            <w:hyperlink w:anchor="page183">
              <w:r>
                <w:rPr>
                  <w:rFonts w:ascii="Arial" w:cs="Arial" w:eastAsia="Arial" w:hAnsi="Arial"/>
                  <w:sz w:val="18"/>
                  <w:szCs w:val="18"/>
                  <w:color w:val="0000EE"/>
                  <w:w w:val="88"/>
                </w:rPr>
                <w:t>F-6</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700" w:type="dxa"/>
            <w:vAlign w:val="bottom"/>
            <w:gridSpan w:val="11"/>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Consolidated Statements of Income for the Years Ended December 31, 2017 and 2016</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80"/>
              <w:spacing w:after="0"/>
              <w:rPr>
                <w:rFonts w:ascii="Arial" w:cs="Arial" w:eastAsia="Arial" w:hAnsi="Arial"/>
                <w:sz w:val="18"/>
                <w:szCs w:val="18"/>
                <w:color w:val="0000EE"/>
                <w:w w:val="88"/>
              </w:rPr>
            </w:pPr>
            <w:hyperlink w:anchor="page184">
              <w:r>
                <w:rPr>
                  <w:rFonts w:ascii="Arial" w:cs="Arial" w:eastAsia="Arial" w:hAnsi="Arial"/>
                  <w:sz w:val="18"/>
                  <w:szCs w:val="18"/>
                  <w:color w:val="0000EE"/>
                  <w:w w:val="88"/>
                </w:rPr>
                <w:t>F-7</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700" w:type="dxa"/>
            <w:vAlign w:val="bottom"/>
            <w:gridSpan w:val="11"/>
            <w:shd w:val="clear" w:color="auto" w:fill="CCEEFF"/>
          </w:tcPr>
          <w:p>
            <w:pPr>
              <w:spacing w:after="0"/>
              <w:rPr>
                <w:rFonts w:ascii="Arial" w:cs="Arial" w:eastAsia="Arial" w:hAnsi="Arial"/>
                <w:sz w:val="18"/>
                <w:szCs w:val="18"/>
                <w:color w:val="0000EE"/>
                <w:w w:val="97"/>
              </w:rPr>
            </w:pPr>
            <w:hyperlink w:anchor="page185">
              <w:r>
                <w:rPr>
                  <w:rFonts w:ascii="Arial" w:cs="Arial" w:eastAsia="Arial" w:hAnsi="Arial"/>
                  <w:sz w:val="18"/>
                  <w:szCs w:val="18"/>
                  <w:color w:val="0000EE"/>
                  <w:w w:val="97"/>
                </w:rPr>
                <w:t>Consolidated Statements of Changes in Members’ Capital and Accumulated Other Comprehensive</w:t>
              </w:r>
            </w:hyperlink>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94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Loss for the Years Ended December 31, 2017 and 2016</w:t>
              </w:r>
            </w:hyperlink>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gridSpan w:val="2"/>
            <w:shd w:val="clear" w:color="auto" w:fill="CCEEFF"/>
          </w:tcPr>
          <w:p>
            <w:pPr>
              <w:jc w:val="right"/>
              <w:ind w:right="80"/>
              <w:spacing w:after="0" w:line="196" w:lineRule="exact"/>
              <w:rPr>
                <w:rFonts w:ascii="Arial" w:cs="Arial" w:eastAsia="Arial" w:hAnsi="Arial"/>
                <w:sz w:val="18"/>
                <w:szCs w:val="18"/>
                <w:color w:val="0000EE"/>
                <w:w w:val="88"/>
              </w:rPr>
            </w:pPr>
            <w:hyperlink w:anchor="page185">
              <w:r>
                <w:rPr>
                  <w:rFonts w:ascii="Arial" w:cs="Arial" w:eastAsia="Arial" w:hAnsi="Arial"/>
                  <w:sz w:val="18"/>
                  <w:szCs w:val="18"/>
                  <w:color w:val="0000EE"/>
                  <w:w w:val="88"/>
                </w:rPr>
                <w:t>F-8</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43"/>
        </w:trPr>
        <w:tc>
          <w:tcPr>
            <w:tcW w:w="7700" w:type="dxa"/>
            <w:vAlign w:val="bottom"/>
            <w:gridSpan w:val="11"/>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Consolidated Statements of Cash Flows for the Years Ended December 31, 2017 and 2016</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80"/>
              <w:spacing w:after="0"/>
              <w:rPr>
                <w:rFonts w:ascii="Arial" w:cs="Arial" w:eastAsia="Arial" w:hAnsi="Arial"/>
                <w:sz w:val="18"/>
                <w:szCs w:val="18"/>
                <w:color w:val="0000EE"/>
                <w:w w:val="88"/>
              </w:rPr>
            </w:pPr>
            <w:hyperlink w:anchor="page186">
              <w:r>
                <w:rPr>
                  <w:rFonts w:ascii="Arial" w:cs="Arial" w:eastAsia="Arial" w:hAnsi="Arial"/>
                  <w:sz w:val="18"/>
                  <w:szCs w:val="18"/>
                  <w:color w:val="0000EE"/>
                  <w:w w:val="88"/>
                </w:rPr>
                <w:t>F-9</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7700" w:type="dxa"/>
            <w:vAlign w:val="bottom"/>
            <w:gridSpan w:val="11"/>
            <w:shd w:val="clear" w:color="auto" w:fill="CCEEFF"/>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Notes to Consolidated Financial Statements</w:t>
              </w:r>
            </w:hyperlink>
          </w:p>
        </w:tc>
        <w:tc>
          <w:tcPr>
            <w:tcW w:w="10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80"/>
              <w:spacing w:after="0"/>
              <w:rPr>
                <w:rFonts w:ascii="Arial" w:cs="Arial" w:eastAsia="Arial" w:hAnsi="Arial"/>
                <w:sz w:val="18"/>
                <w:szCs w:val="18"/>
                <w:color w:val="0000EE"/>
                <w:w w:val="86"/>
              </w:rPr>
            </w:pPr>
            <w:hyperlink w:anchor="page187">
              <w:r>
                <w:rPr>
                  <w:rFonts w:ascii="Arial" w:cs="Arial" w:eastAsia="Arial" w:hAnsi="Arial"/>
                  <w:sz w:val="18"/>
                  <w:szCs w:val="18"/>
                  <w:color w:val="0000EE"/>
                  <w:w w:val="86"/>
                </w:rPr>
                <w:t>F-10</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-2185670</wp:posOffset>
            </wp:positionV>
            <wp:extent cx="4886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19" w:firstLine="1852"/>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Sole Shareholder of Tradeweb Markets Inc.</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w:t>
      </w:r>
    </w:p>
    <w:p>
      <w:pPr>
        <w:spacing w:after="0" w:line="10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We have audited the accompanying statement of financial condition of Tradeweb Markets Inc. (the “Company”) as of November 7, 2018, and the related notes (collectively referred to as the “financial statement”). In our opinion, the financial statement presents fairly, in all material respects, the financial position of the Company as of November 7, 2018, in conformity with accounting principles generally accepted in the United States of America.</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November 12, 2018</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84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Tradeweb Markets Inc.</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84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Statement of Financial Condition</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84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November 7, 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63"/>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per share, 1,000 shares authorized, 100 issued and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7"/>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98030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9803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-873760</wp:posOffset>
            </wp:positionV>
            <wp:extent cx="498030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accompanying notes are an integral part of this financial statement.</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Tradeweb Markets Inc.</w:t>
      </w:r>
    </w:p>
    <w:p>
      <w:pPr>
        <w:spacing w:after="0" w:line="9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Statement of Financial Condition</w:t>
      </w:r>
    </w:p>
    <w:p>
      <w:pPr>
        <w:spacing w:after="0" w:line="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November 7, 2018</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Tradeweb Markets Inc. (the “Corporation”) was formed as a Delaware corporation on November 7, 2018. The Corporation was formed for the purpose of completing certain reorganization transactions in order to carry on the business of Tradeweb Markets LLC and conducting a public offering. It is expected that following the completion of such reorganization transactions the Corporation will be the sole managing member of Tradeweb Markets LLC and will operate and control all of the businesses and affairs of Tradeweb Markets LLC and, through Tradeweb Markets LLC and its subsidiaries, continue to conduct the business now conducted by these subsidiaries.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8"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The statement of financial condition is presented in accordance with accounting principles generally accepted in the United States of America. Separate statements of operations, comprehensive income, changes in stockholder’s equity, and cash flows have not been presented in the financial statement because there have been no activities in this entity other than the initial capitalization.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STOCKHOLDER’S EQUITY</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Corporation is authorized to issue 1,000 shares of Common Stock, par value $0.01 per share. The Chief Executive Officer of Tradeweb Markets LLC is the sole shareholder of the Corporation and contributed $100 to the Corporation on November 7, 2018 to purchase 100 shares of common stock. Holders of common stock are entitled to one vote for each share of common stock held on all matters submitted to shareholders for vote, consent or approval.</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SUBSEQUENT EVENTS</w:t>
      </w:r>
    </w:p>
    <w:p>
      <w:pPr>
        <w:spacing w:after="0" w:line="108"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The Corporation has evaluated subsequent events through November 12, 2018, the date the statement of financial condition was issued. The Corporation did not note any subsequent events requiring disclosure or adjustments to the statement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19" w:firstLine="1852"/>
        <w:spacing w:after="0" w:line="42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Management of Tradeweb Markets LLC and Subsidiaries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04" w:lineRule="exact"/>
        <w:rPr>
          <w:sz w:val="20"/>
          <w:szCs w:val="20"/>
          <w:color w:val="auto"/>
        </w:rPr>
      </w:pPr>
    </w:p>
    <w:p>
      <w:pPr>
        <w:ind w:left="1260" w:right="899" w:firstLine="360"/>
        <w:spacing w:after="0" w:line="271" w:lineRule="auto"/>
        <w:rPr>
          <w:sz w:val="20"/>
          <w:szCs w:val="20"/>
          <w:color w:val="auto"/>
        </w:rPr>
      </w:pPr>
      <w:r>
        <w:rPr>
          <w:rFonts w:ascii="Arial" w:cs="Arial" w:eastAsia="Arial" w:hAnsi="Arial"/>
          <w:sz w:val="17"/>
          <w:szCs w:val="17"/>
          <w:color w:val="auto"/>
        </w:rPr>
        <w:t>We have audited the accompanying consolidated statements of financial condition of Tradeweb Markets LLC and its subsidiaries as of December 31, 2017 and December 31, 2016, and the related consolidated statements of income, changes in members’ capital and accumulated other comprehensive loss,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December 31, 2016, and the results of their operations and their cash flows for the years then ended in conformity with accounting principles generally accepted in the United States of America.</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ind w:left="1260" w:right="959" w:firstLine="360"/>
        <w:spacing w:after="0" w:line="290" w:lineRule="auto"/>
        <w:rPr>
          <w:sz w:val="20"/>
          <w:szCs w:val="20"/>
          <w:color w:val="auto"/>
        </w:rPr>
      </w:pPr>
      <w:r>
        <w:rPr>
          <w:rFonts w:ascii="Arial" w:cs="Arial" w:eastAsia="Arial" w:hAnsi="Arial"/>
          <w:sz w:val="16"/>
          <w:szCs w:val="16"/>
          <w:color w:val="auto"/>
        </w:rPr>
        <w:t>We conducted our audits of these consolidated financial statements in accordance with the auditing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7"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September 28, 2018</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December 31, 2017 and 2016 (in thousands)</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w w:val="93"/>
              </w:rPr>
              <w:t>Cash and cash equivalents including cash deposited with related parties of $234,107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40" w:type="dxa"/>
            <w:vAlign w:val="bottom"/>
          </w:tcPr>
          <w:p>
            <w:pPr>
              <w:ind w:left="180"/>
              <w:spacing w:after="0"/>
              <w:rPr>
                <w:sz w:val="20"/>
                <w:szCs w:val="20"/>
                <w:color w:val="auto"/>
              </w:rPr>
            </w:pPr>
            <w:r>
              <w:rPr>
                <w:rFonts w:ascii="Arial" w:cs="Arial" w:eastAsia="Arial" w:hAnsi="Arial"/>
                <w:sz w:val="18"/>
                <w:szCs w:val="18"/>
                <w:color w:val="auto"/>
              </w:rPr>
              <w:t>and 209,877 in 2017 and 2016,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352,598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324,074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Pr>
          <w:p>
            <w:pPr>
              <w:spacing w:after="0"/>
              <w:rPr>
                <w:sz w:val="20"/>
                <w:szCs w:val="20"/>
                <w:color w:val="auto"/>
              </w:rPr>
            </w:pPr>
            <w:r>
              <w:rPr>
                <w:rFonts w:ascii="Arial" w:cs="Arial" w:eastAsia="Arial" w:hAnsi="Arial"/>
                <w:sz w:val="18"/>
                <w:szCs w:val="18"/>
                <w:color w:val="auto"/>
              </w:rPr>
              <w:t>Receivable from brokers and dealers and clearing organizations</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4,324</w:t>
            </w:r>
          </w:p>
        </w:tc>
        <w:tc>
          <w:tcPr>
            <w:tcW w:w="1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Deposits with clearing organizations including deposits from related parties of $500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2017 and 2016, respectively</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9,926</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w w:val="96"/>
              </w:rPr>
              <w:t>Accounts receivable, net of allowance including receivables from related parties of</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40" w:type="dxa"/>
            <w:vAlign w:val="bottom"/>
          </w:tcPr>
          <w:p>
            <w:pPr>
              <w:ind w:left="180"/>
              <w:spacing w:after="0"/>
              <w:rPr>
                <w:sz w:val="20"/>
                <w:szCs w:val="20"/>
                <w:color w:val="auto"/>
              </w:rPr>
            </w:pPr>
            <w:r>
              <w:rPr>
                <w:rFonts w:ascii="Arial" w:cs="Arial" w:eastAsia="Arial" w:hAnsi="Arial"/>
                <w:sz w:val="18"/>
                <w:szCs w:val="18"/>
                <w:color w:val="auto"/>
              </w:rPr>
              <w:t>$27,163 and $25,681 in 2017 and 2016, respectively</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69,662</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equipment, purchased software and leasehold improvements, net of</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27,031</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40" w:type="dxa"/>
            <w:vAlign w:val="bottom"/>
          </w:tcPr>
          <w:p>
            <w:pPr>
              <w:spacing w:after="0"/>
              <w:rPr>
                <w:sz w:val="20"/>
                <w:szCs w:val="20"/>
                <w:color w:val="auto"/>
              </w:rPr>
            </w:pPr>
            <w:r>
              <w:rPr>
                <w:rFonts w:ascii="Arial" w:cs="Arial" w:eastAsia="Arial" w:hAnsi="Arial"/>
                <w:sz w:val="18"/>
                <w:szCs w:val="18"/>
                <w:color w:val="auto"/>
              </w:rPr>
              <w:t>Software development costs, net of accumulated amortization</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41,181</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39,444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222,219</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3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563,421</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563,487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Receivable from affiliates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w w:val="94"/>
              </w:rPr>
              <w:t>Other assets including other assets from related parties of $27 and $46 in 2017 and</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180"/>
              <w:spacing w:after="0"/>
              <w:rPr>
                <w:sz w:val="20"/>
                <w:szCs w:val="20"/>
                <w:color w:val="auto"/>
              </w:rPr>
            </w:pPr>
            <w:r>
              <w:rPr>
                <w:rFonts w:ascii="Arial" w:cs="Arial" w:eastAsia="Arial" w:hAnsi="Arial"/>
                <w:sz w:val="18"/>
                <w:szCs w:val="18"/>
                <w:color w:val="auto"/>
              </w:rPr>
              <w:t>2016, respectively</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24,950</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1,316,887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1,320,732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and Members’ Capital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89,769</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0"/>
                <w:szCs w:val="20"/>
                <w:color w:val="auto"/>
              </w:rPr>
            </w:pPr>
            <w:r>
              <w:rPr>
                <w:rFonts w:ascii="Arial" w:cs="Arial" w:eastAsia="Arial" w:hAnsi="Arial"/>
                <w:sz w:val="18"/>
                <w:szCs w:val="18"/>
                <w:color w:val="auto"/>
                <w:w w:val="99"/>
              </w:rPr>
              <w:t>Deferred revenue including deferred revenue from related parties of $5,106 and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tcPr>
          <w:p>
            <w:pPr>
              <w:ind w:left="180"/>
              <w:spacing w:after="0"/>
              <w:rPr>
                <w:sz w:val="20"/>
                <w:szCs w:val="20"/>
                <w:color w:val="auto"/>
              </w:rPr>
            </w:pPr>
            <w:r>
              <w:rPr>
                <w:rFonts w:ascii="Arial" w:cs="Arial" w:eastAsia="Arial" w:hAnsi="Arial"/>
                <w:sz w:val="18"/>
                <w:szCs w:val="18"/>
                <w:color w:val="auto"/>
              </w:rPr>
              <w:t>$5,570 in 2017 and 2016, respectively</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29,673</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 payable to related parties</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129,393</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0"/>
                <w:szCs w:val="20"/>
                <w:color w:val="auto"/>
              </w:rPr>
            </w:pPr>
            <w:r>
              <w:rPr>
                <w:rFonts w:ascii="Arial" w:cs="Arial" w:eastAsia="Arial" w:hAnsi="Arial"/>
                <w:sz w:val="18"/>
                <w:szCs w:val="18"/>
                <w:color w:val="auto"/>
                <w:w w:val="97"/>
              </w:rPr>
              <w:t>Accounts payable, accrued expenses and other liabilities including payables from</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tcPr>
          <w:p>
            <w:pPr>
              <w:ind w:left="180"/>
              <w:spacing w:after="0"/>
              <w:rPr>
                <w:sz w:val="20"/>
                <w:szCs w:val="20"/>
                <w:color w:val="auto"/>
              </w:rPr>
            </w:pPr>
            <w:r>
              <w:rPr>
                <w:rFonts w:ascii="Arial" w:cs="Arial" w:eastAsia="Arial" w:hAnsi="Arial"/>
                <w:sz w:val="18"/>
                <w:szCs w:val="18"/>
                <w:color w:val="auto"/>
              </w:rPr>
              <w:t>related parties of $2,555 and $7,234 in 2017 and 2016, respectively</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27,364</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equity compensation payable</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31,019</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color w:val="auto"/>
              </w:rPr>
              <w:t>Convertible term note payable to related party</w:t>
            </w:r>
          </w:p>
        </w:tc>
        <w:tc>
          <w:tcPr>
            <w:tcW w:w="1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3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317,118</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283,319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b w:val="1"/>
                <w:bCs w:val="1"/>
                <w:color w:val="auto"/>
              </w:rPr>
              <w:t>Mezzanine Capital</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C Shares and Class P(C) Shares</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13,301</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Members’ capital</w:t>
            </w: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999,735</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1,040,911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(13,267)</w:t>
            </w: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(16,152)</w:t>
            </w:r>
          </w:p>
        </w:tc>
        <w:tc>
          <w:tcPr>
            <w:tcW w:w="0" w:type="dxa"/>
            <w:vAlign w:val="bottom"/>
          </w:tcPr>
          <w:p>
            <w:pPr>
              <w:spacing w:after="0"/>
              <w:rPr>
                <w:sz w:val="1"/>
                <w:szCs w:val="1"/>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members’ capital</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986,468</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1,024,759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8"/>
                <w:szCs w:val="18"/>
                <w:color w:val="auto"/>
              </w:rPr>
              <w:t>Total liabilities and members’ capital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1,316,887</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1,320,732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-376555</wp:posOffset>
            </wp:positionV>
            <wp:extent cx="468884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-1439545</wp:posOffset>
            </wp:positionV>
            <wp:extent cx="468884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-3865245</wp:posOffset>
            </wp:positionV>
            <wp:extent cx="468884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-6522720</wp:posOffset>
            </wp:positionV>
            <wp:extent cx="468058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7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Consolidated Statements of Income</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Year Ended December 31, 2017 and 2016 (in thousands)</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20" w:type="dxa"/>
            <w:vAlign w:val="bottom"/>
            <w:gridSpan w:val="3"/>
          </w:tcPr>
          <w:p>
            <w:pPr>
              <w:spacing w:after="0"/>
              <w:rPr>
                <w:sz w:val="20"/>
                <w:szCs w:val="20"/>
                <w:color w:val="auto"/>
              </w:rPr>
            </w:pPr>
            <w:r>
              <w:rPr>
                <w:rFonts w:ascii="Arial" w:cs="Arial" w:eastAsia="Arial" w:hAnsi="Arial"/>
                <w:sz w:val="18"/>
                <w:szCs w:val="18"/>
                <w:color w:val="auto"/>
                <w:w w:val="96"/>
              </w:rPr>
              <w:t>Transaction fees including from related parties of $151,695 and $134,231 in 2017 and</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2016, respectively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267,020</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230,171</w:t>
            </w:r>
          </w:p>
        </w:tc>
        <w:tc>
          <w:tcPr>
            <w:tcW w:w="0" w:type="dxa"/>
            <w:vAlign w:val="bottom"/>
          </w:tcPr>
          <w:p>
            <w:pPr>
              <w:spacing w:after="0"/>
              <w:rPr>
                <w:sz w:val="1"/>
                <w:szCs w:val="1"/>
                <w:color w:val="auto"/>
              </w:rPr>
            </w:pPr>
          </w:p>
        </w:tc>
      </w:tr>
      <w:tr>
        <w:trPr>
          <w:trHeight w:val="235"/>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Subscription fees including from related parties of $37,426 and $35,169 in 2017 and</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2016, respectively</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144,409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141,419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20" w:type="dxa"/>
            <w:vAlign w:val="bottom"/>
            <w:gridSpan w:val="3"/>
          </w:tcPr>
          <w:p>
            <w:pPr>
              <w:spacing w:after="0"/>
              <w:rPr>
                <w:sz w:val="20"/>
                <w:szCs w:val="20"/>
                <w:color w:val="auto"/>
              </w:rPr>
            </w:pPr>
            <w:r>
              <w:rPr>
                <w:rFonts w:ascii="Arial" w:cs="Arial" w:eastAsia="Arial" w:hAnsi="Arial"/>
                <w:sz w:val="18"/>
                <w:szCs w:val="18"/>
                <w:color w:val="auto"/>
                <w:w w:val="95"/>
              </w:rPr>
              <w:t>Commissions including from related parties of $43,315 and $42,343 in 2017 and 2016,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96,745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91,663</w:t>
            </w:r>
          </w:p>
        </w:tc>
        <w:tc>
          <w:tcPr>
            <w:tcW w:w="0" w:type="dxa"/>
            <w:vAlign w:val="bottom"/>
          </w:tcPr>
          <w:p>
            <w:pPr>
              <w:spacing w:after="0"/>
              <w:rPr>
                <w:sz w:val="1"/>
                <w:szCs w:val="1"/>
                <w:color w:val="auto"/>
              </w:rPr>
            </w:pPr>
          </w:p>
        </w:tc>
      </w:tr>
      <w:tr>
        <w:trPr>
          <w:trHeight w:val="263"/>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Thomson Reuters market data fees</w:t>
            </w: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50,125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Gross revenue</w:t>
            </w: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562,968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518,404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20" w:type="dxa"/>
            <w:vAlign w:val="bottom"/>
            <w:gridSpan w:val="3"/>
          </w:tcPr>
          <w:p>
            <w:pPr>
              <w:spacing w:after="0"/>
              <w:rPr>
                <w:sz w:val="20"/>
                <w:szCs w:val="20"/>
                <w:color w:val="auto"/>
              </w:rPr>
            </w:pPr>
            <w:r>
              <w:rPr>
                <w:rFonts w:ascii="Arial" w:cs="Arial" w:eastAsia="Arial" w:hAnsi="Arial"/>
                <w:sz w:val="18"/>
                <w:szCs w:val="18"/>
                <w:color w:val="auto"/>
              </w:rPr>
              <w:t>Contingent consideration to related parties</w:t>
            </w:r>
          </w:p>
        </w:tc>
        <w:tc>
          <w:tcPr>
            <w:tcW w:w="8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(58,520)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(26,224)</w:t>
            </w:r>
          </w:p>
        </w:tc>
        <w:tc>
          <w:tcPr>
            <w:tcW w:w="0" w:type="dxa"/>
            <w:vAlign w:val="bottom"/>
          </w:tcPr>
          <w:p>
            <w:pPr>
              <w:spacing w:after="0"/>
              <w:rPr>
                <w:sz w:val="1"/>
                <w:szCs w:val="1"/>
                <w:color w:val="auto"/>
              </w:rPr>
            </w:pPr>
          </w:p>
        </w:tc>
      </w:tr>
      <w:tr>
        <w:trPr>
          <w:trHeight w:val="264"/>
        </w:trPr>
        <w:tc>
          <w:tcPr>
            <w:tcW w:w="6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504,448</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492,180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248,963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228,584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68,615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80,859</w:t>
            </w:r>
          </w:p>
        </w:tc>
        <w:tc>
          <w:tcPr>
            <w:tcW w:w="0" w:type="dxa"/>
            <w:vAlign w:val="bottom"/>
          </w:tcPr>
          <w:p>
            <w:pPr>
              <w:spacing w:after="0"/>
              <w:rPr>
                <w:sz w:val="1"/>
                <w:szCs w:val="1"/>
                <w:color w:val="auto"/>
              </w:rPr>
            </w:pPr>
          </w:p>
        </w:tc>
      </w:tr>
      <w:tr>
        <w:trPr>
          <w:trHeight w:val="242"/>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General and administrative including from related parties of $3,679 and $3,700 in 2017</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2016, respectively</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33,973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20" w:type="dxa"/>
            <w:vAlign w:val="bottom"/>
            <w:gridSpan w:val="3"/>
          </w:tcPr>
          <w:p>
            <w:pPr>
              <w:spacing w:after="0"/>
              <w:rPr>
                <w:sz w:val="20"/>
                <w:szCs w:val="20"/>
                <w:color w:val="auto"/>
              </w:rPr>
            </w:pPr>
            <w:r>
              <w:rPr>
                <w:rFonts w:ascii="Arial" w:cs="Arial" w:eastAsia="Arial" w:hAnsi="Arial"/>
                <w:sz w:val="18"/>
                <w:szCs w:val="18"/>
                <w:color w:val="auto"/>
              </w:rPr>
              <w:t>Technology and communications</w:t>
            </w:r>
          </w:p>
        </w:tc>
        <w:tc>
          <w:tcPr>
            <w:tcW w:w="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30,013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28,239</w:t>
            </w:r>
          </w:p>
        </w:tc>
        <w:tc>
          <w:tcPr>
            <w:tcW w:w="0" w:type="dxa"/>
            <w:vAlign w:val="bottom"/>
          </w:tcPr>
          <w:p>
            <w:pPr>
              <w:spacing w:after="0"/>
              <w:rPr>
                <w:sz w:val="1"/>
                <w:szCs w:val="1"/>
                <w:color w:val="auto"/>
              </w:rPr>
            </w:pPr>
          </w:p>
        </w:tc>
      </w:tr>
      <w:tr>
        <w:trPr>
          <w:trHeight w:val="270"/>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19,351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6620" w:type="dxa"/>
            <w:vAlign w:val="bottom"/>
            <w:gridSpan w:val="3"/>
          </w:tcPr>
          <w:p>
            <w:pPr>
              <w:spacing w:after="0"/>
              <w:rPr>
                <w:sz w:val="20"/>
                <w:szCs w:val="20"/>
                <w:color w:val="auto"/>
              </w:rPr>
            </w:pPr>
            <w:r>
              <w:rPr>
                <w:rFonts w:ascii="Arial" w:cs="Arial" w:eastAsia="Arial" w:hAnsi="Arial"/>
                <w:sz w:val="18"/>
                <w:szCs w:val="18"/>
                <w:color w:val="auto"/>
              </w:rPr>
              <w:t>Occupancy including from related parties of $621 and $600 in 2017 and 2016,</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14,441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15,817</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3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415,356</w:t>
            </w: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399,049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620" w:type="dxa"/>
            <w:vAlign w:val="bottom"/>
            <w:gridSpan w:val="3"/>
          </w:tcPr>
          <w:p>
            <w:pPr>
              <w:ind w:left="180"/>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89,092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93,131</w:t>
            </w:r>
          </w:p>
        </w:tc>
        <w:tc>
          <w:tcPr>
            <w:tcW w:w="0" w:type="dxa"/>
            <w:vAlign w:val="bottom"/>
          </w:tcPr>
          <w:p>
            <w:pPr>
              <w:spacing w:after="0"/>
              <w:rPr>
                <w:sz w:val="1"/>
                <w:szCs w:val="1"/>
                <w:color w:val="auto"/>
              </w:rPr>
            </w:pPr>
          </w:p>
        </w:tc>
      </w:tr>
      <w:tr>
        <w:trPr>
          <w:trHeight w:val="242"/>
        </w:trPr>
        <w:tc>
          <w:tcPr>
            <w:tcW w:w="66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income including from related parties of $40 and $80 in 2017 and 2016,</w:t>
            </w:r>
          </w:p>
        </w:tc>
        <w:tc>
          <w:tcPr>
            <w:tcW w:w="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620" w:type="dxa"/>
            <w:vAlign w:val="bottom"/>
            <w:gridSpan w:val="3"/>
          </w:tcPr>
          <w:p>
            <w:pPr>
              <w:spacing w:after="0"/>
              <w:rPr>
                <w:sz w:val="20"/>
                <w:szCs w:val="20"/>
                <w:color w:val="auto"/>
              </w:rPr>
            </w:pPr>
            <w:r>
              <w:rPr>
                <w:rFonts w:ascii="Arial" w:cs="Arial" w:eastAsia="Arial" w:hAnsi="Arial"/>
                <w:sz w:val="18"/>
                <w:szCs w:val="18"/>
                <w:color w:val="auto"/>
                <w:w w:val="97"/>
              </w:rPr>
              <w:t>Interest expense including from related parties of $455 and $1,339 in 2017 and 2016,</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Income before taxes</w:t>
            </w: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89,777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6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6,129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7"/>
        </w:trPr>
        <w:tc>
          <w:tcPr>
            <w:tcW w:w="662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Net income per share</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546.55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546.55</w:t>
            </w: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613.30</w:t>
            </w:r>
          </w:p>
        </w:tc>
        <w:tc>
          <w:tcPr>
            <w:tcW w:w="0" w:type="dxa"/>
            <w:vAlign w:val="bottom"/>
          </w:tcPr>
          <w:p>
            <w:pPr>
              <w:spacing w:after="0"/>
              <w:rPr>
                <w:sz w:val="1"/>
                <w:szCs w:val="1"/>
                <w:color w:val="auto"/>
              </w:rPr>
            </w:pPr>
          </w:p>
        </w:tc>
      </w:tr>
      <w:tr>
        <w:trPr>
          <w:trHeight w:val="270"/>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gridSpan w:val="3"/>
          </w:tcPr>
          <w:p>
            <w:pPr>
              <w:ind w:left="18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153,046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151,902</w:t>
            </w:r>
          </w:p>
        </w:tc>
        <w:tc>
          <w:tcPr>
            <w:tcW w:w="0" w:type="dxa"/>
            <w:vAlign w:val="bottom"/>
          </w:tcPr>
          <w:p>
            <w:pPr>
              <w:spacing w:after="0"/>
              <w:rPr>
                <w:sz w:val="1"/>
                <w:szCs w:val="1"/>
                <w:color w:val="auto"/>
              </w:rPr>
            </w:pPr>
          </w:p>
        </w:tc>
      </w:tr>
      <w:tr>
        <w:trPr>
          <w:trHeight w:val="270"/>
        </w:trPr>
        <w:tc>
          <w:tcPr>
            <w:tcW w:w="6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153,046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151,902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-1216660</wp:posOffset>
            </wp:positionV>
            <wp:extent cx="477456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-1576705</wp:posOffset>
            </wp:positionV>
            <wp:extent cx="477456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-2211070</wp:posOffset>
            </wp:positionV>
            <wp:extent cx="477456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-2588260</wp:posOffset>
            </wp:positionV>
            <wp:extent cx="47745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-4302760</wp:posOffset>
            </wp:positionV>
            <wp:extent cx="47745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-4645660</wp:posOffset>
            </wp:positionV>
            <wp:extent cx="47745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-6051550</wp:posOffset>
            </wp:positionV>
            <wp:extent cx="476631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Consolidated Statements of Changes in Members’ Capital and Accumulated Other Comprehensive Loss</w:t>
      </w:r>
    </w:p>
    <w:p>
      <w:pPr>
        <w:spacing w:after="0" w:line="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Year Ended December 31, 2017 and 2016 (in thousands)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5120" w:type="dxa"/>
            <w:vAlign w:val="bottom"/>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Members’</w:t>
            </w: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Members’</w:t>
            </w:r>
          </w:p>
        </w:tc>
      </w:tr>
      <w:tr>
        <w:trPr>
          <w:trHeight w:val="186"/>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r>
      <w:tr>
        <w:trPr>
          <w:trHeight w:val="26"/>
        </w:trPr>
        <w:tc>
          <w:tcPr>
            <w:tcW w:w="5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1,079,417</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(11,473)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1,067,944</w:t>
            </w:r>
          </w:p>
        </w:tc>
        <w:tc>
          <w:tcPr>
            <w:tcW w:w="60" w:type="dxa"/>
            <w:vAlign w:val="bottom"/>
          </w:tcPr>
          <w:p>
            <w:pPr>
              <w:spacing w:after="0"/>
              <w:rPr>
                <w:sz w:val="21"/>
                <w:szCs w:val="21"/>
                <w:color w:val="auto"/>
              </w:rPr>
            </w:pPr>
          </w:p>
        </w:tc>
      </w:tr>
      <w:tr>
        <w:trPr>
          <w:trHeight w:val="257"/>
        </w:trPr>
        <w:tc>
          <w:tcPr>
            <w:tcW w:w="512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5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93,161</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60" w:type="dxa"/>
            <w:vAlign w:val="bottom"/>
          </w:tcPr>
          <w:p>
            <w:pPr>
              <w:spacing w:after="0"/>
              <w:rPr>
                <w:sz w:val="22"/>
                <w:szCs w:val="22"/>
                <w:color w:val="auto"/>
              </w:rPr>
            </w:pPr>
          </w:p>
        </w:tc>
      </w:tr>
      <w:tr>
        <w:trPr>
          <w:trHeight w:val="263"/>
        </w:trPr>
        <w:tc>
          <w:tcPr>
            <w:tcW w:w="51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(4,679)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(4,679)</w:t>
            </w:r>
          </w:p>
        </w:tc>
      </w:tr>
      <w:tr>
        <w:trPr>
          <w:trHeight w:val="20"/>
        </w:trPr>
        <w:tc>
          <w:tcPr>
            <w:tcW w:w="5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93,161</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(4,679)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88,482</w:t>
            </w:r>
          </w:p>
        </w:tc>
        <w:tc>
          <w:tcPr>
            <w:tcW w:w="60" w:type="dxa"/>
            <w:vAlign w:val="bottom"/>
          </w:tcPr>
          <w:p>
            <w:pPr>
              <w:spacing w:after="0"/>
              <w:rPr>
                <w:sz w:val="22"/>
                <w:szCs w:val="22"/>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12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(1,667)</w:t>
            </w:r>
          </w:p>
        </w:tc>
      </w:tr>
      <w:tr>
        <w:trPr>
          <w:trHeight w:val="270"/>
        </w:trPr>
        <w:tc>
          <w:tcPr>
            <w:tcW w:w="5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distributions</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(130,000)</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(130,000)</w:t>
            </w:r>
          </w:p>
        </w:tc>
        <w:tc>
          <w:tcPr>
            <w:tcW w:w="60" w:type="dxa"/>
            <w:vAlign w:val="bottom"/>
          </w:tcPr>
          <w:p>
            <w:pPr>
              <w:spacing w:after="0"/>
              <w:rPr>
                <w:sz w:val="23"/>
                <w:szCs w:val="23"/>
                <w:color w:val="auto"/>
              </w:rPr>
            </w:pPr>
          </w:p>
        </w:tc>
      </w:tr>
      <w:tr>
        <w:trPr>
          <w:trHeight w:val="20"/>
        </w:trPr>
        <w:tc>
          <w:tcPr>
            <w:tcW w:w="5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512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1,040,911</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 (16,152)</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1,024,759</w:t>
            </w:r>
          </w:p>
        </w:tc>
        <w:tc>
          <w:tcPr>
            <w:tcW w:w="60" w:type="dxa"/>
            <w:vAlign w:val="bottom"/>
          </w:tcPr>
          <w:p>
            <w:pPr>
              <w:spacing w:after="0"/>
              <w:rPr>
                <w:sz w:val="22"/>
                <w:szCs w:val="22"/>
                <w:color w:val="auto"/>
              </w:rPr>
            </w:pPr>
          </w:p>
        </w:tc>
      </w:tr>
      <w:tr>
        <w:trPr>
          <w:trHeight w:val="365"/>
        </w:trPr>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5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83,648</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83,648</w:t>
            </w:r>
          </w:p>
        </w:tc>
        <w:tc>
          <w:tcPr>
            <w:tcW w:w="60" w:type="dxa"/>
            <w:vAlign w:val="bottom"/>
          </w:tcPr>
          <w:p>
            <w:pPr>
              <w:spacing w:after="0"/>
              <w:rPr>
                <w:sz w:val="22"/>
                <w:szCs w:val="22"/>
                <w:color w:val="auto"/>
              </w:rPr>
            </w:pPr>
          </w:p>
        </w:tc>
      </w:tr>
      <w:tr>
        <w:trPr>
          <w:trHeight w:val="263"/>
        </w:trPr>
        <w:tc>
          <w:tcPr>
            <w:tcW w:w="5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60" w:type="dxa"/>
            <w:vAlign w:val="bottom"/>
          </w:tcPr>
          <w:p>
            <w:pPr>
              <w:spacing w:after="0"/>
              <w:rPr>
                <w:sz w:val="22"/>
                <w:szCs w:val="22"/>
                <w:color w:val="auto"/>
              </w:rPr>
            </w:pPr>
          </w:p>
        </w:tc>
      </w:tr>
      <w:tr>
        <w:trPr>
          <w:trHeight w:val="20"/>
        </w:trPr>
        <w:tc>
          <w:tcPr>
            <w:tcW w:w="5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12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83,648</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2,885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86,533</w:t>
            </w:r>
          </w:p>
        </w:tc>
        <w:tc>
          <w:tcPr>
            <w:tcW w:w="60" w:type="dxa"/>
            <w:vAlign w:val="bottom"/>
          </w:tcPr>
          <w:p>
            <w:pPr>
              <w:spacing w:after="0"/>
              <w:rPr>
                <w:sz w:val="22"/>
                <w:szCs w:val="22"/>
                <w:color w:val="auto"/>
              </w:rPr>
            </w:pPr>
          </w:p>
        </w:tc>
      </w:tr>
      <w:tr>
        <w:trPr>
          <w:trHeight w:val="229"/>
        </w:trPr>
        <w:tc>
          <w:tcPr>
            <w:tcW w:w="5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51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mezzanine capital</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(2,109)</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60" w:type="dxa"/>
            <w:vAlign w:val="bottom"/>
          </w:tcPr>
          <w:p>
            <w:pPr>
              <w:spacing w:after="0"/>
              <w:rPr>
                <w:sz w:val="21"/>
                <w:szCs w:val="21"/>
                <w:color w:val="auto"/>
              </w:rPr>
            </w:pPr>
          </w:p>
        </w:tc>
      </w:tr>
      <w:tr>
        <w:trPr>
          <w:trHeight w:val="257"/>
        </w:trPr>
        <w:tc>
          <w:tcPr>
            <w:tcW w:w="5120" w:type="dxa"/>
            <w:vAlign w:val="bottom"/>
          </w:tcPr>
          <w:p>
            <w:pPr>
              <w:ind w:left="180"/>
              <w:spacing w:after="0"/>
              <w:rPr>
                <w:sz w:val="20"/>
                <w:szCs w:val="20"/>
                <w:color w:val="auto"/>
              </w:rPr>
            </w:pPr>
            <w:r>
              <w:rPr>
                <w:rFonts w:ascii="Arial" w:cs="Arial" w:eastAsia="Arial" w:hAnsi="Arial"/>
                <w:sz w:val="18"/>
                <w:szCs w:val="18"/>
                <w:color w:val="auto"/>
              </w:rPr>
              <w:t>Capital contributions</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29,285</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29,285</w:t>
            </w:r>
          </w:p>
        </w:tc>
        <w:tc>
          <w:tcPr>
            <w:tcW w:w="60" w:type="dxa"/>
            <w:vAlign w:val="bottom"/>
          </w:tcPr>
          <w:p>
            <w:pPr>
              <w:spacing w:after="0"/>
              <w:rPr>
                <w:sz w:val="22"/>
                <w:szCs w:val="22"/>
                <w:color w:val="auto"/>
              </w:rPr>
            </w:pPr>
          </w:p>
        </w:tc>
      </w:tr>
      <w:tr>
        <w:trPr>
          <w:trHeight w:val="263"/>
        </w:trPr>
        <w:tc>
          <w:tcPr>
            <w:tcW w:w="5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distributions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(152,000)</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(152,000)</w:t>
            </w:r>
          </w:p>
        </w:tc>
        <w:tc>
          <w:tcPr>
            <w:tcW w:w="60" w:type="dxa"/>
            <w:vAlign w:val="bottom"/>
          </w:tcPr>
          <w:p>
            <w:pPr>
              <w:spacing w:after="0"/>
              <w:rPr>
                <w:sz w:val="22"/>
                <w:szCs w:val="22"/>
                <w:color w:val="auto"/>
              </w:rPr>
            </w:pPr>
          </w:p>
        </w:tc>
      </w:tr>
      <w:tr>
        <w:trPr>
          <w:trHeight w:val="20"/>
        </w:trPr>
        <w:tc>
          <w:tcPr>
            <w:tcW w:w="5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999,735</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 (13,267)</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986,468</w:t>
            </w:r>
          </w:p>
        </w:tc>
        <w:tc>
          <w:tcPr>
            <w:tcW w:w="60" w:type="dxa"/>
            <w:vAlign w:val="bottom"/>
          </w:tcPr>
          <w:p>
            <w:pPr>
              <w:spacing w:after="0"/>
              <w:rPr>
                <w:sz w:val="23"/>
                <w:szCs w:val="23"/>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-2390775</wp:posOffset>
            </wp:positionV>
            <wp:extent cx="468884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-3059430</wp:posOffset>
            </wp:positionV>
            <wp:extent cx="137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-3059430</wp:posOffset>
            </wp:positionV>
            <wp:extent cx="39090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Year Ended December 31, 2017 and 2016 (in thousands)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65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83,648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93,161</w:t>
            </w:r>
          </w:p>
        </w:tc>
        <w:tc>
          <w:tcPr>
            <w:tcW w:w="0" w:type="dxa"/>
            <w:vAlign w:val="bottom"/>
          </w:tcPr>
          <w:p>
            <w:pPr>
              <w:spacing w:after="0"/>
              <w:rPr>
                <w:sz w:val="1"/>
                <w:szCs w:val="1"/>
                <w:color w:val="auto"/>
              </w:rPr>
            </w:pPr>
          </w:p>
        </w:tc>
      </w:tr>
      <w:tr>
        <w:trPr>
          <w:trHeight w:val="230"/>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68,615</w:t>
            </w: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80,859</w:t>
            </w:r>
          </w:p>
        </w:tc>
        <w:tc>
          <w:tcPr>
            <w:tcW w:w="0" w:type="dxa"/>
            <w:vAlign w:val="bottom"/>
          </w:tcPr>
          <w:p>
            <w:pPr>
              <w:spacing w:after="0"/>
              <w:rPr>
                <w:sz w:val="1"/>
                <w:szCs w:val="1"/>
                <w:color w:val="auto"/>
              </w:rPr>
            </w:pPr>
          </w:p>
        </w:tc>
      </w:tr>
      <w:tr>
        <w:trPr>
          <w:trHeight w:val="229"/>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Receivable from brokers and dealers and clearing organizations</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(4,324)</w:t>
            </w: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9"/>
        </w:trPr>
        <w:tc>
          <w:tcPr>
            <w:tcW w:w="65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Deposits with clearing organizations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(18,683)</w:t>
            </w:r>
          </w:p>
        </w:tc>
        <w:tc>
          <w:tcPr>
            <w:tcW w:w="0" w:type="dxa"/>
            <w:vAlign w:val="bottom"/>
          </w:tcPr>
          <w:p>
            <w:pPr>
              <w:spacing w:after="0"/>
              <w:rPr>
                <w:sz w:val="1"/>
                <w:szCs w:val="1"/>
                <w:color w:val="auto"/>
              </w:rPr>
            </w:pPr>
          </w:p>
        </w:tc>
      </w:tr>
      <w:tr>
        <w:trPr>
          <w:trHeight w:val="229"/>
        </w:trPr>
        <w:tc>
          <w:tcPr>
            <w:tcW w:w="65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Receivable from affiliates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3,769</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(11,692)</w:t>
            </w:r>
          </w:p>
        </w:tc>
        <w:tc>
          <w:tcPr>
            <w:tcW w:w="0" w:type="dxa"/>
            <w:vAlign w:val="bottom"/>
          </w:tcPr>
          <w:p>
            <w:pPr>
              <w:spacing w:after="0"/>
              <w:rPr>
                <w:sz w:val="1"/>
                <w:szCs w:val="1"/>
                <w:color w:val="auto"/>
              </w:rPr>
            </w:pPr>
          </w:p>
        </w:tc>
      </w:tr>
      <w:tr>
        <w:trPr>
          <w:trHeight w:val="230"/>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360"/>
              <w:spacing w:after="0"/>
              <w:rPr>
                <w:sz w:val="20"/>
                <w:szCs w:val="20"/>
                <w:color w:val="auto"/>
              </w:rPr>
            </w:pPr>
            <w:r>
              <w:rPr>
                <w:rFonts w:ascii="Arial" w:cs="Arial" w:eastAsia="Arial" w:hAnsi="Arial"/>
                <w:sz w:val="18"/>
                <w:szCs w:val="18"/>
                <w:color w:val="auto"/>
              </w:rPr>
              <w:t>Payable to brokers and dealers and clearing organizations</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9"/>
        </w:trPr>
        <w:tc>
          <w:tcPr>
            <w:tcW w:w="65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(12,555)</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29"/>
        </w:trPr>
        <w:tc>
          <w:tcPr>
            <w:tcW w:w="65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Contingent consideration payable</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58,520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29"/>
        </w:trPr>
        <w:tc>
          <w:tcPr>
            <w:tcW w:w="65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equity compensation payable</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360"/>
              <w:spacing w:after="0"/>
              <w:rPr>
                <w:sz w:val="20"/>
                <w:szCs w:val="20"/>
                <w:color w:val="auto"/>
              </w:rPr>
            </w:pPr>
            <w:r>
              <w:rPr>
                <w:rFonts w:ascii="Arial" w:cs="Arial" w:eastAsia="Arial" w:hAnsi="Arial"/>
                <w:sz w:val="18"/>
                <w:szCs w:val="18"/>
                <w:color w:val="auto"/>
              </w:rPr>
              <w:t>Payable to affiliates</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
        </w:trPr>
        <w:tc>
          <w:tcPr>
            <w:tcW w:w="6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224,580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5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Purchase of furniture, equipment, purchased software and leasehold improvements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Capitalized software development costs</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(27,157)</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(25,351)</w:t>
            </w:r>
          </w:p>
        </w:tc>
        <w:tc>
          <w:tcPr>
            <w:tcW w:w="0" w:type="dxa"/>
            <w:vAlign w:val="bottom"/>
          </w:tcPr>
          <w:p>
            <w:pPr>
              <w:spacing w:after="0"/>
              <w:rPr>
                <w:sz w:val="1"/>
                <w:szCs w:val="1"/>
                <w:color w:val="auto"/>
              </w:rPr>
            </w:pPr>
          </w:p>
        </w:tc>
      </w:tr>
      <w:tr>
        <w:trPr>
          <w:trHeight w:val="229"/>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Business acquisitions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(45,552)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(50,565)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65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distributions</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(152,000)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Mezzanine capital contributions</w:t>
            </w:r>
          </w:p>
        </w:tc>
        <w:tc>
          <w:tcPr>
            <w:tcW w:w="1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capital distributions</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tcPr>
          <w:p>
            <w:pPr>
              <w:ind w:left="5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(153,461)</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(130,521)</w:t>
            </w:r>
          </w:p>
        </w:tc>
        <w:tc>
          <w:tcPr>
            <w:tcW w:w="0" w:type="dxa"/>
            <w:vAlign w:val="bottom"/>
          </w:tcPr>
          <w:p>
            <w:pPr>
              <w:spacing w:after="0"/>
              <w:rPr>
                <w:sz w:val="1"/>
                <w:szCs w:val="1"/>
                <w:color w:val="auto"/>
              </w:rPr>
            </w:pPr>
          </w:p>
        </w:tc>
      </w:tr>
      <w:tr>
        <w:trPr>
          <w:trHeight w:val="20"/>
        </w:trPr>
        <w:tc>
          <w:tcPr>
            <w:tcW w:w="6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tcPr>
          <w:p>
            <w:pPr>
              <w:ind w:left="54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28,724</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(15,441)</w:t>
            </w:r>
          </w:p>
        </w:tc>
        <w:tc>
          <w:tcPr>
            <w:tcW w:w="0" w:type="dxa"/>
            <w:vAlign w:val="bottom"/>
          </w:tcPr>
          <w:p>
            <w:pPr>
              <w:spacing w:after="0"/>
              <w:rPr>
                <w:sz w:val="1"/>
                <w:szCs w:val="1"/>
                <w:color w:val="auto"/>
              </w:rPr>
            </w:pPr>
          </w:p>
        </w:tc>
      </w:tr>
      <w:tr>
        <w:trPr>
          <w:trHeight w:val="243"/>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00" w:type="dxa"/>
            <w:vAlign w:val="bottom"/>
          </w:tcPr>
          <w:p>
            <w:pPr>
              <w:spacing w:after="0"/>
              <w:rPr>
                <w:sz w:val="20"/>
                <w:szCs w:val="20"/>
                <w:color w:val="auto"/>
              </w:rPr>
            </w:pPr>
            <w:r>
              <w:rPr>
                <w:rFonts w:ascii="Arial" w:cs="Arial" w:eastAsia="Arial" w:hAnsi="Arial"/>
                <w:sz w:val="18"/>
                <w:szCs w:val="18"/>
                <w:color w:val="auto"/>
              </w:rPr>
              <w:t>Beginning of year</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325,074</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340,515</w:t>
            </w:r>
          </w:p>
        </w:tc>
        <w:tc>
          <w:tcPr>
            <w:tcW w:w="0" w:type="dxa"/>
            <w:vAlign w:val="bottom"/>
          </w:tcPr>
          <w:p>
            <w:pPr>
              <w:spacing w:after="0"/>
              <w:rPr>
                <w:sz w:val="1"/>
                <w:szCs w:val="1"/>
                <w:color w:val="auto"/>
              </w:rPr>
            </w:pPr>
          </w:p>
        </w:tc>
      </w:tr>
      <w:tr>
        <w:trPr>
          <w:trHeight w:val="20"/>
        </w:trPr>
        <w:tc>
          <w:tcPr>
            <w:tcW w:w="6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353,798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325,074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Income taxes paid</w:t>
            </w:r>
          </w:p>
        </w:tc>
        <w:tc>
          <w:tcPr>
            <w:tcW w:w="1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6,312</w:t>
            </w: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6,735</w:t>
            </w:r>
          </w:p>
        </w:tc>
        <w:tc>
          <w:tcPr>
            <w:tcW w:w="0" w:type="dxa"/>
            <w:vAlign w:val="bottom"/>
          </w:tcPr>
          <w:p>
            <w:pPr>
              <w:spacing w:after="0"/>
              <w:rPr>
                <w:sz w:val="1"/>
                <w:szCs w:val="1"/>
                <w:color w:val="auto"/>
              </w:rPr>
            </w:pPr>
          </w:p>
        </w:tc>
      </w:tr>
      <w:tr>
        <w:trPr>
          <w:trHeight w:val="243"/>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activity</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00" w:type="dxa"/>
            <w:vAlign w:val="bottom"/>
          </w:tcPr>
          <w:p>
            <w:pPr>
              <w:spacing w:after="0"/>
              <w:rPr>
                <w:sz w:val="20"/>
                <w:szCs w:val="20"/>
                <w:color w:val="auto"/>
              </w:rPr>
            </w:pPr>
            <w:r>
              <w:rPr>
                <w:rFonts w:ascii="Arial" w:cs="Arial" w:eastAsia="Arial" w:hAnsi="Arial"/>
                <w:sz w:val="18"/>
                <w:szCs w:val="18"/>
                <w:color w:val="auto"/>
                <w:w w:val="96"/>
              </w:rPr>
              <w:t>Conversion of convertible term note payable to Thomson Reuters to Class A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29,285</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-942340</wp:posOffset>
            </wp:positionV>
            <wp:extent cx="47402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-1576705</wp:posOffset>
            </wp:positionV>
            <wp:extent cx="474027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-2596515</wp:posOffset>
            </wp:positionV>
            <wp:extent cx="474027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-3556635</wp:posOffset>
            </wp:positionV>
            <wp:extent cx="474027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-6188710</wp:posOffset>
            </wp:positionV>
            <wp:extent cx="47320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December 31, 2017 and 2016</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Tradeweb Markets LLC (the “Company”), a Delaware limited liability company, is a consolidating subsidiary of Thomson Reuters Corporation (“TR”), with a minority interest owned by a group of investment and commercial banks (the “Banks”). The Company, through its subsidiary Tradeweb Global LLC (“TWG”), owns 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 Tradeweb Europe Limited (“TEL”), a Multilateral Trading Facility regulated by the Financial Conduct Authority (the “FCA”) in the UK, which maintains branches in Asia which are regulated by certain Asian securities regulators, TW SEF LLC (“TW SEF”), a Swap Execution Facility (“SEF”) regulated by the Commodities Futures Trading Commission (“CFTC”), DW SEF LLC (“DW SEF”), a SEF regulated by the CFTC and Tradeweb Japan K.K. (“TWJ”), a security house regulated by the Japanese Financial Services Agency (“JFSA”) and the Japan Securities Dealers Association (“JSDA”). The Company operates the Tradeweb Fixed Income Business, which provides services that enable institutional market participants to view fixed income, fixed income derivative and equity derivative market data and trade fixed income securities, fixed income derivatives and equity derivatives on the Tradeweb Fixed Income Network, through its regulated subsidiaries, TWL, TEL, TW SEF and TWJ.</w:t>
      </w:r>
    </w:p>
    <w:p>
      <w:pPr>
        <w:spacing w:after="0" w:line="72"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The Company, through its subsidiary Tradeweb IDB Markets Inc. (“TWIDB”) (formerly known as Hydrogen Holdings Corporation), owns Dealerweb Inc. (“DW”) (formerly known as Hilliard Farber &amp; Co., Inc.). DW is a registered broker-dealer under the Securities Exchange Act of 1934 and a member of the Financial Industry Regulatory Authority (“FINRA”). DW is also registered as an introducing broker with the CFTC and NFA. It operates as a brokers’ broker primarily in the purchase and sale of United States (“US”) government and government agency mortgage-backed securities, US Treasury bills, notes and bonds, repurchase agreements, collateralized mortgage obligations and municipal securities as both a voice broker and through an electronic trading platform.</w:t>
      </w:r>
    </w:p>
    <w:p>
      <w:pPr>
        <w:spacing w:after="0" w:line="84" w:lineRule="exact"/>
        <w:rPr>
          <w:sz w:val="20"/>
          <w:szCs w:val="20"/>
          <w:color w:val="auto"/>
        </w:rPr>
      </w:pPr>
    </w:p>
    <w:p>
      <w:pPr>
        <w:ind w:left="1260" w:right="699" w:firstLine="360"/>
        <w:spacing w:after="0" w:line="293" w:lineRule="auto"/>
        <w:rPr>
          <w:sz w:val="20"/>
          <w:szCs w:val="20"/>
          <w:color w:val="auto"/>
        </w:rPr>
      </w:pPr>
      <w:r>
        <w:rPr>
          <w:rFonts w:ascii="Arial" w:cs="Arial" w:eastAsia="Arial" w:hAnsi="Arial"/>
          <w:sz w:val="16"/>
          <w:szCs w:val="16"/>
          <w:color w:val="auto"/>
        </w:rPr>
        <w:t>On October 7, 2011, the Company acquired the assets of the RaffCap business. The RaffCap business operates as a brokers’ broker dealing in the purchase and sale of United States (“US”) government mortgage-backed securities, US Treasury securities, collateralized mortgage obligations, corporate bonds and municipal securities as a voice broker and is included in the operations of DW. The acquisition was accounted for as a business combination and therefore the cost of the assets acquired and liabilities assumed by the Company, which consisted of intangible assets and goodwill, were accounted for at fair value.</w:t>
      </w:r>
    </w:p>
    <w:p>
      <w:pPr>
        <w:spacing w:after="0" w:line="56" w:lineRule="exact"/>
        <w:rPr>
          <w:sz w:val="20"/>
          <w:szCs w:val="20"/>
          <w:color w:val="auto"/>
        </w:rPr>
      </w:pPr>
    </w:p>
    <w:p>
      <w:pPr>
        <w:ind w:left="1260" w:right="939" w:firstLine="360"/>
        <w:spacing w:after="0" w:line="279" w:lineRule="auto"/>
        <w:rPr>
          <w:sz w:val="20"/>
          <w:szCs w:val="20"/>
          <w:color w:val="auto"/>
        </w:rPr>
      </w:pPr>
      <w:r>
        <w:rPr>
          <w:rFonts w:ascii="Arial" w:cs="Arial" w:eastAsia="Arial" w:hAnsi="Arial"/>
          <w:sz w:val="17"/>
          <w:szCs w:val="17"/>
          <w:color w:val="auto"/>
        </w:rPr>
        <w:t>On November 1, 2013, the Company acquired BondDesk Group LLC and subsidiaries (“BondDesk”). BondDesk provides services that enable retail customers to view and trade fixed income securities through its subsidiary Tradeweb Direct LLC (“TWD”) (formerly known as BondDesk Trading LLC), a registered broker-dealer under the Securities Exchange Act of 1934 and a member of FINRA.</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Significant Accounting Policies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8"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The consolidated financial statements have been presented in conformity with accounting principles generally accepted in the United States of America.</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w:t>
      </w: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December 31, 2017 and 2016</w:t>
      </w:r>
    </w:p>
    <w:p>
      <w:pPr>
        <w:spacing w:after="0" w:line="196" w:lineRule="exact"/>
        <w:rPr>
          <w:sz w:val="20"/>
          <w:szCs w:val="20"/>
          <w:color w:val="auto"/>
        </w:rPr>
      </w:pPr>
    </w:p>
    <w:p>
      <w:pPr>
        <w:jc w:val="both"/>
        <w:ind w:left="1260" w:right="1059"/>
        <w:spacing w:after="0" w:line="263" w:lineRule="auto"/>
        <w:rPr>
          <w:sz w:val="20"/>
          <w:szCs w:val="20"/>
          <w:color w:val="auto"/>
        </w:rPr>
      </w:pPr>
      <w:r>
        <w:rPr>
          <w:rFonts w:ascii="Arial" w:cs="Arial" w:eastAsia="Arial" w:hAnsi="Arial"/>
          <w:sz w:val="18"/>
          <w:szCs w:val="18"/>
          <w:color w:val="auto"/>
        </w:rPr>
        <w:t>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Consolidation</w:t>
      </w:r>
    </w:p>
    <w:p>
      <w:pPr>
        <w:spacing w:after="0" w:line="108"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material intercompany transactions and balances have been eliminated in consolidation.</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generally less than three months.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Allowance for Doubtful Accounts</w:t>
      </w:r>
    </w:p>
    <w:p>
      <w:pPr>
        <w:spacing w:after="0" w:line="94"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108" w:lineRule="exact"/>
        <w:rPr>
          <w:sz w:val="20"/>
          <w:szCs w:val="20"/>
          <w:color w:val="auto"/>
        </w:rPr>
      </w:pPr>
    </w:p>
    <w:p>
      <w:pPr>
        <w:ind w:left="1260" w:right="739" w:firstLine="360"/>
        <w:spacing w:after="0" w:line="301" w:lineRule="auto"/>
        <w:rPr>
          <w:sz w:val="20"/>
          <w:szCs w:val="20"/>
          <w:color w:val="auto"/>
        </w:rPr>
      </w:pPr>
      <w:r>
        <w:rPr>
          <w:rFonts w:ascii="Arial" w:cs="Arial" w:eastAsia="Arial" w:hAnsi="Arial"/>
          <w:sz w:val="16"/>
          <w:szCs w:val="16"/>
          <w:color w:val="auto"/>
        </w:rPr>
        <w:t>Furniture, equipment, purchased software and leasehold improvements are carried at cost less accumulated depreciation. Depreciation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Software Development Costs</w:t>
      </w:r>
    </w:p>
    <w:p>
      <w:pPr>
        <w:spacing w:after="0" w:line="108"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Once the product is ready for its intended use, such costs are amortized on a straight-line basis over three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Intangible Assets</w:t>
      </w:r>
    </w:p>
    <w:p>
      <w:pPr>
        <w:spacing w:after="0" w:line="10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Intangible assets with a finite life are amortized over the estimated lives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undiscounted cash flows relating to the asset or asset group is less than the corresponding fair value. Intangible assets are amortized over their estimated useful lives of three to sixteen years.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Goodwill</w:t>
      </w:r>
    </w:p>
    <w:p>
      <w:pPr>
        <w:spacing w:after="0" w:line="94"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Goodwill is the cost of acquired companies in excess of the fair value of identifiable net assets at acquisition date. Goodwill is not amortized, but in accordance with ASC 350, goodwill is tested for</w:t>
      </w: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December 31, 2017 and 2016</w:t>
      </w:r>
    </w:p>
    <w:p>
      <w:pPr>
        <w:spacing w:after="0" w:line="196" w:lineRule="exact"/>
        <w:rPr>
          <w:sz w:val="20"/>
          <w:szCs w:val="20"/>
          <w:color w:val="auto"/>
        </w:rPr>
      </w:pPr>
    </w:p>
    <w:p>
      <w:pPr>
        <w:ind w:left="1260" w:right="839"/>
        <w:spacing w:after="0" w:line="275" w:lineRule="auto"/>
        <w:rPr>
          <w:sz w:val="20"/>
          <w:szCs w:val="20"/>
          <w:color w:val="auto"/>
        </w:rPr>
      </w:pPr>
      <w:r>
        <w:rPr>
          <w:rFonts w:ascii="Arial" w:cs="Arial" w:eastAsia="Arial" w:hAnsi="Arial"/>
          <w:sz w:val="17"/>
          <w:szCs w:val="17"/>
          <w:color w:val="auto"/>
        </w:rPr>
        <w:t>impairment annually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Translation of Foreign Currency</w:t>
      </w:r>
    </w:p>
    <w:p>
      <w:pPr>
        <w:spacing w:after="0" w:line="67" w:lineRule="exact"/>
        <w:rPr>
          <w:sz w:val="20"/>
          <w:szCs w:val="20"/>
          <w:color w:val="auto"/>
        </w:rPr>
      </w:pPr>
    </w:p>
    <w:p>
      <w:pPr>
        <w:ind w:left="1260" w:right="679" w:firstLine="360"/>
        <w:spacing w:after="0" w:line="293" w:lineRule="auto"/>
        <w:rPr>
          <w:sz w:val="20"/>
          <w:szCs w:val="20"/>
          <w:color w:val="auto"/>
        </w:rPr>
      </w:pPr>
      <w:r>
        <w:rPr>
          <w:rFonts w:ascii="Arial" w:cs="Arial" w:eastAsia="Arial" w:hAnsi="Arial"/>
          <w:sz w:val="16"/>
          <w:szCs w:val="16"/>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w:t>
      </w:r>
    </w:p>
    <w:p>
      <w:pPr>
        <w:spacing w:after="0" w:line="67"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The Company is a multiple member limited liability company which is taxed as a partnership. No income tax provision is required on the earnings of the Company as it is a partnership, and therefore the remaining tax effects of its activities accrue directly to its partners. As a partnership, the Company and certain subsidiaries are subject to unincorporated business taxes on income earned, or losses incurred, by conducting business in certain state and local jurisdictions and income taxes in foreign jurisdictions on certain of their operations. TWIDB and its subsidiary DW are C Corporations and therefore incur federal, state and local income tax expense. Income taxes are accounted for in accordance with ASC 740. The Company recorded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46"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6"/>
          <w:szCs w:val="16"/>
          <w:color w:val="auto"/>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50 percent likely to be realized upon ultimate settlement with the related tax authority. At December 31, 2017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2016 there were no uncertain tax positions recognized on the Consolidated Statements of Financial Condition.</w:t>
      </w:r>
    </w:p>
    <w:p>
      <w:pPr>
        <w:spacing w:after="0" w:line="112" w:lineRule="exact"/>
        <w:rPr>
          <w:sz w:val="20"/>
          <w:szCs w:val="20"/>
          <w:color w:val="auto"/>
        </w:rPr>
      </w:pPr>
    </w:p>
    <w:p>
      <w:pPr>
        <w:jc w:val="both"/>
        <w:ind w:left="1260" w:right="1079" w:firstLine="360"/>
        <w:spacing w:after="0" w:line="311" w:lineRule="auto"/>
        <w:rPr>
          <w:sz w:val="20"/>
          <w:szCs w:val="20"/>
          <w:color w:val="auto"/>
        </w:rPr>
      </w:pPr>
      <w:r>
        <w:rPr>
          <w:rFonts w:ascii="Arial" w:cs="Arial" w:eastAsia="Arial" w:hAnsi="Arial"/>
          <w:sz w:val="16"/>
          <w:szCs w:val="16"/>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4"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On December 22, 2017, the President signed into law the Tax Cuts and Jobs Act effective for tax years ending after December 31, 2017. This legislation replaces the prior corporate tax rate structure with a flat 21% rate, effective in 2018. There were many other future impacts of the tax reform such as the repeal of the corporate alternative minimum tax rate, tax loss carryback and carryforward limitations. The only impact in the 2017 financial statements is a $1,982,000 reduction in the deferred tax asset as a result of the revaluation of the deferred tax asset based on the reduced federal corporate tax rate.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81"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Company earns transaction fees from securities transactions executed on the Tradeweb Fixed Income Network. Transaction fee revenue is recorded on a trade-date basis.</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December 31, 2017 and 2016</w:t>
      </w:r>
    </w:p>
    <w:p>
      <w:pPr>
        <w:spacing w:after="0" w:line="196" w:lineRule="exact"/>
        <w:rPr>
          <w:sz w:val="20"/>
          <w:szCs w:val="20"/>
          <w:color w:val="auto"/>
        </w:rPr>
      </w:pPr>
    </w:p>
    <w:p>
      <w:pPr>
        <w:ind w:left="1260" w:right="699" w:firstLine="360"/>
        <w:spacing w:after="0" w:line="293" w:lineRule="auto"/>
        <w:rPr>
          <w:sz w:val="20"/>
          <w:szCs w:val="20"/>
          <w:color w:val="auto"/>
        </w:rPr>
      </w:pPr>
      <w:r>
        <w:rPr>
          <w:rFonts w:ascii="Arial" w:cs="Arial" w:eastAsia="Arial" w:hAnsi="Arial"/>
          <w:sz w:val="16"/>
          <w:szCs w:val="16"/>
          <w:color w:val="auto"/>
        </w:rPr>
        <w:t>The Company earns subscription fees from granting access to the Tradeweb Fixed Income Network to institutional investors. Subscription fees are recognized into income in the period that access is provided, generally on a monthly basis. Also included in subscription fees on the Consolidated Statements of Income are viewer fees earned monthly from institutional investors accessing fixed income market data on the Tradeweb Fixed Income Network. Fees received by the Company which are not yet earned are included in deferred revenue on the Consolidated Statements of Financial Condition until the revenue recognition criteria has been met.</w:t>
      </w:r>
    </w:p>
    <w:p>
      <w:pPr>
        <w:spacing w:after="0" w:line="56" w:lineRule="exact"/>
        <w:rPr>
          <w:sz w:val="20"/>
          <w:szCs w:val="20"/>
          <w:color w:val="auto"/>
        </w:rPr>
      </w:pPr>
    </w:p>
    <w:p>
      <w:pPr>
        <w:ind w:left="1260" w:right="1459" w:firstLine="360"/>
        <w:spacing w:after="0" w:line="277" w:lineRule="auto"/>
        <w:rPr>
          <w:sz w:val="20"/>
          <w:szCs w:val="20"/>
          <w:color w:val="auto"/>
        </w:rPr>
      </w:pPr>
      <w:r>
        <w:rPr>
          <w:rFonts w:ascii="Arial" w:cs="Arial" w:eastAsia="Arial" w:hAnsi="Arial"/>
          <w:sz w:val="18"/>
          <w:szCs w:val="18"/>
          <w:color w:val="auto"/>
        </w:rPr>
        <w:t>Securities transactions and related commission income are recorded on a trade-date basis, as if the transactions have settled.</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Company earns fees from TR relating to the sale of market data to TR, which redistributes that data.</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These fees are recognized in the period that the data is provided, generally on a monthly basis.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Based Compensation</w:t>
      </w:r>
    </w:p>
    <w:p>
      <w:pPr>
        <w:spacing w:after="0" w:line="10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The Company accounts for stock based compensation in accordance with ASC 718. ASC 718 focuses primarily on accounting for a transaction in which an entity obtains employee services in exchange for share-based payments. Under ASC 718, the shared-based payments received by the employees of the Company are accounted for as liability awards. As a liability award, the cost of employee services received in exchange for an award of equity instruments is generally measured based on the grant-date fair value of the award. The fair value of that award is remeasured subsequently at each reporting date through to settlement. Changes in the equity instrument’s fair value during the requisite service period are recognized as compensation cost over that period.</w:t>
      </w:r>
    </w:p>
    <w:p>
      <w:pPr>
        <w:spacing w:after="0" w:line="58" w:lineRule="exact"/>
        <w:rPr>
          <w:sz w:val="20"/>
          <w:szCs w:val="20"/>
          <w:color w:val="auto"/>
        </w:rPr>
      </w:pPr>
    </w:p>
    <w:p>
      <w:pPr>
        <w:ind w:left="1260" w:right="999" w:firstLine="360"/>
        <w:spacing w:after="0" w:line="311" w:lineRule="auto"/>
        <w:rPr>
          <w:sz w:val="20"/>
          <w:szCs w:val="20"/>
          <w:color w:val="auto"/>
        </w:rPr>
      </w:pPr>
      <w:r>
        <w:rPr>
          <w:rFonts w:ascii="Arial" w:cs="Arial" w:eastAsia="Arial" w:hAnsi="Arial"/>
          <w:sz w:val="16"/>
          <w:szCs w:val="16"/>
          <w:color w:val="auto"/>
        </w:rPr>
        <w:t>Under ASC 718, share-based awards that do not require future service (i.e., vested awards) are expensed immediately. Share-based employee awards that require future service, and are graded-vesting awards, are amortized over the relevant service period on a straight-line basis, with each tranche separately measured.</w:t>
      </w:r>
    </w:p>
    <w:p>
      <w:pPr>
        <w:spacing w:after="0" w:line="41" w:lineRule="exact"/>
        <w:rPr>
          <w:sz w:val="20"/>
          <w:szCs w:val="20"/>
          <w:color w:val="auto"/>
        </w:rPr>
      </w:pPr>
    </w:p>
    <w:p>
      <w:pPr>
        <w:ind w:left="1260" w:right="1019" w:firstLine="360"/>
        <w:spacing w:after="0" w:line="291" w:lineRule="auto"/>
        <w:rPr>
          <w:sz w:val="20"/>
          <w:szCs w:val="20"/>
          <w:color w:val="auto"/>
        </w:rPr>
      </w:pPr>
      <w:r>
        <w:rPr>
          <w:rFonts w:ascii="Arial" w:cs="Arial" w:eastAsia="Arial" w:hAnsi="Arial"/>
          <w:sz w:val="16"/>
          <w:szCs w:val="16"/>
          <w:color w:val="auto"/>
        </w:rPr>
        <w:t>Determining the appropriate fair value model and calculating the fair value of the share-based payment awards requires the input of highly subjective assumptions, including the expected life of the share-based payment awards, the number of expected share-based payment awards that will be forfeited prior to the completion of the vesting requirements, and the stock price volatility. The Company uses the Black-Scholes pricing model to value some of its share-based awards. Application of alternative assumptions could produce significantly different estimates of the fair value of stock-based compensation and consequently, the related amounts recognized in the Company’s Consolidated Statements of Income.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Earnings Per Share</w:t>
      </w:r>
    </w:p>
    <w:p>
      <w:pPr>
        <w:spacing w:after="0" w:line="108" w:lineRule="exact"/>
        <w:rPr>
          <w:sz w:val="20"/>
          <w:szCs w:val="20"/>
          <w:color w:val="auto"/>
        </w:rPr>
      </w:pPr>
    </w:p>
    <w:p>
      <w:pPr>
        <w:ind w:left="1260" w:right="699" w:firstLine="360"/>
        <w:spacing w:after="0" w:line="301" w:lineRule="auto"/>
        <w:rPr>
          <w:sz w:val="20"/>
          <w:szCs w:val="20"/>
          <w:color w:val="auto"/>
        </w:rPr>
      </w:pPr>
      <w:r>
        <w:rPr>
          <w:rFonts w:ascii="Arial" w:cs="Arial" w:eastAsia="Arial" w:hAnsi="Arial"/>
          <w:sz w:val="16"/>
          <w:szCs w:val="16"/>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the convertible term note payable were converted into the Company’s shares.</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Measurement</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24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December 31, 2017 and 2016</w:t>
      </w:r>
    </w:p>
    <w:p>
      <w:pPr>
        <w:spacing w:after="0" w:line="196"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The fair value hierarchy under ASC 820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Fair Value Measurement</w:t>
      </w:r>
    </w:p>
    <w:p>
      <w:pPr>
        <w:spacing w:after="0" w:line="135" w:lineRule="exact"/>
        <w:rPr>
          <w:sz w:val="20"/>
          <w:szCs w:val="20"/>
          <w:color w:val="auto"/>
        </w:rPr>
      </w:pPr>
    </w:p>
    <w:p>
      <w:pPr>
        <w:ind w:left="2280" w:right="1359" w:hanging="647"/>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identical, unrestricted assets or liabilities;</w:t>
      </w:r>
    </w:p>
    <w:p>
      <w:pPr>
        <w:spacing w:after="0" w:line="116" w:lineRule="exact"/>
        <w:rPr>
          <w:sz w:val="20"/>
          <w:szCs w:val="20"/>
          <w:color w:val="auto"/>
        </w:rPr>
      </w:pPr>
    </w:p>
    <w:p>
      <w:pPr>
        <w:ind w:left="2280" w:right="779" w:hanging="647"/>
        <w:spacing w:after="0" w:line="277" w:lineRule="auto"/>
        <w:rPr>
          <w:sz w:val="20"/>
          <w:szCs w:val="20"/>
          <w:color w:val="auto"/>
        </w:rPr>
      </w:pPr>
      <w:r>
        <w:rPr>
          <w:rFonts w:ascii="Arial" w:cs="Arial" w:eastAsia="Arial" w:hAnsi="Arial"/>
          <w:sz w:val="18"/>
          <w:szCs w:val="18"/>
          <w:color w:val="auto"/>
        </w:rPr>
        <w:t>Level 2 Quoted prices in markets that are not considered to be active or financial instruments for which all significant inputs are observable, either directly or indirectly;</w:t>
      </w:r>
    </w:p>
    <w:p>
      <w:pPr>
        <w:spacing w:after="0" w:line="116" w:lineRule="exact"/>
        <w:rPr>
          <w:sz w:val="20"/>
          <w:szCs w:val="20"/>
          <w:color w:val="auto"/>
        </w:rPr>
      </w:pPr>
    </w:p>
    <w:p>
      <w:pPr>
        <w:ind w:left="2280" w:right="859" w:hanging="647"/>
        <w:spacing w:after="0" w:line="277" w:lineRule="auto"/>
        <w:rPr>
          <w:sz w:val="20"/>
          <w:szCs w:val="20"/>
          <w:color w:val="auto"/>
        </w:rPr>
      </w:pPr>
      <w:r>
        <w:rPr>
          <w:rFonts w:ascii="Arial" w:cs="Arial" w:eastAsia="Arial" w:hAnsi="Arial"/>
          <w:sz w:val="18"/>
          <w:szCs w:val="18"/>
          <w:color w:val="auto"/>
        </w:rPr>
        <w:t>Level 3 Prices or valuations that require inputs that are both significant to the fair value measurement and unobservable.</w:t>
      </w:r>
    </w:p>
    <w:p>
      <w:pPr>
        <w:spacing w:after="0" w:line="62"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In May 2014, FASB issued ASU 2014-09, Revenue from Contracts with Customers. The new guidance will create a more principles-based approach to revenue recognition. Under the new guidance, companies will recognize revenue to depict the transfer of goods or services to customers in amounts that reflect consideration to which a company expects to be entitled in exchange for those goods or services by applying a five step-process. The standard would require additional disclosures and provide more guidance for transactions such as revenue and contract modification. The guidance must be adopted using either a full retrospective approach or a modified retrospective approach. In addition, an explanation of the significant changes between the reported results under the new revenue standard and prior US GAAP is needed. The guidance is applicable for the Company in the fiscal year beginning January 1, 2018. The adoption of this ASU did not have a material impact on the Company’s financial statements.</w:t>
      </w:r>
    </w:p>
    <w:p>
      <w:pPr>
        <w:spacing w:after="0" w:line="77"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In February 2016, the FASB issued ASU2016-02, Leases. This standard requires Lessees to recognize a right-of-use asset and a lease liability for virtually all leases. The Asset will reflect the present value of unpaid lease payments coupled with initial direct costs, prepaid lease payments, and lease incentives. The amount of the lease liability will be calculated as the present value of unpaid lease payments. The lease term will be required to be reassessed when the lessee elects to exercise or not exercise an option during the lease term. ASU2016-02 will be effective for the Company in the fiscal year beginning January 1, 2019. The new standard must be adopted using a modified retrospective transition. The Company is currently evaluating the impact of adopting this ASU on the Company’s financial statements.</w:t>
      </w:r>
    </w:p>
    <w:p>
      <w:pPr>
        <w:spacing w:after="0" w:line="7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(a consensus of the Emerging Issues Task Force). This update provides specific guidance on the eight cash flow classification and presentation issues on the statements of cash flow. ASU 2016-15 will be effective for the Company in the fiscal year beginning January 1, 2019. The Company is currently evaluating the impact of adopting this ASU on the Company’s financial statements.</w:t>
      </w:r>
    </w:p>
    <w:p>
      <w:pPr>
        <w:spacing w:after="0" w:line="80" w:lineRule="exact"/>
        <w:rPr>
          <w:sz w:val="20"/>
          <w:szCs w:val="20"/>
          <w:color w:val="auto"/>
        </w:rPr>
      </w:pPr>
    </w:p>
    <w:p>
      <w:pPr>
        <w:ind w:left="1260" w:right="739" w:firstLine="360"/>
        <w:spacing w:after="0" w:line="296" w:lineRule="auto"/>
        <w:rPr>
          <w:sz w:val="20"/>
          <w:szCs w:val="20"/>
          <w:color w:val="auto"/>
        </w:rPr>
      </w:pPr>
      <w:r>
        <w:rPr>
          <w:rFonts w:ascii="Arial" w:cs="Arial" w:eastAsia="Arial" w:hAnsi="Arial"/>
          <w:sz w:val="16"/>
          <w:szCs w:val="16"/>
          <w:color w:val="auto"/>
        </w:rPr>
        <w:t>In January 2017, the FASB issued ASU 2017-04, Intangibles — Goodwill and Other. The ASU simplifies the quantitative goodwill impairment test by eliminating the second step of the test. Under this ASU, impairment will be measured by comparing the estimated fair value of the reporting unit with its carrying value. The ASU is applicable for the Company in the fiscal year beginning January 1, 2021. The Company doesn’t anticipate the adoption of this ASU to have a material impact on the Company’s financial statements.</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December 31, 2017 and 2016</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Restricted Cash</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a proprietary accounts of other broker-dealers (“PAB”) reserve, which requires the Company to maintain minimum segregated cash in the amount of total credits per the reserve computation. As of December 31, 2017 and 2016, cash in the amount of $1,200,000 and $1,000,000, respectively, has been segregated in the PAB reserve account exceeding the requirements pursuant to SEC Rule 15c3-3.</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Receivable from and Payable to Brokers and Dealers and Clearing Organizations</w:t>
      </w:r>
    </w:p>
    <w:p>
      <w:pPr>
        <w:spacing w:after="0" w:line="108"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Balances receivable from and payable to brokers and dealers and clearing organizations resulting from the Company’s normal securities transactions are generally collateralized by those securities.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Deposits with Clearing Organizations</w:t>
      </w:r>
    </w:p>
    <w:p>
      <w:pPr>
        <w:spacing w:after="0" w:line="108"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Furniture, Equipment, Purchased Software and Leasehold Improvements</w:t>
      </w:r>
    </w:p>
    <w:p>
      <w:pPr>
        <w:spacing w:after="0" w:line="108" w:lineRule="exact"/>
        <w:rPr>
          <w:sz w:val="20"/>
          <w:szCs w:val="20"/>
          <w:color w:val="auto"/>
        </w:rPr>
      </w:pPr>
    </w:p>
    <w:p>
      <w:pPr>
        <w:ind w:left="1260" w:right="1499" w:firstLine="360"/>
        <w:spacing w:after="0" w:line="308" w:lineRule="auto"/>
        <w:rPr>
          <w:sz w:val="20"/>
          <w:szCs w:val="20"/>
          <w:color w:val="auto"/>
        </w:rPr>
      </w:pPr>
      <w:r>
        <w:rPr>
          <w:rFonts w:ascii="Arial" w:cs="Arial" w:eastAsia="Arial" w:hAnsi="Arial"/>
          <w:sz w:val="17"/>
          <w:szCs w:val="17"/>
          <w:color w:val="auto"/>
        </w:rPr>
        <w:t>The components of furniture, equipment, purchased software and leasehold improvements, net of accumulated depreciation and amortization are as follows (in thousands):</w:t>
      </w:r>
    </w:p>
    <w:p>
      <w:pPr>
        <w:spacing w:after="0" w:line="4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4"/>
          </w:tcPr>
          <w:p>
            <w:pPr>
              <w:ind w:left="180"/>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6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5"/>
        </w:trPr>
        <w:tc>
          <w:tcPr>
            <w:tcW w:w="6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$ 67,852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$ 55,899</w:t>
            </w:r>
          </w:p>
        </w:tc>
        <w:tc>
          <w:tcPr>
            <w:tcW w:w="60" w:type="dxa"/>
            <w:vAlign w:val="bottom"/>
          </w:tcPr>
          <w:p>
            <w:pPr>
              <w:spacing w:after="0"/>
              <w:rPr>
                <w:sz w:val="21"/>
                <w:szCs w:val="21"/>
                <w:color w:val="auto"/>
              </w:rPr>
            </w:pPr>
          </w:p>
        </w:tc>
      </w:tr>
      <w:tr>
        <w:trPr>
          <w:trHeight w:val="256"/>
        </w:trPr>
        <w:tc>
          <w:tcPr>
            <w:tcW w:w="66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27,139</w:t>
            </w:r>
          </w:p>
        </w:tc>
        <w:tc>
          <w:tcPr>
            <w:tcW w:w="680" w:type="dxa"/>
            <w:vAlign w:val="bottom"/>
          </w:tcPr>
          <w:p>
            <w:pPr>
              <w:jc w:val="right"/>
              <w:spacing w:after="0"/>
              <w:rPr>
                <w:sz w:val="20"/>
                <w:szCs w:val="20"/>
                <w:color w:val="auto"/>
              </w:rPr>
            </w:pPr>
            <w:r>
              <w:rPr>
                <w:rFonts w:ascii="Arial" w:cs="Arial" w:eastAsia="Arial" w:hAnsi="Arial"/>
                <w:sz w:val="18"/>
                <w:szCs w:val="18"/>
                <w:color w:val="auto"/>
              </w:rPr>
              <w:t>26,222</w:t>
            </w:r>
          </w:p>
        </w:tc>
        <w:tc>
          <w:tcPr>
            <w:tcW w:w="60" w:type="dxa"/>
            <w:vAlign w:val="bottom"/>
          </w:tcPr>
          <w:p>
            <w:pPr>
              <w:spacing w:after="0"/>
              <w:rPr>
                <w:sz w:val="22"/>
                <w:szCs w:val="22"/>
                <w:color w:val="auto"/>
              </w:rPr>
            </w:pPr>
          </w:p>
        </w:tc>
      </w:tr>
      <w:tr>
        <w:trPr>
          <w:trHeight w:val="257"/>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60" w:type="dxa"/>
            <w:vAlign w:val="bottom"/>
          </w:tcPr>
          <w:p>
            <w:pPr>
              <w:spacing w:after="0"/>
              <w:rPr>
                <w:sz w:val="22"/>
                <w:szCs w:val="22"/>
                <w:color w:val="auto"/>
              </w:rPr>
            </w:pPr>
          </w:p>
        </w:tc>
      </w:tr>
      <w:tr>
        <w:trPr>
          <w:trHeight w:val="256"/>
        </w:trPr>
        <w:tc>
          <w:tcPr>
            <w:tcW w:w="6660" w:type="dxa"/>
            <w:vAlign w:val="bottom"/>
            <w:gridSpan w:val="2"/>
          </w:tcPr>
          <w:p>
            <w:pPr>
              <w:spacing w:after="0"/>
              <w:rPr>
                <w:sz w:val="20"/>
                <w:szCs w:val="20"/>
                <w:color w:val="auto"/>
              </w:rPr>
            </w:pPr>
            <w:r>
              <w:rPr>
                <w:rFonts w:ascii="Arial" w:cs="Arial" w:eastAsia="Arial" w:hAnsi="Arial"/>
                <w:sz w:val="18"/>
                <w:szCs w:val="18"/>
                <w:color w:val="auto"/>
              </w:rPr>
              <w:t>Furniture and office equipment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6,350</w:t>
            </w:r>
          </w:p>
        </w:tc>
        <w:tc>
          <w:tcPr>
            <w:tcW w:w="680" w:type="dxa"/>
            <w:vAlign w:val="bottom"/>
          </w:tcPr>
          <w:p>
            <w:pPr>
              <w:jc w:val="right"/>
              <w:spacing w:after="0"/>
              <w:rPr>
                <w:sz w:val="20"/>
                <w:szCs w:val="20"/>
                <w:color w:val="auto"/>
              </w:rPr>
            </w:pPr>
            <w:r>
              <w:rPr>
                <w:rFonts w:ascii="Arial" w:cs="Arial" w:eastAsia="Arial" w:hAnsi="Arial"/>
                <w:sz w:val="18"/>
                <w:szCs w:val="18"/>
                <w:color w:val="auto"/>
              </w:rPr>
              <w:t>5,960</w:t>
            </w:r>
          </w:p>
        </w:tc>
        <w:tc>
          <w:tcPr>
            <w:tcW w:w="60" w:type="dxa"/>
            <w:vAlign w:val="bottom"/>
          </w:tcPr>
          <w:p>
            <w:pPr>
              <w:spacing w:after="0"/>
              <w:rPr>
                <w:sz w:val="22"/>
                <w:szCs w:val="22"/>
                <w:color w:val="auto"/>
              </w:rPr>
            </w:pPr>
          </w:p>
        </w:tc>
      </w:tr>
      <w:tr>
        <w:trPr>
          <w:trHeight w:val="264"/>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(75,342)</w:t>
            </w:r>
          </w:p>
        </w:tc>
        <w:tc>
          <w:tcPr>
            <w:tcW w:w="60" w:type="dxa"/>
            <w:vAlign w:val="bottom"/>
          </w:tcPr>
          <w:p>
            <w:pPr>
              <w:spacing w:after="0"/>
              <w:rPr>
                <w:sz w:val="22"/>
                <w:szCs w:val="22"/>
                <w:color w:val="auto"/>
              </w:rPr>
            </w:pPr>
          </w:p>
        </w:tc>
      </w:tr>
      <w:tr>
        <w:trPr>
          <w:trHeight w:val="229"/>
        </w:trPr>
        <w:tc>
          <w:tcPr>
            <w:tcW w:w="66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Furniture, equipment, purchased software and leasehold improvements, net of</w:t>
            </w: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accumulated depreciation and amortization</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$ 27,031</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$ 24,829</w:t>
            </w:r>
          </w:p>
        </w:tc>
        <w:tc>
          <w:tcPr>
            <w:tcW w:w="6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-1173480</wp:posOffset>
            </wp:positionV>
            <wp:extent cx="47834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49"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For the years ended December 31, 2017 and 2016, depreciation and amortization expense related to these assets was $11,959,000 and $12,910,000, respectively.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Software Development Cost</w:t>
      </w:r>
    </w:p>
    <w:p>
      <w:pPr>
        <w:spacing w:after="0" w:line="108"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The components of Software development costs, net of accumulated amortization are as follows (in thousands):</w:t>
      </w:r>
    </w:p>
    <w:p>
      <w:pPr>
        <w:spacing w:after="0" w:line="6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57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25"/>
        </w:trPr>
        <w:tc>
          <w:tcPr>
            <w:tcW w:w="5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218,382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191,225</w:t>
            </w:r>
          </w:p>
        </w:tc>
        <w:tc>
          <w:tcPr>
            <w:tcW w:w="60" w:type="dxa"/>
            <w:vAlign w:val="bottom"/>
          </w:tcPr>
          <w:p>
            <w:pPr>
              <w:spacing w:after="0"/>
              <w:rPr>
                <w:sz w:val="21"/>
                <w:szCs w:val="21"/>
                <w:color w:val="auto"/>
              </w:rPr>
            </w:pPr>
          </w:p>
        </w:tc>
      </w:tr>
      <w:tr>
        <w:trPr>
          <w:trHeight w:val="264"/>
        </w:trPr>
        <w:tc>
          <w:tcPr>
            <w:tcW w:w="578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(177,201)</w:t>
            </w: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(151,781)</w:t>
            </w:r>
          </w:p>
        </w:tc>
      </w:tr>
      <w:tr>
        <w:trPr>
          <w:trHeight w:val="256"/>
        </w:trPr>
        <w:tc>
          <w:tcPr>
            <w:tcW w:w="5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Software development costs, net of accumulated amortization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41,181</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39,444</w:t>
            </w:r>
          </w:p>
        </w:tc>
        <w:tc>
          <w:tcPr>
            <w:tcW w:w="60" w:type="dxa"/>
            <w:vAlign w:val="bottom"/>
          </w:tcPr>
          <w:p>
            <w:pPr>
              <w:spacing w:after="0"/>
              <w:rPr>
                <w:sz w:val="22"/>
                <w:szCs w:val="22"/>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-196850</wp:posOffset>
            </wp:positionV>
            <wp:extent cx="427736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-539750</wp:posOffset>
            </wp:positionV>
            <wp:extent cx="426910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24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For the years ended December 31, 2017 and 2016, software development costs totaling $27,157,000 and</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$25,351,000, respectively, were capitalized. In addition, in 2016, software development costs of $3,600,000 were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acquired together with a business. Non-capitalized software costs and routine maintenance costs are</w:t>
      </w:r>
    </w:p>
    <w:p>
      <w:pPr>
        <w:spacing w:after="0" w:line="2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December 31, 2017 and 2016</w:t>
      </w:r>
    </w:p>
    <w:p>
      <w:pPr>
        <w:spacing w:after="0" w:line="196" w:lineRule="exact"/>
        <w:rPr>
          <w:sz w:val="20"/>
          <w:szCs w:val="20"/>
          <w:color w:val="auto"/>
        </w:rPr>
      </w:pPr>
    </w:p>
    <w:p>
      <w:pPr>
        <w:ind w:left="1260" w:right="1019"/>
        <w:spacing w:after="0" w:line="286" w:lineRule="auto"/>
        <w:rPr>
          <w:sz w:val="20"/>
          <w:szCs w:val="20"/>
          <w:color w:val="auto"/>
        </w:rPr>
      </w:pPr>
      <w:r>
        <w:rPr>
          <w:rFonts w:ascii="Arial" w:cs="Arial" w:eastAsia="Arial" w:hAnsi="Arial"/>
          <w:sz w:val="17"/>
          <w:szCs w:val="17"/>
          <w:color w:val="auto"/>
        </w:rPr>
        <w:t>expensed as incurred and are included in employee compensation and benefits and professional fees on the Consolidated Statements of Income. For the years ended December 31, 2017 and 2016, amortization expense related to these assets was $25,420,000 and $26,824,000, respectively.</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Intangible Assets and Goodwill</w:t>
      </w:r>
    </w:p>
    <w:p>
      <w:pPr>
        <w:spacing w:after="0" w:line="10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Intangible assets and goodwill relate primarily to the allocation of purchase price associated with the acquisition by TR of Tradeweb Group LLC in 2004, the merger in 2010 of the Company with Tradeweb NewMarkets LLC (“NewMarkets”), which was a company owned by the Banks and TR (the “Merger”), the purchase of the RaffCap business in 2011 and the purchase of BondDesk in 2013. The following is a summary of goodwill (in thousands):</w:t>
      </w:r>
    </w:p>
    <w:p>
      <w:pPr>
        <w:spacing w:after="0" w:line="85"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As of December 31,</w:t>
            </w:r>
          </w:p>
        </w:tc>
      </w:tr>
      <w:tr>
        <w:trPr>
          <w:trHeight w:val="26"/>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8"/>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r>
      <w:tr>
        <w:trPr>
          <w:trHeight w:val="26"/>
        </w:trPr>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 acquisition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$334,185</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$334,185</w:t>
            </w: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Merger</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66,484</w:t>
            </w: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66,484</w:t>
            </w: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RaffCap business</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49,200</w:t>
            </w: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w:t>
            </w:r>
          </w:p>
        </w:tc>
      </w:tr>
      <w:tr>
        <w:trPr>
          <w:trHeight w:val="257"/>
        </w:trPr>
        <w:tc>
          <w:tcPr>
            <w:tcW w:w="5880" w:type="dxa"/>
            <w:vAlign w:val="bottom"/>
            <w:gridSpan w:val="2"/>
          </w:tcPr>
          <w:p>
            <w:pPr>
              <w:spacing w:after="0"/>
              <w:rPr>
                <w:sz w:val="20"/>
                <w:szCs w:val="20"/>
                <w:color w:val="auto"/>
              </w:rPr>
            </w:pPr>
            <w:r>
              <w:rPr>
                <w:rFonts w:ascii="Arial" w:cs="Arial" w:eastAsia="Arial" w:hAnsi="Arial"/>
                <w:sz w:val="18"/>
                <w:szCs w:val="18"/>
                <w:color w:val="auto"/>
              </w:rPr>
              <w:t>BondDesk</w:t>
            </w:r>
          </w:p>
        </w:tc>
        <w:tc>
          <w:tcPr>
            <w:tcW w:w="680" w:type="dxa"/>
            <w:vAlign w:val="bottom"/>
          </w:tcPr>
          <w:p>
            <w:pPr>
              <w:jc w:val="right"/>
              <w:spacing w:after="0"/>
              <w:rPr>
                <w:sz w:val="20"/>
                <w:szCs w:val="20"/>
                <w:color w:val="auto"/>
              </w:rPr>
            </w:pPr>
            <w:r>
              <w:rPr>
                <w:rFonts w:ascii="Arial" w:cs="Arial" w:eastAsia="Arial" w:hAnsi="Arial"/>
                <w:sz w:val="18"/>
                <w:szCs w:val="18"/>
                <w:color w:val="auto"/>
              </w:rPr>
              <w:t>103,158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103,158</w:t>
            </w: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10,394</w:t>
            </w: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w:t>
            </w:r>
          </w:p>
        </w:tc>
      </w:tr>
      <w:tr>
        <w:trPr>
          <w:trHeight w:val="257"/>
        </w:trPr>
        <w:tc>
          <w:tcPr>
            <w:tcW w:w="58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563,421</w:t>
            </w:r>
          </w:p>
        </w:tc>
        <w:tc>
          <w:tcPr>
            <w:tcW w:w="2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563,487</w:t>
            </w: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-1028065</wp:posOffset>
            </wp:positionV>
            <wp:extent cx="43033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49"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Intangible assets for in-place licenses, which have an indefinite useful life, are $12,000,000 at December 31, 2017 and 2016.</w:t>
      </w:r>
    </w:p>
    <w:p>
      <w:pPr>
        <w:spacing w:after="0" w:line="62"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color w:val="auto"/>
        </w:rPr>
        <w:t>Intangible assets that are subject to amortization, including the related accumulated amortization, are comprised as follows as of December 31, 2017 and 2016 (in thousands):</w:t>
      </w:r>
    </w:p>
    <w:p>
      <w:pPr>
        <w:spacing w:after="0" w:line="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98"/>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r>
      <w:tr>
        <w:trPr>
          <w:trHeight w:val="173"/>
        </w:trPr>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Amortization</w:t>
            </w:r>
          </w:p>
        </w:tc>
        <w:tc>
          <w:tcPr>
            <w:tcW w:w="74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5"/>
          </w:tcPr>
          <w:p>
            <w:pPr>
              <w:ind w:left="20"/>
              <w:spacing w:after="0"/>
              <w:rPr>
                <w:sz w:val="20"/>
                <w:szCs w:val="20"/>
                <w:color w:val="auto"/>
              </w:rPr>
            </w:pPr>
            <w:r>
              <w:rPr>
                <w:rFonts w:ascii="Arial" w:cs="Arial" w:eastAsia="Arial" w:hAnsi="Arial"/>
                <w:sz w:val="14"/>
                <w:szCs w:val="14"/>
                <w:b w:val="1"/>
                <w:bCs w:val="1"/>
                <w:color w:val="auto"/>
              </w:rPr>
              <w:t>Net Carrying</w:t>
            </w:r>
          </w:p>
        </w:tc>
        <w:tc>
          <w:tcPr>
            <w:tcW w:w="72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w:t>
            </w:r>
          </w:p>
        </w:tc>
        <w:tc>
          <w:tcPr>
            <w:tcW w:w="8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7"/>
              </w:rPr>
              <w:t>Net Carrying</w:t>
            </w:r>
          </w:p>
        </w:tc>
      </w:tr>
      <w:tr>
        <w:trPr>
          <w:trHeight w:val="186"/>
        </w:trPr>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740" w:type="dxa"/>
            <w:vAlign w:val="bottom"/>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r>
      <w:tr>
        <w:trPr>
          <w:trHeight w:val="25"/>
        </w:trPr>
        <w:tc>
          <w:tcPr>
            <w:tcW w:w="2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17"/>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 Fixed</w:t>
            </w:r>
          </w:p>
        </w:tc>
        <w:tc>
          <w:tcPr>
            <w:tcW w:w="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9"/>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Business</w:t>
            </w:r>
          </w:p>
        </w:tc>
        <w:tc>
          <w:tcPr>
            <w:tcW w:w="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13 years</w:t>
            </w:r>
          </w:p>
        </w:tc>
        <w:tc>
          <w:tcPr>
            <w:tcW w:w="74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$155,284</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2"/>
              </w:rPr>
              <w:t>$ (155,270)</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720" w:type="dxa"/>
            <w:vAlign w:val="bottom"/>
            <w:tcBorders>
              <w:bottom w:val="single" w:sz="8" w:color="CCEEFF"/>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$155,217</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2"/>
              </w:rPr>
              <w:t>$ (150,147)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33"/>
        </w:trPr>
        <w:tc>
          <w:tcPr>
            <w:tcW w:w="2240" w:type="dxa"/>
            <w:vAlign w:val="bottom"/>
          </w:tcPr>
          <w:p>
            <w:pPr>
              <w:spacing w:after="0"/>
              <w:rPr>
                <w:sz w:val="20"/>
                <w:szCs w:val="20"/>
                <w:color w:val="auto"/>
              </w:rPr>
            </w:pPr>
            <w:r>
              <w:rPr>
                <w:rFonts w:ascii="Arial" w:cs="Arial" w:eastAsia="Arial" w:hAnsi="Arial"/>
                <w:sz w:val="16"/>
                <w:szCs w:val="16"/>
                <w:color w:val="auto"/>
              </w:rPr>
              <w:t>Customer relationships – DW</w:t>
            </w:r>
          </w:p>
        </w:tc>
        <w:tc>
          <w:tcPr>
            <w:tcW w:w="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11 years</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65,000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(42,348)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22,652</w:t>
            </w:r>
          </w:p>
        </w:tc>
        <w:tc>
          <w:tcPr>
            <w:tcW w:w="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65,000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(36,439)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28,561</w:t>
            </w:r>
          </w:p>
        </w:tc>
        <w:tc>
          <w:tcPr>
            <w:tcW w:w="120" w:type="dxa"/>
            <w:vAlign w:val="bottom"/>
          </w:tcPr>
          <w:p>
            <w:pPr>
              <w:spacing w:after="0"/>
              <w:rPr>
                <w:sz w:val="20"/>
                <w:szCs w:val="20"/>
                <w:color w:val="auto"/>
              </w:rPr>
            </w:pPr>
          </w:p>
        </w:tc>
      </w:tr>
      <w:tr>
        <w:trPr>
          <w:trHeight w:val="247"/>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w:t>
            </w:r>
          </w:p>
        </w:tc>
        <w:tc>
          <w:tcPr>
            <w:tcW w:w="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29"/>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RaffCap</w:t>
            </w:r>
          </w:p>
        </w:tc>
        <w:tc>
          <w:tcPr>
            <w:tcW w:w="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12 years</w:t>
            </w:r>
          </w:p>
        </w:tc>
        <w:tc>
          <w:tcPr>
            <w:tcW w:w="74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17,600</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(9,166)</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8,434</w:t>
            </w: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720" w:type="dxa"/>
            <w:vAlign w:val="bottom"/>
            <w:tcBorders>
              <w:bottom w:val="single" w:sz="8" w:color="CCEEFF"/>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17,600</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(7,700)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37"/>
        </w:trPr>
        <w:tc>
          <w:tcPr>
            <w:tcW w:w="2240" w:type="dxa"/>
            <w:vAlign w:val="bottom"/>
          </w:tcPr>
          <w:p>
            <w:pPr>
              <w:spacing w:after="0"/>
              <w:rPr>
                <w:sz w:val="20"/>
                <w:szCs w:val="20"/>
                <w:color w:val="auto"/>
              </w:rPr>
            </w:pPr>
            <w:r>
              <w:rPr>
                <w:rFonts w:ascii="Arial" w:cs="Arial" w:eastAsia="Arial" w:hAnsi="Arial"/>
                <w:sz w:val="16"/>
                <w:szCs w:val="16"/>
                <w:color w:val="auto"/>
              </w:rPr>
              <w:t>Customer relationships –</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240" w:type="dxa"/>
            <w:vAlign w:val="bottom"/>
          </w:tcPr>
          <w:p>
            <w:pPr>
              <w:ind w:left="180"/>
              <w:spacing w:after="0"/>
              <w:rPr>
                <w:sz w:val="20"/>
                <w:szCs w:val="20"/>
                <w:color w:val="auto"/>
              </w:rPr>
            </w:pPr>
            <w:r>
              <w:rPr>
                <w:rFonts w:ascii="Arial" w:cs="Arial" w:eastAsia="Arial" w:hAnsi="Arial"/>
                <w:sz w:val="16"/>
                <w:szCs w:val="16"/>
                <w:color w:val="auto"/>
              </w:rPr>
              <w:t>BondDesk</w:t>
            </w: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15 years</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104,000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(28,806)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75,194</w:t>
            </w:r>
          </w:p>
        </w:tc>
        <w:tc>
          <w:tcPr>
            <w:tcW w:w="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104,000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(21,872)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82,128</w:t>
            </w:r>
          </w:p>
        </w:tc>
        <w:tc>
          <w:tcPr>
            <w:tcW w:w="12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 Other</w:t>
            </w:r>
          </w:p>
        </w:tc>
        <w:tc>
          <w:tcPr>
            <w:tcW w:w="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10 years</w:t>
            </w:r>
          </w:p>
        </w:tc>
        <w:tc>
          <w:tcPr>
            <w:tcW w:w="74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1,715</w:t>
            </w: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120" w:type="dxa"/>
            <w:vAlign w:val="bottom"/>
            <w:shd w:val="clear" w:color="auto" w:fill="CCEEFF"/>
          </w:tcPr>
          <w:p>
            <w:pPr>
              <w:spacing w:after="0"/>
              <w:rPr>
                <w:sz w:val="21"/>
                <w:szCs w:val="21"/>
                <w:color w:val="auto"/>
              </w:rPr>
            </w:pPr>
          </w:p>
        </w:tc>
      </w:tr>
      <w:tr>
        <w:trPr>
          <w:trHeight w:val="233"/>
        </w:trPr>
        <w:tc>
          <w:tcPr>
            <w:tcW w:w="2240" w:type="dxa"/>
            <w:vAlign w:val="bottom"/>
          </w:tcPr>
          <w:p>
            <w:pPr>
              <w:spacing w:after="0"/>
              <w:rPr>
                <w:sz w:val="20"/>
                <w:szCs w:val="20"/>
                <w:color w:val="auto"/>
              </w:rPr>
            </w:pPr>
            <w:r>
              <w:rPr>
                <w:rFonts w:ascii="Arial" w:cs="Arial" w:eastAsia="Arial" w:hAnsi="Arial"/>
                <w:sz w:val="16"/>
                <w:szCs w:val="16"/>
                <w:color w:val="auto"/>
              </w:rPr>
              <w:t>Tradenames</w:t>
            </w:r>
          </w:p>
        </w:tc>
        <w:tc>
          <w:tcPr>
            <w:tcW w:w="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10 years</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5,400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(5,272)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r>
      <w:tr>
        <w:trPr>
          <w:trHeight w:val="257"/>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Liquidity contracts</w:t>
            </w:r>
          </w:p>
        </w:tc>
        <w:tc>
          <w:tcPr>
            <w:tcW w:w="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16 years</w:t>
            </w:r>
          </w:p>
        </w:tc>
        <w:tc>
          <w:tcPr>
            <w:tcW w:w="74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(82,865)</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102,135</w:t>
            </w:r>
          </w:p>
        </w:tc>
        <w:tc>
          <w:tcPr>
            <w:tcW w:w="60" w:type="dxa"/>
            <w:vAlign w:val="bottom"/>
            <w:tcBorders>
              <w:right w:val="single" w:sz="8" w:color="CCEEFF"/>
            </w:tcBorders>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(71,302)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113,698</w:t>
            </w:r>
          </w:p>
        </w:tc>
        <w:tc>
          <w:tcPr>
            <w:tcW w:w="120" w:type="dxa"/>
            <w:vAlign w:val="bottom"/>
            <w:shd w:val="clear" w:color="auto" w:fill="CCEEFF"/>
          </w:tcPr>
          <w:p>
            <w:pPr>
              <w:spacing w:after="0"/>
              <w:rPr>
                <w:sz w:val="22"/>
                <w:szCs w:val="22"/>
                <w:color w:val="auto"/>
              </w:rPr>
            </w:pPr>
          </w:p>
        </w:tc>
      </w:tr>
      <w:tr>
        <w:trPr>
          <w:trHeight w:val="23"/>
        </w:trPr>
        <w:tc>
          <w:tcPr>
            <w:tcW w:w="2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53"/>
        </w:trPr>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529,184</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 (318,965)</w:t>
            </w:r>
          </w:p>
        </w:tc>
        <w:tc>
          <w:tcPr>
            <w:tcW w:w="4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210,219</w:t>
            </w:r>
          </w:p>
        </w:tc>
        <w:tc>
          <w:tcPr>
            <w:tcW w:w="6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534,317</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 (292,907)</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241,410</w:t>
            </w:r>
          </w:p>
        </w:tc>
        <w:tc>
          <w:tcPr>
            <w:tcW w:w="120" w:type="dxa"/>
            <w:vAlign w:val="bottom"/>
          </w:tcPr>
          <w:p>
            <w:pPr>
              <w:spacing w:after="0"/>
              <w:rPr>
                <w:sz w:val="22"/>
                <w:szCs w:val="22"/>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-1748155</wp:posOffset>
            </wp:positionV>
            <wp:extent cx="5143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-1748155</wp:posOffset>
            </wp:positionV>
            <wp:extent cx="342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-1748155</wp:posOffset>
            </wp:positionV>
            <wp:extent cx="342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-1748155</wp:posOffset>
            </wp:positionV>
            <wp:extent cx="342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-1748155</wp:posOffset>
            </wp:positionV>
            <wp:extent cx="342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-1748155</wp:posOffset>
            </wp:positionV>
            <wp:extent cx="342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-1748155</wp:posOffset>
            </wp:positionV>
            <wp:extent cx="14573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49"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For the years ended December 31, 2017 and 2016, amortization expense relating to these assets was $31,236,000 and $41,125,000,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December 31, 2017 and 2016</w:t>
      </w:r>
    </w:p>
    <w:p>
      <w:pPr>
        <w:spacing w:after="0" w:line="196" w:lineRule="exact"/>
        <w:rPr>
          <w:sz w:val="20"/>
          <w:szCs w:val="20"/>
          <w:color w:val="auto"/>
        </w:rPr>
      </w:pPr>
    </w:p>
    <w:p>
      <w:pPr>
        <w:jc w:val="right"/>
        <w:ind w:right="819"/>
        <w:spacing w:after="0"/>
        <w:rPr>
          <w:sz w:val="20"/>
          <w:szCs w:val="20"/>
          <w:color w:val="auto"/>
        </w:rPr>
      </w:pPr>
      <w:r>
        <w:rPr>
          <w:rFonts w:ascii="Arial" w:cs="Arial" w:eastAsia="Arial" w:hAnsi="Arial"/>
          <w:sz w:val="18"/>
          <w:szCs w:val="18"/>
          <w:color w:val="auto"/>
        </w:rPr>
        <w:t>The estimated future amortization for existing intangibles assets through 2022 is as follows (in thousands):</w:t>
      </w:r>
    </w:p>
    <w:p>
      <w:pPr>
        <w:spacing w:after="0" w:line="122"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r>
      <w:tr>
        <w:trPr>
          <w:trHeight w:val="26"/>
        </w:trPr>
        <w:tc>
          <w:tcPr>
            <w:tcW w:w="6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20" w:type="dxa"/>
            <w:vAlign w:val="bottom"/>
            <w:tcBorders>
              <w:top w:val="single" w:sz="8" w:color="auto"/>
            </w:tcBorders>
            <w:shd w:val="clear" w:color="auto" w:fill="CCEEFF"/>
          </w:tcPr>
          <w:p>
            <w:pPr>
              <w:jc w:val="right"/>
              <w:ind w:right="5590"/>
              <w:spacing w:after="0"/>
              <w:rPr>
                <w:sz w:val="20"/>
                <w:szCs w:val="20"/>
                <w:color w:val="auto"/>
              </w:rPr>
            </w:pPr>
            <w:r>
              <w:rPr>
                <w:rFonts w:ascii="Arial" w:cs="Arial" w:eastAsia="Arial" w:hAnsi="Arial"/>
                <w:sz w:val="18"/>
                <w:szCs w:val="18"/>
                <w:color w:val="auto"/>
                <w:w w:val="79"/>
              </w:rPr>
              <w:t>2018</w:t>
            </w:r>
          </w:p>
        </w:tc>
        <w:tc>
          <w:tcPr>
            <w:tcW w:w="2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25,872</w:t>
            </w:r>
          </w:p>
        </w:tc>
      </w:tr>
      <w:tr>
        <w:trPr>
          <w:trHeight w:val="257"/>
        </w:trPr>
        <w:tc>
          <w:tcPr>
            <w:tcW w:w="6040" w:type="dxa"/>
            <w:vAlign w:val="bottom"/>
            <w:gridSpan w:val="2"/>
          </w:tcPr>
          <w:p>
            <w:pPr>
              <w:jc w:val="right"/>
              <w:ind w:right="5590"/>
              <w:spacing w:after="0"/>
              <w:rPr>
                <w:sz w:val="20"/>
                <w:szCs w:val="20"/>
                <w:color w:val="auto"/>
              </w:rPr>
            </w:pPr>
            <w:r>
              <w:rPr>
                <w:rFonts w:ascii="Arial" w:cs="Arial" w:eastAsia="Arial" w:hAnsi="Arial"/>
                <w:sz w:val="18"/>
                <w:szCs w:val="18"/>
                <w:color w:val="auto"/>
                <w:w w:val="84"/>
              </w:rPr>
              <w:t>2019</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26,102</w:t>
            </w:r>
          </w:p>
        </w:tc>
      </w:tr>
      <w:tr>
        <w:trPr>
          <w:trHeight w:val="257"/>
        </w:trPr>
        <w:tc>
          <w:tcPr>
            <w:tcW w:w="20" w:type="dxa"/>
            <w:vAlign w:val="bottom"/>
          </w:tcPr>
          <w:p>
            <w:pPr>
              <w:spacing w:after="0"/>
              <w:rPr>
                <w:sz w:val="22"/>
                <w:szCs w:val="22"/>
                <w:color w:val="auto"/>
              </w:rPr>
            </w:pPr>
          </w:p>
        </w:tc>
        <w:tc>
          <w:tcPr>
            <w:tcW w:w="6020" w:type="dxa"/>
            <w:vAlign w:val="bottom"/>
            <w:shd w:val="clear" w:color="auto" w:fill="CCEEFF"/>
          </w:tcPr>
          <w:p>
            <w:pPr>
              <w:jc w:val="right"/>
              <w:ind w:right="5590"/>
              <w:spacing w:after="0"/>
              <w:rPr>
                <w:sz w:val="20"/>
                <w:szCs w:val="20"/>
                <w:color w:val="auto"/>
              </w:rPr>
            </w:pPr>
            <w:r>
              <w:rPr>
                <w:rFonts w:ascii="Arial" w:cs="Arial" w:eastAsia="Arial" w:hAnsi="Arial"/>
                <w:sz w:val="18"/>
                <w:szCs w:val="18"/>
                <w:color w:val="auto"/>
                <w:w w:val="79"/>
              </w:rPr>
              <w:t>2020</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26,102</w:t>
            </w:r>
          </w:p>
        </w:tc>
      </w:tr>
      <w:tr>
        <w:trPr>
          <w:trHeight w:val="270"/>
        </w:trPr>
        <w:tc>
          <w:tcPr>
            <w:tcW w:w="6040" w:type="dxa"/>
            <w:vAlign w:val="bottom"/>
            <w:gridSpan w:val="2"/>
          </w:tcPr>
          <w:p>
            <w:pPr>
              <w:jc w:val="right"/>
              <w:ind w:right="5590"/>
              <w:spacing w:after="0"/>
              <w:rPr>
                <w:sz w:val="20"/>
                <w:szCs w:val="20"/>
                <w:color w:val="auto"/>
              </w:rPr>
            </w:pPr>
            <w:r>
              <w:rPr>
                <w:rFonts w:ascii="Arial" w:cs="Arial" w:eastAsia="Arial" w:hAnsi="Arial"/>
                <w:sz w:val="18"/>
                <w:szCs w:val="18"/>
                <w:color w:val="auto"/>
                <w:w w:val="84"/>
              </w:rPr>
              <w:t>2021</w:t>
            </w:r>
          </w:p>
        </w:tc>
        <w:tc>
          <w:tcPr>
            <w:tcW w:w="2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25,112</w:t>
            </w:r>
          </w:p>
        </w:tc>
      </w:tr>
      <w:tr>
        <w:trPr>
          <w:trHeight w:val="270"/>
        </w:trPr>
        <w:tc>
          <w:tcPr>
            <w:tcW w:w="20" w:type="dxa"/>
            <w:vAlign w:val="bottom"/>
          </w:tcPr>
          <w:p>
            <w:pPr>
              <w:spacing w:after="0"/>
              <w:rPr>
                <w:sz w:val="23"/>
                <w:szCs w:val="23"/>
                <w:color w:val="auto"/>
              </w:rPr>
            </w:pPr>
          </w:p>
        </w:tc>
        <w:tc>
          <w:tcPr>
            <w:tcW w:w="6020" w:type="dxa"/>
            <w:vAlign w:val="bottom"/>
            <w:shd w:val="clear" w:color="auto" w:fill="CCEEFF"/>
          </w:tcPr>
          <w:p>
            <w:pPr>
              <w:jc w:val="right"/>
              <w:ind w:right="5590"/>
              <w:spacing w:after="0"/>
              <w:rPr>
                <w:sz w:val="20"/>
                <w:szCs w:val="20"/>
                <w:color w:val="auto"/>
              </w:rPr>
            </w:pPr>
            <w:r>
              <w:rPr>
                <w:rFonts w:ascii="Arial" w:cs="Arial" w:eastAsia="Arial" w:hAnsi="Arial"/>
                <w:sz w:val="18"/>
                <w:szCs w:val="18"/>
                <w:color w:val="auto"/>
                <w:w w:val="79"/>
              </w:rPr>
              <w:t>2022</w:t>
            </w: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-839470</wp:posOffset>
            </wp:positionV>
            <wp:extent cx="1371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Income Taxes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jc w:val="right"/>
              <w:ind w:right="53"/>
              <w:spacing w:after="0"/>
              <w:rPr>
                <w:sz w:val="20"/>
                <w:szCs w:val="20"/>
                <w:color w:val="auto"/>
              </w:rPr>
            </w:pPr>
            <w:r>
              <w:rPr>
                <w:rFonts w:ascii="Arial" w:cs="Arial" w:eastAsia="Arial" w:hAnsi="Arial"/>
                <w:sz w:val="14"/>
                <w:szCs w:val="14"/>
                <w:b w:val="1"/>
                <w:bCs w:val="1"/>
                <w:color w:val="auto"/>
                <w:w w:val="70"/>
              </w:rPr>
              <w:t>2016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Arial" w:cs="Arial" w:eastAsia="Arial" w:hAnsi="Arial"/>
                <w:sz w:val="18"/>
                <w:szCs w:val="18"/>
                <w:color w:val="auto"/>
              </w:rPr>
              <w:t>Federal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2"/>
                <w:szCs w:val="22"/>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4,331</w:t>
            </w:r>
          </w:p>
        </w:tc>
        <w:tc>
          <w:tcPr>
            <w:tcW w:w="180" w:type="dxa"/>
            <w:vAlign w:val="bottom"/>
            <w:shd w:val="clear" w:color="auto" w:fill="CCEEFF"/>
          </w:tcPr>
          <w:p>
            <w:pPr>
              <w:spacing w:after="0"/>
              <w:rPr>
                <w:sz w:val="22"/>
                <w:szCs w:val="22"/>
                <w:color w:val="auto"/>
              </w:rPr>
            </w:pPr>
          </w:p>
        </w:tc>
        <w:tc>
          <w:tcPr>
            <w:tcW w:w="4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2,772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2,748</w:t>
            </w:r>
          </w:p>
        </w:tc>
        <w:tc>
          <w:tcPr>
            <w:tcW w:w="1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2,826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7,079</w:t>
            </w:r>
          </w:p>
        </w:tc>
        <w:tc>
          <w:tcPr>
            <w:tcW w:w="180" w:type="dxa"/>
            <w:vAlign w:val="bottom"/>
            <w:shd w:val="clear" w:color="auto" w:fill="CCEEFF"/>
          </w:tcPr>
          <w:p>
            <w:pPr>
              <w:spacing w:after="0"/>
              <w:rPr>
                <w:sz w:val="22"/>
                <w:szCs w:val="22"/>
                <w:color w:val="auto"/>
              </w:rPr>
            </w:pPr>
          </w:p>
        </w:tc>
        <w:tc>
          <w:tcPr>
            <w:tcW w:w="4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5,598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0"/>
                <w:szCs w:val="20"/>
                <w:color w:val="auto"/>
              </w:rPr>
            </w:pPr>
            <w:r>
              <w:rPr>
                <w:rFonts w:ascii="Arial" w:cs="Arial" w:eastAsia="Arial" w:hAnsi="Arial"/>
                <w:sz w:val="18"/>
                <w:szCs w:val="18"/>
                <w:color w:val="auto"/>
              </w:rPr>
              <w:t>Deferred – Federal</w:t>
            </w:r>
          </w:p>
        </w:tc>
        <w:tc>
          <w:tcPr>
            <w:tcW w:w="80" w:type="dxa"/>
            <w:vAlign w:val="bottom"/>
          </w:tcPr>
          <w:p>
            <w:pPr>
              <w:spacing w:after="0"/>
              <w:rPr>
                <w:sz w:val="22"/>
                <w:szCs w:val="22"/>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22"/>
                <w:szCs w:val="22"/>
                <w:color w:val="auto"/>
              </w:rPr>
            </w:pPr>
          </w:p>
        </w:tc>
        <w:tc>
          <w:tcPr>
            <w:tcW w:w="720" w:type="dxa"/>
            <w:vAlign w:val="bottom"/>
            <w:gridSpan w:val="3"/>
          </w:tcPr>
          <w:p>
            <w:pPr>
              <w:jc w:val="right"/>
              <w:ind w:right="21"/>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63"/>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 state and local</w:t>
            </w:r>
          </w:p>
        </w:tc>
        <w:tc>
          <w:tcPr>
            <w:tcW w:w="8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4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(540)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200" w:type="dxa"/>
            <w:vAlign w:val="bottom"/>
          </w:tcPr>
          <w:p>
            <w:pPr>
              <w:ind w:left="180"/>
              <w:spacing w:after="0"/>
              <w:rPr>
                <w:sz w:val="20"/>
                <w:szCs w:val="20"/>
                <w:color w:val="auto"/>
              </w:rPr>
            </w:pPr>
            <w:r>
              <w:rPr>
                <w:rFonts w:ascii="Arial" w:cs="Arial" w:eastAsia="Arial" w:hAnsi="Arial"/>
                <w:sz w:val="18"/>
                <w:szCs w:val="18"/>
                <w:color w:val="auto"/>
              </w:rPr>
              <w:t>Total deferred</w:t>
            </w:r>
          </w:p>
        </w:tc>
        <w:tc>
          <w:tcPr>
            <w:tcW w:w="80" w:type="dxa"/>
            <w:vAlign w:val="bottom"/>
          </w:tcPr>
          <w:p>
            <w:pPr>
              <w:spacing w:after="0"/>
              <w:rPr>
                <w:sz w:val="22"/>
                <w:szCs w:val="22"/>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(950)</w:t>
            </w:r>
          </w:p>
        </w:tc>
        <w:tc>
          <w:tcPr>
            <w:tcW w:w="40" w:type="dxa"/>
            <w:vAlign w:val="bottom"/>
          </w:tcPr>
          <w:p>
            <w:pPr>
              <w:spacing w:after="0"/>
              <w:rPr>
                <w:sz w:val="22"/>
                <w:szCs w:val="22"/>
                <w:color w:val="auto"/>
              </w:rPr>
            </w:pPr>
          </w:p>
        </w:tc>
        <w:tc>
          <w:tcPr>
            <w:tcW w:w="720" w:type="dxa"/>
            <w:vAlign w:val="bottom"/>
            <w:gridSpan w:val="3"/>
          </w:tcPr>
          <w:p>
            <w:pPr>
              <w:jc w:val="right"/>
              <w:ind w:right="21"/>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6,129</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(725</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A reconciliation of the statutory tax rate to the effective rate is as follows:</w:t>
            </w: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U.S. federal tax at statutory rate</w:t>
            </w:r>
          </w:p>
        </w:tc>
        <w:tc>
          <w:tcPr>
            <w:tcW w:w="80" w:type="dxa"/>
            <w:vAlign w:val="bottom"/>
          </w:tcPr>
          <w:p>
            <w:pPr>
              <w:spacing w:after="0"/>
              <w:rPr>
                <w:sz w:val="21"/>
                <w:szCs w:val="21"/>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35.0%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0"/>
                <w:szCs w:val="20"/>
                <w:color w:val="auto"/>
              </w:rPr>
            </w:pPr>
            <w:r>
              <w:rPr>
                <w:rFonts w:ascii="Arial" w:cs="Arial" w:eastAsia="Arial" w:hAnsi="Arial"/>
                <w:sz w:val="18"/>
                <w:szCs w:val="18"/>
                <w:color w:val="auto"/>
              </w:rPr>
              <w:t>State and local taxes – net of federal benefit</w:t>
            </w:r>
          </w:p>
        </w:tc>
        <w:tc>
          <w:tcPr>
            <w:tcW w:w="80" w:type="dxa"/>
            <w:vAlign w:val="bottom"/>
          </w:tcPr>
          <w:p>
            <w:pPr>
              <w:spacing w:after="0"/>
              <w:rPr>
                <w:sz w:val="22"/>
                <w:szCs w:val="22"/>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2.8%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Arial" w:cs="Arial" w:eastAsia="Arial" w:hAnsi="Arial"/>
                <w:sz w:val="18"/>
                <w:szCs w:val="18"/>
                <w:color w:val="auto"/>
              </w:rPr>
              <w:t>Foreign taxes</w:t>
            </w:r>
          </w:p>
        </w:tc>
        <w:tc>
          <w:tcPr>
            <w:tcW w:w="80" w:type="dxa"/>
            <w:vAlign w:val="bottom"/>
          </w:tcPr>
          <w:p>
            <w:pPr>
              <w:spacing w:after="0"/>
              <w:rPr>
                <w:sz w:val="22"/>
                <w:szCs w:val="22"/>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3.1%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0"/>
                <w:szCs w:val="20"/>
                <w:color w:val="auto"/>
              </w:rPr>
            </w:pPr>
            <w:r>
              <w:rPr>
                <w:rFonts w:ascii="Arial" w:cs="Arial" w:eastAsia="Arial" w:hAnsi="Arial"/>
                <w:sz w:val="18"/>
                <w:szCs w:val="18"/>
                <w:color w:val="auto"/>
              </w:rPr>
              <w:t>Tax Cuts and Jobs Act provisional tax charge</w:t>
            </w:r>
          </w:p>
        </w:tc>
        <w:tc>
          <w:tcPr>
            <w:tcW w:w="80" w:type="dxa"/>
            <w:vAlign w:val="bottom"/>
          </w:tcPr>
          <w:p>
            <w:pPr>
              <w:spacing w:after="0"/>
              <w:rPr>
                <w:sz w:val="22"/>
                <w:szCs w:val="22"/>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63"/>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LLC flow-through structure</w:t>
            </w:r>
          </w:p>
        </w:tc>
        <w:tc>
          <w:tcPr>
            <w:tcW w:w="80" w:type="dxa"/>
            <w:vAlign w:val="bottom"/>
            <w:shd w:val="clear" w:color="auto" w:fill="CCEEFF"/>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w w:val="94"/>
              </w:rPr>
              <w:t>-36.3% -40.5%</w:t>
            </w:r>
          </w:p>
        </w:tc>
        <w:tc>
          <w:tcPr>
            <w:tcW w:w="0" w:type="dxa"/>
            <w:vAlign w:val="bottom"/>
          </w:tcPr>
          <w:p>
            <w:pPr>
              <w:spacing w:after="0"/>
              <w:rPr>
                <w:sz w:val="1"/>
                <w:szCs w:val="1"/>
                <w:color w:val="auto"/>
              </w:rPr>
            </w:pPr>
          </w:p>
        </w:tc>
      </w:tr>
      <w:tr>
        <w:trPr>
          <w:trHeight w:val="20"/>
        </w:trPr>
        <w:tc>
          <w:tcPr>
            <w:tcW w:w="6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20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6.8%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-2407920</wp:posOffset>
            </wp:positionV>
            <wp:extent cx="43891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-3076575</wp:posOffset>
            </wp:positionV>
            <wp:extent cx="438023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8023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-693420</wp:posOffset>
            </wp:positionV>
            <wp:extent cx="4749165" cy="1631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-367665</wp:posOffset>
            </wp:positionV>
            <wp:extent cx="4749165" cy="1714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-1028065</wp:posOffset>
            </wp:positionV>
            <wp:extent cx="4749165" cy="1714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36" w:lineRule="exact"/>
        <w:rPr>
          <w:sz w:val="20"/>
          <w:szCs w:val="20"/>
          <w:color w:val="auto"/>
        </w:rPr>
      </w:pPr>
    </w:p>
    <w:p>
      <w:pPr>
        <w:ind w:left="1260" w:right="999" w:firstLine="360"/>
        <w:spacing w:after="0" w:line="342" w:lineRule="auto"/>
        <w:rPr>
          <w:sz w:val="20"/>
          <w:szCs w:val="20"/>
          <w:color w:val="auto"/>
        </w:rPr>
      </w:pPr>
      <w:r>
        <w:rPr>
          <w:rFonts w:ascii="Arial" w:cs="Arial" w:eastAsia="Arial" w:hAnsi="Arial"/>
          <w:sz w:val="16"/>
          <w:szCs w:val="16"/>
          <w:color w:val="auto"/>
        </w:rPr>
        <w:t>Included in other assets are deferred tax assets of $6,820,000 and $6,369,000 at December 31, 2017 and 2016, respectively. The components of the Company’s deferred tax assets are as follows (in thousands):</w:t>
      </w:r>
    </w:p>
    <w:p>
      <w:pPr>
        <w:spacing w:after="0" w:line="34"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r>
      <w:tr>
        <w:trPr>
          <w:trHeight w:val="25"/>
        </w:trPr>
        <w:tc>
          <w:tcPr>
            <w:tcW w:w="6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120" w:type="dxa"/>
            <w:vAlign w:val="bottom"/>
            <w:gridSpan w:val="2"/>
          </w:tcPr>
          <w:p>
            <w:pPr>
              <w:spacing w:after="0"/>
              <w:rPr>
                <w:sz w:val="20"/>
                <w:szCs w:val="20"/>
                <w:color w:val="auto"/>
              </w:rPr>
            </w:pPr>
            <w:r>
              <w:rPr>
                <w:rFonts w:ascii="Arial" w:cs="Arial" w:eastAsia="Arial" w:hAnsi="Arial"/>
                <w:sz w:val="18"/>
                <w:szCs w:val="18"/>
                <w:color w:val="auto"/>
              </w:rPr>
              <w:t>Net operating losses</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$ 8,966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$ 7,750</w:t>
            </w:r>
          </w:p>
        </w:tc>
        <w:tc>
          <w:tcPr>
            <w:tcW w:w="60" w:type="dxa"/>
            <w:vAlign w:val="bottom"/>
          </w:tcPr>
          <w:p>
            <w:pPr>
              <w:spacing w:after="0"/>
              <w:rPr>
                <w:sz w:val="22"/>
                <w:szCs w:val="22"/>
                <w:color w:val="auto"/>
              </w:rPr>
            </w:pPr>
          </w:p>
        </w:tc>
      </w:tr>
      <w:tr>
        <w:trPr>
          <w:trHeight w:val="264"/>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(2,146)</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(1,381)</w:t>
            </w:r>
          </w:p>
        </w:tc>
        <w:tc>
          <w:tcPr>
            <w:tcW w:w="60" w:type="dxa"/>
            <w:vAlign w:val="bottom"/>
          </w:tcPr>
          <w:p>
            <w:pPr>
              <w:spacing w:after="0"/>
              <w:rPr>
                <w:sz w:val="22"/>
                <w:szCs w:val="22"/>
                <w:color w:val="auto"/>
              </w:rPr>
            </w:pPr>
          </w:p>
        </w:tc>
      </w:tr>
      <w:tr>
        <w:trPr>
          <w:trHeight w:val="256"/>
        </w:trPr>
        <w:tc>
          <w:tcPr>
            <w:tcW w:w="61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deferred tax assets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$ 6,820</w:t>
            </w: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$ 6,369</w:t>
            </w:r>
          </w:p>
        </w:tc>
        <w:tc>
          <w:tcPr>
            <w:tcW w:w="60" w:type="dxa"/>
            <w:vAlign w:val="bottom"/>
          </w:tcPr>
          <w:p>
            <w:pPr>
              <w:spacing w:after="0"/>
              <w:rPr>
                <w:sz w:val="22"/>
                <w:szCs w:val="22"/>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-702310</wp:posOffset>
            </wp:positionV>
            <wp:extent cx="438023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 and 2016</w:t>
      </w:r>
    </w:p>
    <w:p>
      <w:pPr>
        <w:spacing w:after="0" w:line="178" w:lineRule="exact"/>
        <w:rPr>
          <w:sz w:val="20"/>
          <w:szCs w:val="20"/>
          <w:color w:val="auto"/>
        </w:rPr>
      </w:pPr>
    </w:p>
    <w:p>
      <w:pPr>
        <w:ind w:left="1620" w:hanging="352"/>
        <w:spacing w:after="0"/>
        <w:tabs>
          <w:tab w:leader="none" w:pos="16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10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Company’s issued and vested shares are as follows as of December 31, 2017 and 2016:</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80" w:type="dxa"/>
            <w:vAlign w:val="bottom"/>
            <w:gridSpan w:val="2"/>
          </w:tcPr>
          <w:p>
            <w:pPr>
              <w:jc w:val="center"/>
              <w:ind w:left="1852"/>
              <w:spacing w:after="0"/>
              <w:rPr>
                <w:sz w:val="20"/>
                <w:szCs w:val="20"/>
                <w:color w:val="auto"/>
              </w:rPr>
            </w:pPr>
            <w:r>
              <w:rPr>
                <w:rFonts w:ascii="Arial" w:cs="Arial" w:eastAsia="Arial" w:hAnsi="Arial"/>
                <w:sz w:val="14"/>
                <w:szCs w:val="14"/>
                <w:b w:val="1"/>
                <w:bCs w:val="1"/>
                <w:color w:val="auto"/>
                <w:w w:val="89"/>
              </w:rPr>
              <w:t>Vested Shares</w:t>
            </w:r>
          </w:p>
        </w:tc>
      </w:tr>
      <w:tr>
        <w:trPr>
          <w:trHeight w:val="192"/>
        </w:trPr>
        <w:tc>
          <w:tcPr>
            <w:tcW w:w="20" w:type="dxa"/>
            <w:vAlign w:val="bottom"/>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r>
      <w:tr>
        <w:trPr>
          <w:trHeight w:val="229"/>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19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3900" w:type="dxa"/>
            <w:vAlign w:val="bottom"/>
            <w:gridSpan w:val="2"/>
          </w:tcPr>
          <w:p>
            <w:pPr>
              <w:spacing w:after="0"/>
              <w:rPr>
                <w:sz w:val="20"/>
                <w:szCs w:val="20"/>
                <w:color w:val="auto"/>
              </w:rPr>
            </w:pPr>
            <w:r>
              <w:rPr>
                <w:rFonts w:ascii="Arial" w:cs="Arial" w:eastAsia="Arial" w:hAnsi="Arial"/>
                <w:sz w:val="18"/>
                <w:szCs w:val="18"/>
                <w:color w:val="auto"/>
              </w:rPr>
              <w:t>Class A Shares</w:t>
            </w:r>
          </w:p>
        </w:tc>
        <w:tc>
          <w:tcPr>
            <w:tcW w:w="2880" w:type="dxa"/>
            <w:vAlign w:val="bottom"/>
            <w:gridSpan w:val="2"/>
          </w:tcPr>
          <w:p>
            <w:pPr>
              <w:jc w:val="right"/>
              <w:ind w:right="68"/>
              <w:spacing w:after="0"/>
              <w:rPr>
                <w:sz w:val="20"/>
                <w:szCs w:val="20"/>
                <w:color w:val="auto"/>
              </w:rPr>
            </w:pPr>
            <w:r>
              <w:rPr>
                <w:rFonts w:ascii="Arial" w:cs="Arial" w:eastAsia="Arial" w:hAnsi="Arial"/>
                <w:sz w:val="18"/>
                <w:szCs w:val="18"/>
                <w:color w:val="auto"/>
              </w:rPr>
              <w:t>146,333</w:t>
            </w: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28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447</w:t>
            </w:r>
          </w:p>
        </w:tc>
      </w:tr>
      <w:tr>
        <w:trPr>
          <w:trHeight w:val="229"/>
        </w:trPr>
        <w:tc>
          <w:tcPr>
            <w:tcW w:w="3900" w:type="dxa"/>
            <w:vAlign w:val="bottom"/>
            <w:gridSpan w:val="2"/>
          </w:tcPr>
          <w:p>
            <w:pPr>
              <w:spacing w:after="0"/>
              <w:rPr>
                <w:sz w:val="20"/>
                <w:szCs w:val="20"/>
                <w:color w:val="auto"/>
              </w:rPr>
            </w:pPr>
            <w:r>
              <w:rPr>
                <w:rFonts w:ascii="Arial" w:cs="Arial" w:eastAsia="Arial" w:hAnsi="Arial"/>
                <w:sz w:val="18"/>
                <w:szCs w:val="18"/>
                <w:color w:val="auto"/>
              </w:rPr>
              <w:t>Class P(A) Shares</w:t>
            </w:r>
          </w:p>
        </w:tc>
        <w:tc>
          <w:tcPr>
            <w:tcW w:w="2880" w:type="dxa"/>
            <w:vAlign w:val="bottom"/>
            <w:gridSpan w:val="2"/>
          </w:tcPr>
          <w:p>
            <w:pPr>
              <w:jc w:val="right"/>
              <w:ind w:right="68"/>
              <w:spacing w:after="0"/>
              <w:rPr>
                <w:sz w:val="20"/>
                <w:szCs w:val="20"/>
                <w:color w:val="auto"/>
              </w:rPr>
            </w:pPr>
            <w:r>
              <w:rPr>
                <w:rFonts w:ascii="Arial" w:cs="Arial" w:eastAsia="Arial" w:hAnsi="Arial"/>
                <w:sz w:val="18"/>
                <w:szCs w:val="18"/>
                <w:color w:val="auto"/>
              </w:rPr>
              <w:t>6,887</w:t>
            </w: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28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w:t>
            </w:r>
          </w:p>
        </w:tc>
      </w:tr>
      <w:tr>
        <w:trPr>
          <w:trHeight w:val="33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2016</w:t>
            </w:r>
          </w:p>
        </w:tc>
        <w:tc>
          <w:tcPr>
            <w:tcW w:w="1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28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144,498</w:t>
            </w:r>
          </w:p>
        </w:tc>
      </w:tr>
      <w:tr>
        <w:trPr>
          <w:trHeight w:val="229"/>
        </w:trPr>
        <w:tc>
          <w:tcPr>
            <w:tcW w:w="3900" w:type="dxa"/>
            <w:vAlign w:val="bottom"/>
            <w:gridSpan w:val="2"/>
          </w:tcPr>
          <w:p>
            <w:pPr>
              <w:spacing w:after="0"/>
              <w:rPr>
                <w:sz w:val="20"/>
                <w:szCs w:val="20"/>
                <w:color w:val="auto"/>
              </w:rPr>
            </w:pPr>
            <w:r>
              <w:rPr>
                <w:rFonts w:ascii="Arial" w:cs="Arial" w:eastAsia="Arial" w:hAnsi="Arial"/>
                <w:sz w:val="18"/>
                <w:szCs w:val="18"/>
                <w:color w:val="auto"/>
              </w:rPr>
              <w:t>Class C Shares</w:t>
            </w:r>
          </w:p>
        </w:tc>
        <w:tc>
          <w:tcPr>
            <w:tcW w:w="2880" w:type="dxa"/>
            <w:vAlign w:val="bottom"/>
            <w:gridSpan w:val="2"/>
          </w:tcPr>
          <w:p>
            <w:pPr>
              <w:jc w:val="right"/>
              <w:ind w:right="68"/>
              <w:spacing w:after="0"/>
              <w:rPr>
                <w:sz w:val="20"/>
                <w:szCs w:val="20"/>
                <w:color w:val="auto"/>
              </w:rPr>
            </w:pPr>
            <w:r>
              <w:rPr>
                <w:rFonts w:ascii="Arial" w:cs="Arial" w:eastAsia="Arial" w:hAnsi="Arial"/>
                <w:sz w:val="18"/>
                <w:szCs w:val="18"/>
                <w:color w:val="auto"/>
              </w:rPr>
              <w:t>504</w:t>
            </w: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Class P(A) Shares</w:t>
            </w:r>
          </w:p>
        </w:tc>
        <w:tc>
          <w:tcPr>
            <w:tcW w:w="28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6,887</w:t>
            </w:r>
          </w:p>
        </w:tc>
      </w:tr>
      <w:tr>
        <w:trPr>
          <w:trHeight w:val="257"/>
        </w:trPr>
        <w:tc>
          <w:tcPr>
            <w:tcW w:w="3900" w:type="dxa"/>
            <w:vAlign w:val="bottom"/>
            <w:gridSpan w:val="2"/>
          </w:tcPr>
          <w:p>
            <w:pPr>
              <w:spacing w:after="0"/>
              <w:rPr>
                <w:sz w:val="20"/>
                <w:szCs w:val="20"/>
                <w:color w:val="auto"/>
              </w:rPr>
            </w:pPr>
            <w:r>
              <w:rPr>
                <w:rFonts w:ascii="Arial" w:cs="Arial" w:eastAsia="Arial" w:hAnsi="Arial"/>
                <w:sz w:val="18"/>
                <w:szCs w:val="18"/>
                <w:color w:val="auto"/>
              </w:rPr>
              <w:t>Class P(C) Shares</w:t>
            </w:r>
          </w:p>
        </w:tc>
        <w:tc>
          <w:tcPr>
            <w:tcW w:w="2880" w:type="dxa"/>
            <w:vAlign w:val="bottom"/>
            <w:gridSpan w:val="2"/>
          </w:tcPr>
          <w:p>
            <w:pPr>
              <w:jc w:val="right"/>
              <w:ind w:right="68"/>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-1550670</wp:posOffset>
            </wp:positionV>
            <wp:extent cx="37293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729355" cy="8255"/>
                    </a:xfrm>
                    <a:prstGeom prst="rect">
                      <a:avLst/>
                    </a:prstGeom>
                    <a:noFill/>
                  </pic:spPr>
                </pic:pic>
              </a:graphicData>
            </a:graphic>
          </wp:anchor>
        </w:drawing>
      </w:r>
    </w:p>
    <w:p>
      <w:pPr>
        <w:spacing w:after="0" w:line="249" w:lineRule="exact"/>
        <w:rPr>
          <w:sz w:val="20"/>
          <w:szCs w:val="20"/>
          <w:color w:val="auto"/>
        </w:rPr>
      </w:pPr>
    </w:p>
    <w:p>
      <w:pPr>
        <w:ind w:left="1260" w:right="1340" w:firstLine="360"/>
        <w:spacing w:after="0" w:line="296" w:lineRule="auto"/>
        <w:rPr>
          <w:sz w:val="20"/>
          <w:szCs w:val="20"/>
          <w:color w:val="auto"/>
        </w:rPr>
      </w:pPr>
      <w:r>
        <w:rPr>
          <w:rFonts w:ascii="Arial" w:cs="Arial" w:eastAsia="Arial" w:hAnsi="Arial"/>
          <w:sz w:val="16"/>
          <w:szCs w:val="16"/>
          <w:color w:val="auto"/>
        </w:rPr>
        <w:t>Each outstanding Class A Share, Class P(A) Share, Class C Share and Class P(C) Share equally participates in the earnings of the Company. All of these shares cannot be transferred without approval by the Board of Managers of the Company, with the exception of transfers to certain related parties. Most of the Class A and Class P(A) Shareholders have the right to appoint the members of the Board of Managers. The Class C Shareholders and Class P(C) Shareholders do not have the right to appoint members of the Board of Managers.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Stock Based Compensation Plans</w:t>
      </w:r>
    </w:p>
    <w:p>
      <w:pPr>
        <w:spacing w:after="0" w:line="108" w:lineRule="exact"/>
        <w:rPr>
          <w:sz w:val="20"/>
          <w:szCs w:val="20"/>
          <w:color w:val="auto"/>
        </w:rPr>
      </w:pPr>
    </w:p>
    <w:p>
      <w:pPr>
        <w:ind w:left="1260" w:right="1280" w:firstLine="360"/>
        <w:spacing w:after="0" w:line="272" w:lineRule="auto"/>
        <w:rPr>
          <w:sz w:val="20"/>
          <w:szCs w:val="20"/>
          <w:color w:val="auto"/>
        </w:rPr>
      </w:pPr>
      <w:r>
        <w:rPr>
          <w:rFonts w:ascii="Arial" w:cs="Arial" w:eastAsia="Arial" w:hAnsi="Arial"/>
          <w:sz w:val="17"/>
          <w:szCs w:val="17"/>
          <w:color w:val="auto"/>
        </w:rPr>
        <w:t>The Company has a stock incentive plan which provides for the grant of performance-based restricted share units (“PRSUs”), to encourage employees of the Company to participate in the long-term success of the Company. The Company measures the cost of employee services received in exchange for the award based on its current fair value. The fair value of each award is based on the fair value of the Company and the value of accumulated 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69" w:lineRule="exact"/>
        <w:rPr>
          <w:sz w:val="20"/>
          <w:szCs w:val="20"/>
          <w:color w:val="auto"/>
        </w:rPr>
      </w:pPr>
    </w:p>
    <w:p>
      <w:pPr>
        <w:ind w:left="1260" w:right="1240" w:firstLine="360"/>
        <w:spacing w:after="0" w:line="286" w:lineRule="auto"/>
        <w:rPr>
          <w:sz w:val="20"/>
          <w:szCs w:val="20"/>
          <w:color w:val="auto"/>
        </w:rPr>
      </w:pPr>
      <w:r>
        <w:rPr>
          <w:rFonts w:ascii="Arial" w:cs="Arial" w:eastAsia="Arial" w:hAnsi="Arial"/>
          <w:sz w:val="17"/>
          <w:szCs w:val="17"/>
          <w:color w:val="auto"/>
        </w:rPr>
        <w:t>PRSUs vest on January 1, 2018, 2019 and 2020. The final value of the PRSUs upon vesting is determined by a performance modifier, which is adjusted as a result of the financial performance of the Company. If an employee’s employment with the Company is terminated, all unvested PRSUs are forfeited.</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PRSUs issued by the Company: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16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16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 of</w:t>
            </w:r>
          </w:p>
        </w:tc>
        <w:tc>
          <w:tcPr>
            <w:tcW w:w="226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89"/>
              </w:rPr>
              <w:t>Fair Value</w:t>
            </w:r>
          </w:p>
        </w:tc>
      </w:tr>
      <w:tr>
        <w:trPr>
          <w:trHeight w:val="192"/>
        </w:trPr>
        <w:tc>
          <w:tcPr>
            <w:tcW w:w="1620" w:type="dxa"/>
            <w:vAlign w:val="bottom"/>
          </w:tcPr>
          <w:p>
            <w:pPr>
              <w:spacing w:after="0"/>
              <w:rPr>
                <w:sz w:val="16"/>
                <w:szCs w:val="16"/>
                <w:color w:val="auto"/>
              </w:rPr>
            </w:pPr>
          </w:p>
        </w:tc>
        <w:tc>
          <w:tcPr>
            <w:tcW w:w="3060" w:type="dxa"/>
            <w:vAlign w:val="bottom"/>
            <w:tcBorders>
              <w:bottom w:val="single" w:sz="8" w:color="CCEEFF"/>
            </w:tcBorders>
          </w:tcPr>
          <w:p>
            <w:pPr>
              <w:spacing w:after="0"/>
              <w:rPr>
                <w:sz w:val="16"/>
                <w:szCs w:val="16"/>
                <w:color w:val="auto"/>
              </w:rPr>
            </w:pPr>
          </w:p>
        </w:tc>
        <w:tc>
          <w:tcPr>
            <w:tcW w:w="28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PRSUs</w:t>
            </w:r>
          </w:p>
        </w:tc>
        <w:tc>
          <w:tcPr>
            <w:tcW w:w="2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PRSUs</w:t>
            </w:r>
          </w:p>
        </w:tc>
        <w:tc>
          <w:tcPr>
            <w:tcW w:w="1620" w:type="dxa"/>
            <w:vAlign w:val="bottom"/>
          </w:tcPr>
          <w:p>
            <w:pPr>
              <w:spacing w:after="0"/>
              <w:rPr>
                <w:sz w:val="16"/>
                <w:szCs w:val="16"/>
                <w:color w:val="auto"/>
              </w:rPr>
            </w:pPr>
          </w:p>
        </w:tc>
      </w:tr>
      <w:tr>
        <w:trPr>
          <w:trHeight w:val="215"/>
        </w:trPr>
        <w:tc>
          <w:tcPr>
            <w:tcW w:w="16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3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2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$ 22,512</w:t>
            </w:r>
          </w:p>
        </w:tc>
        <w:tc>
          <w:tcPr>
            <w:tcW w:w="1620" w:type="dxa"/>
            <w:vAlign w:val="bottom"/>
          </w:tcPr>
          <w:p>
            <w:pPr>
              <w:spacing w:after="0"/>
              <w:rPr>
                <w:sz w:val="18"/>
                <w:szCs w:val="18"/>
                <w:color w:val="auto"/>
              </w:rPr>
            </w:pPr>
          </w:p>
        </w:tc>
      </w:tr>
      <w:tr>
        <w:trPr>
          <w:trHeight w:val="216"/>
        </w:trPr>
        <w:tc>
          <w:tcPr>
            <w:tcW w:w="4680" w:type="dxa"/>
            <w:vAlign w:val="bottom"/>
            <w:gridSpan w:val="2"/>
          </w:tcPr>
          <w:p>
            <w:pPr>
              <w:ind w:left="1620"/>
              <w:spacing w:after="0"/>
              <w:rPr>
                <w:sz w:val="20"/>
                <w:szCs w:val="20"/>
                <w:color w:val="auto"/>
              </w:rPr>
            </w:pPr>
            <w:r>
              <w:rPr>
                <w:rFonts w:ascii="Arial" w:cs="Arial" w:eastAsia="Arial" w:hAnsi="Arial"/>
                <w:sz w:val="18"/>
                <w:szCs w:val="18"/>
                <w:color w:val="auto"/>
              </w:rPr>
              <w:t>Granted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512.8</w:t>
            </w:r>
          </w:p>
        </w:tc>
        <w:tc>
          <w:tcPr>
            <w:tcW w:w="260" w:type="dxa"/>
            <w:vAlign w:val="bottom"/>
          </w:tcPr>
          <w:p>
            <w:pPr>
              <w:spacing w:after="0"/>
              <w:rPr>
                <w:sz w:val="18"/>
                <w:szCs w:val="18"/>
                <w:color w:val="auto"/>
              </w:rPr>
            </w:pPr>
          </w:p>
        </w:tc>
        <w:tc>
          <w:tcPr>
            <w:tcW w:w="2260" w:type="dxa"/>
            <w:vAlign w:val="bottom"/>
            <w:gridSpan w:val="2"/>
          </w:tcPr>
          <w:p>
            <w:pPr>
              <w:jc w:val="right"/>
              <w:ind w:right="1620"/>
              <w:spacing w:after="0"/>
              <w:rPr>
                <w:sz w:val="20"/>
                <w:szCs w:val="20"/>
                <w:color w:val="auto"/>
              </w:rPr>
            </w:pPr>
            <w:r>
              <w:rPr>
                <w:rFonts w:ascii="Arial" w:cs="Arial" w:eastAsia="Arial" w:hAnsi="Arial"/>
                <w:sz w:val="18"/>
                <w:szCs w:val="18"/>
                <w:color w:val="auto"/>
              </w:rPr>
              <w:t>21,723</w:t>
            </w:r>
          </w:p>
        </w:tc>
      </w:tr>
      <w:tr>
        <w:trPr>
          <w:trHeight w:val="243"/>
        </w:trPr>
        <w:tc>
          <w:tcPr>
            <w:tcW w:w="1620" w:type="dxa"/>
            <w:vAlign w:val="bottom"/>
          </w:tcPr>
          <w:p>
            <w:pPr>
              <w:spacing w:after="0"/>
              <w:rPr>
                <w:sz w:val="21"/>
                <w:szCs w:val="21"/>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86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Borders>
              <w:right w:val="single" w:sz="8" w:color="CCEEFF"/>
            </w:tcBorders>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23,170</w:t>
            </w:r>
          </w:p>
        </w:tc>
        <w:tc>
          <w:tcPr>
            <w:tcW w:w="162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28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16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28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1,074.6</w:t>
            </w:r>
          </w:p>
        </w:tc>
        <w:tc>
          <w:tcPr>
            <w:tcW w:w="260" w:type="dxa"/>
            <w:vAlign w:val="bottom"/>
          </w:tcPr>
          <w:p>
            <w:pPr>
              <w:spacing w:after="0"/>
              <w:rPr>
                <w:sz w:val="18"/>
                <w:szCs w:val="18"/>
                <w:color w:val="auto"/>
              </w:rPr>
            </w:pPr>
          </w:p>
        </w:tc>
        <w:tc>
          <w:tcPr>
            <w:tcW w:w="2260" w:type="dxa"/>
            <w:vAlign w:val="bottom"/>
            <w:gridSpan w:val="2"/>
          </w:tcPr>
          <w:p>
            <w:pPr>
              <w:jc w:val="right"/>
              <w:ind w:right="1620"/>
              <w:spacing w:after="0"/>
              <w:rPr>
                <w:sz w:val="20"/>
                <w:szCs w:val="20"/>
                <w:color w:val="auto"/>
              </w:rPr>
            </w:pPr>
            <w:r>
              <w:rPr>
                <w:rFonts w:ascii="Arial" w:cs="Arial" w:eastAsia="Arial" w:hAnsi="Arial"/>
                <w:sz w:val="18"/>
                <w:szCs w:val="18"/>
                <w:color w:val="auto"/>
                <w:w w:val="88"/>
              </w:rPr>
              <w:t>$ 13,159</w:t>
            </w:r>
          </w:p>
        </w:tc>
      </w:tr>
      <w:tr>
        <w:trPr>
          <w:trHeight w:val="216"/>
        </w:trPr>
        <w:tc>
          <w:tcPr>
            <w:tcW w:w="16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2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1620" w:type="dxa"/>
            <w:vAlign w:val="bottom"/>
          </w:tcPr>
          <w:p>
            <w:pPr>
              <w:spacing w:after="0"/>
              <w:rPr>
                <w:sz w:val="18"/>
                <w:szCs w:val="18"/>
                <w:color w:val="auto"/>
              </w:rPr>
            </w:pPr>
          </w:p>
        </w:tc>
      </w:tr>
      <w:tr>
        <w:trPr>
          <w:trHeight w:val="243"/>
        </w:trPr>
        <w:tc>
          <w:tcPr>
            <w:tcW w:w="1620" w:type="dxa"/>
            <w:vAlign w:val="bottom"/>
          </w:tcPr>
          <w:p>
            <w:pPr>
              <w:spacing w:after="0"/>
              <w:rPr>
                <w:sz w:val="21"/>
                <w:szCs w:val="21"/>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Forfeited</w:t>
            </w:r>
          </w:p>
        </w:tc>
        <w:tc>
          <w:tcPr>
            <w:tcW w:w="28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1"/>
                <w:szCs w:val="21"/>
                <w:color w:val="auto"/>
              </w:rPr>
            </w:pPr>
          </w:p>
        </w:tc>
        <w:tc>
          <w:tcPr>
            <w:tcW w:w="2260" w:type="dxa"/>
            <w:vAlign w:val="bottom"/>
            <w:gridSpan w:val="2"/>
          </w:tcPr>
          <w:p>
            <w:pPr>
              <w:jc w:val="right"/>
              <w:ind w:right="1620"/>
              <w:spacing w:after="0"/>
              <w:rPr>
                <w:sz w:val="20"/>
                <w:szCs w:val="20"/>
                <w:color w:val="auto"/>
              </w:rPr>
            </w:pPr>
            <w:r>
              <w:rPr>
                <w:rFonts w:ascii="Arial" w:cs="Arial" w:eastAsia="Arial" w:hAnsi="Arial"/>
                <w:sz w:val="18"/>
                <w:szCs w:val="18"/>
                <w:color w:val="auto"/>
              </w:rPr>
              <w:t>26,770</w:t>
            </w:r>
          </w:p>
        </w:tc>
      </w:tr>
      <w:tr>
        <w:trPr>
          <w:trHeight w:val="236"/>
        </w:trPr>
        <w:tc>
          <w:tcPr>
            <w:tcW w:w="1620" w:type="dxa"/>
            <w:vAlign w:val="bottom"/>
          </w:tcPr>
          <w:p>
            <w:pPr>
              <w:spacing w:after="0"/>
              <w:rPr>
                <w:sz w:val="20"/>
                <w:szCs w:val="20"/>
                <w:color w:val="auto"/>
              </w:rPr>
            </w:pPr>
          </w:p>
        </w:tc>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28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1,577.</w:t>
            </w:r>
            <w:r>
              <w:rPr>
                <w:rFonts w:ascii="Arial" w:cs="Arial" w:eastAsia="Arial" w:hAnsi="Arial"/>
                <w:sz w:val="18"/>
                <w:szCs w:val="18"/>
                <w:u w:val="single" w:color="auto"/>
                <w:color w:val="auto"/>
                <w:w w:val="96"/>
              </w:rPr>
              <w:t>6</w:t>
            </w:r>
          </w:p>
        </w:tc>
        <w:tc>
          <w:tcPr>
            <w:tcW w:w="2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$ 31,039</w:t>
            </w:r>
          </w:p>
        </w:tc>
        <w:tc>
          <w:tcPr>
            <w:tcW w:w="1620" w:type="dxa"/>
            <w:vAlign w:val="bottom"/>
          </w:tcPr>
          <w:p>
            <w:pPr>
              <w:spacing w:after="0"/>
              <w:rPr>
                <w:sz w:val="20"/>
                <w:szCs w:val="20"/>
                <w:color w:val="auto"/>
              </w:rPr>
            </w:pPr>
          </w:p>
        </w:tc>
      </w:tr>
      <w:tr>
        <w:trPr>
          <w:trHeight w:val="20"/>
        </w:trPr>
        <w:tc>
          <w:tcPr>
            <w:tcW w:w="1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34"/>
        </w:trPr>
        <w:tc>
          <w:tcPr>
            <w:tcW w:w="1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780" w:type="dxa"/>
            <w:vAlign w:val="bottom"/>
            <w:gridSpan w:val="3"/>
          </w:tcPr>
          <w:p>
            <w:pPr>
              <w:ind w:left="520"/>
              <w:spacing w:after="0"/>
              <w:rPr>
                <w:sz w:val="20"/>
                <w:szCs w:val="20"/>
                <w:color w:val="auto"/>
              </w:rPr>
            </w:pPr>
            <w:r>
              <w:rPr>
                <w:rFonts w:ascii="Arial" w:cs="Arial" w:eastAsia="Arial" w:hAnsi="Arial"/>
                <w:sz w:val="18"/>
                <w:szCs w:val="18"/>
                <w:color w:val="auto"/>
              </w:rPr>
              <w:t>F-18</w:t>
            </w: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-796290</wp:posOffset>
            </wp:positionV>
            <wp:extent cx="433768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33768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-1671320</wp:posOffset>
            </wp:positionV>
            <wp:extent cx="431165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196" w:name="page197"/>
    <w:bookmarkEnd w:id="196"/>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December 31, 2017 and 2016</w:t>
      </w:r>
    </w:p>
    <w:p>
      <w:pPr>
        <w:spacing w:after="0" w:line="196"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Prior to 2015, the Company granted employees Stock Appreciation Rights (“SARs”). The SARs had graded vesting schedules with expiration dates through December 31, 2016. If an employee was terminated without cause, all unvested SARs are forfeited. All vested SARs were only exercisable during a specific period of the year and must have been exercised by 2017.</w:t>
      </w:r>
    </w:p>
    <w:p>
      <w:pPr>
        <w:spacing w:after="0" w:line="79"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fair value of the SARs is calculated at the date of grant and remeasurement date using an appropriate valuation model such as Black-Scholes. Consequently, the fair values of these awards are based on the estimated fair value at that date.</w:t>
      </w:r>
    </w:p>
    <w:p>
      <w:pPr>
        <w:spacing w:after="0" w:line="76"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At December 31, 2016, due to the expiration of the SARs, the fair value of each award equals the intrinsic value.</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activity for SARs issued by the Company:</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r>
      <w:tr>
        <w:trPr>
          <w:trHeight w:val="162"/>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Price of</w:t>
            </w:r>
          </w:p>
        </w:tc>
      </w:tr>
      <w:tr>
        <w:trPr>
          <w:trHeight w:val="186"/>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SARS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SARs</w:t>
            </w:r>
          </w:p>
        </w:tc>
      </w:tr>
      <w:tr>
        <w:trPr>
          <w:trHeight w:val="26"/>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6,315.5</w:t>
            </w:r>
          </w:p>
        </w:tc>
        <w:tc>
          <w:tcPr>
            <w:tcW w:w="24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$16,839</w:t>
            </w:r>
          </w:p>
        </w:tc>
      </w:tr>
      <w:tr>
        <w:trPr>
          <w:trHeight w:val="256"/>
        </w:trPr>
        <w:tc>
          <w:tcPr>
            <w:tcW w:w="572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(91.0)</w:t>
            </w:r>
          </w:p>
        </w:tc>
        <w:tc>
          <w:tcPr>
            <w:tcW w:w="600" w:type="dxa"/>
            <w:vAlign w:val="bottom"/>
          </w:tcPr>
          <w:p>
            <w:pPr>
              <w:jc w:val="right"/>
              <w:spacing w:after="0"/>
              <w:rPr>
                <w:sz w:val="20"/>
                <w:szCs w:val="20"/>
                <w:color w:val="auto"/>
              </w:rPr>
            </w:pPr>
            <w:r>
              <w:rPr>
                <w:rFonts w:ascii="Arial" w:cs="Arial" w:eastAsia="Arial" w:hAnsi="Arial"/>
                <w:sz w:val="18"/>
                <w:szCs w:val="18"/>
                <w:color w:val="auto"/>
              </w:rPr>
              <w:t>17,280</w:t>
            </w:r>
          </w:p>
        </w:tc>
      </w:tr>
      <w:tr>
        <w:trPr>
          <w:trHeight w:val="263"/>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(3,338.4)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16,389</w:t>
            </w:r>
          </w:p>
        </w:tc>
      </w:tr>
      <w:tr>
        <w:trPr>
          <w:trHeight w:val="257"/>
        </w:trPr>
        <w:tc>
          <w:tcPr>
            <w:tcW w:w="57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240" w:type="dxa"/>
            <w:vAlign w:val="bottom"/>
            <w:tcBorders>
              <w:top w:val="single" w:sz="8" w:color="CCEEFF"/>
            </w:tcBorders>
          </w:tcPr>
          <w:p>
            <w:pPr>
              <w:spacing w:after="0"/>
              <w:rPr>
                <w:sz w:val="22"/>
                <w:szCs w:val="2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2,886.1</w:t>
            </w:r>
          </w:p>
        </w:tc>
        <w:tc>
          <w:tcPr>
            <w:tcW w:w="24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$17,344</w:t>
            </w:r>
          </w:p>
        </w:tc>
      </w:tr>
      <w:tr>
        <w:trPr>
          <w:trHeight w:val="263"/>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(2,886.1)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17,344</w:t>
            </w:r>
          </w:p>
        </w:tc>
      </w:tr>
      <w:tr>
        <w:trPr>
          <w:trHeight w:val="20"/>
        </w:trPr>
        <w:tc>
          <w:tcPr>
            <w:tcW w:w="57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56"/>
        </w:trPr>
        <w:tc>
          <w:tcPr>
            <w:tcW w:w="5720" w:type="dxa"/>
            <w:vAlign w:val="bottom"/>
          </w:tcPr>
          <w:p>
            <w:pPr>
              <w:spacing w:after="0"/>
              <w:rPr>
                <w:sz w:val="20"/>
                <w:szCs w:val="20"/>
                <w:color w:val="auto"/>
              </w:rPr>
            </w:pPr>
            <w:r>
              <w:rPr>
                <w:rFonts w:ascii="Arial" w:cs="Arial" w:eastAsia="Arial" w:hAnsi="Arial"/>
                <w:sz w:val="18"/>
                <w:szCs w:val="18"/>
                <w:color w:val="auto"/>
              </w:rPr>
              <w:t>Outstanding and exercisable at December 31, 2017</w:t>
            </w:r>
          </w:p>
        </w:tc>
        <w:tc>
          <w:tcPr>
            <w:tcW w:w="2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2"/>
                <w:szCs w:val="22"/>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-1045210</wp:posOffset>
            </wp:positionV>
            <wp:extent cx="435483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weighted average fair value of SARs outstanding at December 31, 2016 was $7,531.</w:t>
      </w:r>
    </w:p>
    <w:p>
      <w:pPr>
        <w:spacing w:after="0" w:line="117" w:lineRule="exact"/>
        <w:rPr>
          <w:sz w:val="20"/>
          <w:szCs w:val="20"/>
          <w:color w:val="auto"/>
        </w:rPr>
      </w:pPr>
    </w:p>
    <w:p>
      <w:pPr>
        <w:jc w:val="both"/>
        <w:ind w:left="1260" w:right="839" w:firstLine="360"/>
        <w:spacing w:after="0" w:line="263" w:lineRule="auto"/>
        <w:rPr>
          <w:sz w:val="20"/>
          <w:szCs w:val="20"/>
          <w:color w:val="auto"/>
        </w:rPr>
      </w:pPr>
      <w:r>
        <w:rPr>
          <w:rFonts w:ascii="Arial" w:cs="Arial" w:eastAsia="Arial" w:hAnsi="Arial"/>
          <w:sz w:val="18"/>
          <w:szCs w:val="18"/>
          <w:color w:val="auto"/>
        </w:rPr>
        <w:t>As of December 31, 2017, there was $17,949,000 of total unrecognized compensation cost related to non-vested share-based compensation arrangements. This cost is expected to be recognized over a weighted average period of 1.7 years.</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Certain employees acquired Class C Shares and Class P(C) Shares of the Company.</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records activity of Class C Shares held by employees of the Company.</w:t>
      </w:r>
    </w:p>
    <w:p>
      <w:pPr>
        <w:spacing w:after="0" w:line="136"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7"/>
              </w:rPr>
              <w:t>Number of</w:t>
            </w:r>
          </w:p>
        </w:tc>
      </w:tr>
      <w:tr>
        <w:trPr>
          <w:trHeight w:val="186"/>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Shares</w:t>
            </w:r>
          </w:p>
        </w:tc>
      </w:tr>
      <w:tr>
        <w:trPr>
          <w:trHeight w:val="25"/>
        </w:trPr>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21"/>
                <w:szCs w:val="21"/>
                <w:color w:val="auto"/>
              </w:rPr>
            </w:pPr>
          </w:p>
        </w:tc>
      </w:tr>
      <w:tr>
        <w:trPr>
          <w:trHeight w:val="263"/>
        </w:trPr>
        <w:tc>
          <w:tcPr>
            <w:tcW w:w="5840" w:type="dxa"/>
            <w:vAlign w:val="bottom"/>
          </w:tcPr>
          <w:p>
            <w:pPr>
              <w:ind w:left="20"/>
              <w:spacing w:after="0"/>
              <w:rPr>
                <w:sz w:val="20"/>
                <w:szCs w:val="20"/>
                <w:color w:val="auto"/>
              </w:rPr>
            </w:pPr>
            <w:r>
              <w:rPr>
                <w:rFonts w:ascii="Arial" w:cs="Arial" w:eastAsia="Arial" w:hAnsi="Arial"/>
                <w:sz w:val="18"/>
                <w:szCs w:val="18"/>
                <w:color w:val="auto"/>
              </w:rPr>
              <w:t>Sold</w:t>
            </w:r>
          </w:p>
        </w:tc>
        <w:tc>
          <w:tcPr>
            <w:tcW w:w="460" w:type="dxa"/>
            <w:vAlign w:val="bottom"/>
            <w:gridSpan w:val="2"/>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w:t>
            </w:r>
          </w:p>
        </w:tc>
      </w:tr>
      <w:tr>
        <w:trPr>
          <w:trHeight w:val="20"/>
        </w:trPr>
        <w:tc>
          <w:tcPr>
            <w:tcW w:w="5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460" w:type="dxa"/>
            <w:vAlign w:val="bottom"/>
            <w:gridSpan w:val="2"/>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504</w:t>
            </w:r>
          </w:p>
        </w:tc>
        <w:tc>
          <w:tcPr>
            <w:tcW w:w="220" w:type="dxa"/>
            <w:vAlign w:val="bottom"/>
            <w:shd w:val="clear" w:color="auto" w:fill="CCEEFF"/>
          </w:tcPr>
          <w:p>
            <w:pPr>
              <w:spacing w:after="0"/>
              <w:rPr>
                <w:sz w:val="22"/>
                <w:szCs w:val="22"/>
                <w:color w:val="auto"/>
              </w:rPr>
            </w:pPr>
          </w:p>
        </w:tc>
      </w:tr>
      <w:tr>
        <w:trPr>
          <w:trHeight w:val="256"/>
        </w:trPr>
        <w:tc>
          <w:tcPr>
            <w:tcW w:w="5840" w:type="dxa"/>
            <w:vAlign w:val="bottom"/>
          </w:tcPr>
          <w:p>
            <w:pPr>
              <w:ind w:left="20"/>
              <w:spacing w:after="0"/>
              <w:rPr>
                <w:sz w:val="20"/>
                <w:szCs w:val="20"/>
                <w:color w:val="auto"/>
              </w:rPr>
            </w:pPr>
            <w:r>
              <w:rPr>
                <w:rFonts w:ascii="Arial" w:cs="Arial" w:eastAsia="Arial" w:hAnsi="Arial"/>
                <w:sz w:val="18"/>
                <w:szCs w:val="18"/>
                <w:color w:val="auto"/>
              </w:rPr>
              <w:t>Purchased</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2"/>
                <w:szCs w:val="22"/>
                <w:color w:val="auto"/>
              </w:rPr>
            </w:pPr>
          </w:p>
        </w:tc>
      </w:tr>
      <w:tr>
        <w:trPr>
          <w:trHeight w:val="26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Sold</w:t>
            </w:r>
          </w:p>
        </w:tc>
        <w:tc>
          <w:tcPr>
            <w:tcW w:w="460" w:type="dxa"/>
            <w:vAlign w:val="bottom"/>
            <w:gridSpan w:val="2"/>
            <w:shd w:val="clear" w:color="auto" w:fill="CCEEFF"/>
          </w:tcPr>
          <w:p>
            <w:pPr>
              <w:spacing w:after="0"/>
              <w:rPr>
                <w:sz w:val="22"/>
                <w:szCs w:val="2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(62)</w:t>
            </w:r>
          </w:p>
        </w:tc>
      </w:tr>
      <w:tr>
        <w:trPr>
          <w:trHeight w:val="20"/>
        </w:trPr>
        <w:tc>
          <w:tcPr>
            <w:tcW w:w="5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6"/>
        </w:trPr>
        <w:tc>
          <w:tcPr>
            <w:tcW w:w="584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460" w:type="dxa"/>
            <w:vAlign w:val="bottom"/>
            <w:gridSpan w:val="2"/>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447</w:t>
            </w:r>
          </w:p>
        </w:tc>
        <w:tc>
          <w:tcPr>
            <w:tcW w:w="220" w:type="dxa"/>
            <w:vAlign w:val="bottom"/>
          </w:tcPr>
          <w:p>
            <w:pPr>
              <w:spacing w:after="0"/>
              <w:rPr>
                <w:sz w:val="22"/>
                <w:szCs w:val="22"/>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-702310</wp:posOffset>
            </wp:positionV>
            <wp:extent cx="432054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20540" cy="825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-1045210</wp:posOffset>
            </wp:positionV>
            <wp:extent cx="38404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December 31, 2017 and 2016</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records activity of vested Class P(C) Shares held by employees of the Company.</w:t>
      </w:r>
    </w:p>
    <w:p>
      <w:pPr>
        <w:spacing w:after="0" w:line="147"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Number of</w:t>
            </w:r>
          </w:p>
        </w:tc>
      </w:tr>
      <w:tr>
        <w:trPr>
          <w:trHeight w:val="186"/>
        </w:trPr>
        <w:tc>
          <w:tcPr>
            <w:tcW w:w="6020" w:type="dxa"/>
            <w:vAlign w:val="bottom"/>
          </w:tcPr>
          <w:p>
            <w:pPr>
              <w:spacing w:after="0"/>
              <w:rPr>
                <w:sz w:val="16"/>
                <w:szCs w:val="16"/>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Shares</w:t>
            </w:r>
          </w:p>
        </w:tc>
      </w:tr>
      <w:tr>
        <w:trPr>
          <w:trHeight w:val="26"/>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r>
      <w:tr>
        <w:trPr>
          <w:trHeight w:val="26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Sold</w:t>
            </w:r>
          </w:p>
        </w:tc>
        <w:tc>
          <w:tcPr>
            <w:tcW w:w="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r>
      <w:tr>
        <w:trPr>
          <w:trHeight w:val="26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Sold</w:t>
            </w:r>
          </w:p>
        </w:tc>
        <w:tc>
          <w:tcPr>
            <w:tcW w:w="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tcPr>
          <w:p>
            <w:pPr>
              <w:spacing w:after="0"/>
              <w:rPr>
                <w:sz w:val="22"/>
                <w:szCs w:val="22"/>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-196850</wp:posOffset>
            </wp:positionV>
            <wp:extent cx="43205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320540" cy="825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-539750</wp:posOffset>
            </wp:positionV>
            <wp:extent cx="432054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320540" cy="825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-882650</wp:posOffset>
            </wp:positionV>
            <wp:extent cx="38233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22"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The C Shares and vested Class P(C) Shares are classified as mezzanine capital, as opposed to members’ capital, due to the right of employees to sell the shares back to the Company at fair market value upon termination of employment. C Shares that have been outstanding for less than six months are included in employee compensation payable. At December 31, 2017 and 2016 there were no C Shares included in employee compensation payable. Changes in the Class C Share’s and vested Class P(C) Share’s fair value included in mezzanine capital were not recognized as compensation cost.</w:t>
      </w:r>
    </w:p>
    <w:p>
      <w:pPr>
        <w:spacing w:after="0" w:line="70"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For the years ended December 31, 2017 and 2016, $26,100,000 and $19,032,000 has been expensed relating to PRSUs, SARs and shares granted to or acquired by employees of the Company and included in employee compensation and benefits in the Consolidated Statements of Income.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Related Party Transactions</w:t>
      </w:r>
    </w:p>
    <w:p>
      <w:pPr>
        <w:spacing w:after="0" w:line="108"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color w:val="auto"/>
        </w:rPr>
        <w:t>The Company enters into transactions with affiliates of the Banks and TR. At December 31, 2017 and 2016, the following balances with such affiliates were included in the Consolidated Statements of Financial Condition in the following line items (in thousands):</w:t>
      </w:r>
    </w:p>
    <w:p>
      <w:pPr>
        <w:spacing w:after="0" w:line="8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6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58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8"/>
        </w:trPr>
        <w:tc>
          <w:tcPr>
            <w:tcW w:w="586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r>
      <w:tr>
        <w:trPr>
          <w:trHeight w:val="25"/>
        </w:trPr>
        <w:tc>
          <w:tcPr>
            <w:tcW w:w="58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$234,107</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$209,877</w:t>
            </w: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25,681</w:t>
            </w: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Receivable from affiliates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70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7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Deferred 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5,106</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5,570</w:t>
            </w:r>
          </w:p>
        </w:tc>
      </w:tr>
      <w:tr>
        <w:trPr>
          <w:trHeight w:val="27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129,393</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70,873</w:t>
            </w: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700" w:type="dxa"/>
            <w:vAlign w:val="bottom"/>
          </w:tcPr>
          <w:p>
            <w:pPr>
              <w:jc w:val="right"/>
              <w:spacing w:after="0"/>
              <w:rPr>
                <w:sz w:val="20"/>
                <w:szCs w:val="20"/>
                <w:color w:val="auto"/>
              </w:rPr>
            </w:pPr>
            <w:r>
              <w:rPr>
                <w:rFonts w:ascii="Arial" w:cs="Arial" w:eastAsia="Arial" w:hAnsi="Arial"/>
                <w:sz w:val="18"/>
                <w:szCs w:val="18"/>
                <w:color w:val="auto"/>
              </w:rPr>
              <w:t>2,555</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7,234</w:t>
            </w:r>
          </w:p>
        </w:tc>
      </w:tr>
      <w:tr>
        <w:trPr>
          <w:trHeight w:val="27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Convertible term note payable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29,285</w:t>
            </w: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Payable to affiliates</w:t>
            </w:r>
          </w:p>
        </w:tc>
        <w:tc>
          <w:tcPr>
            <w:tcW w:w="700" w:type="dxa"/>
            <w:vAlign w:val="bottom"/>
          </w:tcPr>
          <w:p>
            <w:pPr>
              <w:jc w:val="right"/>
              <w:spacing w:after="0"/>
              <w:rPr>
                <w:sz w:val="20"/>
                <w:szCs w:val="20"/>
                <w:color w:val="auto"/>
              </w:rPr>
            </w:pPr>
            <w:r>
              <w:rPr>
                <w:rFonts w:ascii="Arial" w:cs="Arial" w:eastAsia="Arial" w:hAnsi="Arial"/>
                <w:sz w:val="18"/>
                <w:szCs w:val="18"/>
                <w:color w:val="auto"/>
              </w:rPr>
              <w:t>5,578</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-1696720</wp:posOffset>
            </wp:positionV>
            <wp:extent cx="430339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24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maintains a shared services agreement with TR. Under the terms of the agreement, TR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provides the Company with certain real estate, payroll, benefits administration, insurance, content, financial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reporting and tax support. During each of 2017 and 2016, the Company incurred shared services fees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$4,300,000 relating to this agreement. These fees are included in occupancy and general and administrative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expenses in the Consolidated Statements of Income.</w:t>
      </w:r>
    </w:p>
    <w:p>
      <w:pPr>
        <w:spacing w:after="0" w:line="103"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The Company maintains market data license agreements with TR. Under the agreements, the Company delivers to TR certain market data feeds which TR redistributes to its customers. The Company earns license fees or royalties for these feeds. During 2017 and 2016, the Company earned $50,125,000 and $50,564,000, respectively, of revenue under these agreements.</w:t>
      </w:r>
    </w:p>
    <w:p>
      <w:pPr>
        <w:spacing w:after="0" w:line="2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December 31, 2017 and 2016</w:t>
      </w:r>
    </w:p>
    <w:p>
      <w:pPr>
        <w:spacing w:after="0" w:line="196"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The Company reimburses affiliates of TR for expenses paid on behalf of the Company for various services including payroll, marketing, professional fees, communications, data costs and certain other administrative services. For the years ended December 31, 2017 and 2016, the Company reimbursed such affiliates approximately $38,361,000 and $34,350,000, respectively, for these expenses.</w:t>
      </w:r>
    </w:p>
    <w:p>
      <w:pPr>
        <w:spacing w:after="0" w:line="63"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During 2017 and 2016, the Company earned approximately $232,436,000 and $211,743,000, respectively, of transaction, subscription and other fees from affiliates of the Banks.</w:t>
      </w:r>
    </w:p>
    <w:p>
      <w:pPr>
        <w:spacing w:after="0" w:line="62" w:lineRule="exact"/>
        <w:rPr>
          <w:sz w:val="20"/>
          <w:szCs w:val="20"/>
          <w:color w:val="auto"/>
        </w:rPr>
      </w:pPr>
    </w:p>
    <w:p>
      <w:pPr>
        <w:jc w:val="both"/>
        <w:ind w:left="1260" w:right="1019" w:firstLine="360"/>
        <w:spacing w:after="0" w:line="311" w:lineRule="auto"/>
        <w:rPr>
          <w:sz w:val="20"/>
          <w:szCs w:val="20"/>
          <w:color w:val="auto"/>
        </w:rPr>
      </w:pPr>
      <w:r>
        <w:rPr>
          <w:rFonts w:ascii="Arial" w:cs="Arial" w:eastAsia="Arial" w:hAnsi="Arial"/>
          <w:sz w:val="16"/>
          <w:szCs w:val="16"/>
          <w:color w:val="auto"/>
        </w:rPr>
        <w:t>During 2017 and 2016, the Company earned $40,000 and $80,000, respectively, of interest income from money market funds invested with and savings accounts deposited with affiliates of the Banks. Interest rates earned on the money market and savings accounts are comparable to rates offered to third parties.</w:t>
      </w:r>
    </w:p>
    <w:p>
      <w:pPr>
        <w:spacing w:after="0" w:line="41"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Company borrowed $29,285,000 from a subsidiary of TR under a convertible term note. Interest charged on the outstanding borrowings is the greater of LIBOR or 150 basis points, plus 300 basis points per annum, and is reset and payable quarterly. During 2017, TR converted all outstanding borrowings into 1,835 Class A Shares at the price of $15,958 per share. During 2017 and 2016, the interest rate charged was 4.50% per annum. The Company paid and expensed $455,000 and $1,339,000 of interest on this note in 2017 and 2016, respectively.</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During 2014, the Company issued Class A Shares and unvested Class P1-(A) Shares to some of the Banks as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result of a $120,000,000 capital contribution. In connection with this investment, employees invested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$5,266,000 in the Company and were issued Class C Shares and unvested Class P1-(C) Shares. The Class P1-(A)</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Shares and Class P1-(C) Shares vest in 2018, based on a formula, if the Company’s new credit platform achieves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certain revenue milestones. During 2017 and 2016, the Company recognized contingent consideration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$58,520,000 and $26,224,000, respectively, relating to these shares, which is included in net revenue on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Consolidated Statements of Income. At December 31, 2017 and 2016, $129,393,000 and $70,873,000,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respectively, is included in contingent consideration payable on the Consolidated Statements of Financial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Condition.</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108" w:lineRule="exact"/>
        <w:rPr>
          <w:sz w:val="20"/>
          <w:szCs w:val="20"/>
          <w:color w:val="auto"/>
        </w:rPr>
      </w:pPr>
    </w:p>
    <w:p>
      <w:pPr>
        <w:jc w:val="both"/>
        <w:ind w:left="1260" w:right="899" w:firstLine="360"/>
        <w:spacing w:after="0" w:line="311" w:lineRule="auto"/>
        <w:rPr>
          <w:sz w:val="20"/>
          <w:szCs w:val="20"/>
          <w:color w:val="auto"/>
        </w:rPr>
      </w:pPr>
      <w:r>
        <w:rPr>
          <w:rFonts w:ascii="Arial" w:cs="Arial" w:eastAsia="Arial" w:hAnsi="Arial"/>
          <w:sz w:val="16"/>
          <w:szCs w:val="16"/>
          <w:color w:val="auto"/>
        </w:rPr>
        <w:t>Certain financial instruments that are not carried at fair value on the Consolidated Statements of Financial Condition are carried at amounts that approximate fair value. These instruments include deposits with clearing organizations, accounts receivable, working capital revolving note payable and convertible term note payable.</w:t>
      </w:r>
    </w:p>
    <w:p>
      <w:pPr>
        <w:spacing w:after="0" w:line="41" w:lineRule="exact"/>
        <w:rPr>
          <w:sz w:val="20"/>
          <w:szCs w:val="20"/>
          <w:color w:val="auto"/>
        </w:rPr>
      </w:pPr>
    </w:p>
    <w:p>
      <w:pPr>
        <w:ind w:left="1260" w:right="799" w:firstLine="360"/>
        <w:spacing w:after="0" w:line="342" w:lineRule="auto"/>
        <w:rPr>
          <w:sz w:val="20"/>
          <w:szCs w:val="20"/>
          <w:color w:val="auto"/>
        </w:rPr>
      </w:pPr>
      <w:r>
        <w:rPr>
          <w:rFonts w:ascii="Arial" w:cs="Arial" w:eastAsia="Arial" w:hAnsi="Arial"/>
          <w:sz w:val="16"/>
          <w:szCs w:val="16"/>
          <w:color w:val="auto"/>
        </w:rPr>
        <w:t>Following is a description of the fair value methodologies used for the Company’s instruments measured at fair value, as well as the general classification of such instruments pursuant to the valuation hierarchy:</w:t>
      </w:r>
    </w:p>
    <w:p>
      <w:pPr>
        <w:spacing w:after="0" w:line="16"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6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Company has no instruments that are classified within level 2 or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December 31, 2017 and 2016</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fair value measurements are as follows (in thousands):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Quoted Prices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in active</w:t>
            </w:r>
          </w:p>
        </w:tc>
        <w:tc>
          <w:tcPr>
            <w:tcW w:w="9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4"/>
                <w:szCs w:val="14"/>
                <w:color w:val="auto"/>
              </w:rPr>
            </w:pPr>
          </w:p>
        </w:tc>
        <w:tc>
          <w:tcPr>
            <w:tcW w:w="8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680" w:type="dxa"/>
            <w:vAlign w:val="bottom"/>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Identical</w:t>
            </w:r>
          </w:p>
        </w:tc>
        <w:tc>
          <w:tcPr>
            <w:tcW w:w="9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1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Unobservable</w:t>
            </w:r>
          </w:p>
        </w:tc>
        <w:tc>
          <w:tcPr>
            <w:tcW w:w="680" w:type="dxa"/>
            <w:vAlign w:val="bottom"/>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8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9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Inputs</w:t>
            </w:r>
          </w:p>
        </w:tc>
        <w:tc>
          <w:tcPr>
            <w:tcW w:w="680" w:type="dxa"/>
            <w:vAlign w:val="bottom"/>
          </w:tcPr>
          <w:p>
            <w:pPr>
              <w:spacing w:after="0"/>
              <w:rPr>
                <w:sz w:val="14"/>
                <w:szCs w:val="14"/>
                <w:color w:val="auto"/>
              </w:rPr>
            </w:pPr>
          </w:p>
        </w:tc>
      </w:tr>
      <w:tr>
        <w:trPr>
          <w:trHeight w:val="186"/>
        </w:trPr>
        <w:tc>
          <w:tcPr>
            <w:tcW w:w="4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1120" w:type="dxa"/>
            <w:vAlign w:val="bottom"/>
            <w:gridSpan w:val="5"/>
          </w:tcPr>
          <w:p>
            <w:pPr>
              <w:ind w:left="180"/>
              <w:spacing w:after="0"/>
              <w:rPr>
                <w:sz w:val="20"/>
                <w:szCs w:val="20"/>
                <w:color w:val="auto"/>
              </w:rPr>
            </w:pPr>
            <w:r>
              <w:rPr>
                <w:rFonts w:ascii="Arial" w:cs="Arial" w:eastAsia="Arial" w:hAnsi="Arial"/>
                <w:sz w:val="14"/>
                <w:szCs w:val="14"/>
                <w:b w:val="1"/>
                <w:bCs w:val="1"/>
                <w:color w:val="auto"/>
              </w:rPr>
              <w:t>(Level 3)</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6"/>
        </w:trPr>
        <w:tc>
          <w:tcPr>
            <w:tcW w:w="4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7"/>
        </w:trPr>
        <w:tc>
          <w:tcPr>
            <w:tcW w:w="460" w:type="dxa"/>
            <w:vAlign w:val="bottom"/>
            <w:shd w:val="clear" w:color="auto" w:fill="000000"/>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101,154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101,154</w:t>
            </w:r>
          </w:p>
        </w:tc>
      </w:tr>
      <w:tr>
        <w:trPr>
          <w:trHeight w:val="20"/>
        </w:trPr>
        <w:tc>
          <w:tcPr>
            <w:tcW w:w="46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76"/>
        </w:trPr>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0" w:type="dxa"/>
            <w:vAlign w:val="bottom"/>
            <w:gridSpan w:val="3"/>
          </w:tcPr>
          <w:p>
            <w:pPr>
              <w:jc w:val="center"/>
              <w:ind w:left="21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101,154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101,154</w:t>
            </w:r>
          </w:p>
        </w:tc>
      </w:tr>
      <w:tr>
        <w:trPr>
          <w:trHeight w:val="291"/>
        </w:trPr>
        <w:tc>
          <w:tcPr>
            <w:tcW w:w="3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2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7"/>
        </w:trPr>
        <w:tc>
          <w:tcPr>
            <w:tcW w:w="460" w:type="dxa"/>
            <w:vAlign w:val="bottom"/>
            <w:shd w:val="clear" w:color="auto" w:fill="000000"/>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105,325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105,325</w:t>
            </w:r>
          </w:p>
        </w:tc>
      </w:tr>
      <w:tr>
        <w:trPr>
          <w:trHeight w:val="20"/>
        </w:trPr>
        <w:tc>
          <w:tcPr>
            <w:tcW w:w="46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0" w:type="dxa"/>
            <w:vAlign w:val="bottom"/>
            <w:gridSpan w:val="3"/>
          </w:tcPr>
          <w:p>
            <w:pPr>
              <w:jc w:val="center"/>
              <w:ind w:left="21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105,325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105,325</w:t>
            </w:r>
          </w:p>
        </w:tc>
      </w:tr>
      <w:tr>
        <w:trPr>
          <w:trHeight w:val="20"/>
        </w:trPr>
        <w:tc>
          <w:tcPr>
            <w:tcW w:w="4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-1362075</wp:posOffset>
            </wp:positionV>
            <wp:extent cx="1371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-1362075</wp:posOffset>
            </wp:positionV>
            <wp:extent cx="1371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-1362075</wp:posOffset>
            </wp:positionV>
            <wp:extent cx="299148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Credit Risk</w:t>
      </w:r>
    </w:p>
    <w:p>
      <w:pPr>
        <w:spacing w:after="0" w:line="10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The Company may be exposed to credit risk regarding its receivables, which are primarily receivable from financial institutions, including investment managers and broker/dealers. At December 31, 2017 and 2016, the Company established an allowance for doubtful accounts of $928,000 and $1,078,000, respectively, with regard to these receivables.</w:t>
      </w:r>
    </w:p>
    <w:p>
      <w:pPr>
        <w:spacing w:after="0" w:line="79" w:lineRule="exact"/>
        <w:rPr>
          <w:sz w:val="20"/>
          <w:szCs w:val="20"/>
          <w:color w:val="auto"/>
        </w:rPr>
      </w:pPr>
    </w:p>
    <w:p>
      <w:pPr>
        <w:ind w:left="1260" w:right="679" w:firstLine="360"/>
        <w:spacing w:after="0" w:line="301"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49"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A substantial number of the Company’s transactions are collateralized and executed with, and on behalf of, a limited number of brokers and 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80" w:lineRule="exact"/>
        <w:rPr>
          <w:sz w:val="20"/>
          <w:szCs w:val="20"/>
          <w:color w:val="auto"/>
        </w:rPr>
      </w:pPr>
    </w:p>
    <w:p>
      <w:pPr>
        <w:ind w:left="1260" w:right="739" w:firstLine="360"/>
        <w:spacing w:after="0" w:line="311" w:lineRule="auto"/>
        <w:rPr>
          <w:sz w:val="20"/>
          <w:szCs w:val="20"/>
          <w:color w:val="auto"/>
        </w:rPr>
      </w:pPr>
      <w:r>
        <w:rPr>
          <w:rFonts w:ascii="Arial" w:cs="Arial" w:eastAsia="Arial" w:hAnsi="Arial"/>
          <w:sz w:val="16"/>
          <w:szCs w:val="16"/>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December 31, 2017 and 2016</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Commitments and Contingencies</w:t>
      </w:r>
    </w:p>
    <w:p>
      <w:pPr>
        <w:spacing w:after="0" w:line="67"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The Company is obligated under operating leases in the US and UK for office space through 2027. Minimum rent is expensed on a straight-line basis over the term of the lease. The terms of the leases require the following remaining future minimum rental payments at December 31, 2017 (in thousands):</w:t>
      </w:r>
    </w:p>
    <w:p>
      <w:pPr>
        <w:spacing w:after="0" w:line="76" w:lineRule="exact"/>
        <w:rPr>
          <w:sz w:val="20"/>
          <w:szCs w:val="20"/>
          <w:color w:val="auto"/>
        </w:rPr>
      </w:pPr>
    </w:p>
    <w:tbl>
      <w:tblPr>
        <w:tblLayout w:type="fixed"/>
        <w:tblInd w:w="1980" w:type="dxa"/>
        <w:tblCellMar>
          <w:top w:w="0" w:type="dxa"/>
          <w:left w:w="0" w:type="dxa"/>
          <w:bottom w:w="0" w:type="dxa"/>
          <w:right w:w="0" w:type="dxa"/>
        </w:tblCellMar>
      </w:tblPr>
      <w:tr>
        <w:trPr>
          <w:trHeight w:val="192"/>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6"/>
                <w:szCs w:val="16"/>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29"/>
        </w:trPr>
        <w:tc>
          <w:tcPr>
            <w:tcW w:w="20" w:type="dxa"/>
            <w:vAlign w:val="bottom"/>
          </w:tcPr>
          <w:p>
            <w:pPr>
              <w:spacing w:after="0"/>
              <w:rPr>
                <w:sz w:val="19"/>
                <w:szCs w:val="19"/>
                <w:color w:val="auto"/>
              </w:rPr>
            </w:pPr>
          </w:p>
        </w:tc>
        <w:tc>
          <w:tcPr>
            <w:tcW w:w="5760" w:type="dxa"/>
            <w:vAlign w:val="bottom"/>
            <w:tcBorders>
              <w:top w:val="single" w:sz="8" w:color="auto"/>
            </w:tcBorders>
            <w:shd w:val="clear" w:color="auto" w:fill="CCEEFF"/>
          </w:tcPr>
          <w:p>
            <w:pPr>
              <w:jc w:val="right"/>
              <w:ind w:right="5330"/>
              <w:spacing w:after="0"/>
              <w:rPr>
                <w:sz w:val="20"/>
                <w:szCs w:val="20"/>
                <w:color w:val="auto"/>
              </w:rPr>
            </w:pPr>
            <w:r>
              <w:rPr>
                <w:rFonts w:ascii="Arial" w:cs="Arial" w:eastAsia="Arial" w:hAnsi="Arial"/>
                <w:sz w:val="18"/>
                <w:szCs w:val="18"/>
                <w:color w:val="auto"/>
                <w:w w:val="79"/>
              </w:rPr>
              <w:t>2018</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100" w:type="dxa"/>
            <w:vAlign w:val="bottom"/>
            <w:tcBorders>
              <w:top w:val="single" w:sz="8" w:color="auto"/>
            </w:tcBorders>
            <w:shd w:val="clear" w:color="auto" w:fill="CCEEFF"/>
          </w:tcPr>
          <w:p>
            <w:pPr>
              <w:spacing w:after="0"/>
              <w:rPr>
                <w:sz w:val="19"/>
                <w:szCs w:val="19"/>
                <w:color w:val="auto"/>
              </w:rPr>
            </w:pPr>
          </w:p>
        </w:tc>
      </w:tr>
      <w:tr>
        <w:trPr>
          <w:trHeight w:val="243"/>
        </w:trPr>
        <w:tc>
          <w:tcPr>
            <w:tcW w:w="5780" w:type="dxa"/>
            <w:vAlign w:val="bottom"/>
            <w:gridSpan w:val="2"/>
          </w:tcPr>
          <w:p>
            <w:pPr>
              <w:jc w:val="right"/>
              <w:ind w:right="5330"/>
              <w:spacing w:after="0"/>
              <w:rPr>
                <w:sz w:val="20"/>
                <w:szCs w:val="20"/>
                <w:color w:val="auto"/>
              </w:rPr>
            </w:pPr>
            <w:r>
              <w:rPr>
                <w:rFonts w:ascii="Arial" w:cs="Arial" w:eastAsia="Arial" w:hAnsi="Arial"/>
                <w:sz w:val="18"/>
                <w:szCs w:val="18"/>
                <w:color w:val="auto"/>
                <w:w w:val="84"/>
              </w:rPr>
              <w:t>2019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60" w:type="dxa"/>
            <w:vAlign w:val="bottom"/>
            <w:shd w:val="clear" w:color="auto" w:fill="CCEEFF"/>
          </w:tcPr>
          <w:p>
            <w:pPr>
              <w:jc w:val="right"/>
              <w:ind w:right="5330"/>
              <w:spacing w:after="0"/>
              <w:rPr>
                <w:sz w:val="20"/>
                <w:szCs w:val="20"/>
                <w:color w:val="auto"/>
              </w:rPr>
            </w:pPr>
            <w:r>
              <w:rPr>
                <w:rFonts w:ascii="Arial" w:cs="Arial" w:eastAsia="Arial" w:hAnsi="Arial"/>
                <w:sz w:val="18"/>
                <w:szCs w:val="18"/>
                <w:color w:val="auto"/>
                <w:w w:val="79"/>
              </w:rPr>
              <w:t>2020</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00" w:type="dxa"/>
            <w:vAlign w:val="bottom"/>
            <w:shd w:val="clear" w:color="auto" w:fill="CCEEFF"/>
          </w:tcPr>
          <w:p>
            <w:pPr>
              <w:spacing w:after="0"/>
              <w:rPr>
                <w:sz w:val="21"/>
                <w:szCs w:val="21"/>
                <w:color w:val="auto"/>
              </w:rPr>
            </w:pPr>
          </w:p>
        </w:tc>
      </w:tr>
      <w:tr>
        <w:trPr>
          <w:trHeight w:val="243"/>
        </w:trPr>
        <w:tc>
          <w:tcPr>
            <w:tcW w:w="5780" w:type="dxa"/>
            <w:vAlign w:val="bottom"/>
            <w:gridSpan w:val="2"/>
          </w:tcPr>
          <w:p>
            <w:pPr>
              <w:jc w:val="right"/>
              <w:ind w:right="5330"/>
              <w:spacing w:after="0"/>
              <w:rPr>
                <w:sz w:val="20"/>
                <w:szCs w:val="20"/>
                <w:color w:val="auto"/>
              </w:rPr>
            </w:pPr>
            <w:r>
              <w:rPr>
                <w:rFonts w:ascii="Arial" w:cs="Arial" w:eastAsia="Arial" w:hAnsi="Arial"/>
                <w:sz w:val="18"/>
                <w:szCs w:val="18"/>
                <w:color w:val="auto"/>
                <w:w w:val="84"/>
              </w:rPr>
              <w:t>2021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60" w:type="dxa"/>
            <w:vAlign w:val="bottom"/>
            <w:shd w:val="clear" w:color="auto" w:fill="CCEEFF"/>
          </w:tcPr>
          <w:p>
            <w:pPr>
              <w:jc w:val="right"/>
              <w:ind w:right="5330"/>
              <w:spacing w:after="0"/>
              <w:rPr>
                <w:sz w:val="20"/>
                <w:szCs w:val="20"/>
                <w:color w:val="auto"/>
              </w:rPr>
            </w:pPr>
            <w:r>
              <w:rPr>
                <w:rFonts w:ascii="Arial" w:cs="Arial" w:eastAsia="Arial" w:hAnsi="Arial"/>
                <w:sz w:val="18"/>
                <w:szCs w:val="18"/>
                <w:color w:val="auto"/>
                <w:w w:val="79"/>
              </w:rPr>
              <w:t>2022</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21"/>
                <w:szCs w:val="21"/>
                <w:color w:val="auto"/>
              </w:rPr>
            </w:pPr>
          </w:p>
        </w:tc>
      </w:tr>
      <w:tr>
        <w:trPr>
          <w:trHeight w:val="256"/>
        </w:trPr>
        <w:tc>
          <w:tcPr>
            <w:tcW w:w="60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15,570</w:t>
            </w:r>
          </w:p>
        </w:tc>
        <w:tc>
          <w:tcPr>
            <w:tcW w:w="10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57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-187960</wp:posOffset>
            </wp:positionV>
            <wp:extent cx="429450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29450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-1122045</wp:posOffset>
            </wp:positionV>
            <wp:extent cx="1371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5"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The actual rent charged to occupancy amounted to $11,774,000 and $13,253,000 in 2017 and 2016, respectively.</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One US lease is secured by a letter of credit in the amount of $1,200,000, which is guaranteed by TR.</w:t>
      </w:r>
    </w:p>
    <w:p>
      <w:pPr>
        <w:spacing w:after="0" w:line="115" w:lineRule="exact"/>
        <w:rPr>
          <w:sz w:val="20"/>
          <w:szCs w:val="20"/>
          <w:color w:val="auto"/>
        </w:rPr>
      </w:pPr>
    </w:p>
    <w:p>
      <w:pPr>
        <w:ind w:left="1260" w:right="839" w:firstLine="360"/>
        <w:spacing w:after="0" w:line="296" w:lineRule="auto"/>
        <w:rPr>
          <w:sz w:val="20"/>
          <w:szCs w:val="20"/>
          <w:color w:val="auto"/>
        </w:rPr>
      </w:pPr>
      <w:r>
        <w:rPr>
          <w:rFonts w:ascii="Arial" w:cs="Arial" w:eastAsia="Arial" w:hAnsi="Arial"/>
          <w:sz w:val="16"/>
          <w:szCs w:val="16"/>
          <w:color w:val="auto"/>
        </w:rPr>
        <w:t>In the normal course of business, the Company enters into user agreements with its dealers which provide the dealers with indemnification from third parties in the event that the Tradeweb Network infringes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40"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The Company has been named as a defendant in antitrust actions (consolidated). The Company believes it has substantial defenses to plaintiffs’ claims and intends to defend itself vigorously. Any evaluation of the likelihood of an unfavorable outcome or estimate of the amount or range of potential loss as a result is too speculative at this time.</w:t>
      </w:r>
    </w:p>
    <w:p>
      <w:pPr>
        <w:spacing w:after="0" w:line="156" w:lineRule="exact"/>
        <w:rPr>
          <w:sz w:val="20"/>
          <w:szCs w:val="20"/>
          <w:color w:val="auto"/>
        </w:rPr>
      </w:pPr>
    </w:p>
    <w:p>
      <w:pPr>
        <w:ind w:left="1620" w:hanging="352"/>
        <w:spacing w:after="0"/>
        <w:tabs>
          <w:tab w:leader="none" w:pos="16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6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w:t>
      </w:r>
    </w:p>
    <w:p>
      <w:pPr>
        <w:spacing w:after="0" w:line="149"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For the year ended</w:t>
      </w:r>
    </w:p>
    <w:p>
      <w:pPr>
        <w:spacing w:after="0" w:line="17"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22225</wp:posOffset>
            </wp:positionV>
            <wp:extent cx="10287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3"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58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r>
      <w:tr>
        <w:trPr>
          <w:trHeight w:val="229"/>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(in thousands)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r>
      <w:tr>
        <w:trPr>
          <w:trHeight w:val="243"/>
        </w:trPr>
        <w:tc>
          <w:tcPr>
            <w:tcW w:w="588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153,046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151,902</w:t>
            </w: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convertible term note payable</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88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153,046</w:t>
            </w:r>
          </w:p>
        </w:tc>
        <w:tc>
          <w:tcPr>
            <w:tcW w:w="22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151,902</w:t>
            </w:r>
          </w:p>
        </w:tc>
      </w:tr>
      <w:tr>
        <w:trPr>
          <w:trHeight w:val="223"/>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546.55</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613.30</w:t>
            </w: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-1019810</wp:posOffset>
            </wp:positionV>
            <wp:extent cx="430339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55" w:lineRule="exact"/>
        <w:rPr>
          <w:sz w:val="20"/>
          <w:szCs w:val="20"/>
          <w:color w:val="auto"/>
        </w:rPr>
      </w:pPr>
    </w:p>
    <w:p>
      <w:pPr>
        <w:jc w:val="both"/>
        <w:ind w:left="1260" w:right="839" w:firstLine="360"/>
        <w:spacing w:after="0" w:line="342" w:lineRule="auto"/>
        <w:rPr>
          <w:sz w:val="20"/>
          <w:szCs w:val="20"/>
          <w:color w:val="auto"/>
        </w:rPr>
      </w:pPr>
      <w:r>
        <w:rPr>
          <w:rFonts w:ascii="Arial" w:cs="Arial" w:eastAsia="Arial" w:hAnsi="Arial"/>
          <w:sz w:val="16"/>
          <w:szCs w:val="16"/>
          <w:color w:val="auto"/>
        </w:rPr>
        <w:t>Shares from the convertible term note payable totaling 644 and 1,835 in 2017 and 2016, respectively, were excluded from the computation of diluted earnings per share because their effect would have been anti-dilutive.</w:t>
      </w:r>
    </w:p>
    <w:p>
      <w:pPr>
        <w:spacing w:after="0" w:line="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Regulatory Capital Requirements</w:t>
      </w:r>
    </w:p>
    <w:p>
      <w:pPr>
        <w:spacing w:after="0" w:line="67"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TWL, DW and TWD are subject to the Uniform Net Capital Rule 15c3-1 under the Securities Exchange Act of 1934. TEL is subject to certain financial resource requirements with the FCA in the UK and its Japan branch and TWJ are subject to certain financial resource requirements with the FCA in Japan.</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December 31, 2017 and 2016</w:t>
      </w:r>
    </w:p>
    <w:p>
      <w:pPr>
        <w:spacing w:after="0" w:line="196"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At December 31, 2017 and 2016, the regulatory capital requirements and regulatory capital for TWL, DW, TWD and TEL were as follows (in thousands):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8"/>
              </w:rPr>
              <w:t>TEL Japan</w:t>
            </w: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TEL</w:t>
            </w:r>
          </w:p>
        </w:tc>
      </w:tr>
      <w:tr>
        <w:trPr>
          <w:trHeight w:val="186"/>
        </w:trPr>
        <w:tc>
          <w:tcPr>
            <w:tcW w:w="1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TWL</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DW</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TWD</w:t>
            </w:r>
          </w:p>
        </w:tc>
        <w:tc>
          <w:tcPr>
            <w:tcW w:w="120" w:type="dxa"/>
            <w:vAlign w:val="bottom"/>
          </w:tcPr>
          <w:p>
            <w:pPr>
              <w:spacing w:after="0"/>
              <w:rPr>
                <w:sz w:val="16"/>
                <w:szCs w:val="16"/>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TEL</w:t>
            </w:r>
          </w:p>
        </w:tc>
        <w:tc>
          <w:tcPr>
            <w:tcW w:w="100" w:type="dxa"/>
            <w:vAlign w:val="bottom"/>
          </w:tcPr>
          <w:p>
            <w:pPr>
              <w:spacing w:after="0"/>
              <w:rPr>
                <w:sz w:val="16"/>
                <w:szCs w:val="16"/>
                <w:color w:val="auto"/>
              </w:rPr>
            </w:pPr>
          </w:p>
        </w:tc>
        <w:tc>
          <w:tcPr>
            <w:tcW w:w="8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Branch</w:t>
            </w: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TWJ</w:t>
            </w:r>
          </w:p>
        </w:tc>
      </w:tr>
      <w:tr>
        <w:trPr>
          <w:trHeight w:val="26"/>
        </w:trPr>
        <w:tc>
          <w:tcPr>
            <w:tcW w:w="19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3"/>
        </w:trPr>
        <w:tc>
          <w:tcPr>
            <w:tcW w:w="1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8"/>
              </w:rPr>
              <w:t>As of December 31, 2017</w:t>
            </w:r>
          </w:p>
        </w:tc>
        <w:tc>
          <w:tcPr>
            <w:tcW w:w="1560" w:type="dxa"/>
            <w:vAlign w:val="bottom"/>
            <w:tcBorders>
              <w:bottom w:val="single" w:sz="8" w:color="CCEEFF"/>
              <w:right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r>
      <w:tr>
        <w:trPr>
          <w:trHeight w:val="243"/>
        </w:trPr>
        <w:tc>
          <w:tcPr>
            <w:tcW w:w="3460" w:type="dxa"/>
            <w:vAlign w:val="bottom"/>
            <w:gridSpan w:val="2"/>
          </w:tcPr>
          <w:p>
            <w:pPr>
              <w:spacing w:after="0"/>
              <w:rPr>
                <w:sz w:val="20"/>
                <w:szCs w:val="20"/>
                <w:color w:val="auto"/>
              </w:rPr>
            </w:pPr>
            <w:r>
              <w:rPr>
                <w:rFonts w:ascii="Arial" w:cs="Arial" w:eastAsia="Arial" w:hAnsi="Arial"/>
                <w:sz w:val="18"/>
                <w:szCs w:val="18"/>
                <w:color w:val="auto"/>
              </w:rPr>
              <w:t>Regulatory Capital</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$22,551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$35,546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$16,965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31,509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$5,326</w:t>
            </w:r>
          </w:p>
        </w:tc>
      </w:tr>
      <w:tr>
        <w:trPr>
          <w:trHeight w:val="256"/>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Regulatory Capital Requirement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20" w:type="dxa"/>
            <w:vAlign w:val="bottom"/>
            <w:tcBorders>
              <w:right w:val="single" w:sz="8" w:color="CCEEFF"/>
            </w:tcBorders>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18,034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0"/>
        </w:trPr>
        <w:tc>
          <w:tcPr>
            <w:tcW w:w="1900" w:type="dxa"/>
            <w:vAlign w:val="bottom"/>
            <w:shd w:val="clear" w:color="auto" w:fill="CCEEFF"/>
          </w:tcPr>
          <w:p>
            <w:pPr>
              <w:spacing w:after="0" w:line="20" w:lineRule="exact"/>
              <w:rPr>
                <w:sz w:val="1"/>
                <w:szCs w:val="1"/>
                <w:color w:val="auto"/>
              </w:rPr>
            </w:pPr>
          </w:p>
        </w:tc>
        <w:tc>
          <w:tcPr>
            <w:tcW w:w="15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77"/>
        </w:trPr>
        <w:tc>
          <w:tcPr>
            <w:tcW w:w="3460" w:type="dxa"/>
            <w:vAlign w:val="bottom"/>
            <w:gridSpan w:val="2"/>
          </w:tcPr>
          <w:p>
            <w:pPr>
              <w:spacing w:after="0"/>
              <w:rPr>
                <w:sz w:val="20"/>
                <w:szCs w:val="20"/>
                <w:color w:val="auto"/>
              </w:rPr>
            </w:pPr>
            <w:r>
              <w:rPr>
                <w:rFonts w:ascii="Arial" w:cs="Arial" w:eastAsia="Arial" w:hAnsi="Arial"/>
                <w:sz w:val="18"/>
                <w:szCs w:val="18"/>
                <w:color w:val="auto"/>
              </w:rPr>
              <w:t>Excess Regulatory Capital</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20,962</w:t>
            </w:r>
          </w:p>
        </w:tc>
        <w:tc>
          <w:tcPr>
            <w:tcW w:w="2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33,934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16,587</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13,475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4,365</w:t>
            </w:r>
          </w:p>
        </w:tc>
      </w:tr>
      <w:tr>
        <w:trPr>
          <w:trHeight w:val="271"/>
        </w:trPr>
        <w:tc>
          <w:tcPr>
            <w:tcW w:w="190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As of December 31, 2016</w:t>
            </w:r>
          </w:p>
        </w:tc>
        <w:tc>
          <w:tcPr>
            <w:tcW w:w="1560" w:type="dxa"/>
            <w:vAlign w:val="bottom"/>
            <w:tcBorders>
              <w:top w:val="single" w:sz="8" w:color="CCEEFF"/>
              <w:bottom w:val="single" w:sz="8" w:color="CCEEFF"/>
              <w:right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43"/>
        </w:trPr>
        <w:tc>
          <w:tcPr>
            <w:tcW w:w="3460" w:type="dxa"/>
            <w:vAlign w:val="bottom"/>
            <w:gridSpan w:val="2"/>
          </w:tcPr>
          <w:p>
            <w:pPr>
              <w:spacing w:after="0"/>
              <w:rPr>
                <w:sz w:val="20"/>
                <w:szCs w:val="20"/>
                <w:color w:val="auto"/>
              </w:rPr>
            </w:pPr>
            <w:r>
              <w:rPr>
                <w:rFonts w:ascii="Arial" w:cs="Arial" w:eastAsia="Arial" w:hAnsi="Arial"/>
                <w:sz w:val="18"/>
                <w:szCs w:val="18"/>
                <w:color w:val="auto"/>
              </w:rPr>
              <w:t>Regulatory Capital</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$17,326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$20,303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$16,651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21,614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$ 4,808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7"/>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Regulatory Capital Requirement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220" w:type="dxa"/>
            <w:vAlign w:val="bottom"/>
            <w:tcBorders>
              <w:right w:val="single" w:sz="8" w:color="CCEEFF"/>
            </w:tcBorders>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13,390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0"/>
        </w:trPr>
        <w:tc>
          <w:tcPr>
            <w:tcW w:w="1900" w:type="dxa"/>
            <w:vAlign w:val="bottom"/>
            <w:shd w:val="clear" w:color="auto" w:fill="CCEEFF"/>
          </w:tcPr>
          <w:p>
            <w:pPr>
              <w:spacing w:after="0" w:line="20" w:lineRule="exact"/>
              <w:rPr>
                <w:sz w:val="1"/>
                <w:szCs w:val="1"/>
                <w:color w:val="auto"/>
              </w:rPr>
            </w:pPr>
          </w:p>
        </w:tc>
        <w:tc>
          <w:tcPr>
            <w:tcW w:w="15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r>
      <w:tr>
        <w:trPr>
          <w:trHeight w:val="236"/>
        </w:trPr>
        <w:tc>
          <w:tcPr>
            <w:tcW w:w="3460" w:type="dxa"/>
            <w:vAlign w:val="bottom"/>
            <w:gridSpan w:val="2"/>
          </w:tcPr>
          <w:p>
            <w:pPr>
              <w:spacing w:after="0"/>
              <w:rPr>
                <w:sz w:val="20"/>
                <w:szCs w:val="20"/>
                <w:color w:val="auto"/>
              </w:rPr>
            </w:pPr>
            <w:r>
              <w:rPr>
                <w:rFonts w:ascii="Arial" w:cs="Arial" w:eastAsia="Arial" w:hAnsi="Arial"/>
                <w:sz w:val="18"/>
                <w:szCs w:val="18"/>
                <w:color w:val="auto"/>
              </w:rPr>
              <w:t>Excess Regulatory Capital</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15,436</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18,475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8,224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$ 3,799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1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-1362710</wp:posOffset>
            </wp:positionV>
            <wp:extent cx="13716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-1362710</wp:posOffset>
            </wp:positionV>
            <wp:extent cx="13716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-1362710</wp:posOffset>
            </wp:positionV>
            <wp:extent cx="13716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-1362710</wp:posOffset>
            </wp:positionV>
            <wp:extent cx="13716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-1362710</wp:posOffset>
            </wp:positionV>
            <wp:extent cx="270891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263"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As SEFs, TW SEF and DW SEF are required to maintain adequate financial resources and liquid financial assets in accordance with CFTC regulations. The required and maintained financial resources and liquid financial assets at December 31, 2017 and 2016 are as follows (in thousands):</w:t>
      </w:r>
    </w:p>
    <w:p>
      <w:pPr>
        <w:spacing w:after="0" w:line="94"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TW SEF</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DW SEF</w:t>
            </w:r>
          </w:p>
        </w:tc>
        <w:tc>
          <w:tcPr>
            <w:tcW w:w="0" w:type="dxa"/>
            <w:vAlign w:val="bottom"/>
          </w:tcPr>
          <w:p>
            <w:pPr>
              <w:spacing w:after="0"/>
              <w:rPr>
                <w:sz w:val="1"/>
                <w:szCs w:val="1"/>
                <w:color w:val="auto"/>
              </w:rPr>
            </w:pPr>
          </w:p>
        </w:tc>
      </w:tr>
      <w:tr>
        <w:trPr>
          <w:trHeight w:val="26"/>
        </w:trPr>
        <w:tc>
          <w:tcPr>
            <w:tcW w:w="190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As of December 31, 2017</w:t>
            </w:r>
          </w:p>
        </w:tc>
        <w:tc>
          <w:tcPr>
            <w:tcW w:w="384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40" w:type="dxa"/>
            <w:vAlign w:val="bottom"/>
            <w:gridSpan w:val="3"/>
          </w:tcPr>
          <w:p>
            <w:pPr>
              <w:spacing w:after="0"/>
              <w:rPr>
                <w:sz w:val="20"/>
                <w:szCs w:val="20"/>
                <w:color w:val="auto"/>
              </w:rPr>
            </w:pPr>
            <w:r>
              <w:rPr>
                <w:rFonts w:ascii="Arial" w:cs="Arial" w:eastAsia="Arial" w:hAnsi="Arial"/>
                <w:sz w:val="18"/>
                <w:szCs w:val="18"/>
                <w:color w:val="auto"/>
              </w:rPr>
              <w:t>Financial Resources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23,349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20,069</w:t>
            </w:r>
          </w:p>
        </w:tc>
        <w:tc>
          <w:tcPr>
            <w:tcW w:w="0" w:type="dxa"/>
            <w:vAlign w:val="bottom"/>
          </w:tcPr>
          <w:p>
            <w:pPr>
              <w:spacing w:after="0"/>
              <w:rPr>
                <w:sz w:val="1"/>
                <w:szCs w:val="1"/>
                <w:color w:val="auto"/>
              </w:rPr>
            </w:pPr>
          </w:p>
        </w:tc>
      </w:tr>
      <w:tr>
        <w:trPr>
          <w:trHeight w:val="263"/>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Financial Resources</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10,500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740" w:type="dxa"/>
            <w:vAlign w:val="bottom"/>
            <w:gridSpan w:val="3"/>
          </w:tcPr>
          <w:p>
            <w:pPr>
              <w:spacing w:after="0"/>
              <w:rPr>
                <w:sz w:val="20"/>
                <w:szCs w:val="20"/>
                <w:color w:val="auto"/>
              </w:rPr>
            </w:pPr>
            <w:r>
              <w:rPr>
                <w:rFonts w:ascii="Arial" w:cs="Arial" w:eastAsia="Arial" w:hAnsi="Arial"/>
                <w:sz w:val="18"/>
                <w:szCs w:val="18"/>
                <w:color w:val="auto"/>
              </w:rPr>
              <w:t>Excess Financial Resources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12,849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14,194</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Liquid Financial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14,084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13,865</w:t>
            </w: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Required Liquid Financial Assets</w:t>
            </w: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Excess Liquid Financial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10,972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As of December 31, 2016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gridSpan w:val="3"/>
            <w:vMerge w:val="continue"/>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Resources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22,655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17,574</w:t>
            </w:r>
          </w:p>
        </w:tc>
        <w:tc>
          <w:tcPr>
            <w:tcW w:w="0" w:type="dxa"/>
            <w:vAlign w:val="bottom"/>
          </w:tcPr>
          <w:p>
            <w:pPr>
              <w:spacing w:after="0"/>
              <w:rPr>
                <w:sz w:val="1"/>
                <w:szCs w:val="1"/>
                <w:color w:val="auto"/>
              </w:rPr>
            </w:pPr>
          </w:p>
        </w:tc>
      </w:tr>
      <w:tr>
        <w:trPr>
          <w:trHeight w:val="263"/>
        </w:trPr>
        <w:tc>
          <w:tcPr>
            <w:tcW w:w="5740" w:type="dxa"/>
            <w:vAlign w:val="bottom"/>
            <w:gridSpan w:val="3"/>
          </w:tcPr>
          <w:p>
            <w:pPr>
              <w:spacing w:after="0"/>
              <w:rPr>
                <w:sz w:val="20"/>
                <w:szCs w:val="20"/>
                <w:color w:val="auto"/>
              </w:rPr>
            </w:pPr>
            <w:r>
              <w:rPr>
                <w:rFonts w:ascii="Arial" w:cs="Arial" w:eastAsia="Arial" w:hAnsi="Arial"/>
                <w:sz w:val="18"/>
                <w:szCs w:val="18"/>
                <w:color w:val="auto"/>
              </w:rPr>
              <w:t>Required Financial Resources</w:t>
            </w:r>
          </w:p>
        </w:tc>
        <w:tc>
          <w:tcPr>
            <w:tcW w:w="8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10,500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5,764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Excess Financial Resources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12,155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11,810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Liquid Financial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13,763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Required Liquid Financial Assets</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40" w:type="dxa"/>
            <w:vAlign w:val="bottom"/>
            <w:gridSpan w:val="3"/>
          </w:tcPr>
          <w:p>
            <w:pPr>
              <w:spacing w:after="0"/>
              <w:rPr>
                <w:sz w:val="20"/>
                <w:szCs w:val="20"/>
                <w:color w:val="auto"/>
              </w:rPr>
            </w:pPr>
            <w:r>
              <w:rPr>
                <w:rFonts w:ascii="Arial" w:cs="Arial" w:eastAsia="Arial" w:hAnsi="Arial"/>
                <w:sz w:val="18"/>
                <w:szCs w:val="18"/>
                <w:color w:val="auto"/>
              </w:rPr>
              <w:t>Excess Liquid Financial Assets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-736600</wp:posOffset>
            </wp:positionV>
            <wp:extent cx="474916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-1482090</wp:posOffset>
            </wp:positionV>
            <wp:extent cx="474916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-2519680</wp:posOffset>
            </wp:positionV>
            <wp:extent cx="42005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18.  Employees Savings Plan</w:t>
      </w:r>
    </w:p>
    <w:p>
      <w:pPr>
        <w:spacing w:after="0" w:line="10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The Company sponsors a 401(k) savings plan for its US employees. Employees may voluntarily contribute up to 75% of their annual compensation, including bonus. The Company matches 100% of the employee’s contribution, up to 4%, which vests immediately. Company’s expense for matching contributions for these plans was $4,137,000 and $4,179,000 in 2017 and 2016, respectively.</w:t>
      </w:r>
    </w:p>
    <w:p>
      <w:pPr>
        <w:spacing w:after="0" w:line="79"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The Company has deferred compensation plans for its UK and Asia employees. Employer contributions to the plan were $1,242,000 and $1,181,000 in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December 31, 2017 and 2016</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19.  Business Segment and Geographic Information</w:t>
      </w:r>
    </w:p>
    <w:p>
      <w:pPr>
        <w:spacing w:after="0" w:line="108" w:lineRule="exact"/>
        <w:rPr>
          <w:sz w:val="20"/>
          <w:szCs w:val="20"/>
          <w:color w:val="auto"/>
        </w:rPr>
      </w:pPr>
    </w:p>
    <w:p>
      <w:pPr>
        <w:ind w:left="1260" w:right="939" w:firstLine="360"/>
        <w:spacing w:after="0" w:line="257" w:lineRule="auto"/>
        <w:rPr>
          <w:sz w:val="20"/>
          <w:szCs w:val="20"/>
          <w:color w:val="auto"/>
        </w:rPr>
      </w:pPr>
      <w:r>
        <w:rPr>
          <w:rFonts w:ascii="Arial" w:cs="Arial" w:eastAsia="Arial" w:hAnsi="Arial"/>
          <w:sz w:val="18"/>
          <w:szCs w:val="18"/>
          <w:color w:val="auto"/>
        </w:rPr>
        <w:t>The Company operates electronic over-the-counter marketplaces for the trading of fixed income and derivative securities and provides related pre-trade pricing and post-trade processing services. The Company’s operations constitute a single business segment because of the integrated nature of these marketplaces and services. Information regarding revenue by client sector for the two years ended December 31, 2017 and 2016 follows (in thousands):</w:t>
      </w:r>
    </w:p>
    <w:p>
      <w:pPr>
        <w:spacing w:after="0" w:line="85" w:lineRule="exact"/>
        <w:rPr>
          <w:sz w:val="20"/>
          <w:szCs w:val="20"/>
          <w:color w:val="auto"/>
        </w:rPr>
      </w:pPr>
    </w:p>
    <w:tbl>
      <w:tblPr>
        <w:tblLayout w:type="fixed"/>
        <w:tblInd w:w="19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Institutional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318,038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285,801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Wholesale</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118,451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109,945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Retail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70,857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67,471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Market Data</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w:t>
            </w:r>
          </w:p>
        </w:tc>
        <w:tc>
          <w:tcPr>
            <w:tcW w:w="10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(58,520)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(26,224)</w:t>
            </w: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504,448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492,180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415,356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399,049</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89,092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93,131</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-187960</wp:posOffset>
            </wp:positionV>
            <wp:extent cx="429450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-488315</wp:posOffset>
            </wp:positionV>
            <wp:extent cx="429450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-1336675</wp:posOffset>
            </wp:positionV>
            <wp:extent cx="373761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90"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The Company operates in the U.S. and internationally, primarily in Europe and Asia.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 Information regarding revenue for the two years ended December 31, 2017 and 2016 and long-lived assets as of December 31, 2017 and 2016 follows (in thousands):</w:t>
      </w:r>
    </w:p>
    <w:p>
      <w:pPr>
        <w:spacing w:after="0" w:line="103"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5"/>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260" w:type="dxa"/>
            <w:vAlign w:val="bottom"/>
            <w:tcBorders>
              <w:top w:val="single" w:sz="8" w:color="CCEEFF"/>
              <w:right w:val="single" w:sz="8" w:color="CCEEFF"/>
            </w:tcBorders>
            <w:shd w:val="clear" w:color="auto" w:fill="CCEEFF"/>
          </w:tcPr>
          <w:p>
            <w:pPr>
              <w:spacing w:after="0"/>
              <w:rPr>
                <w:sz w:val="21"/>
                <w:szCs w:val="21"/>
                <w:color w:val="auto"/>
              </w:rPr>
            </w:pPr>
          </w:p>
        </w:tc>
        <w:tc>
          <w:tcPr>
            <w:tcW w:w="720" w:type="dxa"/>
            <w:vAlign w:val="bottom"/>
            <w:tcBorders>
              <w:top w:val="single" w:sz="8" w:color="auto"/>
              <w:right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$385,176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$365,308</w:t>
            </w:r>
          </w:p>
        </w:tc>
        <w:tc>
          <w:tcPr>
            <w:tcW w:w="10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177,792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153,096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Gross revenue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562,968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518,404</w:t>
            </w:r>
          </w:p>
        </w:tc>
        <w:tc>
          <w:tcPr>
            <w:tcW w:w="10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w:t>
            </w:r>
          </w:p>
        </w:tc>
        <w:tc>
          <w:tcPr>
            <w:tcW w:w="260" w:type="dxa"/>
            <w:vAlign w:val="bottom"/>
            <w:tcBorders>
              <w:right w:val="single" w:sz="8" w:color="CCEEFF"/>
            </w:tcBorders>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(58,520)</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(26,224)</w:t>
            </w: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7"/>
        </w:trPr>
        <w:tc>
          <w:tcPr>
            <w:tcW w:w="4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504,448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492,180</w:t>
            </w:r>
          </w:p>
        </w:tc>
        <w:tc>
          <w:tcPr>
            <w:tcW w:w="1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r>
      <w:tr>
        <w:trPr>
          <w:trHeight w:val="25"/>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60" w:type="dxa"/>
            <w:vAlign w:val="bottom"/>
            <w:tcBorders>
              <w:top w:val="single" w:sz="8" w:color="CCEEFF"/>
              <w:right w:val="single" w:sz="8" w:color="CCEEFF"/>
            </w:tcBorders>
            <w:shd w:val="clear" w:color="auto" w:fill="CCEEFF"/>
          </w:tcPr>
          <w:p>
            <w:pPr>
              <w:spacing w:after="0"/>
              <w:rPr>
                <w:sz w:val="21"/>
                <w:szCs w:val="21"/>
                <w:color w:val="auto"/>
              </w:rPr>
            </w:pPr>
          </w:p>
        </w:tc>
        <w:tc>
          <w:tcPr>
            <w:tcW w:w="720" w:type="dxa"/>
            <w:vAlign w:val="bottom"/>
            <w:tcBorders>
              <w:top w:val="single" w:sz="8" w:color="auto"/>
              <w:right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$845,599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$876,622</w:t>
            </w:r>
          </w:p>
        </w:tc>
        <w:tc>
          <w:tcPr>
            <w:tcW w:w="10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56"/>
        </w:trPr>
        <w:tc>
          <w:tcPr>
            <w:tcW w:w="4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853,586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881,170</w:t>
            </w:r>
          </w:p>
        </w:tc>
        <w:tc>
          <w:tcPr>
            <w:tcW w:w="1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-2030730</wp:posOffset>
            </wp:positionV>
            <wp:extent cx="373761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737610" cy="889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-702310</wp:posOffset>
            </wp:positionV>
            <wp:extent cx="373761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  Subsequent Events</w:t>
      </w:r>
    </w:p>
    <w:p>
      <w:pPr>
        <w:spacing w:after="0" w:line="108" w:lineRule="exact"/>
        <w:rPr>
          <w:sz w:val="20"/>
          <w:szCs w:val="20"/>
          <w:color w:val="auto"/>
        </w:rPr>
      </w:pPr>
    </w:p>
    <w:p>
      <w:pPr>
        <w:ind w:left="1260" w:right="779" w:firstLine="360"/>
        <w:spacing w:after="0" w:line="301" w:lineRule="auto"/>
        <w:rPr>
          <w:sz w:val="20"/>
          <w:szCs w:val="20"/>
          <w:color w:val="auto"/>
        </w:rPr>
      </w:pPr>
      <w:r>
        <w:rPr>
          <w:rFonts w:ascii="Arial" w:cs="Arial" w:eastAsia="Arial" w:hAnsi="Arial"/>
          <w:sz w:val="16"/>
          <w:szCs w:val="16"/>
          <w:color w:val="auto"/>
        </w:rPr>
        <w:t>On January 30, 2018, TR and Blackstone announced that they signed a definitive agreement for Blackstone to acquire 55% of the Thomson Reuters Financial &amp; Risk Business, which includes the TR majority ownership interest in the Company. There were no other subsequent events requiring adjustment to the financial statements or disclosure through September 28, 2018, the date that the Company’s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511810</wp:posOffset>
            </wp:positionV>
            <wp:extent cx="5212080"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571500</wp:posOffset>
            </wp:positionV>
            <wp:extent cx="52120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00"/>
        <w:spacing w:after="0"/>
        <w:rPr>
          <w:sz w:val="20"/>
          <w:szCs w:val="20"/>
          <w:color w:val="auto"/>
        </w:rPr>
      </w:pPr>
      <w:r>
        <w:rPr>
          <w:rFonts w:ascii="Arial" w:cs="Arial" w:eastAsia="Arial" w:hAnsi="Arial"/>
          <w:sz w:val="25"/>
          <w:szCs w:val="25"/>
          <w:b w:val="1"/>
          <w:bCs w:val="1"/>
          <w:color w:val="auto"/>
        </w:rPr>
        <w:t>Shares</w:t>
      </w: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Tradeweb Markets Inc.</w:t>
      </w:r>
    </w:p>
    <w:p>
      <w:pPr>
        <w:spacing w:after="0" w:line="200" w:lineRule="exact"/>
        <w:rPr>
          <w:sz w:val="20"/>
          <w:szCs w:val="20"/>
          <w:color w:val="auto"/>
        </w:rPr>
      </w:pPr>
    </w:p>
    <w:p>
      <w:pPr>
        <w:spacing w:after="0" w:line="215" w:lineRule="exact"/>
        <w:rPr>
          <w:sz w:val="20"/>
          <w:szCs w:val="20"/>
          <w:color w:val="auto"/>
        </w:rPr>
      </w:pPr>
    </w:p>
    <w:p>
      <w:pPr>
        <w:ind w:left="4100"/>
        <w:spacing w:after="0"/>
        <w:rPr>
          <w:sz w:val="20"/>
          <w:szCs w:val="20"/>
          <w:color w:val="auto"/>
        </w:rPr>
      </w:pPr>
      <w:r>
        <w:rPr>
          <w:rFonts w:ascii="Arial" w:cs="Arial" w:eastAsia="Arial" w:hAnsi="Arial"/>
          <w:sz w:val="25"/>
          <w:szCs w:val="25"/>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40"/>
        <w:spacing w:after="0"/>
        <w:rPr>
          <w:sz w:val="20"/>
          <w:szCs w:val="20"/>
          <w:color w:val="auto"/>
        </w:rPr>
      </w:pPr>
      <w:r>
        <w:rPr>
          <w:rFonts w:ascii="Arial" w:cs="Arial" w:eastAsia="Arial" w:hAnsi="Arial"/>
          <w:sz w:val="25"/>
          <w:szCs w:val="25"/>
          <w:b w:val="1"/>
          <w:bCs w:val="1"/>
          <w:color w:val="auto"/>
        </w:rPr>
        <w:t>Citigroup</w:t>
      </w:r>
    </w:p>
    <w:p>
      <w:pPr>
        <w:spacing w:after="0" w:line="200" w:lineRule="exact"/>
        <w:rPr>
          <w:sz w:val="20"/>
          <w:szCs w:val="20"/>
          <w:color w:val="auto"/>
        </w:rPr>
      </w:pPr>
    </w:p>
    <w:p>
      <w:pPr>
        <w:spacing w:after="0" w:line="215" w:lineRule="exact"/>
        <w:rPr>
          <w:sz w:val="20"/>
          <w:szCs w:val="20"/>
          <w:color w:val="auto"/>
        </w:rPr>
      </w:pPr>
    </w:p>
    <w:p>
      <w:pPr>
        <w:ind w:left="3880"/>
        <w:spacing w:after="0"/>
        <w:rPr>
          <w:sz w:val="20"/>
          <w:szCs w:val="20"/>
          <w:color w:val="auto"/>
        </w:rPr>
      </w:pPr>
      <w:r>
        <w:rPr>
          <w:rFonts w:ascii="Arial" w:cs="Arial" w:eastAsia="Arial" w:hAnsi="Arial"/>
          <w:sz w:val="25"/>
          <w:szCs w:val="25"/>
          <w:b w:val="1"/>
          <w:bCs w:val="1"/>
          <w:color w:val="auto"/>
        </w:rPr>
        <w:t>Goldman Sachs &amp; Co. LLC</w:t>
      </w:r>
    </w:p>
    <w:p>
      <w:pPr>
        <w:spacing w:after="0" w:line="200" w:lineRule="exact"/>
        <w:rPr>
          <w:sz w:val="20"/>
          <w:szCs w:val="20"/>
          <w:color w:val="auto"/>
        </w:rPr>
      </w:pPr>
    </w:p>
    <w:p>
      <w:pPr>
        <w:spacing w:after="0" w:line="215" w:lineRule="exact"/>
        <w:rPr>
          <w:sz w:val="20"/>
          <w:szCs w:val="20"/>
          <w:color w:val="auto"/>
        </w:rPr>
      </w:pPr>
    </w:p>
    <w:p>
      <w:pPr>
        <w:ind w:left="4720"/>
        <w:spacing w:after="0"/>
        <w:rPr>
          <w:sz w:val="20"/>
          <w:szCs w:val="20"/>
          <w:color w:val="auto"/>
        </w:rPr>
      </w:pPr>
      <w:r>
        <w:rPr>
          <w:rFonts w:ascii="Arial" w:cs="Arial" w:eastAsia="Arial" w:hAnsi="Arial"/>
          <w:sz w:val="25"/>
          <w:szCs w:val="25"/>
          <w:b w:val="1"/>
          <w:bCs w:val="1"/>
          <w:color w:val="auto"/>
        </w:rPr>
        <w:t>J.P. Morgan</w:t>
      </w:r>
    </w:p>
    <w:p>
      <w:pPr>
        <w:spacing w:after="0" w:line="200" w:lineRule="exact"/>
        <w:rPr>
          <w:sz w:val="20"/>
          <w:szCs w:val="20"/>
          <w:color w:val="auto"/>
        </w:rPr>
      </w:pPr>
    </w:p>
    <w:p>
      <w:pPr>
        <w:spacing w:after="0" w:line="215" w:lineRule="exact"/>
        <w:rPr>
          <w:sz w:val="20"/>
          <w:szCs w:val="20"/>
          <w:color w:val="auto"/>
        </w:rPr>
      </w:pPr>
    </w:p>
    <w:p>
      <w:pPr>
        <w:ind w:left="4500"/>
        <w:spacing w:after="0"/>
        <w:rPr>
          <w:sz w:val="20"/>
          <w:szCs w:val="20"/>
          <w:color w:val="auto"/>
        </w:rPr>
      </w:pPr>
      <w:r>
        <w:rPr>
          <w:rFonts w:ascii="Arial" w:cs="Arial" w:eastAsia="Arial" w:hAnsi="Arial"/>
          <w:sz w:val="25"/>
          <w:szCs w:val="25"/>
          <w:b w:val="1"/>
          <w:bCs w:val="1"/>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60" w:right="819"/>
        <w:spacing w:after="0" w:line="242" w:lineRule="auto"/>
        <w:rPr>
          <w:sz w:val="20"/>
          <w:szCs w:val="20"/>
          <w:color w:val="auto"/>
        </w:rPr>
      </w:pPr>
      <w:r>
        <w:rPr>
          <w:rFonts w:ascii="Arial" w:cs="Arial" w:eastAsia="Arial" w:hAnsi="Arial"/>
          <w:sz w:val="18"/>
          <w:szCs w:val="18"/>
          <w:color w:val="auto"/>
        </w:rPr>
        <w:t>Through and including , 2019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129540</wp:posOffset>
            </wp:positionV>
            <wp:extent cx="52120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172085</wp:posOffset>
            </wp:positionV>
            <wp:extent cx="5212080"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751205</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04" w:name="page205"/>
    <w:bookmarkEnd w:id="204"/>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PART II.</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following table sets forth all the costs and expenses, other than underwriting discounts and commissions, payable in connection with the sale of the shares of Class A common stock being registered hereby. Except as otherwise noted, the registrant will pay all of the costs and expenses set forth in the following table. All amounts shown below are estimates, except the SEC registration fee, the FINRA filing fee and the stock exchange listing fee:</w:t>
      </w:r>
    </w:p>
    <w:p>
      <w:pPr>
        <w:spacing w:after="0" w:line="9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Amount</w:t>
            </w:r>
          </w:p>
        </w:tc>
      </w:tr>
      <w:tr>
        <w:trPr>
          <w:trHeight w:val="26"/>
        </w:trPr>
        <w:tc>
          <w:tcPr>
            <w:tcW w:w="194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6"/>
        </w:trPr>
        <w:tc>
          <w:tcPr>
            <w:tcW w:w="734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6"/>
        </w:trPr>
        <w:tc>
          <w:tcPr>
            <w:tcW w:w="734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gridSpan w:val="3"/>
          </w:tcPr>
          <w:p>
            <w:pPr>
              <w:spacing w:after="0"/>
              <w:rPr>
                <w:sz w:val="20"/>
                <w:szCs w:val="20"/>
                <w:color w:val="auto"/>
              </w:rPr>
            </w:pPr>
            <w:r>
              <w:rPr>
                <w:rFonts w:ascii="Arial" w:cs="Arial" w:eastAsia="Arial" w:hAnsi="Arial"/>
                <w:sz w:val="18"/>
                <w:szCs w:val="18"/>
                <w:color w:val="auto"/>
              </w:rPr>
              <w:t>Transfer agent and registrar fees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7"/>
        </w:trPr>
        <w:tc>
          <w:tcPr>
            <w:tcW w:w="73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1940" w:type="dxa"/>
            <w:vAlign w:val="bottom"/>
            <w:tcBorders>
              <w:bottom w:val="single" w:sz="8" w:color="auto"/>
            </w:tcBorders>
          </w:tcPr>
          <w:p>
            <w:pPr>
              <w:spacing w:after="0"/>
              <w:rPr>
                <w:sz w:val="19"/>
                <w:szCs w:val="19"/>
                <w:color w:val="auto"/>
              </w:rPr>
            </w:pPr>
          </w:p>
        </w:tc>
        <w:tc>
          <w:tcPr>
            <w:tcW w:w="54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58"/>
        </w:trPr>
        <w:tc>
          <w:tcPr>
            <w:tcW w:w="7340" w:type="dxa"/>
            <w:vAlign w:val="bottom"/>
            <w:gridSpan w:val="3"/>
          </w:tcPr>
          <w:p>
            <w:pPr>
              <w:spacing w:after="0"/>
              <w:rPr>
                <w:sz w:val="20"/>
                <w:szCs w:val="20"/>
                <w:color w:val="auto"/>
              </w:rPr>
            </w:pPr>
            <w:r>
              <w:rPr>
                <w:rFonts w:ascii="Arial" w:cs="Arial" w:eastAsia="Arial" w:hAnsi="Arial"/>
                <w:sz w:val="18"/>
                <w:szCs w:val="18"/>
                <w:color w:val="auto"/>
              </w:rPr>
              <w:t>*   To be filed by amendment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7340" w:type="dxa"/>
            <w:vAlign w:val="bottom"/>
            <w:gridSpan w:val="3"/>
          </w:tcPr>
          <w:p>
            <w:pPr>
              <w:spacing w:after="0"/>
              <w:rPr>
                <w:sz w:val="20"/>
                <w:szCs w:val="20"/>
                <w:color w:val="auto"/>
              </w:rPr>
            </w:pPr>
            <w:r>
              <w:rPr>
                <w:rFonts w:ascii="Arial" w:cs="Arial" w:eastAsia="Arial" w:hAnsi="Arial"/>
                <w:sz w:val="18"/>
                <w:szCs w:val="18"/>
                <w:b w:val="1"/>
                <w:bCs w:val="1"/>
                <w:color w:val="auto"/>
              </w:rPr>
              <w:t>Item 14.  Indemnification of Directors and Officers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-2339340</wp:posOffset>
            </wp:positionV>
            <wp:extent cx="45777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60" w:lineRule="exact"/>
        <w:rPr>
          <w:sz w:val="20"/>
          <w:szCs w:val="20"/>
          <w:color w:val="auto"/>
        </w:rPr>
      </w:pPr>
    </w:p>
    <w:p>
      <w:pPr>
        <w:ind w:left="1260" w:right="719" w:firstLine="360"/>
        <w:spacing w:after="0" w:line="290" w:lineRule="auto"/>
        <w:rPr>
          <w:sz w:val="20"/>
          <w:szCs w:val="20"/>
          <w:color w:val="auto"/>
        </w:rPr>
      </w:pPr>
      <w:r>
        <w:rPr>
          <w:rFonts w:ascii="Arial" w:cs="Arial" w:eastAsia="Arial" w:hAnsi="Arial"/>
          <w:sz w:val="16"/>
          <w:szCs w:val="16"/>
          <w:color w:val="auto"/>
        </w:rPr>
        <w:t>Tradeweb Markets Inc. is incorporated under the laws of the state of Delaware. Section 102 of the Delaware General Corporation Law, as amended (the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amended and restated certificate of incorporation will contain a provision which eliminates directors’ personal liability as set forth above.</w:t>
      </w:r>
    </w:p>
    <w:p>
      <w:pPr>
        <w:spacing w:after="0" w:line="57"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Section 145 of the DGCL provides that a Delaware corporation has the power to indemnify its directors, officers, employees, and agents in certain circumstances. 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74" w:lineRule="exact"/>
        <w:rPr>
          <w:sz w:val="20"/>
          <w:szCs w:val="20"/>
          <w:color w:val="auto"/>
        </w:rPr>
      </w:pPr>
    </w:p>
    <w:p>
      <w:pPr>
        <w:ind w:left="1260" w:right="1019" w:firstLine="360"/>
        <w:spacing w:after="0" w:line="293" w:lineRule="auto"/>
        <w:rPr>
          <w:sz w:val="20"/>
          <w:szCs w:val="20"/>
          <w:color w:val="auto"/>
        </w:rPr>
      </w:pPr>
      <w:r>
        <w:rPr>
          <w:rFonts w:ascii="Arial" w:cs="Arial" w:eastAsia="Arial" w:hAnsi="Arial"/>
          <w:sz w:val="16"/>
          <w:szCs w:val="16"/>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96" w:lineRule="auto"/>
        <w:rPr>
          <w:sz w:val="20"/>
          <w:szCs w:val="20"/>
          <w:color w:val="auto"/>
        </w:rPr>
      </w:pPr>
      <w:r>
        <w:rPr>
          <w:rFonts w:ascii="Arial" w:cs="Arial" w:eastAsia="Arial" w:hAnsi="Arial"/>
          <w:sz w:val="16"/>
          <w:szCs w:val="16"/>
          <w:color w:val="auto"/>
        </w:rPr>
        <w:t>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w:t>
      </w:r>
    </w:p>
    <w:p>
      <w:pPr>
        <w:spacing w:after="0" w:line="53"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color w:val="auto"/>
        </w:rPr>
        <w:t>Section 145 further provides that to the extent that a present or former director or officer of a corporation has been successful in the defense of any action, suit or proceeding referred to in subsections (a) and (b) of</w:t>
      </w:r>
    </w:p>
    <w:p>
      <w:pPr>
        <w:ind w:left="1260" w:right="759"/>
        <w:spacing w:after="0" w:line="281" w:lineRule="auto"/>
        <w:rPr>
          <w:sz w:val="20"/>
          <w:szCs w:val="20"/>
          <w:color w:val="auto"/>
        </w:rPr>
      </w:pPr>
      <w:r>
        <w:rPr>
          <w:rFonts w:ascii="Arial" w:cs="Arial" w:eastAsia="Arial" w:hAnsi="Arial"/>
          <w:sz w:val="16"/>
          <w:szCs w:val="16"/>
          <w:color w:val="auto"/>
        </w:rPr>
        <w:t>Section 145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that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w:t>
      </w:r>
    </w:p>
    <w:p>
      <w:pPr>
        <w:spacing w:after="0" w:line="5" w:lineRule="exact"/>
        <w:rPr>
          <w:sz w:val="20"/>
          <w:szCs w:val="20"/>
          <w:color w:val="auto"/>
        </w:rPr>
      </w:pPr>
    </w:p>
    <w:p>
      <w:pPr>
        <w:ind w:left="1260" w:right="679" w:firstLine="8"/>
        <w:spacing w:after="0" w:line="271" w:lineRule="auto"/>
        <w:tabs>
          <w:tab w:leader="none" w:pos="151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of Section 145 is proper because the director, officer, employee or agent has met the applicable standard of conduct under such subsections shall be made by (1) a majority vote of the directors who are not parties to such action, suit or proceeding (or a committee of such directors designated by majority vote of such directors), even though less than a quorum, or (2) if there are no such directors, or if such directors so direct, by independent legal counsel in a written opinion, or (3) by the stockholders.</w:t>
      </w:r>
    </w:p>
    <w:p>
      <w:pPr>
        <w:spacing w:after="0" w:line="7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The registrant’s amended and restated certificate of incorporation and amended and restated bylaws will provide that the registrant shall indemnify its directors and officers to the extent permitted by the Delaware law. The right to indemnification conferred by the registrant’s amended and restated certificate of incorporation and amended and restated bylaws will also include the right to be paid the expenses (including attorneys’ fees) incurred by a present or former director or officer in defending any civil, criminal, administrative, or investigative action, suit, or proceeding in advance of its final disposition, provided, however, that if the Delaware law requires, an advancement of expenses incurred by a director or officer in his or her capacity as a director or officer shall be made only upon delivery to the registrant of an undertaking by or on behalf of such director or officer to repay all amounts so advanced if it is ultimately determined that such person is not entitled to be indemnified for such expenses under the registrant’s amended and restated certificate of incorporation, amended and restated bylaws, or otherwise.</w:t>
      </w:r>
    </w:p>
    <w:p>
      <w:pPr>
        <w:spacing w:after="0" w:line="74"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The registrant intends to enter into indemnification agreements with each of its directors and executive officers, a form of which will be filed as an exhibit to a pre-effective amendment to this Registration Statement. These agreements require the registrant to indemnify these individuals to the fullest extent permitted under Delaware law against liabilities that may arise by reason of their service to the registrant, and to advance expenses incurred as a result of any action, suit, or proceeding against them as to which they could be indemnified.</w:t>
      </w:r>
    </w:p>
    <w:p>
      <w:pPr>
        <w:spacing w:after="0" w:line="84"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In addition, the registrant intends to maintain standard policies of insurance that provide coverage (1) to its directors and officers against loss rising from claims made by reason of breach of duty or other wrongful act and</w:t>
      </w:r>
    </w:p>
    <w:p>
      <w:pPr>
        <w:ind w:left="1260" w:right="839" w:firstLine="8"/>
        <w:spacing w:after="0" w:line="260" w:lineRule="auto"/>
        <w:tabs>
          <w:tab w:leader="none" w:pos="15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the registrant with respect to indemnification payments that the registrant may make to such directors and officers.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On November 7, 2018, in connection with its formation, the registrant issued 100 shares of common stock, par value $0.01 per share, to an officer of the registrant in exchange for $100. The issuance was exempt from registration under Section 4(a)(2) of the Securities Act as a transaction by an issuer not involving any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in the schedules is either not applicable or is shown in the financial statements or notes thereto.</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08"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6" w:lineRule="exact"/>
        <w:rPr>
          <w:sz w:val="20"/>
          <w:szCs w:val="20"/>
          <w:color w:val="auto"/>
        </w:rPr>
      </w:pPr>
    </w:p>
    <w:p>
      <w:pPr>
        <w:ind w:left="1260" w:right="679" w:firstLine="360"/>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1980" w:right="799" w:hanging="352"/>
        <w:spacing w:after="0" w:line="257" w:lineRule="auto"/>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3" w:lineRule="exact"/>
        <w:rPr>
          <w:rFonts w:ascii="Arial" w:cs="Arial" w:eastAsia="Arial" w:hAnsi="Arial"/>
          <w:sz w:val="18"/>
          <w:szCs w:val="18"/>
          <w:color w:val="auto"/>
        </w:rPr>
      </w:pPr>
    </w:p>
    <w:p>
      <w:pPr>
        <w:ind w:left="1980" w:right="739" w:hanging="352"/>
        <w:spacing w:after="0" w:line="259" w:lineRule="auto"/>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
          </w:tcPr>
          <w:p>
            <w:pPr>
              <w:ind w:left="2240"/>
              <w:spacing w:after="0"/>
              <w:rPr>
                <w:sz w:val="20"/>
                <w:szCs w:val="20"/>
                <w:color w:val="auto"/>
              </w:rPr>
            </w:pPr>
            <w:r>
              <w:rPr>
                <w:rFonts w:ascii="Arial" w:cs="Arial" w:eastAsia="Arial" w:hAnsi="Arial"/>
                <w:sz w:val="18"/>
                <w:szCs w:val="18"/>
                <w:b w:val="1"/>
                <w:bCs w:val="1"/>
                <w:color w:val="auto"/>
              </w:rPr>
              <w:t>INDEX TO EXHIBITS</w:t>
            </w:r>
          </w:p>
        </w:tc>
      </w:tr>
      <w:tr>
        <w:trPr>
          <w:trHeight w:val="274"/>
        </w:trPr>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352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186"/>
        </w:trPr>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No.</w:t>
            </w:r>
          </w:p>
        </w:tc>
        <w:tc>
          <w:tcPr>
            <w:tcW w:w="7240" w:type="dxa"/>
            <w:vAlign w:val="bottom"/>
            <w:gridSpan w:val="2"/>
          </w:tcPr>
          <w:p>
            <w:pPr>
              <w:ind w:left="3020"/>
              <w:spacing w:after="0"/>
              <w:rPr>
                <w:sz w:val="20"/>
                <w:szCs w:val="20"/>
                <w:color w:val="auto"/>
              </w:rPr>
            </w:pPr>
            <w:r>
              <w:rPr>
                <w:rFonts w:ascii="Arial" w:cs="Arial" w:eastAsia="Arial" w:hAnsi="Arial"/>
                <w:sz w:val="14"/>
                <w:szCs w:val="14"/>
                <w:b w:val="1"/>
                <w:bCs w:val="1"/>
                <w:color w:val="auto"/>
              </w:rPr>
              <w:t>Exhibit Description</w:t>
            </w:r>
          </w:p>
        </w:tc>
      </w:tr>
      <w:tr>
        <w:trPr>
          <w:trHeight w:val="26"/>
        </w:trPr>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50"/>
        </w:trPr>
        <w:tc>
          <w:tcPr>
            <w:tcW w:w="76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220" w:type="dxa"/>
            <w:vAlign w:val="bottom"/>
          </w:tcPr>
          <w:p>
            <w:pPr>
              <w:spacing w:after="0"/>
              <w:rPr>
                <w:sz w:val="21"/>
                <w:szCs w:val="21"/>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3720" w:type="dxa"/>
            <w:vAlign w:val="bottom"/>
          </w:tcPr>
          <w:p>
            <w:pPr>
              <w:spacing w:after="0"/>
              <w:rPr>
                <w:sz w:val="21"/>
                <w:szCs w:val="21"/>
                <w:color w:val="auto"/>
              </w:rPr>
            </w:pPr>
          </w:p>
        </w:tc>
      </w:tr>
      <w:tr>
        <w:trPr>
          <w:trHeight w:val="242"/>
        </w:trPr>
        <w:tc>
          <w:tcPr>
            <w:tcW w:w="76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220" w:type="dxa"/>
            <w:vAlign w:val="bottom"/>
          </w:tcPr>
          <w:p>
            <w:pPr>
              <w:spacing w:after="0"/>
              <w:rPr>
                <w:sz w:val="21"/>
                <w:szCs w:val="21"/>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8"/>
              </w:rPr>
              <w:t>Form of Amended and Restated Certificate of Incorporation of Tradeweb Markets Inc., to be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effective prior to or upon the closing of this offering.</w:t>
            </w:r>
          </w:p>
        </w:tc>
      </w:tr>
      <w:tr>
        <w:trPr>
          <w:trHeight w:val="256"/>
        </w:trPr>
        <w:tc>
          <w:tcPr>
            <w:tcW w:w="76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220" w:type="dxa"/>
            <w:vAlign w:val="bottom"/>
          </w:tcPr>
          <w:p>
            <w:pPr>
              <w:spacing w:after="0"/>
              <w:rPr>
                <w:sz w:val="22"/>
                <w:szCs w:val="22"/>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3"/>
              </w:rPr>
              <w:t>Form of Amended and Restated Bylaws of Tradeweb Markets Inc., to be effective prior to or upon</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the closing of this offering.</w:t>
            </w:r>
          </w:p>
        </w:tc>
        <w:tc>
          <w:tcPr>
            <w:tcW w:w="3720" w:type="dxa"/>
            <w:vAlign w:val="bottom"/>
          </w:tcPr>
          <w:p>
            <w:pPr>
              <w:spacing w:after="0"/>
              <w:rPr>
                <w:sz w:val="20"/>
                <w:szCs w:val="20"/>
                <w:color w:val="auto"/>
              </w:rPr>
            </w:pPr>
          </w:p>
        </w:tc>
      </w:tr>
      <w:tr>
        <w:trPr>
          <w:trHeight w:val="284"/>
        </w:trPr>
        <w:tc>
          <w:tcPr>
            <w:tcW w:w="76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Specimen Common Stock Certificate of Tradeweb Markets Inc.</w:t>
            </w:r>
          </w:p>
        </w:tc>
      </w:tr>
      <w:tr>
        <w:trPr>
          <w:trHeight w:val="270"/>
        </w:trPr>
        <w:tc>
          <w:tcPr>
            <w:tcW w:w="7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220" w:type="dxa"/>
            <w:vAlign w:val="bottom"/>
          </w:tcPr>
          <w:p>
            <w:pPr>
              <w:spacing w:after="0"/>
              <w:rPr>
                <w:sz w:val="23"/>
                <w:szCs w:val="23"/>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Opinion of Fried, Frank, Harris, Shriver &amp; Jacobson LLP.</w:t>
            </w:r>
          </w:p>
        </w:tc>
      </w:tr>
      <w:tr>
        <w:trPr>
          <w:trHeight w:val="270"/>
        </w:trPr>
        <w:tc>
          <w:tcPr>
            <w:tcW w:w="7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220" w:type="dxa"/>
            <w:vAlign w:val="bottom"/>
          </w:tcPr>
          <w:p>
            <w:pPr>
              <w:spacing w:after="0"/>
              <w:rPr>
                <w:sz w:val="23"/>
                <w:szCs w:val="23"/>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Form of Stockholders Agreement, to be effective upon the closing of the offering.</w:t>
            </w:r>
          </w:p>
        </w:tc>
      </w:tr>
      <w:tr>
        <w:trPr>
          <w:trHeight w:val="270"/>
        </w:trPr>
        <w:tc>
          <w:tcPr>
            <w:tcW w:w="7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220" w:type="dxa"/>
            <w:vAlign w:val="bottom"/>
          </w:tcPr>
          <w:p>
            <w:pPr>
              <w:spacing w:after="0"/>
              <w:rPr>
                <w:sz w:val="23"/>
                <w:szCs w:val="23"/>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Form of Registration Rights Agreement, to be effective upon the closing of the offering.</w:t>
            </w:r>
          </w:p>
        </w:tc>
      </w:tr>
      <w:tr>
        <w:trPr>
          <w:trHeight w:val="242"/>
        </w:trPr>
        <w:tc>
          <w:tcPr>
            <w:tcW w:w="76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220" w:type="dxa"/>
            <w:vAlign w:val="bottom"/>
          </w:tcPr>
          <w:p>
            <w:pPr>
              <w:spacing w:after="0"/>
              <w:rPr>
                <w:sz w:val="21"/>
                <w:szCs w:val="21"/>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4"/>
              </w:rPr>
              <w:t>Form of Fifth Amended and Restated LLC Agreement of Tradeweb Markets LLC, to be effective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upon closing of this offering.</w:t>
            </w:r>
          </w:p>
        </w:tc>
        <w:tc>
          <w:tcPr>
            <w:tcW w:w="3720" w:type="dxa"/>
            <w:vAlign w:val="bottom"/>
          </w:tcPr>
          <w:p>
            <w:pPr>
              <w:spacing w:after="0"/>
              <w:rPr>
                <w:sz w:val="20"/>
                <w:szCs w:val="20"/>
                <w:color w:val="auto"/>
              </w:rPr>
            </w:pPr>
          </w:p>
        </w:tc>
      </w:tr>
      <w:tr>
        <w:trPr>
          <w:trHeight w:val="300"/>
        </w:trPr>
        <w:tc>
          <w:tcPr>
            <w:tcW w:w="760" w:type="dxa"/>
            <w:vAlign w:val="bottom"/>
          </w:tcPr>
          <w:p>
            <w:pPr>
              <w:jc w:val="center"/>
              <w:spacing w:after="0"/>
              <w:rPr>
                <w:sz w:val="20"/>
                <w:szCs w:val="20"/>
                <w:color w:val="auto"/>
              </w:rPr>
            </w:pPr>
            <w:r>
              <w:rPr>
                <w:rFonts w:ascii="Arial" w:cs="Arial" w:eastAsia="Arial" w:hAnsi="Arial"/>
                <w:sz w:val="18"/>
                <w:szCs w:val="18"/>
                <w:color w:val="auto"/>
                <w:w w:val="91"/>
              </w:rPr>
              <w:t>10.4*</w:t>
            </w:r>
            <w:r>
              <w:rPr>
                <w:rFonts w:ascii="Arial" w:cs="Arial" w:eastAsia="Arial" w:hAnsi="Arial"/>
                <w:sz w:val="26"/>
                <w:szCs w:val="26"/>
                <w:color w:val="auto"/>
                <w:w w:val="91"/>
                <w:vertAlign w:val="superscript"/>
              </w:rPr>
              <w:t>+</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Employment Agreement by and between Lee Olesky and Tradeweb Markets LLC.</w:t>
            </w:r>
          </w:p>
        </w:tc>
      </w:tr>
      <w:tr>
        <w:trPr>
          <w:trHeight w:val="283"/>
        </w:trPr>
        <w:tc>
          <w:tcPr>
            <w:tcW w:w="760" w:type="dxa"/>
            <w:vAlign w:val="bottom"/>
          </w:tcPr>
          <w:p>
            <w:pPr>
              <w:jc w:val="center"/>
              <w:spacing w:after="0" w:line="283" w:lineRule="exact"/>
              <w:rPr>
                <w:sz w:val="20"/>
                <w:szCs w:val="20"/>
                <w:color w:val="auto"/>
              </w:rPr>
            </w:pPr>
            <w:r>
              <w:rPr>
                <w:rFonts w:ascii="Arial" w:cs="Arial" w:eastAsia="Arial" w:hAnsi="Arial"/>
                <w:sz w:val="18"/>
                <w:szCs w:val="18"/>
                <w:color w:val="auto"/>
                <w:w w:val="91"/>
              </w:rPr>
              <w:t>10.5*</w:t>
            </w:r>
            <w:r>
              <w:rPr>
                <w:rFonts w:ascii="Arial" w:cs="Arial" w:eastAsia="Arial" w:hAnsi="Arial"/>
                <w:sz w:val="26"/>
                <w:szCs w:val="26"/>
                <w:color w:val="auto"/>
                <w:w w:val="91"/>
                <w:vertAlign w:val="superscript"/>
              </w:rPr>
              <w:t>+</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Employment Agreement by and between William Hult and Tradeweb Markets LLC.</w:t>
            </w:r>
          </w:p>
        </w:tc>
      </w:tr>
      <w:tr>
        <w:trPr>
          <w:trHeight w:val="270"/>
        </w:trPr>
        <w:tc>
          <w:tcPr>
            <w:tcW w:w="760" w:type="dxa"/>
            <w:vAlign w:val="bottom"/>
          </w:tcPr>
          <w:p>
            <w:pPr>
              <w:jc w:val="center"/>
              <w:spacing w:after="0" w:line="270" w:lineRule="exact"/>
              <w:rPr>
                <w:sz w:val="20"/>
                <w:szCs w:val="20"/>
                <w:color w:val="auto"/>
              </w:rPr>
            </w:pPr>
            <w:r>
              <w:rPr>
                <w:rFonts w:ascii="Arial" w:cs="Arial" w:eastAsia="Arial" w:hAnsi="Arial"/>
                <w:sz w:val="18"/>
                <w:szCs w:val="18"/>
                <w:color w:val="auto"/>
                <w:w w:val="91"/>
              </w:rPr>
              <w:t>10.6*</w:t>
            </w:r>
            <w:r>
              <w:rPr>
                <w:rFonts w:ascii="Arial" w:cs="Arial" w:eastAsia="Arial" w:hAnsi="Arial"/>
                <w:sz w:val="26"/>
                <w:szCs w:val="26"/>
                <w:color w:val="auto"/>
                <w:w w:val="91"/>
                <w:vertAlign w:val="superscript"/>
              </w:rPr>
              <w:t>+</w:t>
            </w:r>
          </w:p>
        </w:tc>
        <w:tc>
          <w:tcPr>
            <w:tcW w:w="220" w:type="dxa"/>
            <w:vAlign w:val="bottom"/>
          </w:tcPr>
          <w:p>
            <w:pPr>
              <w:spacing w:after="0"/>
              <w:rPr>
                <w:sz w:val="23"/>
                <w:szCs w:val="23"/>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Amended and Restated Tradeweb Markets Inc. 2018 Share Option Plan.</w:t>
            </w:r>
          </w:p>
        </w:tc>
      </w:tr>
      <w:tr>
        <w:trPr>
          <w:trHeight w:val="253"/>
        </w:trPr>
        <w:tc>
          <w:tcPr>
            <w:tcW w:w="760" w:type="dxa"/>
            <w:vAlign w:val="bottom"/>
          </w:tcPr>
          <w:p>
            <w:pPr>
              <w:jc w:val="center"/>
              <w:spacing w:after="0" w:line="253" w:lineRule="exact"/>
              <w:rPr>
                <w:sz w:val="20"/>
                <w:szCs w:val="20"/>
                <w:color w:val="auto"/>
              </w:rPr>
            </w:pPr>
            <w:r>
              <w:rPr>
                <w:rFonts w:ascii="Arial" w:cs="Arial" w:eastAsia="Arial" w:hAnsi="Arial"/>
                <w:sz w:val="18"/>
                <w:szCs w:val="18"/>
                <w:color w:val="auto"/>
                <w:w w:val="91"/>
              </w:rPr>
              <w:t>10.7*</w:t>
            </w:r>
            <w:r>
              <w:rPr>
                <w:rFonts w:ascii="Arial" w:cs="Arial" w:eastAsia="Arial" w:hAnsi="Arial"/>
                <w:sz w:val="26"/>
                <w:szCs w:val="26"/>
                <w:color w:val="auto"/>
                <w:w w:val="91"/>
                <w:vertAlign w:val="superscript"/>
              </w:rPr>
              <w:t>+</w:t>
            </w:r>
          </w:p>
        </w:tc>
        <w:tc>
          <w:tcPr>
            <w:tcW w:w="220" w:type="dxa"/>
            <w:vAlign w:val="bottom"/>
          </w:tcPr>
          <w:p>
            <w:pPr>
              <w:spacing w:after="0"/>
              <w:rPr>
                <w:sz w:val="21"/>
                <w:szCs w:val="21"/>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3"/>
              </w:rPr>
              <w:t>Form of Option Agreement under the Amended and Restated Tradeweb Markets Inc. 2018 Share</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Option Plan.</w:t>
            </w:r>
          </w:p>
        </w:tc>
        <w:tc>
          <w:tcPr>
            <w:tcW w:w="3720" w:type="dxa"/>
            <w:vAlign w:val="bottom"/>
          </w:tcPr>
          <w:p>
            <w:pPr>
              <w:spacing w:after="0"/>
              <w:rPr>
                <w:sz w:val="20"/>
                <w:szCs w:val="20"/>
                <w:color w:val="auto"/>
              </w:rPr>
            </w:pPr>
          </w:p>
        </w:tc>
      </w:tr>
      <w:tr>
        <w:trPr>
          <w:trHeight w:val="286"/>
        </w:trPr>
        <w:tc>
          <w:tcPr>
            <w:tcW w:w="760" w:type="dxa"/>
            <w:vAlign w:val="bottom"/>
          </w:tcPr>
          <w:p>
            <w:pPr>
              <w:jc w:val="center"/>
              <w:spacing w:after="0" w:line="286" w:lineRule="exact"/>
              <w:rPr>
                <w:sz w:val="20"/>
                <w:szCs w:val="20"/>
                <w:color w:val="auto"/>
              </w:rPr>
            </w:pPr>
            <w:r>
              <w:rPr>
                <w:rFonts w:ascii="Arial" w:cs="Arial" w:eastAsia="Arial" w:hAnsi="Arial"/>
                <w:sz w:val="18"/>
                <w:szCs w:val="18"/>
                <w:color w:val="auto"/>
                <w:w w:val="91"/>
              </w:rPr>
              <w:t>10.8*</w:t>
            </w:r>
            <w:r>
              <w:rPr>
                <w:rFonts w:ascii="Arial" w:cs="Arial" w:eastAsia="Arial" w:hAnsi="Arial"/>
                <w:sz w:val="26"/>
                <w:szCs w:val="26"/>
                <w:color w:val="auto"/>
                <w:w w:val="91"/>
                <w:vertAlign w:val="superscript"/>
              </w:rPr>
              <w:t>+</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Amended &amp; Restated Tradeweb Markets Inc. PRSU Plan.</w:t>
            </w:r>
          </w:p>
        </w:tc>
      </w:tr>
      <w:tr>
        <w:trPr>
          <w:trHeight w:val="297"/>
        </w:trPr>
        <w:tc>
          <w:tcPr>
            <w:tcW w:w="760" w:type="dxa"/>
            <w:vAlign w:val="bottom"/>
          </w:tcPr>
          <w:p>
            <w:pPr>
              <w:jc w:val="center"/>
              <w:spacing w:after="0" w:line="297" w:lineRule="exact"/>
              <w:rPr>
                <w:sz w:val="20"/>
                <w:szCs w:val="20"/>
                <w:color w:val="auto"/>
              </w:rPr>
            </w:pPr>
            <w:r>
              <w:rPr>
                <w:rFonts w:ascii="Arial" w:cs="Arial" w:eastAsia="Arial" w:hAnsi="Arial"/>
                <w:sz w:val="18"/>
                <w:szCs w:val="18"/>
                <w:color w:val="auto"/>
                <w:w w:val="91"/>
              </w:rPr>
              <w:t>10.9*</w:t>
            </w:r>
            <w:r>
              <w:rPr>
                <w:rFonts w:ascii="Arial" w:cs="Arial" w:eastAsia="Arial" w:hAnsi="Arial"/>
                <w:sz w:val="26"/>
                <w:szCs w:val="26"/>
                <w:color w:val="auto"/>
                <w:w w:val="91"/>
                <w:vertAlign w:val="superscript"/>
              </w:rPr>
              <w:t>+</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6"/>
              </w:rPr>
              <w:t>Form of PRSU Agreement under the Amended &amp; Restated Tradeweb Markets Inc. PRSU Plan</w:t>
            </w:r>
          </w:p>
        </w:tc>
      </w:tr>
      <w:tr>
        <w:trPr>
          <w:trHeight w:val="283"/>
        </w:trPr>
        <w:tc>
          <w:tcPr>
            <w:tcW w:w="760" w:type="dxa"/>
            <w:vAlign w:val="bottom"/>
          </w:tcPr>
          <w:p>
            <w:pPr>
              <w:jc w:val="center"/>
              <w:spacing w:after="0" w:line="283" w:lineRule="exact"/>
              <w:rPr>
                <w:sz w:val="20"/>
                <w:szCs w:val="20"/>
                <w:color w:val="auto"/>
              </w:rPr>
            </w:pPr>
            <w:r>
              <w:rPr>
                <w:rFonts w:ascii="Arial" w:cs="Arial" w:eastAsia="Arial" w:hAnsi="Arial"/>
                <w:sz w:val="18"/>
                <w:szCs w:val="18"/>
                <w:color w:val="auto"/>
                <w:w w:val="93"/>
              </w:rPr>
              <w:t>10.10*</w:t>
            </w:r>
            <w:r>
              <w:rPr>
                <w:rFonts w:ascii="Arial" w:cs="Arial" w:eastAsia="Arial" w:hAnsi="Arial"/>
                <w:sz w:val="26"/>
                <w:szCs w:val="26"/>
                <w:color w:val="auto"/>
                <w:w w:val="93"/>
                <w:vertAlign w:val="superscript"/>
              </w:rPr>
              <w:t>+</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Tradeweb Markets Inc. 2019 Omnibus Equity Incentive Plan.</w:t>
            </w:r>
          </w:p>
        </w:tc>
      </w:tr>
      <w:tr>
        <w:trPr>
          <w:trHeight w:val="307"/>
        </w:trPr>
        <w:tc>
          <w:tcPr>
            <w:tcW w:w="760" w:type="dxa"/>
            <w:vAlign w:val="bottom"/>
          </w:tcPr>
          <w:p>
            <w:pPr>
              <w:jc w:val="center"/>
              <w:spacing w:after="0"/>
              <w:rPr>
                <w:sz w:val="20"/>
                <w:szCs w:val="20"/>
                <w:color w:val="auto"/>
              </w:rPr>
            </w:pPr>
            <w:r>
              <w:rPr>
                <w:rFonts w:ascii="Arial" w:cs="Arial" w:eastAsia="Arial" w:hAnsi="Arial"/>
                <w:sz w:val="18"/>
                <w:szCs w:val="18"/>
                <w:color w:val="auto"/>
                <w:w w:val="90"/>
              </w:rPr>
              <w:t>10.11*</w:t>
            </w:r>
            <w:r>
              <w:rPr>
                <w:rFonts w:ascii="Arial" w:cs="Arial" w:eastAsia="Arial" w:hAnsi="Arial"/>
                <w:sz w:val="26"/>
                <w:szCs w:val="26"/>
                <w:color w:val="auto"/>
                <w:w w:val="90"/>
                <w:vertAlign w:val="superscript"/>
              </w:rPr>
              <w:t>+</w:t>
            </w:r>
          </w:p>
        </w:tc>
        <w:tc>
          <w:tcPr>
            <w:tcW w:w="2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Form of Indemnification Agreement.</w:t>
            </w:r>
          </w:p>
        </w:tc>
        <w:tc>
          <w:tcPr>
            <w:tcW w:w="3720" w:type="dxa"/>
            <w:vAlign w:val="bottom"/>
          </w:tcPr>
          <w:p>
            <w:pPr>
              <w:spacing w:after="0"/>
              <w:rPr>
                <w:sz w:val="24"/>
                <w:szCs w:val="24"/>
                <w:color w:val="auto"/>
              </w:rPr>
            </w:pP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95"/>
              </w:rPr>
              <w:t>16.1*</w:t>
            </w:r>
          </w:p>
        </w:tc>
        <w:tc>
          <w:tcPr>
            <w:tcW w:w="2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Letter of PricewaterhouseCoopers LLP, dated</w:t>
            </w:r>
          </w:p>
        </w:tc>
        <w:tc>
          <w:tcPr>
            <w:tcW w:w="3720" w:type="dxa"/>
            <w:vAlign w:val="bottom"/>
          </w:tcPr>
          <w:p>
            <w:pPr>
              <w:ind w:left="160"/>
              <w:spacing w:after="0"/>
              <w:rPr>
                <w:sz w:val="20"/>
                <w:szCs w:val="20"/>
                <w:color w:val="auto"/>
              </w:rPr>
            </w:pPr>
            <w:r>
              <w:rPr>
                <w:rFonts w:ascii="Arial" w:cs="Arial" w:eastAsia="Arial" w:hAnsi="Arial"/>
                <w:sz w:val="18"/>
                <w:szCs w:val="18"/>
                <w:color w:val="auto"/>
                <w:w w:val="94"/>
              </w:rPr>
              <w:t>, regarding change in Tradeweb Markets LLC’s</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independent registered public accounting firm.</w:t>
            </w:r>
          </w:p>
        </w:tc>
        <w:tc>
          <w:tcPr>
            <w:tcW w:w="3720" w:type="dxa"/>
            <w:vAlign w:val="bottom"/>
          </w:tcPr>
          <w:p>
            <w:pPr>
              <w:spacing w:after="0"/>
              <w:rPr>
                <w:sz w:val="20"/>
                <w:szCs w:val="20"/>
                <w:color w:val="auto"/>
              </w:rPr>
            </w:pPr>
          </w:p>
        </w:tc>
      </w:tr>
      <w:tr>
        <w:trPr>
          <w:trHeight w:val="283"/>
        </w:trPr>
        <w:tc>
          <w:tcPr>
            <w:tcW w:w="760" w:type="dxa"/>
            <w:vAlign w:val="bottom"/>
          </w:tcPr>
          <w:p>
            <w:pPr>
              <w:jc w:val="center"/>
              <w:spacing w:after="0"/>
              <w:rPr>
                <w:sz w:val="20"/>
                <w:szCs w:val="20"/>
                <w:color w:val="auto"/>
              </w:rPr>
            </w:pPr>
            <w:r>
              <w:rPr>
                <w:rFonts w:ascii="Arial" w:cs="Arial" w:eastAsia="Arial" w:hAnsi="Arial"/>
                <w:sz w:val="18"/>
                <w:szCs w:val="18"/>
                <w:color w:val="auto"/>
                <w:w w:val="95"/>
              </w:rPr>
              <w:t>21.1*</w:t>
            </w:r>
          </w:p>
        </w:tc>
        <w:tc>
          <w:tcPr>
            <w:tcW w:w="2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7"/>
              </w:rPr>
              <w:t>List of Subsidiaries of Tradeweb Markets Inc.</w:t>
            </w:r>
          </w:p>
        </w:tc>
        <w:tc>
          <w:tcPr>
            <w:tcW w:w="3720" w:type="dxa"/>
            <w:vAlign w:val="bottom"/>
          </w:tcPr>
          <w:p>
            <w:pPr>
              <w:spacing w:after="0"/>
              <w:rPr>
                <w:sz w:val="24"/>
                <w:szCs w:val="24"/>
                <w:color w:val="auto"/>
              </w:rPr>
            </w:pPr>
          </w:p>
        </w:tc>
      </w:tr>
      <w:tr>
        <w:trPr>
          <w:trHeight w:val="270"/>
        </w:trPr>
        <w:tc>
          <w:tcPr>
            <w:tcW w:w="76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220" w:type="dxa"/>
            <w:vAlign w:val="bottom"/>
          </w:tcPr>
          <w:p>
            <w:pPr>
              <w:spacing w:after="0"/>
              <w:rPr>
                <w:sz w:val="23"/>
                <w:szCs w:val="23"/>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Consent of Deloitte &amp; Touche LLP.</w:t>
            </w:r>
          </w:p>
        </w:tc>
        <w:tc>
          <w:tcPr>
            <w:tcW w:w="3720" w:type="dxa"/>
            <w:vAlign w:val="bottom"/>
          </w:tcPr>
          <w:p>
            <w:pPr>
              <w:spacing w:after="0"/>
              <w:rPr>
                <w:sz w:val="23"/>
                <w:szCs w:val="23"/>
                <w:color w:val="auto"/>
              </w:rPr>
            </w:pPr>
          </w:p>
        </w:tc>
      </w:tr>
      <w:tr>
        <w:trPr>
          <w:trHeight w:val="284"/>
        </w:trPr>
        <w:tc>
          <w:tcPr>
            <w:tcW w:w="76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2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Consent of PricewaterhouseCoopers LLP.</w:t>
            </w:r>
          </w:p>
        </w:tc>
        <w:tc>
          <w:tcPr>
            <w:tcW w:w="3720" w:type="dxa"/>
            <w:vAlign w:val="bottom"/>
          </w:tcPr>
          <w:p>
            <w:pPr>
              <w:spacing w:after="0"/>
              <w:rPr>
                <w:sz w:val="24"/>
                <w:szCs w:val="24"/>
                <w:color w:val="auto"/>
              </w:rPr>
            </w:pPr>
          </w:p>
        </w:tc>
      </w:tr>
      <w:tr>
        <w:trPr>
          <w:trHeight w:val="283"/>
        </w:trPr>
        <w:tc>
          <w:tcPr>
            <w:tcW w:w="760" w:type="dxa"/>
            <w:vAlign w:val="bottom"/>
          </w:tcPr>
          <w:p>
            <w:pPr>
              <w:jc w:val="center"/>
              <w:spacing w:after="0"/>
              <w:rPr>
                <w:sz w:val="20"/>
                <w:szCs w:val="20"/>
                <w:color w:val="auto"/>
              </w:rPr>
            </w:pPr>
            <w:r>
              <w:rPr>
                <w:rFonts w:ascii="Arial" w:cs="Arial" w:eastAsia="Arial" w:hAnsi="Arial"/>
                <w:sz w:val="18"/>
                <w:szCs w:val="18"/>
                <w:color w:val="auto"/>
                <w:w w:val="95"/>
              </w:rPr>
              <w:t>23.3*</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Consent of Fried, Frank, Harris, Shriver &amp; Jacobson LLP (included in Exhibit 5.1).</w:t>
            </w:r>
          </w:p>
        </w:tc>
      </w:tr>
      <w:tr>
        <w:trPr>
          <w:trHeight w:val="283"/>
        </w:trPr>
        <w:tc>
          <w:tcPr>
            <w:tcW w:w="76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2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Power of Attorney (included in signature pages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179705</wp:posOffset>
            </wp:positionV>
            <wp:extent cx="123444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352"/>
        <w:spacing w:after="0"/>
        <w:tabs>
          <w:tab w:leader="none" w:pos="1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98" w:lineRule="exact"/>
        <w:rPr>
          <w:sz w:val="20"/>
          <w:szCs w:val="20"/>
          <w:color w:val="auto"/>
        </w:rPr>
      </w:pPr>
    </w:p>
    <w:p>
      <w:pPr>
        <w:ind w:left="1620" w:hanging="352"/>
        <w:spacing w:after="0"/>
        <w:tabs>
          <w:tab w:leader="none" w:pos="1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17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w:t>
      </w:r>
    </w:p>
    <w:tbl>
      <w:tblPr>
        <w:tblLayout w:type="fixed"/>
        <w:tblInd w:w="126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New York, New York, on this</w:t>
            </w:r>
          </w:p>
        </w:tc>
        <w:tc>
          <w:tcPr>
            <w:tcW w:w="900" w:type="dxa"/>
            <w:vAlign w:val="bottom"/>
          </w:tcPr>
          <w:p>
            <w:pPr>
              <w:ind w:left="220"/>
              <w:spacing w:after="0"/>
              <w:rPr>
                <w:sz w:val="20"/>
                <w:szCs w:val="20"/>
                <w:color w:val="auto"/>
              </w:rPr>
            </w:pPr>
            <w:r>
              <w:rPr>
                <w:rFonts w:ascii="Arial" w:cs="Arial" w:eastAsia="Arial" w:hAnsi="Arial"/>
                <w:sz w:val="18"/>
                <w:szCs w:val="18"/>
                <w:color w:val="auto"/>
              </w:rPr>
              <w:t>day of</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900" w:type="dxa"/>
            <w:vAlign w:val="bottom"/>
          </w:tcPr>
          <w:p>
            <w:pPr>
              <w:spacing w:after="0"/>
              <w:rPr>
                <w:sz w:val="20"/>
                <w:szCs w:val="20"/>
                <w:color w:val="auto"/>
              </w:rPr>
            </w:pPr>
          </w:p>
        </w:tc>
      </w:tr>
      <w:tr>
        <w:trPr>
          <w:trHeight w:val="310"/>
        </w:trPr>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b w:val="1"/>
                <w:bCs w:val="1"/>
                <w:color w:val="auto"/>
              </w:rPr>
              <w:t>Tradeweb Markets Inc.</w:t>
            </w:r>
          </w:p>
        </w:tc>
      </w:tr>
      <w:tr>
        <w:trPr>
          <w:trHeight w:val="378"/>
        </w:trPr>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54"/>
        </w:trPr>
        <w:tc>
          <w:tcPr>
            <w:tcW w:w="2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r>
      <w:tr>
        <w:trPr>
          <w:trHeight w:val="236"/>
        </w:trPr>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Lee Olesky</w:t>
            </w:r>
          </w:p>
        </w:tc>
      </w:tr>
      <w:tr>
        <w:trPr>
          <w:trHeight w:val="230"/>
        </w:trPr>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9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KNOW ALL MEN BY THESE PRESENTS, that each of the undersigned directors and officers of Tradeweb Markets Inc. constitutes and appoints each of Lee Olesky, Robert Warshaw and Douglas Friedman, or any of them, each acting alone,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any subsequent registration statement filed pursuant to Rule 462 under the Securities Act of 1933, as amended, and to file the same, with all exhibits thereto, and other documents in connection therewith, with the Securities and Exchange Commission, granting unto said attorneys-in-fact and agents, and each of them, acting alone, full power and authority to do and perform each and every act and thing requisite and necessary to be done in and about the premises, as fully to all intents and purposes as he might or could do in person, and hereby ratifying and confirming all that either of the said attorneys-in-fact and agents, or his or her substitute or substitutes, may lawfully do or cause to be done by virtue hereof.</w:t>
      </w:r>
    </w:p>
    <w:p>
      <w:pPr>
        <w:spacing w:after="0" w:line="71"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67" w:lineRule="exact"/>
        <w:rPr>
          <w:sz w:val="20"/>
          <w:szCs w:val="20"/>
          <w:color w:val="auto"/>
        </w:rPr>
      </w:pPr>
    </w:p>
    <w:p>
      <w:pPr>
        <w:ind w:left="2220"/>
        <w:spacing w:after="0"/>
        <w:tabs>
          <w:tab w:leader="none" w:pos="5640" w:val="left"/>
          <w:tab w:leader="none" w:pos="85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120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3480" w:type="dxa"/>
            <w:vAlign w:val="bottom"/>
          </w:tcPr>
          <w:p>
            <w:pPr>
              <w:ind w:left="220"/>
              <w:spacing w:after="0"/>
              <w:rPr>
                <w:sz w:val="20"/>
                <w:szCs w:val="20"/>
                <w:color w:val="auto"/>
              </w:rPr>
            </w:pPr>
            <w:r>
              <w:rPr>
                <w:rFonts w:ascii="Arial" w:cs="Arial" w:eastAsia="Arial" w:hAnsi="Arial"/>
                <w:sz w:val="18"/>
                <w:szCs w:val="18"/>
                <w:color w:val="auto"/>
                <w:w w:val="93"/>
              </w:rPr>
              <w:t>Chief Executive Officer (Principal Executive</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auto"/>
            </w:tcBorders>
          </w:tcPr>
          <w:p>
            <w:pPr>
              <w:spacing w:after="0"/>
              <w:rPr>
                <w:sz w:val="20"/>
                <w:szCs w:val="20"/>
                <w:color w:val="auto"/>
              </w:rPr>
            </w:pPr>
          </w:p>
        </w:tc>
        <w:tc>
          <w:tcPr>
            <w:tcW w:w="3480" w:type="dxa"/>
            <w:vAlign w:val="bottom"/>
          </w:tcPr>
          <w:p>
            <w:pPr>
              <w:ind w:left="220"/>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250"/>
        </w:trPr>
        <w:tc>
          <w:tcPr>
            <w:tcW w:w="2480" w:type="dxa"/>
            <w:vAlign w:val="bottom"/>
          </w:tcPr>
          <w:p>
            <w:pPr>
              <w:jc w:val="center"/>
              <w:spacing w:after="0"/>
              <w:rPr>
                <w:sz w:val="20"/>
                <w:szCs w:val="20"/>
                <w:color w:val="auto"/>
              </w:rPr>
            </w:pPr>
            <w:r>
              <w:rPr>
                <w:rFonts w:ascii="Arial" w:cs="Arial" w:eastAsia="Arial" w:hAnsi="Arial"/>
                <w:sz w:val="18"/>
                <w:szCs w:val="18"/>
                <w:color w:val="auto"/>
                <w:w w:val="91"/>
              </w:rPr>
              <w:t>Lee Olesky</w:t>
            </w:r>
          </w:p>
        </w:tc>
        <w:tc>
          <w:tcPr>
            <w:tcW w:w="3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80" w:type="dxa"/>
            <w:vAlign w:val="bottom"/>
            <w:tcBorders>
              <w:bottom w:val="single" w:sz="8" w:color="auto"/>
            </w:tcBorders>
          </w:tcPr>
          <w:p>
            <w:pPr>
              <w:spacing w:after="0"/>
              <w:rPr>
                <w:sz w:val="23"/>
                <w:szCs w:val="23"/>
                <w:color w:val="auto"/>
              </w:rPr>
            </w:pPr>
          </w:p>
        </w:tc>
        <w:tc>
          <w:tcPr>
            <w:tcW w:w="3480" w:type="dxa"/>
            <w:vAlign w:val="bottom"/>
            <w:vMerge w:val="restart"/>
          </w:tcPr>
          <w:p>
            <w:pPr>
              <w:ind w:left="220"/>
              <w:spacing w:after="0"/>
              <w:rPr>
                <w:sz w:val="20"/>
                <w:szCs w:val="20"/>
                <w:color w:val="auto"/>
              </w:rPr>
            </w:pPr>
            <w:r>
              <w:rPr>
                <w:rFonts w:ascii="Arial" w:cs="Arial" w:eastAsia="Arial" w:hAnsi="Arial"/>
                <w:sz w:val="18"/>
                <w:szCs w:val="18"/>
                <w:color w:val="auto"/>
                <w:w w:val="96"/>
              </w:rPr>
              <w:t>Chief Financial Officer (Principal Financial</w:t>
            </w:r>
          </w:p>
        </w:tc>
        <w:tc>
          <w:tcPr>
            <w:tcW w:w="0" w:type="dxa"/>
            <w:vAlign w:val="bottom"/>
          </w:tcPr>
          <w:p>
            <w:pPr>
              <w:spacing w:after="0"/>
              <w:rPr>
                <w:sz w:val="1"/>
                <w:szCs w:val="1"/>
                <w:color w:val="auto"/>
              </w:rPr>
            </w:pPr>
          </w:p>
        </w:tc>
      </w:tr>
      <w:tr>
        <w:trPr>
          <w:trHeight w:val="74"/>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8"/>
              </w:rPr>
              <w:t>Robert Warshaw</w:t>
            </w:r>
          </w:p>
        </w:tc>
        <w:tc>
          <w:tcPr>
            <w:tcW w:w="3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480" w:type="dxa"/>
            <w:vAlign w:val="bottom"/>
            <w:vMerge w:val="continue"/>
          </w:tcPr>
          <w:p>
            <w:pPr>
              <w:spacing w:after="0"/>
              <w:rPr>
                <w:sz w:val="20"/>
                <w:szCs w:val="20"/>
                <w:color w:val="auto"/>
              </w:rPr>
            </w:pPr>
          </w:p>
        </w:tc>
        <w:tc>
          <w:tcPr>
            <w:tcW w:w="3480" w:type="dxa"/>
            <w:vAlign w:val="bottom"/>
          </w:tcPr>
          <w:p>
            <w:pPr>
              <w:ind w:left="220"/>
              <w:spacing w:after="0"/>
              <w:rPr>
                <w:sz w:val="20"/>
                <w:szCs w:val="20"/>
                <w:color w:val="auto"/>
              </w:rPr>
            </w:pPr>
            <w:r>
              <w:rPr>
                <w:rFonts w:ascii="Arial" w:cs="Arial" w:eastAsia="Arial" w:hAnsi="Arial"/>
                <w:sz w:val="18"/>
                <w:szCs w:val="18"/>
                <w:color w:val="auto"/>
              </w:rPr>
              <w:t>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68319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10139"/>
      </w:cols>
      <w:pgMar w:left="32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decimal"/>
      <w:start w:val="1"/>
    </w:lvl>
  </w:abstractNum>
  <w:abstractNum w:abstractNumId="1">
    <w:nsid w:val="77AE35EB"/>
    <w:multiLevelType w:val="hybridMultilevel"/>
    <w:lvl w:ilvl="0">
      <w:lvlJc w:val="left"/>
      <w:lvlText w:val="(%1)"/>
      <w:numFmt w:val="decimal"/>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lvl w:ilvl="1">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1)"/>
      <w:numFmt w:val="lowerRoman"/>
      <w:start w:val="2"/>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1)"/>
      <w:numFmt w:val="decimal"/>
      <w:start w:val="1"/>
    </w:lvl>
  </w:abstractNum>
  <w:abstractNum w:abstractNumId="22">
    <w:nsid w:val="661E3F1E"/>
    <w:multiLevelType w:val="hybridMultilevel"/>
    <w:lvl w:ilvl="0">
      <w:lvlJc w:val="left"/>
      <w:lvlText w:val="(%1)"/>
      <w:numFmt w:val="decimal"/>
      <w:start w:val="5"/>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1)"/>
      <w:numFmt w:val="lowerRoman"/>
      <w:start w:val="5"/>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1)"/>
      <w:numFmt w:val="lowerRoman"/>
      <w:start w:val="2"/>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1)"/>
      <w:numFmt w:val="lowerRoman"/>
      <w:start w:val="3"/>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1)"/>
      <w:numFmt w:val="decimal"/>
      <w:start w:val="1"/>
    </w:lvl>
  </w:abstractNum>
  <w:abstractNum w:abstractNumId="52">
    <w:nsid w:val="14E17E33"/>
    <w:multiLevelType w:val="hybridMultilevel"/>
    <w:lvl w:ilvl="0">
      <w:lvlJc w:val="left"/>
      <w:lvlText w:val="(%1)"/>
      <w:numFmt w:val="lowerLetter"/>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1)"/>
      <w:numFmt w:val="decimal"/>
      <w:start w:val="1"/>
    </w:lvl>
  </w:abstractNum>
  <w:abstractNum w:abstractNumId="58">
    <w:nsid w:val="4A2AC315"/>
    <w:multiLevelType w:val="hybridMultilevel"/>
    <w:lvl w:ilvl="0">
      <w:lvlJc w:val="left"/>
      <w:lvlText w:val="(%1)"/>
      <w:numFmt w:val="decimal"/>
      <w:start w:val="3"/>
    </w:lvl>
  </w:abstractNum>
  <w:abstractNum w:abstractNumId="59">
    <w:nsid w:val="39EE015C"/>
    <w:multiLevelType w:val="hybridMultilevel"/>
    <w:lvl w:ilvl="0">
      <w:lvlJc w:val="left"/>
      <w:lvlText w:val="(%1)"/>
      <w:numFmt w:val="decimal"/>
      <w:start w:val="5"/>
    </w:lvl>
  </w:abstractNum>
  <w:abstractNum w:abstractNumId="60">
    <w:nsid w:val="57FC4FBB"/>
    <w:multiLevelType w:val="hybridMultilevel"/>
    <w:lvl w:ilvl="0">
      <w:lvlJc w:val="left"/>
      <w:lvlText w:val="•"/>
      <w:numFmt w:val="bullet"/>
      <w:start w:val="1"/>
    </w:lvl>
    <w:lvl w:ilvl="1">
      <w:lvlJc w:val="left"/>
      <w:lvlText w:val="(%2)"/>
      <w:numFmt w:val="lowerRoman"/>
      <w:start w:val="2"/>
    </w:lvl>
  </w:abstractNum>
  <w:abstractNum w:abstractNumId="61">
    <w:nsid w:val="CC1016F"/>
    <w:multiLevelType w:val="hybridMultilevel"/>
    <w:lvl w:ilvl="0">
      <w:lvlJc w:val="left"/>
      <w:lvlText w:val="•"/>
      <w:numFmt w:val="bullet"/>
      <w:start w:val="1"/>
    </w:lvl>
    <w:lvl w:ilvl="1">
      <w:lvlJc w:val="left"/>
      <w:lvlText w:val="(%2)"/>
      <w:numFmt w:val="lowerRoman"/>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1)"/>
      <w:numFmt w:val="decimal"/>
      <w:start w:val="1"/>
    </w:lvl>
  </w:abstractNum>
  <w:abstractNum w:abstractNumId="66">
    <w:nsid w:val="49DA307D"/>
    <w:multiLevelType w:val="hybridMultilevel"/>
    <w:lvl w:ilvl="0">
      <w:lvlJc w:val="left"/>
      <w:lvlText w:val="(%1)"/>
      <w:numFmt w:val="decimal"/>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lvl w:ilvl="1">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1)"/>
      <w:numFmt w:val="lowerRoman"/>
      <w:start w:val="2"/>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1)"/>
      <w:numFmt w:val="decimal"/>
      <w:start w:val="1"/>
    </w:lvl>
  </w:abstractNum>
  <w:abstractNum w:abstractNumId="80">
    <w:nsid w:val="555C55B5"/>
    <w:multiLevelType w:val="hybridMultilevel"/>
    <w:lvl w:ilvl="0">
      <w:lvlJc w:val="left"/>
      <w:lvlText w:val="(%1)"/>
      <w:numFmt w:val="lowerRoman"/>
      <w:start w:val="1"/>
    </w:lvl>
  </w:abstractNum>
  <w:abstractNum w:abstractNumId="81">
    <w:nsid w:val="3FA62ACA"/>
    <w:multiLevelType w:val="hybridMultilevel"/>
    <w:lvl w:ilvl="0">
      <w:lvlJc w:val="left"/>
      <w:lvlText w:val="(%1)"/>
      <w:numFmt w:val="lowerRoman"/>
      <w:start w:val="10"/>
    </w:lvl>
  </w:abstractNum>
  <w:abstractNum w:abstractNumId="82">
    <w:nsid w:val="14FCE74E"/>
    <w:multiLevelType w:val="hybridMultilevel"/>
    <w:lvl w:ilvl="0">
      <w:lvlJc w:val="left"/>
      <w:lvlText w:val="(%1)"/>
      <w:numFmt w:val="lowerLetter"/>
      <w:start w:val="23"/>
    </w:lvl>
  </w:abstractNum>
  <w:abstractNum w:abstractNumId="83">
    <w:nsid w:val="6A3DD3E8"/>
    <w:multiLevelType w:val="hybridMultilevel"/>
    <w:lvl w:ilvl="0">
      <w:lvlJc w:val="left"/>
      <w:lvlText w:val="(%1)"/>
      <w:numFmt w:val="decimal"/>
      <w:start w:val="2"/>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1)"/>
      <w:numFmt w:val="lowerRoman"/>
      <w:start w:val="2"/>
    </w:lvl>
  </w:abstractNum>
  <w:abstractNum w:abstractNumId="86">
    <w:nsid w:val="53299938"/>
    <w:multiLevelType w:val="hybridMultilevel"/>
    <w:lvl w:ilvl="0">
      <w:lvlJc w:val="left"/>
      <w:lvlText w:val="(%1)"/>
      <w:numFmt w:val="lowerLetter"/>
      <w:start w:val="3"/>
    </w:lvl>
  </w:abstractNum>
  <w:abstractNum w:abstractNumId="87">
    <w:nsid w:val="1FBFE8E0"/>
    <w:multiLevelType w:val="hybridMultilevel"/>
    <w:lvl w:ilvl="0">
      <w:lvlJc w:val="left"/>
      <w:lvlText w:val="(%1)"/>
      <w:numFmt w:val="lowerLetter"/>
      <w:start w:val="2"/>
    </w:lvl>
  </w:abstractNum>
  <w:abstractNum w:abstractNumId="88">
    <w:nsid w:val="5092CA79"/>
    <w:multiLevelType w:val="hybridMultilevel"/>
    <w:lvl w:ilvl="0">
      <w:lvlJc w:val="left"/>
      <w:lvlText w:val="(%1)"/>
      <w:numFmt w:val="decimal"/>
      <w:start w:val="1"/>
    </w:lvl>
  </w:abstractNum>
  <w:abstractNum w:abstractNumId="89">
    <w:nsid w:val="1D545C4D"/>
    <w:multiLevelType w:val="hybridMultilevel"/>
    <w:lvl w:ilvl="0">
      <w:lvlJc w:val="left"/>
      <w:lvlText w:val="(%1)"/>
      <w:numFmt w:val="decimal"/>
      <w:start w:val="13"/>
    </w:lvl>
  </w:abstractNum>
  <w:abstractNum w:abstractNumId="90">
    <w:nsid w:val="59ADEA3D"/>
    <w:multiLevelType w:val="hybridMultilevel"/>
    <w:lvl w:ilvl="0">
      <w:lvlJc w:val="left"/>
      <w:lvlText w:val="(%1)"/>
      <w:numFmt w:val="lowerRoman"/>
      <w:start w:val="4"/>
    </w:lvl>
  </w:abstractNum>
  <w:abstractNum w:abstractNumId="91">
    <w:nsid w:val="288F1A34"/>
    <w:multiLevelType w:val="hybridMultilevel"/>
    <w:lvl w:ilvl="0">
      <w:lvlJc w:val="left"/>
      <w:lvlText w:val="(%1)"/>
      <w:numFmt w:val="lowerLetter"/>
      <w:start w:val="1"/>
    </w:lvl>
  </w:abstractNum>
  <w:abstractNum w:abstractNumId="92">
    <w:nsid w:val="2A155DBC"/>
    <w:multiLevelType w:val="hybridMultilevel"/>
    <w:lvl w:ilvl="0">
      <w:lvlJc w:val="left"/>
      <w:lvlText w:val="(%1)"/>
      <w:numFmt w:val="decimal"/>
      <w:start w:val="2"/>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1)"/>
      <w:numFmt w:val="decimal"/>
      <w:start w:val="1"/>
    </w:lvl>
  </w:abstractNum>
  <w:abstractNum w:abstractNumId="95">
    <w:nsid w:val="51088277"/>
    <w:multiLevelType w:val="hybridMultilevel"/>
    <w:lvl w:ilvl="0">
      <w:lvlJc w:val="left"/>
      <w:lvlText w:val="(%1)"/>
      <w:numFmt w:val="upperLetter"/>
      <w:start w:val="9"/>
    </w:lvl>
  </w:abstractNum>
  <w:abstractNum w:abstractNumId="96">
    <w:nsid w:val="1CA0C5FA"/>
    <w:multiLevelType w:val="hybridMultilevel"/>
    <w:lvl w:ilvl="0">
      <w:lvlJc w:val="left"/>
      <w:lvlText w:val="(%1)"/>
      <w:numFmt w:val="lowerRoman"/>
      <w:start w:val="1"/>
    </w:lvl>
  </w:abstractNum>
  <w:abstractNum w:abstractNumId="97">
    <w:nsid w:val="53584BCB"/>
    <w:multiLevelType w:val="hybridMultilevel"/>
    <w:lvl w:ilvl="0">
      <w:lvlJc w:val="left"/>
      <w:lvlText w:val="(%1)"/>
      <w:numFmt w:val="lowerRoman"/>
      <w:start w:val="1"/>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
      <w:numFmt w:val="bullet"/>
      <w:start w:val="1"/>
    </w:lvl>
  </w:abstractNum>
  <w:abstractNum w:abstractNumId="101">
    <w:nsid w:val="45E6D486"/>
    <w:multiLevelType w:val="hybridMultilevel"/>
    <w:lvl w:ilvl="0">
      <w:lvlJc w:val="left"/>
      <w:lvlText w:val="•"/>
      <w:numFmt w:val="bullet"/>
      <w:start w:val="1"/>
    </w:lvl>
  </w:abstractNum>
  <w:abstractNum w:abstractNumId="102">
    <w:nsid w:val="5C10FE21"/>
    <w:multiLevelType w:val="hybridMultilevel"/>
    <w:lvl w:ilvl="0">
      <w:lvlJc w:val="left"/>
      <w:lvlText w:val="."/>
      <w:numFmt w:val="bullet"/>
      <w:start w:val="1"/>
    </w:lvl>
  </w:abstractNum>
  <w:abstractNum w:abstractNumId="103">
    <w:nsid w:val="E7FFA2B"/>
    <w:multiLevelType w:val="hybridMultilevel"/>
    <w:lvl w:ilvl="0">
      <w:lvlJc w:val="left"/>
      <w:lvlText w:val="•"/>
      <w:numFmt w:val="bullet"/>
      <w:start w:val="1"/>
    </w:lvl>
  </w:abstractNum>
  <w:abstractNum w:abstractNumId="104">
    <w:nsid w:val="3C5991AA"/>
    <w:multiLevelType w:val="hybridMultilevel"/>
    <w:lvl w:ilvl="0">
      <w:lvlJc w:val="left"/>
      <w:lvlText w:val="•"/>
      <w:numFmt w:val="bullet"/>
      <w:start w:val="1"/>
    </w:lvl>
  </w:abstractNum>
  <w:abstractNum w:abstractNumId="105">
    <w:nsid w:val="4BD8591A"/>
    <w:multiLevelType w:val="hybridMultilevel"/>
    <w:lvl w:ilvl="0">
      <w:lvlJc w:val="left"/>
      <w:lvlText w:val="•"/>
      <w:numFmt w:val="bullet"/>
      <w:start w:val="1"/>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
      <w:numFmt w:val="bullet"/>
      <w:start w:val="1"/>
    </w:lvl>
  </w:abstractNum>
  <w:abstractNum w:abstractNumId="108">
    <w:nsid w:val="2B0D8DBE"/>
    <w:multiLevelType w:val="hybridMultilevel"/>
    <w:lvl w:ilvl="0">
      <w:lvlJc w:val="left"/>
      <w:lvlText w:val="(%1)"/>
      <w:numFmt w:val="lowerRoman"/>
      <w:start w:val="1"/>
    </w:lvl>
  </w:abstractNum>
  <w:abstractNum w:abstractNumId="109">
    <w:nsid w:val="6C80EC70"/>
    <w:multiLevelType w:val="hybridMultilevel"/>
    <w:lvl w:ilvl="0">
      <w:lvlJc w:val="left"/>
      <w:lvlText w:val="(%1)"/>
      <w:numFmt w:val="lowerRoman"/>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
      <w:numFmt w:val="bullet"/>
      <w:start w:val="1"/>
    </w:lvl>
  </w:abstractNum>
  <w:abstractNum w:abstractNumId="113">
    <w:nsid w:val="4C9B0904"/>
    <w:multiLevelType w:val="hybridMultilevel"/>
    <w:lvl w:ilvl="0">
      <w:lvlJc w:val="left"/>
      <w:lvlText w:val="•"/>
      <w:numFmt w:val="bullet"/>
      <w:start w:val="1"/>
    </w:lvl>
  </w:abstractNum>
  <w:abstractNum w:abstractNumId="114">
    <w:nsid w:val="6AA7B75C"/>
    <w:multiLevelType w:val="hybridMultilevel"/>
    <w:lvl w:ilvl="0">
      <w:lvlJc w:val="left"/>
      <w:lvlText w:val="•"/>
      <w:numFmt w:val="bullet"/>
      <w:start w:val="1"/>
    </w:lvl>
  </w:abstractNum>
  <w:abstractNum w:abstractNumId="115">
    <w:nsid w:val="1DF029D3"/>
    <w:multiLevelType w:val="hybridMultilevel"/>
    <w:lvl w:ilvl="0">
      <w:lvlJc w:val="left"/>
      <w:lvlText w:val="•"/>
      <w:numFmt w:val="bullet"/>
      <w:start w:val="1"/>
    </w:lvl>
  </w:abstractNum>
  <w:abstractNum w:abstractNumId="116">
    <w:nsid w:val="5675FF36"/>
    <w:multiLevelType w:val="hybridMultilevel"/>
    <w:lvl w:ilvl="0">
      <w:lvlJc w:val="left"/>
      <w:lvlText w:val="•"/>
      <w:numFmt w:val="bullet"/>
      <w:start w:val="1"/>
    </w:lvl>
  </w:abstractNum>
  <w:abstractNum w:abstractNumId="117">
    <w:nsid w:val="3DD15094"/>
    <w:multiLevelType w:val="hybridMultilevel"/>
    <w:lvl w:ilvl="0">
      <w:lvlJc w:val="left"/>
      <w:lvlText w:val="%1."/>
      <w:numFmt w:val="decimal"/>
      <w:start w:val="10"/>
    </w:lvl>
  </w:abstractNum>
  <w:abstractNum w:abstractNumId="118">
    <w:nsid w:val="3DB012B3"/>
    <w:multiLevelType w:val="hybridMultilevel"/>
    <w:lvl w:ilvl="0">
      <w:lvlJc w:val="left"/>
      <w:lvlText w:val="%1."/>
      <w:numFmt w:val="decimal"/>
      <w:start w:val="16"/>
    </w:lvl>
  </w:abstractNum>
  <w:abstractNum w:abstractNumId="119">
    <w:nsid w:val="2708C9AF"/>
    <w:multiLevelType w:val="hybridMultilevel"/>
    <w:lvl w:ilvl="0">
      <w:lvlJc w:val="left"/>
      <w:lvlText w:val="(%1)"/>
      <w:numFmt w:val="lowerLetter"/>
      <w:start w:val="2"/>
    </w:lvl>
  </w:abstractNum>
  <w:abstractNum w:abstractNumId="120">
    <w:nsid w:val="5B25ACE2"/>
    <w:multiLevelType w:val="hybridMultilevel"/>
    <w:lvl w:ilvl="0">
      <w:lvlJc w:val="left"/>
      <w:lvlText w:val="(%1)"/>
      <w:numFmt w:val="decimal"/>
      <w:start w:val="2"/>
    </w:lvl>
  </w:abstractNum>
  <w:abstractNum w:abstractNumId="121">
    <w:nsid w:val="175DFCF0"/>
    <w:multiLevelType w:val="hybridMultilevel"/>
    <w:lvl w:ilvl="0">
      <w:lvlJc w:val="left"/>
      <w:lvlText w:val="(%1)"/>
      <w:numFmt w:val="decimal"/>
      <w:start w:val="1"/>
    </w:lvl>
  </w:abstractNum>
  <w:abstractNum w:abstractNumId="122">
    <w:nsid w:val="4F97E3E4"/>
    <w:multiLevelType w:val="hybridMultilevel"/>
    <w:lvl w:ilvl="0">
      <w:lvlJc w:val="left"/>
      <w:lvlText w:val="*"/>
      <w:numFmt w:val="bullet"/>
      <w:start w:val="1"/>
    </w:lvl>
  </w:abstractNum>
  <w:abstractNum w:abstractNumId="123">
    <w:nsid w:val="53B0A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2020-03-14T18:25:14Z</dcterms:created>
  <dcterms:modified xsi:type="dcterms:W3CDTF">2020-03-14T18:25:14Z</dcterms:modified>
</cp:coreProperties>
</file>