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October 15,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October 15,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333-234209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6214110</wp:posOffset>
            </wp:positionH>
            <wp:positionV relativeFrom="paragraph">
              <wp:posOffset>314325</wp:posOffset>
            </wp:positionV>
            <wp:extent cx="100330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TRADEWEB MARKETS ANNOUNCES LAUNCH OF FOLLOW-ON OFFERING AND PRELIMINARY THIRD QUARTER 2019 FINANCIAL RESULTS</w:t>
      </w:r>
    </w:p>
    <w:p>
      <w:pPr>
        <w:spacing w:after="0" w:line="166"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NEW YORK – October 15, 2019 – Tradeweb Markets Inc. (Nasdaq: TW), a leading, global operator of electronic marketplaces for rates, credit, equities and money markets, today announced the launch of an underwritten offering of 14,800,000 shares of its Class A common stock, subject to market conditions and other factors. Tradeweb expects to grant the underwriters a 30-day option to purchase up to an additional 2,220,000 shares of Class A common stock at the public offering price, less the underwriting discounts and commissions.</w:t>
      </w:r>
    </w:p>
    <w:p>
      <w:pPr>
        <w:spacing w:after="0" w:line="187"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Tradeweb intends to use the net proceeds from the offering to purchase equity interests from certain existing owners. Refinitiv will continue to own a controlling interest in Tradeweb following the offering. J.P. Morgan, Barclays, Citigroup, Goldman Sachs &amp; Co. LLC and Morgan Stanley are acting as the joint book-running managers for the offering.</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Third Quarter 2019 Financial Results</w:t>
      </w:r>
    </w:p>
    <w:p>
      <w:pPr>
        <w:spacing w:after="0" w:line="27" w:lineRule="exact"/>
        <w:rPr>
          <w:sz w:val="24"/>
          <w:szCs w:val="24"/>
          <w:color w:val="auto"/>
        </w:rPr>
      </w:pPr>
    </w:p>
    <w:p>
      <w:pPr>
        <w:ind w:right="100"/>
        <w:spacing w:after="0" w:line="271" w:lineRule="auto"/>
        <w:rPr>
          <w:sz w:val="20"/>
          <w:szCs w:val="20"/>
          <w:color w:val="auto"/>
        </w:rPr>
      </w:pPr>
      <w:r>
        <w:rPr>
          <w:rFonts w:ascii="Arial" w:cs="Arial" w:eastAsia="Arial" w:hAnsi="Arial"/>
          <w:sz w:val="17"/>
          <w:szCs w:val="17"/>
          <w:color w:val="auto"/>
        </w:rPr>
        <w:t>The preliminary prospectus included in the registration statement filed by Tradeweb in connection with the proposed offering contains Tradeweb’s preliminary unaudited financial results for the three and nine months ended September 30, 2019, which have also been included in a Current Report on Form 8-K furnished today with the SEC. Tradeweb is currently in the process of finalizing its financial results for the three and nine months ended September 30, 2019. Because Tradeweb’s consolidated financial statements for these periods are not yet available, the preliminary financial results included in the preliminary prospectus and set forth below are based on current estimates and remain subject to completion.</w:t>
      </w:r>
    </w:p>
    <w:p>
      <w:pPr>
        <w:spacing w:after="0" w:line="17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Set forth below are management’s estimates for expected gross revenue, total expenses, net income, net income attributable to Tradeweb Markets Inc., diluted earnings per share, Adjusted EBITDA, Adjusted EBITDA margin, Adjusted EBIT, Adjusted EBIT margin, Adjusted Net Income and Adjusted Diluted EPS for the three and nine months ended September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603250</wp:posOffset>
            </wp:positionV>
            <wp:extent cx="100330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52"/>
              <w:spacing w:after="0"/>
              <w:rPr>
                <w:sz w:val="20"/>
                <w:szCs w:val="20"/>
                <w:color w:val="auto"/>
              </w:rPr>
            </w:pPr>
            <w:r>
              <w:rPr>
                <w:rFonts w:ascii="Arial" w:cs="Arial" w:eastAsia="Arial" w:hAnsi="Arial"/>
                <w:sz w:val="18"/>
                <w:szCs w:val="18"/>
                <w:color w:val="auto"/>
                <w:w w:val="85"/>
              </w:rPr>
              <w:t>Successor</w:t>
            </w:r>
          </w:p>
        </w:tc>
        <w:tc>
          <w:tcPr>
            <w:tcW w:w="8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Predecessor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Three Months</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2"/>
              <w:spacing w:after="0" w:line="195" w:lineRule="exact"/>
              <w:rPr>
                <w:sz w:val="20"/>
                <w:szCs w:val="20"/>
                <w:color w:val="auto"/>
              </w:rPr>
            </w:pPr>
            <w:r>
              <w:rPr>
                <w:rFonts w:ascii="Arial" w:cs="Arial" w:eastAsia="Arial" w:hAnsi="Arial"/>
                <w:sz w:val="18"/>
                <w:szCs w:val="18"/>
                <w:color w:val="auto"/>
                <w:w w:val="91"/>
              </w:rPr>
              <w:t>Three Months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32"/>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Ended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52"/>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 Change</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24"/>
        </w:trPr>
        <w:tc>
          <w:tcPr>
            <w:tcW w:w="1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Rates</w:t>
            </w:r>
          </w:p>
        </w:tc>
        <w:tc>
          <w:tcPr>
            <w:tcW w:w="2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115,505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Credit</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39,578</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33,642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5,936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Equities</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12,333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Money Markets</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10,480</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8,667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Data</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16,914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6,171</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200,981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142,723</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114,973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48,578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 attributable to Tradeweb Markets Inc.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29,612</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89"/>
              </w:rPr>
              <w:t>Diluted earnings per share</w:t>
            </w:r>
          </w:p>
        </w:tc>
        <w:tc>
          <w:tcPr>
            <w:tcW w:w="2640" w:type="dxa"/>
            <w:vAlign w:val="bottom"/>
            <w:shd w:val="clear" w:color="auto" w:fill="CCEEFF"/>
          </w:tcPr>
          <w:p>
            <w:pPr>
              <w:jc w:val="right"/>
              <w:ind w:right="2365"/>
              <w:spacing w:after="0" w:line="162" w:lineRule="exact"/>
              <w:rPr>
                <w:sz w:val="20"/>
                <w:szCs w:val="20"/>
                <w:color w:val="auto"/>
              </w:rPr>
            </w:pPr>
            <w:r>
              <w:rPr>
                <w:rFonts w:ascii="Arial" w:cs="Arial" w:eastAsia="Arial" w:hAnsi="Arial"/>
                <w:sz w:val="15"/>
                <w:szCs w:val="15"/>
                <w:color w:val="auto"/>
                <w:w w:val="97"/>
              </w:rPr>
              <w:t>(1)</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52"/>
              <w:spacing w:after="0" w:line="162" w:lineRule="exact"/>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72"/>
              <w:spacing w:after="0" w:line="95" w:lineRule="exact"/>
              <w:rPr>
                <w:sz w:val="20"/>
                <w:szCs w:val="20"/>
                <w:color w:val="auto"/>
              </w:rPr>
            </w:pPr>
            <w:r>
              <w:rPr>
                <w:rFonts w:ascii="Arial" w:cs="Arial" w:eastAsia="Arial" w:hAnsi="Arial"/>
                <w:sz w:val="10"/>
                <w:szCs w:val="10"/>
                <w:color w:val="auto"/>
              </w:rPr>
              <w:t>(b)</w:t>
            </w:r>
          </w:p>
        </w:tc>
        <w:tc>
          <w:tcPr>
            <w:tcW w:w="80" w:type="dxa"/>
            <w:vAlign w:val="bottom"/>
            <w:shd w:val="clear" w:color="auto" w:fill="CCEEFF"/>
          </w:tcPr>
          <w:p>
            <w:pPr>
              <w:spacing w:after="0"/>
              <w:rPr>
                <w:sz w:val="8"/>
                <w:szCs w:val="8"/>
                <w:color w:val="auto"/>
              </w:rPr>
            </w:pPr>
          </w:p>
        </w:tc>
        <w:tc>
          <w:tcPr>
            <w:tcW w:w="138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10"/>
                <w:szCs w:val="10"/>
                <w:color w:val="auto"/>
              </w:rPr>
              <w:t>(a)</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Non-GAAP Financial Measures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93,449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66,583</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26,866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7"/>
        </w:trPr>
        <w:tc>
          <w:tcPr>
            <w:tcW w:w="456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92"/>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+620bps</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EBIT </w:t>
            </w:r>
            <w:r>
              <w:rPr>
                <w:rFonts w:ascii="Arial" w:cs="Arial" w:eastAsia="Arial" w:hAnsi="Arial"/>
                <w:sz w:val="29"/>
                <w:szCs w:val="29"/>
                <w:color w:val="auto"/>
                <w:vertAlign w:val="superscript"/>
              </w:rPr>
              <w:t>(2)</w:t>
            </w:r>
          </w:p>
        </w:tc>
        <w:tc>
          <w:tcPr>
            <w:tcW w:w="26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83,096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56,734</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57"/>
        </w:trPr>
        <w:tc>
          <w:tcPr>
            <w:tcW w:w="456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9"/>
                <w:szCs w:val="29"/>
                <w:color w:val="auto"/>
                <w:vertAlign w:val="superscript"/>
              </w:rPr>
              <w:t>(2)</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92"/>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+701bps</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61,627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42,252</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390"/>
        </w:trPr>
        <w:tc>
          <w:tcPr>
            <w:tcW w:w="4560" w:type="dxa"/>
            <w:vAlign w:val="bottom"/>
            <w:gridSpan w:val="2"/>
          </w:tcPr>
          <w:p>
            <w:pPr>
              <w:ind w:left="460"/>
              <w:spacing w:after="0"/>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30"/>
                <w:szCs w:val="30"/>
                <w:color w:val="auto"/>
                <w:vertAlign w:val="superscript"/>
              </w:rPr>
              <w:t>(2)(3)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52"/>
              <w:spacing w:after="0"/>
              <w:rPr>
                <w:sz w:val="20"/>
                <w:szCs w:val="20"/>
                <w:color w:val="auto"/>
              </w:rPr>
            </w:pPr>
            <w:r>
              <w:rPr>
                <w:rFonts w:ascii="Arial" w:cs="Arial" w:eastAsia="Arial" w:hAnsi="Arial"/>
                <w:sz w:val="18"/>
                <w:szCs w:val="18"/>
                <w:color w:val="auto"/>
              </w:rPr>
              <w:t>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569"/>
        </w:trPr>
        <w:tc>
          <w:tcPr>
            <w:tcW w:w="1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603250</wp:posOffset>
            </wp:positionV>
            <wp:extent cx="100330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4"/>
              <w:spacing w:after="0"/>
              <w:rPr>
                <w:sz w:val="20"/>
                <w:szCs w:val="20"/>
                <w:color w:val="auto"/>
              </w:rPr>
            </w:pPr>
            <w:r>
              <w:rPr>
                <w:rFonts w:ascii="Arial" w:cs="Arial" w:eastAsia="Arial" w:hAnsi="Arial"/>
                <w:sz w:val="18"/>
                <w:szCs w:val="18"/>
                <w:color w:val="auto"/>
                <w:w w:val="85"/>
              </w:rPr>
              <w:t>Successor</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Predecessor</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Nine Months</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2"/>
              <w:spacing w:after="0" w:line="195" w:lineRule="exact"/>
              <w:rPr>
                <w:sz w:val="20"/>
                <w:szCs w:val="20"/>
                <w:color w:val="auto"/>
              </w:rPr>
            </w:pPr>
            <w:r>
              <w:rPr>
                <w:rFonts w:ascii="Arial" w:cs="Arial" w:eastAsia="Arial" w:hAnsi="Arial"/>
                <w:sz w:val="18"/>
                <w:szCs w:val="18"/>
                <w:color w:val="auto"/>
                <w:w w:val="92"/>
              </w:rPr>
              <w:t>Nine Months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4"/>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4"/>
              <w:spacing w:after="0"/>
              <w:rPr>
                <w:sz w:val="20"/>
                <w:szCs w:val="20"/>
                <w:color w:val="auto"/>
              </w:rPr>
            </w:pPr>
            <w:r>
              <w:rPr>
                <w:rFonts w:ascii="Arial" w:cs="Arial" w:eastAsia="Arial" w:hAnsi="Arial"/>
                <w:sz w:val="18"/>
                <w:szCs w:val="18"/>
                <w:color w:val="auto"/>
                <w:w w:val="89"/>
              </w:rPr>
              <w:t>2019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80" w:type="dxa"/>
            <w:vAlign w:val="bottom"/>
          </w:tcPr>
          <w:p>
            <w:pPr>
              <w:spacing w:after="0"/>
              <w:rPr>
                <w:sz w:val="20"/>
                <w:szCs w:val="20"/>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 Change</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24"/>
        </w:trPr>
        <w:tc>
          <w:tcPr>
            <w:tcW w:w="1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(dollars in thousands)</w:t>
            </w:r>
          </w:p>
        </w:tc>
        <w:tc>
          <w:tcPr>
            <w:tcW w:w="2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Rates</w:t>
            </w:r>
          </w:p>
        </w:tc>
        <w:tc>
          <w:tcPr>
            <w:tcW w:w="2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281,641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Credit</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102,452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16,160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Equities</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Money Markets</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25,248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Data</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920" w:type="dxa"/>
            <w:vAlign w:val="bottom"/>
          </w:tcPr>
          <w:p>
            <w:pPr>
              <w:ind w:left="280"/>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21,024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(5,008)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505,771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442,768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338,607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130,160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 attributable to Tradeweb Markets Inc.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920" w:type="dxa"/>
            <w:vAlign w:val="bottom"/>
            <w:vMerge w:val="restart"/>
            <w:shd w:val="clear" w:color="auto" w:fill="CCEEFF"/>
          </w:tcPr>
          <w:p>
            <w:pPr>
              <w:spacing w:after="0" w:line="162" w:lineRule="exact"/>
              <w:rPr>
                <w:sz w:val="20"/>
                <w:szCs w:val="20"/>
                <w:color w:val="auto"/>
              </w:rPr>
            </w:pPr>
            <w:r>
              <w:rPr>
                <w:rFonts w:ascii="Arial" w:cs="Arial" w:eastAsia="Arial" w:hAnsi="Arial"/>
                <w:sz w:val="18"/>
                <w:szCs w:val="18"/>
                <w:color w:val="auto"/>
                <w:w w:val="89"/>
              </w:rPr>
              <w:t>Diluted earnings per share</w:t>
            </w:r>
          </w:p>
        </w:tc>
        <w:tc>
          <w:tcPr>
            <w:tcW w:w="2640" w:type="dxa"/>
            <w:vAlign w:val="bottom"/>
            <w:shd w:val="clear" w:color="auto" w:fill="CCEEFF"/>
          </w:tcPr>
          <w:p>
            <w:pPr>
              <w:jc w:val="right"/>
              <w:ind w:right="2365"/>
              <w:spacing w:after="0" w:line="135" w:lineRule="exact"/>
              <w:rPr>
                <w:sz w:val="20"/>
                <w:szCs w:val="20"/>
                <w:color w:val="auto"/>
              </w:rPr>
            </w:pPr>
            <w:r>
              <w:rPr>
                <w:rFonts w:ascii="Arial" w:cs="Arial" w:eastAsia="Arial" w:hAnsi="Arial"/>
                <w:sz w:val="15"/>
                <w:szCs w:val="15"/>
                <w:color w:val="auto"/>
                <w:w w:val="97"/>
              </w:rPr>
              <w:t>(1)</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274"/>
              <w:spacing w:after="0" w:line="135" w:lineRule="exact"/>
              <w:rPr>
                <w:sz w:val="20"/>
                <w:szCs w:val="20"/>
                <w:color w:val="auto"/>
              </w:rPr>
            </w:pPr>
            <w:r>
              <w:rPr>
                <w:rFonts w:ascii="Arial" w:cs="Arial" w:eastAsia="Arial" w:hAnsi="Arial"/>
                <w:sz w:val="15"/>
                <w:szCs w:val="15"/>
                <w:color w:val="auto"/>
              </w:rPr>
              <w:t>(a)</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280"/>
              <w:spacing w:after="0" w:line="162" w:lineRule="exact"/>
              <w:rPr>
                <w:sz w:val="20"/>
                <w:szCs w:val="20"/>
                <w:color w:val="auto"/>
              </w:rPr>
            </w:pPr>
            <w:r>
              <w:rPr>
                <w:rFonts w:ascii="Arial" w:cs="Arial" w:eastAsia="Arial" w:hAnsi="Arial"/>
                <w:sz w:val="18"/>
                <w:szCs w:val="18"/>
                <w:color w:val="auto"/>
              </w:rPr>
              <w:t>0.60</w:t>
            </w:r>
          </w:p>
        </w:tc>
        <w:tc>
          <w:tcPr>
            <w:tcW w:w="1460" w:type="dxa"/>
            <w:vAlign w:val="bottom"/>
            <w:gridSpan w:val="2"/>
            <w:vMerge w:val="restart"/>
            <w:shd w:val="clear" w:color="auto" w:fill="CCEEFF"/>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20" w:type="dxa"/>
            <w:vAlign w:val="bottom"/>
            <w:vMerge w:val="continue"/>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jc w:val="right"/>
              <w:spacing w:after="0" w:line="27" w:lineRule="exact"/>
              <w:rPr>
                <w:sz w:val="20"/>
                <w:szCs w:val="20"/>
                <w:color w:val="auto"/>
              </w:rPr>
            </w:pPr>
            <w:r>
              <w:rPr>
                <w:rFonts w:ascii="Arial" w:cs="Arial" w:eastAsia="Arial" w:hAnsi="Arial"/>
                <w:sz w:val="3"/>
                <w:szCs w:val="3"/>
                <w:color w:val="auto"/>
              </w:rPr>
              <w:t>0.19  /0.28</w:t>
            </w:r>
          </w:p>
        </w:tc>
        <w:tc>
          <w:tcPr>
            <w:tcW w:w="300" w:type="dxa"/>
            <w:vAlign w:val="bottom"/>
            <w:vMerge w:val="restart"/>
            <w:shd w:val="clear" w:color="auto" w:fill="CCEEFF"/>
          </w:tcPr>
          <w:p>
            <w:pPr>
              <w:jc w:val="right"/>
              <w:ind w:right="50"/>
              <w:spacing w:after="0" w:line="122" w:lineRule="exact"/>
              <w:rPr>
                <w:sz w:val="20"/>
                <w:szCs w:val="20"/>
                <w:color w:val="auto"/>
              </w:rPr>
            </w:pPr>
            <w:r>
              <w:rPr>
                <w:rFonts w:ascii="Arial" w:cs="Arial" w:eastAsia="Arial" w:hAnsi="Arial"/>
                <w:sz w:val="14"/>
                <w:szCs w:val="14"/>
                <w:color w:val="auto"/>
                <w:w w:val="93"/>
              </w:rPr>
              <w:t>(b)</w:t>
            </w:r>
          </w:p>
        </w:tc>
        <w:tc>
          <w:tcPr>
            <w:tcW w:w="80" w:type="dxa"/>
            <w:vAlign w:val="bottom"/>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14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9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120"/>
              <w:spacing w:after="0" w:line="95" w:lineRule="exact"/>
              <w:rPr>
                <w:sz w:val="20"/>
                <w:szCs w:val="20"/>
                <w:color w:val="auto"/>
              </w:rPr>
            </w:pPr>
            <w:r>
              <w:rPr>
                <w:rFonts w:ascii="Arial" w:cs="Arial" w:eastAsia="Arial" w:hAnsi="Arial"/>
                <w:sz w:val="10"/>
                <w:szCs w:val="10"/>
                <w:color w:val="auto"/>
              </w:rPr>
              <w:t>(a)</w:t>
            </w:r>
          </w:p>
        </w:tc>
        <w:tc>
          <w:tcPr>
            <w:tcW w:w="1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Non-GAAP Financial Measures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260,721</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214,091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46,630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456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+276bps</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EBIT </w:t>
            </w:r>
            <w:r>
              <w:rPr>
                <w:rFonts w:ascii="Arial" w:cs="Arial" w:eastAsia="Arial" w:hAnsi="Arial"/>
                <w:sz w:val="29"/>
                <w:szCs w:val="29"/>
                <w:color w:val="auto"/>
                <w:vertAlign w:val="superscript"/>
              </w:rPr>
              <w:t>(2)</w:t>
            </w:r>
          </w:p>
        </w:tc>
        <w:tc>
          <w:tcPr>
            <w:tcW w:w="26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229,915</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456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 xml:space="preserve">Adjusted EBIT Margin </w:t>
            </w:r>
            <w:r>
              <w:rPr>
                <w:rFonts w:ascii="Arial" w:cs="Arial" w:eastAsia="Arial" w:hAnsi="Arial"/>
                <w:sz w:val="29"/>
                <w:szCs w:val="29"/>
                <w:color w:val="auto"/>
                <w:vertAlign w:val="superscript"/>
              </w:rPr>
              <w:t>(2)</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+321bps</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460"/>
              <w:spacing w:after="0" w:line="256"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170,446</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137,327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390"/>
        </w:trPr>
        <w:tc>
          <w:tcPr>
            <w:tcW w:w="4560" w:type="dxa"/>
            <w:vAlign w:val="bottom"/>
            <w:gridSpan w:val="2"/>
          </w:tcPr>
          <w:p>
            <w:pPr>
              <w:ind w:left="460"/>
              <w:spacing w:after="0"/>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30"/>
                <w:szCs w:val="30"/>
                <w:color w:val="auto"/>
                <w:vertAlign w:val="superscript"/>
              </w:rPr>
              <w:t>(2)(3)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0.64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a result of the Refinitiv Transaction and pushdown accounting, certain financial information for the period beginning on October 1, 2018,</w:t>
      </w:r>
    </w:p>
    <w:p>
      <w:pPr>
        <w:spacing w:after="0" w:line="35" w:lineRule="exact"/>
        <w:rPr>
          <w:sz w:val="20"/>
          <w:szCs w:val="20"/>
          <w:color w:val="auto"/>
        </w:rPr>
      </w:pPr>
    </w:p>
    <w:p>
      <w:pPr>
        <w:ind w:left="820" w:right="420"/>
        <w:spacing w:after="0" w:line="250" w:lineRule="auto"/>
        <w:rPr>
          <w:sz w:val="20"/>
          <w:szCs w:val="20"/>
          <w:color w:val="auto"/>
        </w:rPr>
      </w:pPr>
      <w:r>
        <w:rPr>
          <w:rFonts w:ascii="Arial" w:cs="Arial" w:eastAsia="Arial" w:hAnsi="Arial"/>
          <w:sz w:val="18"/>
          <w:szCs w:val="18"/>
          <w:color w:val="auto"/>
        </w:rPr>
        <w:t>and through and including September 30, 2019, which we refer to as the “Successor period,” and certain financial information for the periods prior to, and including, September 30, 2018, referred to as the “Predecessor period,” are not comparable. See “Basis of Presentation” in Appendix A attached hereto.</w:t>
      </w:r>
    </w:p>
    <w:p>
      <w:pPr>
        <w:spacing w:after="0" w:line="1" w:lineRule="exact"/>
        <w:rPr>
          <w:sz w:val="20"/>
          <w:szCs w:val="20"/>
          <w:color w:val="auto"/>
        </w:rPr>
      </w:pPr>
    </w:p>
    <w:p>
      <w:pPr>
        <w:ind w:left="820" w:right="1080" w:hanging="326"/>
        <w:spacing w:after="0" w:line="250"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result of the Reorganization Transactions and the IPO completed in April 2019, certain earnings information is being presented separately for Tradeweb Markets LLC and Tradeweb Markets Inc.</w:t>
      </w:r>
    </w:p>
    <w:p>
      <w:pPr>
        <w:ind w:left="1200" w:hanging="382"/>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9" w:lineRule="exact"/>
        <w:rPr>
          <w:rFonts w:ascii="Arial" w:cs="Arial" w:eastAsia="Arial" w:hAnsi="Arial"/>
          <w:sz w:val="18"/>
          <w:szCs w:val="18"/>
          <w:color w:val="auto"/>
        </w:rPr>
      </w:pPr>
    </w:p>
    <w:p>
      <w:pPr>
        <w:ind w:left="1200" w:hanging="382"/>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9" w:lineRule="exact"/>
        <w:rPr>
          <w:sz w:val="20"/>
          <w:szCs w:val="20"/>
          <w:color w:val="auto"/>
        </w:rPr>
      </w:pPr>
    </w:p>
    <w:p>
      <w:pPr>
        <w:jc w:val="both"/>
        <w:ind w:left="820" w:right="880"/>
        <w:spacing w:after="0" w:line="281" w:lineRule="auto"/>
        <w:rPr>
          <w:sz w:val="20"/>
          <w:szCs w:val="20"/>
          <w:color w:val="auto"/>
        </w:rPr>
      </w:pPr>
      <w:r>
        <w:rPr>
          <w:rFonts w:ascii="Arial" w:cs="Arial" w:eastAsia="Arial" w:hAnsi="Arial"/>
          <w:sz w:val="16"/>
          <w:szCs w:val="16"/>
          <w:color w:val="auto"/>
        </w:rPr>
        <w:t>For more information for pre-IPO period and post-IPO period earnings per share information, see “Basis of Presentation,” “Note 16 — Earnings Per Share” to the unaudited consolidated financial statements of Tradeweb Markets Inc. included in our Quarterly Report on Form 10-Q for the quarterly period ended June 30, 2019. and “Note 18 — Net Income Per Share” to the audited consolidated financial statements of Tradeweb Markets LLC, included in Tradeweb’s Current Report on Form 8-K dated June 18, 2019.</w:t>
      </w:r>
    </w:p>
    <w:p>
      <w:pPr>
        <w:spacing w:after="0" w:line="3" w:lineRule="exact"/>
        <w:rPr>
          <w:sz w:val="20"/>
          <w:szCs w:val="20"/>
          <w:color w:val="auto"/>
        </w:rPr>
      </w:pPr>
    </w:p>
    <w:p>
      <w:pPr>
        <w:ind w:left="820" w:right="540" w:hanging="326"/>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definitions of Adjusted EBITDA, Adjusted EBITDA margin, Adjusted EBIT, Adjusted EBIT margin, Adjusted Net Income and Adjusted Diluted EPS and for reconciliations to their most directly comparable financial measures presented in accordance with GAAP, see the tables included in Appendix A attached hereto.</w:t>
      </w:r>
    </w:p>
    <w:p>
      <w:pPr>
        <w:spacing w:after="0" w:line="1" w:lineRule="exact"/>
        <w:rPr>
          <w:rFonts w:ascii="Arial" w:cs="Arial" w:eastAsia="Arial" w:hAnsi="Arial"/>
          <w:sz w:val="18"/>
          <w:szCs w:val="18"/>
          <w:color w:val="auto"/>
        </w:rPr>
      </w:pPr>
    </w:p>
    <w:p>
      <w:pPr>
        <w:ind w:left="820" w:right="520" w:hanging="326"/>
        <w:spacing w:after="0" w:line="30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Diluted EPS includes certain tax related adjustments to reflect an assumed effective tax rate for all periods presented and, for the three and nine months ended September 30, 2019, assumes all LLC Interests are exchanged for shares of Class A or Class B common stock. As a result, management believes that Adjusted Diluted EPS for Tradeweb Markets Inc. and Tradeweb Markets LLC are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586105</wp:posOffset>
            </wp:positionV>
            <wp:extent cx="100330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right="160"/>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 copy of the preliminary prospectus is available at </w:t>
      </w:r>
      <w:hyperlink r:id="rId14">
        <w:r>
          <w:rPr>
            <w:rFonts w:ascii="Arial" w:cs="Arial" w:eastAsia="Arial" w:hAnsi="Arial"/>
            <w:sz w:val="16"/>
            <w:szCs w:val="16"/>
            <w:u w:val="single" w:color="auto"/>
            <w:color w:val="0000EE"/>
          </w:rPr>
          <w:t>https://www.sec.gov/Archives/edgar/data/1758730/000110465919054160/tv529956-s1.htm</w:t>
        </w:r>
      </w:hyperlink>
      <w:r>
        <w:rPr>
          <w:rFonts w:ascii="Arial" w:cs="Arial" w:eastAsia="Arial" w:hAnsi="Arial"/>
          <w:sz w:val="16"/>
          <w:szCs w:val="16"/>
          <w:b w:val="1"/>
          <w:bCs w:val="1"/>
          <w:color w:val="auto"/>
        </w:rPr>
        <w:t>.</w:t>
      </w:r>
    </w:p>
    <w:p>
      <w:pPr>
        <w:spacing w:after="0" w:line="15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Alternatively, copies of the preliminary prospectus may be obtained from J.P. Morgan Securities LLC, c/o Broadridge Financial Solutions, 1155 Long Island Avenue, Edgewood, New York 11717, by email at prospectus-eq_fi@jpmchase.com or toll-free at (866) 803-9204; Barclays Capital Inc., Attention Barclays Capital Inc. c/o Broadridge Financial Solutions, 1155 Long Island Avenue, Edgewood, NY 11717, by email at barclaysprospectus@broadridge.com, or by telephone at (888) 603-5847; Citigroup Global Markets Inc., Attention: Prospectus Department, c/o Broadridge Financial Solutions, 1155 Long Island Avenue, Edgewood, New York 11717, or by telephone at (800) 831-9146; Goldman Sachs &amp; Co. LLC, Attention: Prospectus Department, 200 West Street, New York, New York 10282, by email at prospectus-ny@ny.email.gs.com or by telephone at (866) 471-2526; or Morgan Stanley &amp; Co. LLC, Attention: Prospectus Department, 180 Varick Street, Second Floor, New York, New York 10014.</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These securities may not be sold nor may offers to buy be accepted prior to the time the registration statement becomes effective. This news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This release contains forward-looking statements within the meaning of the federal securities laws. Statements related to, among other things, the proposed offering and plans regarding the use of proceeds therefrom, our outlook and future performance, the industry and markets in which we operate, our expectations, beliefs, plans, strategies, objectives, prospects and assumptions and future events are forward-looking statements.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In particular, the preliminary financial results for the third quarter of 2019 are subject to the completion of management’s final review and our other financial closing procedures and therefore are subject to change.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586105</wp:posOffset>
            </wp:positionV>
            <wp:extent cx="100330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Tradeweb Markets</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60 countries. On average, Tradeweb facilitated more than $700 billion in notional value traded per day over the past four fiscal quarters.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4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7080" w:type="dxa"/>
            <w:vAlign w:val="bottom"/>
          </w:tcPr>
          <w:p>
            <w:pPr>
              <w:ind w:left="1380"/>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Ashley Serrao, Tradeweb + 1 646 430 6027</w:t>
            </w:r>
          </w:p>
        </w:tc>
        <w:tc>
          <w:tcPr>
            <w:tcW w:w="7080" w:type="dxa"/>
            <w:vAlign w:val="bottom"/>
          </w:tcPr>
          <w:p>
            <w:pPr>
              <w:ind w:left="1380"/>
              <w:spacing w:after="0"/>
              <w:rPr>
                <w:sz w:val="20"/>
                <w:szCs w:val="20"/>
                <w:color w:val="auto"/>
              </w:rPr>
            </w:pPr>
            <w:r>
              <w:rPr>
                <w:rFonts w:ascii="Arial" w:cs="Arial" w:eastAsia="Arial" w:hAnsi="Arial"/>
                <w:sz w:val="18"/>
                <w:szCs w:val="18"/>
                <w:color w:val="auto"/>
              </w:rPr>
              <w:t>Jonathan Mairs, Tradeweb +1 646 430 6176</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Ashley.Serrao@Tradeweb.com</w:t>
            </w:r>
          </w:p>
        </w:tc>
        <w:tc>
          <w:tcPr>
            <w:tcW w:w="7080" w:type="dxa"/>
            <w:vAlign w:val="bottom"/>
          </w:tcPr>
          <w:p>
            <w:pPr>
              <w:ind w:left="1380"/>
              <w:spacing w:after="0"/>
              <w:rPr>
                <w:sz w:val="20"/>
                <w:szCs w:val="20"/>
                <w:color w:val="auto"/>
              </w:rPr>
            </w:pPr>
            <w:r>
              <w:rPr>
                <w:rFonts w:ascii="Arial" w:cs="Arial" w:eastAsia="Arial" w:hAnsi="Arial"/>
                <w:sz w:val="18"/>
                <w:szCs w:val="18"/>
                <w:color w:val="auto"/>
              </w:rPr>
              <w:t>Jonathan.Mairs@Tradeweb.com</w:t>
            </w:r>
          </w:p>
        </w:tc>
      </w:tr>
      <w:tr>
        <w:trPr>
          <w:trHeight w:val="432"/>
        </w:trPr>
        <w:tc>
          <w:tcPr>
            <w:tcW w:w="4340" w:type="dxa"/>
            <w:vAlign w:val="bottom"/>
          </w:tcPr>
          <w:p>
            <w:pPr>
              <w:spacing w:after="0"/>
              <w:rPr>
                <w:sz w:val="24"/>
                <w:szCs w:val="24"/>
                <w:color w:val="auto"/>
              </w:rPr>
            </w:pPr>
          </w:p>
        </w:tc>
        <w:tc>
          <w:tcPr>
            <w:tcW w:w="7080" w:type="dxa"/>
            <w:vAlign w:val="bottom"/>
          </w:tcPr>
          <w:p>
            <w:pPr>
              <w:jc w:val="right"/>
              <w:ind w:right="5430"/>
              <w:spacing w:after="0"/>
              <w:rPr>
                <w:sz w:val="20"/>
                <w:szCs w:val="20"/>
                <w:color w:val="auto"/>
              </w:rPr>
            </w:pPr>
            <w:r>
              <w:rPr>
                <w:rFonts w:ascii="Arial" w:cs="Arial" w:eastAsia="Arial" w:hAnsi="Arial"/>
                <w:sz w:val="18"/>
                <w:szCs w:val="18"/>
                <w:color w:val="auto"/>
              </w:rPr>
              <w:t># # #</w:t>
            </w:r>
          </w:p>
        </w:tc>
      </w:tr>
      <w:tr>
        <w:trPr>
          <w:trHeight w:val="675"/>
        </w:trPr>
        <w:tc>
          <w:tcPr>
            <w:tcW w:w="43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60" w:right="759" w:firstLine="360"/>
        <w:spacing w:after="0" w:line="291" w:lineRule="auto"/>
        <w:rPr>
          <w:sz w:val="20"/>
          <w:szCs w:val="20"/>
          <w:color w:val="auto"/>
        </w:rPr>
      </w:pPr>
      <w:r>
        <w:rPr>
          <w:rFonts w:ascii="Arial" w:cs="Arial" w:eastAsia="Arial" w:hAnsi="Arial"/>
          <w:sz w:val="16"/>
          <w:szCs w:val="16"/>
          <w:i w:val="1"/>
          <w:iCs w:val="1"/>
          <w:color w:val="auto"/>
        </w:rPr>
        <w:t>“We,” “us,” “our,” the “Company,” “Tradeweb” and similar references refer: (i) on or prior to the completion of a series of reorganization transactions that were completed (the “Reorganization Transactions”) in connection with Tradeweb Markets Inc.’s initial public offering (“IPO”), which was completed on April 8, 2019,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59" w:lineRule="exact"/>
        <w:rPr>
          <w:sz w:val="20"/>
          <w:szCs w:val="20"/>
          <w:color w:val="auto"/>
        </w:rPr>
      </w:pPr>
    </w:p>
    <w:p>
      <w:pPr>
        <w:ind w:left="60" w:right="739" w:firstLine="360"/>
        <w:spacing w:after="0" w:line="287" w:lineRule="auto"/>
        <w:rPr>
          <w:sz w:val="20"/>
          <w:szCs w:val="20"/>
          <w:color w:val="auto"/>
        </w:rPr>
      </w:pPr>
      <w:r>
        <w:rPr>
          <w:rFonts w:ascii="Arial" w:cs="Arial" w:eastAsia="Arial" w:hAnsi="Arial"/>
          <w:sz w:val="16"/>
          <w:szCs w:val="16"/>
          <w:i w:val="1"/>
          <w:iCs w:val="1"/>
          <w:color w:val="auto"/>
        </w:rPr>
        <w:t>The historical financial information and other disclosures contained herein relate to periods that ended both prior to and after the completion of the Reorganization Transactions and the IPO. As a result of the Reorganization Transactions completed in connection with the IPO, on April 4, 2019, Tradeweb Markets Inc. became a holding company whose principal asset consists of its equity interest in Tradeweb Markets LLC (“TWM LLC”).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herein relating to periods prior to, and including, March 31, 2019 pertain to TWM LLC, the predecessor of Tradeweb Markets Inc. for financial reporting purposes, and its subsidiaries. The historical financial information contained herein relating to periods beginning on April 1, 2019, and through and including June 30, 2019, pertain to Tradeweb Markets Inc. and its subsidiaries, including TWM LLC.</w:t>
      </w:r>
    </w:p>
    <w:p>
      <w:pPr>
        <w:spacing w:after="0" w:line="61" w:lineRule="exact"/>
        <w:rPr>
          <w:sz w:val="20"/>
          <w:szCs w:val="20"/>
          <w:color w:val="auto"/>
        </w:rPr>
      </w:pPr>
    </w:p>
    <w:p>
      <w:pPr>
        <w:ind w:left="60" w:right="759" w:firstLine="360"/>
        <w:spacing w:after="0" w:line="283" w:lineRule="auto"/>
        <w:rPr>
          <w:sz w:val="20"/>
          <w:szCs w:val="20"/>
          <w:color w:val="auto"/>
        </w:rPr>
      </w:pPr>
      <w:r>
        <w:rPr>
          <w:rFonts w:ascii="Arial" w:cs="Arial" w:eastAsia="Arial" w:hAnsi="Arial"/>
          <w:sz w:val="16"/>
          <w:szCs w:val="16"/>
          <w:i w:val="1"/>
          <w:iCs w:val="1"/>
          <w:color w:val="auto"/>
        </w:rPr>
        <w:t>As a result of the Refinitiv Transaction (the “Refinitiv Transaction”), pursuant to which Refinitiv Holdings Ltd. (“Refinitiv”) indirectly acquired on October 1, 2018 substantially all of the financial and risk business of Thomson Reuters Corporation (“Thomson Reuters”) and Thomson Reuters indirectly acquired a 45% ownership interest in Refinitiv, we revalued our assets and liabilities based on their fair values as of the closing date of the Refinitiv Transaction in accordance with the acquisition method of accounting. Due to the change in the basis of accounting resulting from the application of pushdown accounting, the financial information for the period beginning on October 1, 2018, and through and including June 30, 2019, and the financial information for the periods prior to, and including, September 30, 2018 are not comparable. However, the change in basis resulting from the Refinitiv Transaction did not impact certain financial information, specifically revenues and certain expenses. Accordingly, we present gross revenue and Adjusted EBITDA for the year ended December 31, 2018 on a combined basis as the change in basis resulting from the Refinitiv Transaction did not impact such financial information and, we believe it provides a meaningful method of comparison to other periods. The combined financial information is being presented for informational purposes only and (i) has not been prepared on a</w:t>
      </w:r>
    </w:p>
    <w:p>
      <w:pPr>
        <w:spacing w:after="0" w:line="3" w:lineRule="exact"/>
        <w:rPr>
          <w:sz w:val="20"/>
          <w:szCs w:val="20"/>
          <w:color w:val="auto"/>
        </w:rPr>
      </w:pPr>
    </w:p>
    <w:p>
      <w:pPr>
        <w:ind w:left="60" w:right="819"/>
        <w:spacing w:after="0" w:line="254" w:lineRule="auto"/>
        <w:rPr>
          <w:sz w:val="20"/>
          <w:szCs w:val="20"/>
          <w:color w:val="auto"/>
        </w:rPr>
      </w:pPr>
      <w:r>
        <w:rPr>
          <w:rFonts w:ascii="Arial" w:cs="Arial" w:eastAsia="Arial" w:hAnsi="Arial"/>
          <w:sz w:val="18"/>
          <w:szCs w:val="18"/>
          <w:i w:val="1"/>
          <w:iCs w:val="1"/>
          <w:color w:val="auto"/>
        </w:rPr>
        <w:t>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separate periods presented in accordance with GAAP.</w:t>
      </w:r>
    </w:p>
    <w:p>
      <w:pPr>
        <w:spacing w:after="0" w:line="82" w:lineRule="exact"/>
        <w:rPr>
          <w:sz w:val="20"/>
          <w:szCs w:val="20"/>
          <w:color w:val="auto"/>
        </w:rPr>
      </w:pPr>
    </w:p>
    <w:p>
      <w:pPr>
        <w:ind w:left="60" w:right="859" w:firstLine="360"/>
        <w:spacing w:after="0" w:line="257" w:lineRule="auto"/>
        <w:rPr>
          <w:sz w:val="20"/>
          <w:szCs w:val="20"/>
          <w:color w:val="auto"/>
        </w:rPr>
      </w:pPr>
      <w:r>
        <w:rPr>
          <w:rFonts w:ascii="Arial" w:cs="Arial" w:eastAsia="Arial" w:hAnsi="Arial"/>
          <w:sz w:val="18"/>
          <w:szCs w:val="18"/>
          <w:i w:val="1"/>
          <w:iCs w:val="1"/>
          <w:color w:val="auto"/>
        </w:rPr>
        <w:t>Unless otherwise indicated, revenue is presented on a gross revenue basis. For certain periods, our gross revenue is offset by contingent consideration, a contra-revenue adjustment related to the achievement of specific revenue earnout milestones for certain credit products. We believe that gross revenue is the key driver of our operating performance and therefore is the revenue measure we utilize to assess our business on a period by period basis.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left="60" w:right="819" w:firstLine="360"/>
        <w:spacing w:after="0" w:line="273"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 Adjusted EBITDA is defined as net income before contingent consideration, net interest income, provision for income taxes and depreciation and amortization, adjusted for the impact of certain other items, including certain stock-based compensation expense, gains and losses</w:t>
      </w:r>
    </w:p>
    <w:p>
      <w:pPr>
        <w:spacing w:after="0" w:line="2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ind w:left="60" w:right="859"/>
        <w:spacing w:after="0" w:line="276" w:lineRule="auto"/>
        <w:rPr>
          <w:sz w:val="20"/>
          <w:szCs w:val="20"/>
          <w:color w:val="auto"/>
        </w:rPr>
      </w:pPr>
      <w:r>
        <w:rPr>
          <w:rFonts w:ascii="Arial" w:cs="Arial" w:eastAsia="Arial" w:hAnsi="Arial"/>
          <w:sz w:val="17"/>
          <w:szCs w:val="17"/>
          <w:color w:val="auto"/>
        </w:rPr>
        <w:t>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acquisition and Refinitiv Transaction-related depreciation and amortization, gains and losses from outstanding foreign exchange forward contracts and the revaluation of foreign denominated cash.</w:t>
      </w:r>
    </w:p>
    <w:p>
      <w:pPr>
        <w:spacing w:after="0" w:line="64" w:lineRule="exact"/>
        <w:rPr>
          <w:sz w:val="20"/>
          <w:szCs w:val="20"/>
          <w:color w:val="auto"/>
        </w:rPr>
      </w:pPr>
    </w:p>
    <w:p>
      <w:pPr>
        <w:ind w:left="60" w:right="759" w:firstLine="360"/>
        <w:spacing w:after="0" w:line="268" w:lineRule="auto"/>
        <w:rPr>
          <w:sz w:val="20"/>
          <w:szCs w:val="20"/>
          <w:color w:val="auto"/>
        </w:rPr>
      </w:pPr>
      <w:r>
        <w:rPr>
          <w:rFonts w:ascii="Arial" w:cs="Arial" w:eastAsia="Arial" w:hAnsi="Arial"/>
          <w:sz w:val="17"/>
          <w:szCs w:val="17"/>
          <w:color w:val="auto"/>
        </w:rPr>
        <w:t>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we also exclude non-cash stock-based compensation expense associated with the Special Option Award. We believe it is useful to exclude this stock-based compensation expense because the amount of expense associated with the Special Option Award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77" w:lineRule="exact"/>
        <w:rPr>
          <w:sz w:val="20"/>
          <w:szCs w:val="20"/>
          <w:color w:val="auto"/>
        </w:rPr>
      </w:pPr>
    </w:p>
    <w:p>
      <w:pPr>
        <w:ind w:left="60" w:right="759" w:firstLine="360"/>
        <w:spacing w:after="0" w:line="26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 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common membership units of TWM LLC (“LLC Interests”) held by non-controlling interests are exchanged for shares of Class A or Class B common stock, we believe that Adjusted Net Income and Adjusted Diluted EPS for Tradeweb Markets Inc. and Tradeweb Markets LLC are comparable.</w:t>
      </w:r>
    </w:p>
    <w:p>
      <w:pPr>
        <w:spacing w:after="0" w:line="72" w:lineRule="exact"/>
        <w:rPr>
          <w:sz w:val="20"/>
          <w:szCs w:val="20"/>
          <w:color w:val="auto"/>
        </w:rPr>
      </w:pPr>
    </w:p>
    <w:p>
      <w:pPr>
        <w:ind w:left="60" w:right="799" w:firstLine="360"/>
        <w:spacing w:after="0" w:line="285"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acquisition and Refinitiv Transaction-related depreciation and amortization,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 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w:t>
      </w:r>
    </w:p>
    <w:p>
      <w:pPr>
        <w:spacing w:after="0" w:line="23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7" w:name="page8"/>
    <w:bookmarkEnd w:id="7"/>
    <w:p>
      <w:pPr>
        <w:ind w:left="60" w:right="899"/>
        <w:spacing w:after="0" w:line="272" w:lineRule="auto"/>
        <w:rPr>
          <w:sz w:val="20"/>
          <w:szCs w:val="20"/>
          <w:color w:val="auto"/>
        </w:rPr>
      </w:pPr>
      <w:r>
        <w:rPr>
          <w:rFonts w:ascii="Arial" w:cs="Arial" w:eastAsia="Arial" w:hAnsi="Arial"/>
          <w:sz w:val="17"/>
          <w:szCs w:val="17"/>
          <w:color w:val="auto"/>
        </w:rPr>
        <w:t>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70" w:lineRule="exact"/>
        <w:rPr>
          <w:sz w:val="20"/>
          <w:szCs w:val="20"/>
          <w:color w:val="auto"/>
        </w:rPr>
      </w:pPr>
    </w:p>
    <w:p>
      <w:pPr>
        <w:ind w:left="60" w:right="799" w:firstLine="360"/>
        <w:spacing w:after="0" w:line="268"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77" w:lineRule="exact"/>
        <w:rPr>
          <w:sz w:val="20"/>
          <w:szCs w:val="20"/>
          <w:color w:val="auto"/>
        </w:rPr>
      </w:pPr>
    </w:p>
    <w:p>
      <w:pPr>
        <w:ind w:left="60" w:right="839" w:firstLine="360"/>
        <w:spacing w:after="0" w:line="264"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nine months ended September 30, 2019 and 2018:</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36"/>
        </w:trPr>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gridSpan w:val="7"/>
            <w:vMerge w:val="restart"/>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7"/>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Nine Months</w:t>
            </w:r>
          </w:p>
        </w:tc>
        <w:tc>
          <w:tcPr>
            <w:tcW w:w="80" w:type="dxa"/>
            <w:vAlign w:val="bottom"/>
            <w:tcBorders>
              <w:left w:val="single" w:sz="8" w:color="auto"/>
            </w:tcBorders>
          </w:tcPr>
          <w:p>
            <w:pPr>
              <w:spacing w:after="0"/>
              <w:rPr>
                <w:sz w:val="15"/>
                <w:szCs w:val="15"/>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left w:val="single" w:sz="8" w:color="auto"/>
            </w:tcBorders>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88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2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115,746</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45,955</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$ 130,160</w:t>
            </w:r>
          </w:p>
        </w:tc>
        <w:tc>
          <w:tcPr>
            <w:tcW w:w="140" w:type="dxa"/>
            <w:vAlign w:val="bottom"/>
            <w:tcBorders>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(2,537)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26,830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22"/>
                <w:szCs w:val="22"/>
                <w:color w:val="auto"/>
              </w:rPr>
            </w:pPr>
          </w:p>
        </w:tc>
        <w:tc>
          <w:tcPr>
            <w:tcW w:w="80" w:type="dxa"/>
            <w:vAlign w:val="bottom"/>
            <w:tcBorders>
              <w:lef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w:t>
            </w:r>
          </w:p>
        </w:tc>
        <w:tc>
          <w:tcPr>
            <w:tcW w:w="10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35,133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102,928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16,362</w:t>
            </w:r>
          </w:p>
        </w:tc>
        <w:tc>
          <w:tcPr>
            <w:tcW w:w="22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48,808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1"/>
              </w:rPr>
              <w:t>Stock-based compensation expense associated</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lef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Special Option Award</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lef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21,413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7,535</w:t>
            </w: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foreign exchange (gains) / losses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22"/>
                <w:szCs w:val="22"/>
                <w:color w:val="auto"/>
              </w:rPr>
            </w:pPr>
          </w:p>
        </w:tc>
        <w:tc>
          <w:tcPr>
            <w:tcW w:w="80" w:type="dxa"/>
            <w:vAlign w:val="bottom"/>
            <w:tcBorders>
              <w:lef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line="192" w:lineRule="exact"/>
              <w:rPr>
                <w:sz w:val="20"/>
                <w:szCs w:val="20"/>
                <w:color w:val="auto"/>
              </w:rPr>
            </w:pPr>
            <w:r>
              <w:rPr>
                <w:rFonts w:ascii="Arial" w:cs="Arial" w:eastAsia="Arial" w:hAnsi="Arial"/>
                <w:sz w:val="18"/>
                <w:szCs w:val="18"/>
                <w:color w:val="auto"/>
              </w:rPr>
              <w:t>(Gain) / loss from revaluation of foreign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3500" w:type="dxa"/>
            <w:vAlign w:val="bottom"/>
          </w:tcPr>
          <w:p>
            <w:pPr>
              <w:ind w:left="180"/>
              <w:spacing w:after="0" w:line="308" w:lineRule="exact"/>
              <w:rPr>
                <w:sz w:val="20"/>
                <w:szCs w:val="20"/>
                <w:color w:val="auto"/>
              </w:rPr>
            </w:pPr>
            <w:r>
              <w:rPr>
                <w:rFonts w:ascii="Arial" w:cs="Arial" w:eastAsia="Arial" w:hAnsi="Arial"/>
                <w:sz w:val="18"/>
                <w:szCs w:val="18"/>
                <w:color w:val="auto"/>
              </w:rPr>
              <w:t>denominated cash</w:t>
            </w:r>
            <w:r>
              <w:rPr>
                <w:rFonts w:ascii="Arial" w:cs="Arial" w:eastAsia="Arial" w:hAnsi="Arial"/>
                <w:sz w:val="27"/>
                <w:szCs w:val="27"/>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93,449</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260,721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left w:val="single" w:sz="8" w:color="auto"/>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66,583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$ 214,091</w:t>
            </w: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Less: Depreciation and amortization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(35,133)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(102,928)</w:t>
            </w:r>
          </w:p>
        </w:tc>
        <w:tc>
          <w:tcPr>
            <w:tcW w:w="80" w:type="dxa"/>
            <w:vAlign w:val="bottom"/>
          </w:tcPr>
          <w:p>
            <w:pPr>
              <w:spacing w:after="0"/>
              <w:rPr>
                <w:sz w:val="20"/>
                <w:szCs w:val="20"/>
                <w:color w:val="auto"/>
              </w:rPr>
            </w:pPr>
          </w:p>
        </w:tc>
        <w:tc>
          <w:tcPr>
            <w:tcW w:w="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(16,362)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(48,808)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5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Add: Acquisition and Refinitiv Transaction</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lef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3500" w:type="dxa"/>
            <w:vAlign w:val="bottom"/>
            <w:shd w:val="clear" w:color="auto" w:fill="CCEEFF"/>
          </w:tcPr>
          <w:p>
            <w:pPr>
              <w:ind w:left="180"/>
              <w:spacing w:after="0" w:line="308" w:lineRule="exact"/>
              <w:rPr>
                <w:sz w:val="20"/>
                <w:szCs w:val="20"/>
                <w:color w:val="auto"/>
              </w:rPr>
            </w:pPr>
            <w:r>
              <w:rPr>
                <w:rFonts w:ascii="Arial" w:cs="Arial" w:eastAsia="Arial" w:hAnsi="Arial"/>
                <w:sz w:val="18"/>
                <w:szCs w:val="18"/>
                <w:color w:val="auto"/>
              </w:rPr>
              <w:t>related D&amp;A</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72,122</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lef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Adjusted EBIT</w:t>
            </w:r>
          </w:p>
        </w:tc>
        <w:tc>
          <w:tcPr>
            <w:tcW w:w="260" w:type="dxa"/>
            <w:vAlign w:val="bottom"/>
            <w:tcBorders>
              <w:top w:val="single" w:sz="8" w:color="CCEEFF"/>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83,096</w:t>
            </w:r>
          </w:p>
        </w:tc>
        <w:tc>
          <w:tcPr>
            <w:tcW w:w="2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229,915</w:t>
            </w:r>
          </w:p>
        </w:tc>
        <w:tc>
          <w:tcPr>
            <w:tcW w:w="8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CCEEFF"/>
              <w:left w:val="single" w:sz="8" w:color="auto"/>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56,734</w:t>
            </w:r>
          </w:p>
        </w:tc>
        <w:tc>
          <w:tcPr>
            <w:tcW w:w="22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$ 184,859</w:t>
            </w:r>
          </w:p>
        </w:tc>
        <w:tc>
          <w:tcPr>
            <w:tcW w:w="140" w:type="dxa"/>
            <w:vAlign w:val="bottom"/>
            <w:tcBorders>
              <w:top w:val="single" w:sz="8" w:color="CCEEFF"/>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80" w:type="dxa"/>
            <w:vAlign w:val="bottom"/>
            <w:tcBorders>
              <w:lef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line="263" w:lineRule="exact"/>
              <w:rPr>
                <w:sz w:val="20"/>
                <w:szCs w:val="20"/>
                <w:color w:val="auto"/>
              </w:rPr>
            </w:pPr>
            <w:r>
              <w:rPr>
                <w:rFonts w:ascii="Arial" w:cs="Arial" w:eastAsia="Arial" w:hAnsi="Arial"/>
                <w:sz w:val="18"/>
                <w:szCs w:val="18"/>
                <w:color w:val="auto"/>
              </w:rPr>
              <w:t>Adjusted EBIT margin</w:t>
            </w:r>
            <w:r>
              <w:rPr>
                <w:rFonts w:ascii="Arial" w:cs="Arial" w:eastAsia="Arial" w:hAnsi="Arial"/>
                <w:sz w:val="27"/>
                <w:szCs w:val="27"/>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5168900</wp:posOffset>
            </wp:positionH>
            <wp:positionV relativeFrom="paragraph">
              <wp:posOffset>-1405890</wp:posOffset>
            </wp:positionV>
            <wp:extent cx="85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-1405890</wp:posOffset>
            </wp:positionV>
            <wp:extent cx="240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-1405890</wp:posOffset>
            </wp:positionV>
            <wp:extent cx="231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-1405890</wp:posOffset>
            </wp:positionV>
            <wp:extent cx="3044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-3129280</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-3129280</wp:posOffset>
            </wp:positionV>
            <wp:extent cx="11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-3129280</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8" w:name="page9"/>
    <w:bookmarkEnd w:id="8"/>
    <w:p>
      <w:pPr>
        <w:ind w:left="780" w:right="1259" w:hanging="352"/>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1186815</wp:posOffset>
            </wp:positionH>
            <wp:positionV relativeFrom="page">
              <wp:posOffset>706120</wp:posOffset>
            </wp:positionV>
            <wp:extent cx="1235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35075" cy="8890"/>
                    </a:xfrm>
                    <a:prstGeom prst="rect">
                      <a:avLst/>
                    </a:prstGeom>
                    <a:noFill/>
                  </pic:spPr>
                </pic:pic>
              </a:graphicData>
            </a:graphic>
          </wp:anchor>
        </w:drawing>
        <w:t>Represents foreign exchange gain or loss from the revaluation of cash denominated in a different currency than the entity’s functional currency.</w:t>
      </w:r>
    </w:p>
    <w:p>
      <w:pPr>
        <w:spacing w:after="0" w:line="129" w:lineRule="exact"/>
        <w:rPr>
          <w:rFonts w:ascii="Arial" w:cs="Arial" w:eastAsia="Arial" w:hAnsi="Arial"/>
          <w:sz w:val="18"/>
          <w:szCs w:val="18"/>
          <w:color w:val="auto"/>
        </w:rPr>
      </w:pPr>
    </w:p>
    <w:p>
      <w:pPr>
        <w:ind w:left="780" w:right="819" w:hanging="352"/>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46" w:lineRule="exact"/>
        <w:rPr>
          <w:rFonts w:ascii="Arial" w:cs="Arial" w:eastAsia="Arial" w:hAnsi="Arial"/>
          <w:sz w:val="18"/>
          <w:szCs w:val="18"/>
          <w:color w:val="auto"/>
        </w:rPr>
      </w:pPr>
    </w:p>
    <w:p>
      <w:pPr>
        <w:ind w:left="780" w:right="779" w:hanging="352"/>
        <w:spacing w:after="0" w:line="268"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2019 and 2018, Adjusted EBITDA margin increased compared to the prior year period by 620 basis points, and 276 basis points, respectively, or 672 basis points, and 326 basis points on a constant currency basis. For the three and nine months ended September 30, 2019 and 2018, Adjusted EBIT margin increased compared to the prior year period by 701 basis points and 321 basis points, respectively, or 770 basis points and 386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9" w:name="page10"/>
    <w:bookmarkEnd w:id="9"/>
    <w:p>
      <w:pPr>
        <w:ind w:left="60" w:right="739" w:firstLine="360"/>
        <w:spacing w:after="0" w:line="264"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nine months ended September 30, 2019 and 2018:</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36"/>
        </w:trPr>
        <w:tc>
          <w:tcPr>
            <w:tcW w:w="19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6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06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8"/>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gridSpan w:val="18"/>
          </w:tcPr>
          <w:p>
            <w:pPr>
              <w:ind w:left="3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3"/>
          </w:tcPr>
          <w:p>
            <w:pPr>
              <w:ind w:left="280"/>
              <w:spacing w:after="0" w:line="216" w:lineRule="exact"/>
              <w:rPr>
                <w:sz w:val="20"/>
                <w:szCs w:val="20"/>
                <w:color w:val="auto"/>
              </w:rPr>
            </w:pPr>
            <w:r>
              <w:rPr>
                <w:rFonts w:ascii="Arial" w:cs="Arial" w:eastAsia="Arial" w:hAnsi="Arial"/>
                <w:sz w:val="17"/>
                <w:szCs w:val="17"/>
                <w:color w:val="auto"/>
                <w:w w:val="89"/>
              </w:rPr>
              <w:t>0.19</w:t>
            </w:r>
            <w:r>
              <w:rPr>
                <w:rFonts w:ascii="Arial" w:cs="Arial" w:eastAsia="Arial" w:hAnsi="Arial"/>
                <w:sz w:val="25"/>
                <w:szCs w:val="25"/>
                <w:color w:val="auto"/>
                <w:w w:val="89"/>
                <w:vertAlign w:val="superscript"/>
              </w:rPr>
              <w:t>(a)</w:t>
            </w:r>
            <w:r>
              <w:rPr>
                <w:rFonts w:ascii="Arial" w:cs="Arial" w:eastAsia="Arial" w:hAnsi="Arial"/>
                <w:sz w:val="17"/>
                <w:szCs w:val="17"/>
                <w:color w:val="auto"/>
                <w:w w:val="8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20" w:type="dxa"/>
            <w:vAlign w:val="bottom"/>
            <w:gridSpan w:val="2"/>
            <w:shd w:val="clear" w:color="auto" w:fill="CCEEFF"/>
          </w:tcPr>
          <w:p>
            <w:pPr>
              <w:spacing w:after="0" w:line="257" w:lineRule="exact"/>
              <w:rPr>
                <w:sz w:val="20"/>
                <w:szCs w:val="20"/>
                <w:color w:val="auto"/>
              </w:rPr>
            </w:pPr>
            <w:r>
              <w:rPr>
                <w:rFonts w:ascii="Arial" w:cs="Arial" w:eastAsia="Arial" w:hAnsi="Arial"/>
                <w:sz w:val="18"/>
                <w:szCs w:val="18"/>
                <w:color w:val="auto"/>
              </w:rPr>
              <w:t>Earnings per diluted share</w:t>
            </w:r>
            <w:r>
              <w:rPr>
                <w:rFonts w:ascii="Arial" w:cs="Arial" w:eastAsia="Arial" w:hAnsi="Arial"/>
                <w:sz w:val="27"/>
                <w:szCs w:val="27"/>
                <w:color w:val="auto"/>
                <w:vertAlign w:val="superscript"/>
              </w:rPr>
              <w:t>(1)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57"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r>
              <w:rPr>
                <w:rFonts w:ascii="Arial" w:cs="Arial" w:eastAsia="Arial" w:hAnsi="Arial"/>
                <w:sz w:val="27"/>
                <w:szCs w:val="27"/>
                <w:color w:val="auto"/>
                <w:vertAlign w:val="superscript"/>
              </w:rPr>
              <w:t>(b)</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right w:val="single" w:sz="8" w:color="auto"/>
            </w:tcBorders>
            <w:gridSpan w:val="3"/>
          </w:tcPr>
          <w:p>
            <w:pPr>
              <w:ind w:left="280"/>
              <w:spacing w:after="0" w:line="257" w:lineRule="exact"/>
              <w:rPr>
                <w:sz w:val="20"/>
                <w:szCs w:val="20"/>
                <w:color w:val="auto"/>
              </w:rPr>
            </w:pPr>
            <w:r>
              <w:rPr>
                <w:rFonts w:ascii="Arial" w:cs="Arial" w:eastAsia="Arial" w:hAnsi="Arial"/>
                <w:sz w:val="18"/>
                <w:szCs w:val="18"/>
                <w:color w:val="auto"/>
                <w:w w:val="91"/>
              </w:rPr>
              <w:t>0.28</w:t>
            </w:r>
            <w:r>
              <w:rPr>
                <w:rFonts w:ascii="Arial" w:cs="Arial" w:eastAsia="Arial" w:hAnsi="Arial"/>
                <w:sz w:val="27"/>
                <w:szCs w:val="27"/>
                <w:color w:val="auto"/>
                <w:w w:val="91"/>
                <w:vertAlign w:val="superscript"/>
              </w:rPr>
              <w:t>(b)</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57"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r>
              <w:rPr>
                <w:rFonts w:ascii="Arial" w:cs="Arial" w:eastAsia="Arial" w:hAnsi="Arial"/>
                <w:sz w:val="27"/>
                <w:szCs w:val="27"/>
                <w:color w:val="auto"/>
                <w:vertAlign w:val="superscript"/>
              </w:rPr>
              <w:t>(a)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300"/>
              <w:spacing w:after="0" w:line="257" w:lineRule="exact"/>
              <w:rPr>
                <w:sz w:val="20"/>
                <w:szCs w:val="20"/>
                <w:color w:val="auto"/>
              </w:rPr>
            </w:pPr>
            <w:r>
              <w:rPr>
                <w:rFonts w:ascii="Arial" w:cs="Arial" w:eastAsia="Arial" w:hAnsi="Arial"/>
                <w:sz w:val="18"/>
                <w:szCs w:val="18"/>
                <w:color w:val="auto"/>
                <w:w w:val="77"/>
              </w:rPr>
              <w:t>0.</w:t>
            </w:r>
            <w:r>
              <w:rPr>
                <w:rFonts w:ascii="Arial" w:cs="Arial" w:eastAsia="Arial" w:hAnsi="Arial"/>
                <w:sz w:val="18"/>
                <w:szCs w:val="18"/>
                <w:u w:val="single" w:color="auto"/>
                <w:color w:val="auto"/>
                <w:w w:val="77"/>
              </w:rPr>
              <w:t>60</w:t>
            </w:r>
            <w:r>
              <w:rPr>
                <w:rFonts w:ascii="Arial" w:cs="Arial" w:eastAsia="Arial" w:hAnsi="Arial"/>
                <w:sz w:val="27"/>
                <w:szCs w:val="27"/>
                <w:color w:val="auto"/>
                <w:w w:val="77"/>
                <w:vertAlign w:val="superscript"/>
              </w:rPr>
              <w:t>(a)</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spacing w:after="0" w:line="172" w:lineRule="exact"/>
              <w:rPr>
                <w:sz w:val="20"/>
                <w:szCs w:val="20"/>
                <w:color w:val="auto"/>
              </w:rPr>
            </w:pPr>
            <w:r>
              <w:rPr>
                <w:rFonts w:ascii="Arial" w:cs="Arial" w:eastAsia="Arial" w:hAnsi="Arial"/>
                <w:sz w:val="18"/>
                <w:szCs w:val="18"/>
                <w:color w:val="auto"/>
                <w:w w:val="95"/>
              </w:rPr>
              <w:t>Pre-IPO net income attributable to Tradeweb</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34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Markets LLC</w:t>
            </w:r>
            <w:r>
              <w:rPr>
                <w:rFonts w:ascii="Arial" w:cs="Arial" w:eastAsia="Arial" w:hAnsi="Arial"/>
                <w:sz w:val="27"/>
                <w:szCs w:val="27"/>
                <w:color w:val="auto"/>
                <w:vertAlign w:val="superscript"/>
              </w:rPr>
              <w:t>(1)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45,955</w:t>
            </w: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130,160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Add: Net income attributable to Tradeweb</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42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Markets Inc.</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spacing w:after="0" w:line="192" w:lineRule="exact"/>
              <w:rPr>
                <w:sz w:val="20"/>
                <w:szCs w:val="20"/>
                <w:color w:val="auto"/>
              </w:rPr>
            </w:pPr>
            <w:r>
              <w:rPr>
                <w:rFonts w:ascii="Arial" w:cs="Arial" w:eastAsia="Arial" w:hAnsi="Arial"/>
                <w:sz w:val="18"/>
                <w:szCs w:val="18"/>
                <w:color w:val="auto"/>
              </w:rPr>
              <w:t>Add: Net income attributable to non-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42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7"/>
                <w:szCs w:val="27"/>
                <w:color w:val="auto"/>
                <w:vertAlign w:val="superscript"/>
              </w:rPr>
              <w:t>(1)(2)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18,966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115,746</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45,955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130,160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10,316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21,413</w:t>
            </w:r>
          </w:p>
        </w:tc>
        <w:tc>
          <w:tcPr>
            <w:tcW w:w="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spacing w:after="0" w:line="192" w:lineRule="exact"/>
              <w:rPr>
                <w:sz w:val="20"/>
                <w:szCs w:val="20"/>
                <w:color w:val="auto"/>
              </w:rPr>
            </w:pPr>
            <w:r>
              <w:rPr>
                <w:rFonts w:ascii="Arial" w:cs="Arial" w:eastAsia="Arial" w:hAnsi="Arial"/>
                <w:sz w:val="18"/>
                <w:szCs w:val="18"/>
                <w:color w:val="auto"/>
                <w:w w:val="97"/>
              </w:rPr>
              <w:t>Acquisition and Refinitiv Transaction related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4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D&amp;A</w:t>
            </w:r>
            <w:r>
              <w:rPr>
                <w:rFonts w:ascii="Arial" w:cs="Arial" w:eastAsia="Arial" w:hAnsi="Arial"/>
                <w:sz w:val="27"/>
                <w:szCs w:val="27"/>
                <w:color w:val="auto"/>
                <w:vertAlign w:val="superscript"/>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24,780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72,122</w:t>
            </w: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Stock-based compensation expense associated</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 Special Option Award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rPr>
                <w:sz w:val="20"/>
                <w:szCs w:val="20"/>
                <w:color w:val="auto"/>
              </w:rPr>
            </w:pPr>
            <w:r>
              <w:rPr>
                <w:rFonts w:ascii="Arial" w:cs="Arial" w:eastAsia="Arial" w:hAnsi="Arial"/>
                <w:sz w:val="18"/>
                <w:szCs w:val="18"/>
                <w:color w:val="auto"/>
                <w:w w:val="95"/>
              </w:rPr>
              <w:t>Unrealized foreign exchange (gains) / losses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4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(Gain) / loss from revaluation of foreign</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4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denominated cash</w:t>
            </w:r>
            <w:r>
              <w:rPr>
                <w:rFonts w:ascii="Arial" w:cs="Arial" w:eastAsia="Arial" w:hAnsi="Arial"/>
                <w:sz w:val="27"/>
                <w:szCs w:val="27"/>
                <w:color w:val="auto"/>
                <w:vertAlign w:val="superscript"/>
              </w:rPr>
              <w:t>(4)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Adjusted Net Income before income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83,732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231,584</w:t>
            </w:r>
          </w:p>
        </w:tc>
        <w:tc>
          <w:tcPr>
            <w:tcW w:w="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186,585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27"/>
                <w:szCs w:val="27"/>
                <w:color w:val="auto"/>
                <w:vertAlign w:val="superscript"/>
              </w:rPr>
              <w:t>(5)</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(22,105)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(61,138)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(15,155)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(49,258)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61,627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170,446</w:t>
            </w:r>
          </w:p>
        </w:tc>
        <w:tc>
          <w:tcPr>
            <w:tcW w:w="1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42,252</w:t>
            </w:r>
          </w:p>
        </w:tc>
        <w:tc>
          <w:tcPr>
            <w:tcW w:w="24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137,327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3"/>
            <w:shd w:val="clear" w:color="auto" w:fill="CCEEFF"/>
          </w:tcPr>
          <w:p>
            <w:pPr>
              <w:ind w:left="280"/>
              <w:spacing w:after="0" w:line="237" w:lineRule="exact"/>
              <w:rPr>
                <w:sz w:val="20"/>
                <w:szCs w:val="20"/>
                <w:color w:val="auto"/>
              </w:rPr>
            </w:pPr>
            <w:r>
              <w:rPr>
                <w:rFonts w:ascii="Arial" w:cs="Arial" w:eastAsia="Arial" w:hAnsi="Arial"/>
                <w:sz w:val="18"/>
                <w:szCs w:val="18"/>
                <w:color w:val="auto"/>
                <w:w w:val="83"/>
              </w:rPr>
              <w:t>0.23</w:t>
            </w:r>
            <w:r>
              <w:rPr>
                <w:rFonts w:ascii="Arial" w:cs="Arial" w:eastAsia="Arial" w:hAnsi="Arial"/>
                <w:sz w:val="27"/>
                <w:szCs w:val="27"/>
                <w:color w:val="auto"/>
                <w:w w:val="83"/>
                <w:vertAlign w:val="superscript"/>
              </w:rPr>
              <w:t>(a)</w:t>
            </w:r>
            <w:r>
              <w:rPr>
                <w:rFonts w:ascii="Arial" w:cs="Arial" w:eastAsia="Arial" w:hAnsi="Arial"/>
                <w:sz w:val="18"/>
                <w:szCs w:val="18"/>
                <w:color w:val="auto"/>
                <w:w w:val="83"/>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2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7"/>
                <w:szCs w:val="27"/>
                <w:color w:val="auto"/>
                <w:vertAlign w:val="superscript"/>
              </w:rPr>
              <w:t>(1)(6)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27</w:t>
            </w:r>
            <w:r>
              <w:rPr>
                <w:rFonts w:ascii="Arial" w:cs="Arial" w:eastAsia="Arial" w:hAnsi="Arial"/>
                <w:sz w:val="27"/>
                <w:szCs w:val="27"/>
                <w:color w:val="auto"/>
                <w:vertAlign w:val="superscript"/>
              </w:rPr>
              <w:t>(b)</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tcBorders>
              <w:right w:val="single" w:sz="8" w:color="auto"/>
            </w:tcBorders>
            <w:gridSpan w:val="3"/>
            <w:shd w:val="clear" w:color="auto" w:fill="CCEEFF"/>
          </w:tcPr>
          <w:p>
            <w:pPr>
              <w:ind w:left="280"/>
              <w:spacing w:after="0" w:line="284" w:lineRule="exact"/>
              <w:rPr>
                <w:sz w:val="20"/>
                <w:szCs w:val="20"/>
                <w:color w:val="auto"/>
              </w:rPr>
            </w:pPr>
            <w:r>
              <w:rPr>
                <w:rFonts w:ascii="Arial" w:cs="Arial" w:eastAsia="Arial" w:hAnsi="Arial"/>
                <w:sz w:val="18"/>
                <w:szCs w:val="18"/>
                <w:color w:val="auto"/>
                <w:w w:val="91"/>
              </w:rPr>
              <w:t>0.51</w:t>
            </w:r>
            <w:r>
              <w:rPr>
                <w:rFonts w:ascii="Arial" w:cs="Arial" w:eastAsia="Arial" w:hAnsi="Arial"/>
                <w:sz w:val="27"/>
                <w:szCs w:val="27"/>
                <w:color w:val="auto"/>
                <w:w w:val="91"/>
                <w:vertAlign w:val="superscript"/>
              </w:rPr>
              <w:t>(b)</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19</w:t>
            </w:r>
            <w:r>
              <w:rPr>
                <w:rFonts w:ascii="Arial" w:cs="Arial" w:eastAsia="Arial" w:hAnsi="Arial"/>
                <w:sz w:val="27"/>
                <w:szCs w:val="27"/>
                <w:color w:val="auto"/>
                <w:vertAlign w:val="superscript"/>
              </w:rPr>
              <w:t>(a)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300"/>
              <w:spacing w:after="0" w:line="284" w:lineRule="exact"/>
              <w:rPr>
                <w:sz w:val="20"/>
                <w:szCs w:val="20"/>
                <w:color w:val="auto"/>
              </w:rPr>
            </w:pPr>
            <w:r>
              <w:rPr>
                <w:rFonts w:ascii="Arial" w:cs="Arial" w:eastAsia="Arial" w:hAnsi="Arial"/>
                <w:sz w:val="18"/>
                <w:szCs w:val="18"/>
                <w:color w:val="auto"/>
                <w:w w:val="77"/>
              </w:rPr>
              <w:t>0.</w:t>
            </w:r>
            <w:r>
              <w:rPr>
                <w:rFonts w:ascii="Arial" w:cs="Arial" w:eastAsia="Arial" w:hAnsi="Arial"/>
                <w:sz w:val="18"/>
                <w:szCs w:val="18"/>
                <w:u w:val="single" w:color="auto"/>
                <w:color w:val="auto"/>
                <w:w w:val="77"/>
              </w:rPr>
              <w:t>64</w:t>
            </w:r>
            <w:r>
              <w:rPr>
                <w:rFonts w:ascii="Arial" w:cs="Arial" w:eastAsia="Arial" w:hAnsi="Arial"/>
                <w:sz w:val="27"/>
                <w:szCs w:val="27"/>
                <w:color w:val="auto"/>
                <w:w w:val="77"/>
                <w:vertAlign w:val="superscript"/>
              </w:rPr>
              <w:t>(a)</w:t>
            </w:r>
          </w:p>
        </w:tc>
        <w:tc>
          <w:tcPr>
            <w:tcW w:w="0" w:type="dxa"/>
            <w:vAlign w:val="bottom"/>
          </w:tcPr>
          <w:p>
            <w:pPr>
              <w:spacing w:after="0"/>
              <w:rPr>
                <w:sz w:val="1"/>
                <w:szCs w:val="1"/>
                <w:color w:val="auto"/>
              </w:rPr>
            </w:pPr>
          </w:p>
        </w:tc>
      </w:tr>
      <w:tr>
        <w:trPr>
          <w:trHeight w:val="116"/>
        </w:trPr>
        <w:tc>
          <w:tcPr>
            <w:tcW w:w="1960" w:type="dxa"/>
            <w:vAlign w:val="bottom"/>
            <w:tcBorders>
              <w:top w:val="single" w:sz="8" w:color="CCEEFF"/>
              <w:bottom w:val="single" w:sz="8" w:color="auto"/>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-3703955</wp:posOffset>
            </wp:positionV>
            <wp:extent cx="207518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075180" cy="308610"/>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-479425</wp:posOffset>
            </wp:positionV>
            <wp:extent cx="1363345"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363345" cy="36893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-2494915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-2494915</wp:posOffset>
            </wp:positionV>
            <wp:extent cx="257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-2494915</wp:posOffset>
            </wp:positionV>
            <wp:extent cx="291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-2494915</wp:posOffset>
            </wp:positionV>
            <wp:extent cx="3018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-3832860</wp:posOffset>
            </wp:positionV>
            <wp:extent cx="120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-3832860</wp:posOffset>
            </wp:positionV>
            <wp:extent cx="154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-3832860</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01" w:lineRule="exact"/>
        <w:rPr>
          <w:sz w:val="20"/>
          <w:szCs w:val="20"/>
          <w:color w:val="auto"/>
        </w:rPr>
      </w:pPr>
    </w:p>
    <w:p>
      <w:pPr>
        <w:ind w:left="780" w:right="959" w:hanging="352"/>
        <w:spacing w:after="0" w:line="34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 result of the Reorganization Transactions and the IPO completed in April 2019, certain earnings information is being presented separately for Tradeweb Markets LLC and Tradeweb Markets Inc.</w:t>
      </w:r>
    </w:p>
    <w:p>
      <w:pPr>
        <w:spacing w:after="0" w:line="2" w:lineRule="exact"/>
        <w:rPr>
          <w:rFonts w:ascii="Arial" w:cs="Arial" w:eastAsia="Arial" w:hAnsi="Arial"/>
          <w:sz w:val="16"/>
          <w:szCs w:val="16"/>
          <w:color w:val="auto"/>
        </w:rPr>
      </w:pPr>
    </w:p>
    <w:p>
      <w:pPr>
        <w:ind w:left="1140" w:hanging="351"/>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117" w:lineRule="exact"/>
        <w:rPr>
          <w:rFonts w:ascii="Arial" w:cs="Arial" w:eastAsia="Arial" w:hAnsi="Arial"/>
          <w:sz w:val="18"/>
          <w:szCs w:val="18"/>
          <w:color w:val="auto"/>
        </w:rPr>
      </w:pPr>
    </w:p>
    <w:p>
      <w:pPr>
        <w:ind w:left="1140" w:hanging="351"/>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17" w:lineRule="exact"/>
        <w:rPr>
          <w:sz w:val="20"/>
          <w:szCs w:val="20"/>
          <w:color w:val="auto"/>
        </w:rPr>
      </w:pPr>
    </w:p>
    <w:p>
      <w:pPr>
        <w:ind w:left="780" w:right="859"/>
        <w:spacing w:after="0" w:line="257" w:lineRule="auto"/>
        <w:rPr>
          <w:sz w:val="20"/>
          <w:szCs w:val="20"/>
          <w:color w:val="auto"/>
        </w:rPr>
      </w:pPr>
      <w:r>
        <w:rPr>
          <w:rFonts w:ascii="Arial" w:cs="Arial" w:eastAsia="Arial" w:hAnsi="Arial"/>
          <w:sz w:val="18"/>
          <w:szCs w:val="18"/>
          <w:color w:val="auto"/>
        </w:rPr>
        <w:t>See “Basis of Presentation,” “Note 16 — Earnings Per Share” to the unaudited consolidated financial statements of Tradeweb Markets Inc. included in our Quarterly Report on Form 10-Q for the quarterly period ended June 30, 2019 and “Note 18 — Net Income Per Share” to the audited consolidated financial statements of Tradeweb Markets LLC included in our Current Report on Form 8-K dated June 18, 2019.</w:t>
      </w:r>
    </w:p>
    <w:p>
      <w:pPr>
        <w:spacing w:after="0" w:line="53" w:lineRule="exact"/>
        <w:rPr>
          <w:sz w:val="20"/>
          <w:szCs w:val="20"/>
          <w:color w:val="auto"/>
        </w:rPr>
      </w:pPr>
    </w:p>
    <w:p>
      <w:pPr>
        <w:ind w:left="780" w:right="739" w:hanging="352"/>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59" w:lineRule="exact"/>
        <w:rPr>
          <w:rFonts w:ascii="Arial" w:cs="Arial" w:eastAsia="Arial" w:hAnsi="Arial"/>
          <w:sz w:val="18"/>
          <w:szCs w:val="18"/>
          <w:color w:val="auto"/>
        </w:rPr>
      </w:pPr>
    </w:p>
    <w:p>
      <w:pPr>
        <w:ind w:left="780" w:right="819" w:hanging="352"/>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5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0" w:name="page11"/>
    <w:bookmarkEnd w:id="10"/>
    <w:p>
      <w:pPr>
        <w:ind w:left="780" w:right="1259" w:hanging="352"/>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foreign exchange gain or loss from the revaluation of cash denominated in a different currency than the entity’s functional currency.</w:t>
      </w:r>
    </w:p>
    <w:p>
      <w:pPr>
        <w:spacing w:after="0" w:line="143" w:lineRule="exact"/>
        <w:rPr>
          <w:rFonts w:ascii="Arial" w:cs="Arial" w:eastAsia="Arial" w:hAnsi="Arial"/>
          <w:sz w:val="18"/>
          <w:szCs w:val="18"/>
          <w:color w:val="auto"/>
        </w:rPr>
      </w:pPr>
    </w:p>
    <w:p>
      <w:pPr>
        <w:ind w:left="780" w:right="919" w:hanging="352"/>
        <w:spacing w:after="0" w:line="312"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06" w:lineRule="exact"/>
        <w:rPr>
          <w:rFonts w:ascii="Arial" w:cs="Arial" w:eastAsia="Arial" w:hAnsi="Arial"/>
          <w:sz w:val="16"/>
          <w:szCs w:val="16"/>
          <w:color w:val="auto"/>
        </w:rPr>
      </w:pPr>
    </w:p>
    <w:p>
      <w:pPr>
        <w:ind w:left="780" w:right="779" w:hanging="352"/>
        <w:spacing w:after="0" w:line="28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calculation of Adjusted Diluted EPS for all periods presented:</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Pre-IPO Period</w:t>
            </w:r>
          </w:p>
        </w:tc>
        <w:tc>
          <w:tcPr>
            <w:tcW w:w="40" w:type="dxa"/>
            <w:vAlign w:val="bottom"/>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Post-IPO Period</w:t>
            </w:r>
          </w:p>
        </w:tc>
        <w:tc>
          <w:tcPr>
            <w:tcW w:w="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Diluted Weighted</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40" w:type="dxa"/>
            <w:vAlign w:val="bottom"/>
          </w:tcPr>
          <w:p>
            <w:pPr>
              <w:spacing w:after="0"/>
              <w:rPr>
                <w:sz w:val="21"/>
                <w:szCs w:val="21"/>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Average Shares Outstanding to</w:t>
            </w:r>
          </w:p>
        </w:tc>
        <w:tc>
          <w:tcPr>
            <w:tcW w:w="100" w:type="dxa"/>
            <w:vAlign w:val="bottom"/>
          </w:tcPr>
          <w:p>
            <w:pPr>
              <w:spacing w:after="0"/>
              <w:rPr>
                <w:sz w:val="14"/>
                <w:szCs w:val="14"/>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w w:val="97"/>
              </w:rPr>
              <w:t>Adjusted Diluted Weighted Average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2340" w:type="dxa"/>
            <w:vAlign w:val="bottom"/>
            <w:gridSpan w:val="4"/>
          </w:tcPr>
          <w:p>
            <w:pPr>
              <w:spacing w:after="0"/>
              <w:rPr>
                <w:sz w:val="20"/>
                <w:szCs w:val="20"/>
                <w:color w:val="auto"/>
              </w:rPr>
            </w:pPr>
            <w:r>
              <w:rPr>
                <w:rFonts w:ascii="Arial" w:cs="Arial" w:eastAsia="Arial" w:hAnsi="Arial"/>
                <w:sz w:val="14"/>
                <w:szCs w:val="14"/>
                <w:b w:val="1"/>
                <w:bCs w:val="1"/>
                <w:color w:val="auto"/>
              </w:rPr>
              <w:t>Shares Outstanding</w:t>
            </w:r>
          </w:p>
        </w:tc>
        <w:tc>
          <w:tcPr>
            <w:tcW w:w="100" w:type="dxa"/>
            <w:vAlign w:val="bottom"/>
          </w:tcPr>
          <w:p>
            <w:pPr>
              <w:spacing w:after="0"/>
              <w:rPr>
                <w:sz w:val="16"/>
                <w:szCs w:val="16"/>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
        </w:trPr>
        <w:tc>
          <w:tcPr>
            <w:tcW w:w="1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4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7"/>
              </w:rPr>
              <w:t>Diluted weighted average TWM</w:t>
            </w: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223,320,457</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219,165,997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215,365,920</w:t>
            </w:r>
          </w:p>
        </w:tc>
        <w:tc>
          <w:tcPr>
            <w:tcW w:w="0" w:type="dxa"/>
            <w:vAlign w:val="bottom"/>
          </w:tcPr>
          <w:p>
            <w:pPr>
              <w:spacing w:after="0"/>
              <w:rPr>
                <w:sz w:val="1"/>
                <w:szCs w:val="1"/>
                <w:color w:val="auto"/>
              </w:rPr>
            </w:pPr>
          </w:p>
        </w:tc>
      </w:tr>
      <w:tr>
        <w:trPr>
          <w:trHeight w:val="189"/>
        </w:trPr>
        <w:tc>
          <w:tcPr>
            <w:tcW w:w="2340" w:type="dxa"/>
            <w:vAlign w:val="bottom"/>
            <w:gridSpan w:val="4"/>
            <w:shd w:val="clear" w:color="auto" w:fill="CCEEFF"/>
          </w:tcPr>
          <w:p>
            <w:pPr>
              <w:ind w:left="180"/>
              <w:spacing w:after="0" w:line="189" w:lineRule="exact"/>
              <w:rPr>
                <w:sz w:val="20"/>
                <w:szCs w:val="20"/>
                <w:color w:val="auto"/>
              </w:rPr>
            </w:pPr>
            <w:r>
              <w:rPr>
                <w:rFonts w:ascii="Arial" w:cs="Arial" w:eastAsia="Arial" w:hAnsi="Arial"/>
                <w:sz w:val="17"/>
                <w:szCs w:val="17"/>
                <w:color w:val="auto"/>
              </w:rPr>
              <w:t>LLC shares outstanding</w:t>
            </w: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340" w:type="dxa"/>
            <w:vAlign w:val="bottom"/>
            <w:gridSpan w:val="4"/>
          </w:tcPr>
          <w:p>
            <w:pPr>
              <w:spacing w:after="0"/>
              <w:rPr>
                <w:sz w:val="20"/>
                <w:szCs w:val="20"/>
                <w:color w:val="auto"/>
              </w:rPr>
            </w:pPr>
            <w:r>
              <w:rPr>
                <w:rFonts w:ascii="Arial" w:cs="Arial" w:eastAsia="Arial" w:hAnsi="Arial"/>
                <w:sz w:val="17"/>
                <w:szCs w:val="17"/>
                <w:color w:val="auto"/>
                <w:w w:val="93"/>
              </w:rPr>
              <w:t>Diluted weighted average shares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40" w:type="dxa"/>
            <w:vAlign w:val="bottom"/>
            <w:gridSpan w:val="4"/>
          </w:tcPr>
          <w:p>
            <w:pPr>
              <w:ind w:left="180"/>
              <w:spacing w:after="0" w:line="162" w:lineRule="exact"/>
              <w:rPr>
                <w:sz w:val="20"/>
                <w:szCs w:val="20"/>
                <w:color w:val="auto"/>
              </w:rPr>
            </w:pPr>
            <w:r>
              <w:rPr>
                <w:rFonts w:ascii="Arial" w:cs="Arial" w:eastAsia="Arial" w:hAnsi="Arial"/>
                <w:sz w:val="17"/>
                <w:szCs w:val="17"/>
                <w:color w:val="auto"/>
              </w:rPr>
              <w:t>of Class A and Class B</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w w:val="88"/>
              </w:rPr>
              <w:t>151,362,643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w w:val="88"/>
              </w:rPr>
              <w:t>151,158,760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340" w:type="dxa"/>
            <w:vAlign w:val="bottom"/>
            <w:gridSpan w:val="4"/>
          </w:tcPr>
          <w:p>
            <w:pPr>
              <w:ind w:left="180"/>
              <w:spacing w:after="0" w:line="189" w:lineRule="exact"/>
              <w:rPr>
                <w:sz w:val="20"/>
                <w:szCs w:val="20"/>
                <w:color w:val="auto"/>
              </w:rPr>
            </w:pPr>
            <w:r>
              <w:rPr>
                <w:rFonts w:ascii="Arial" w:cs="Arial" w:eastAsia="Arial" w:hAnsi="Arial"/>
                <w:sz w:val="17"/>
                <w:szCs w:val="17"/>
                <w:color w:val="auto"/>
              </w:rPr>
              <w:t>common stock outstanding</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exchange of LLC</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7"/>
                <w:szCs w:val="17"/>
                <w:color w:val="auto"/>
                <w:w w:val="90"/>
              </w:rPr>
              <w:t>Interests for shares of Class A</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180"/>
              <w:spacing w:after="0" w:line="229" w:lineRule="exact"/>
              <w:rPr>
                <w:sz w:val="20"/>
                <w:szCs w:val="20"/>
                <w:color w:val="auto"/>
              </w:rPr>
            </w:pPr>
            <w:r>
              <w:rPr>
                <w:rFonts w:ascii="Arial" w:cs="Arial" w:eastAsia="Arial" w:hAnsi="Arial"/>
                <w:sz w:val="17"/>
                <w:szCs w:val="17"/>
                <w:color w:val="auto"/>
                <w:w w:val="96"/>
              </w:rPr>
              <w:t>or Class B common stock</w:t>
            </w:r>
            <w:r>
              <w:rPr>
                <w:rFonts w:ascii="Arial" w:cs="Arial" w:eastAsia="Arial" w:hAnsi="Arial"/>
                <w:sz w:val="25"/>
                <w:szCs w:val="25"/>
                <w:color w:val="auto"/>
                <w:w w:val="96"/>
                <w:vertAlign w:val="superscript"/>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79,289,005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4"/>
        </w:trPr>
        <w:tc>
          <w:tcPr>
            <w:tcW w:w="2340" w:type="dxa"/>
            <w:vAlign w:val="bottom"/>
            <w:tcBorders>
              <w:top w:val="single" w:sz="8" w:color="CCEEFF"/>
            </w:tcBorders>
            <w:gridSpan w:val="4"/>
          </w:tcPr>
          <w:p>
            <w:pPr>
              <w:spacing w:after="0"/>
              <w:rPr>
                <w:sz w:val="20"/>
                <w:szCs w:val="20"/>
                <w:color w:val="auto"/>
              </w:rPr>
            </w:pPr>
            <w:r>
              <w:rPr>
                <w:rFonts w:ascii="Arial" w:cs="Arial" w:eastAsia="Arial" w:hAnsi="Arial"/>
                <w:sz w:val="17"/>
                <w:szCs w:val="17"/>
                <w:color w:val="auto"/>
              </w:rPr>
              <w:t>Adjusted diluted weighted</w:t>
            </w: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230,651,648</w:t>
            </w: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223,320,457</w:t>
            </w: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230,447,765</w:t>
            </w: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219,165,997</w:t>
            </w: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8"/>
              </w:rPr>
              <w:t>215,365,920</w:t>
            </w: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gridSpan w:val="4"/>
          </w:tcPr>
          <w:p>
            <w:pPr>
              <w:ind w:left="180"/>
              <w:spacing w:after="0"/>
              <w:rPr>
                <w:sz w:val="20"/>
                <w:szCs w:val="20"/>
                <w:color w:val="auto"/>
              </w:rPr>
            </w:pPr>
            <w:r>
              <w:rPr>
                <w:rFonts w:ascii="Arial" w:cs="Arial" w:eastAsia="Arial" w:hAnsi="Arial"/>
                <w:sz w:val="17"/>
                <w:szCs w:val="17"/>
                <w:color w:val="auto"/>
              </w:rPr>
              <w:t>average shares outstanding</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Adjusted Net Income (in</w:t>
            </w:r>
          </w:p>
        </w:tc>
        <w:tc>
          <w:tcPr>
            <w:tcW w:w="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61,627</w:t>
            </w:r>
          </w:p>
        </w:tc>
        <w:tc>
          <w:tcPr>
            <w:tcW w:w="60" w:type="dxa"/>
            <w:vAlign w:val="bottom"/>
            <w:gridSpan w:val="2"/>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52,190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vMerge w:val="restart"/>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42,252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137,327</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thousands)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340" w:type="dxa"/>
            <w:vAlign w:val="bottom"/>
            <w:gridSpan w:val="4"/>
          </w:tcPr>
          <w:p>
            <w:pPr>
              <w:spacing w:after="0"/>
              <w:rPr>
                <w:sz w:val="20"/>
                <w:szCs w:val="20"/>
                <w:color w:val="auto"/>
              </w:rPr>
            </w:pPr>
            <w:r>
              <w:rPr>
                <w:rFonts w:ascii="Arial" w:cs="Arial" w:eastAsia="Arial" w:hAnsi="Arial"/>
                <w:sz w:val="17"/>
                <w:szCs w:val="17"/>
                <w:color w:val="auto"/>
              </w:rPr>
              <w:t>Adjusted Diluted EPS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0.27</w:t>
            </w:r>
          </w:p>
        </w:tc>
        <w:tc>
          <w:tcPr>
            <w:tcW w:w="1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-2125980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-2125980</wp:posOffset>
            </wp:positionV>
            <wp:extent cx="34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-2125980</wp:posOffset>
            </wp:positionV>
            <wp:extent cx="34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-2125980</wp:posOffset>
            </wp:positionV>
            <wp:extent cx="342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1704340</wp:posOffset>
            </wp:positionH>
            <wp:positionV relativeFrom="paragraph">
              <wp:posOffset>-2125980</wp:posOffset>
            </wp:positionV>
            <wp:extent cx="34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14" w:lineRule="exact"/>
        <w:rPr>
          <w:sz w:val="20"/>
          <w:szCs w:val="20"/>
          <w:color w:val="auto"/>
        </w:rPr>
      </w:pPr>
    </w:p>
    <w:p>
      <w:pPr>
        <w:ind w:left="780" w:right="819" w:hanging="352"/>
        <w:spacing w:after="0" w:line="26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4" Type="http://schemas.openxmlformats.org/officeDocument/2006/relationships/hyperlink" Target="http://www.sec.gov/Archives/edgar/data/1758730/000110465919054160/tv529956-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2019-12-04T22:52:45Z</dcterms:created>
  <dcterms:modified xsi:type="dcterms:W3CDTF">2019-12-04T22:52:45Z</dcterms:modified>
</cp:coreProperties>
</file>