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33,212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90,628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16,707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72.0853</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73,921</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3,022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73.1745</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70,899</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13,483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73.9378</w:t>
            </w:r>
            <w:r>
              <w:rPr>
                <w:rFonts w:ascii="Arial" w:cs="Arial" w:eastAsia="Arial" w:hAnsi="Arial"/>
                <w:sz w:val="21"/>
                <w:szCs w:val="21"/>
                <w:color w:val="008000"/>
                <w:w w:val="88"/>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57,416</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33,212</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03/01/2021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33,212</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-3794760</wp:posOffset>
            </wp:positionV>
            <wp:extent cx="7033260" cy="383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83730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16, 2020.</w:t>
      </w:r>
    </w:p>
    <w:p>
      <w:pPr>
        <w:spacing w:after="0" w:line="44" w:lineRule="exact"/>
        <w:rPr>
          <w:rFonts w:ascii="Arial" w:cs="Arial" w:eastAsia="Arial" w:hAnsi="Arial"/>
          <w:sz w:val="13"/>
          <w:szCs w:val="13"/>
          <w:color w:val="008000"/>
        </w:rPr>
      </w:pPr>
    </w:p>
    <w:p>
      <w:pPr>
        <w:ind w:left="40" w:right="1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26,404 unvested restricted stock units ("RSUs") in respect of the issuer's class A common stock ("Class A Common Stock") which are scheduled to vest on January 1, 2022, (ii) 9,004 unvested RSUs in respect of Class A Common Stock which are scheduled to vest in equal installments on each of the first, second and third anniversaries of March 17, 2020, and (iii) 18,008 unvested RSUs in respect of Class A Common Stock which are scheduled to vest on January 1, 2023,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$71.48 to $72.45,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$72.48 to $73.47,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$73.51 to $74.42,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03/03/2021</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2021-03-03T19:03:09Z</dcterms:created>
  <dcterms:modified xsi:type="dcterms:W3CDTF">2021-03-03T19:03:09Z</dcterms:modified>
</cp:coreProperties>
</file>