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82"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4200" w:right="1720" w:hanging="4174"/>
        <w:spacing w:after="0" w:line="390" w:lineRule="auto"/>
        <w:tabs>
          <w:tab w:leader="none" w:pos="36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001-38860</w:t>
      </w:r>
    </w:p>
    <w:p>
      <w:pPr>
        <w:jc w:val="center"/>
        <w:spacing w:after="0"/>
        <w:rPr>
          <w:sz w:val="20"/>
          <w:szCs w:val="20"/>
          <w:color w:val="auto"/>
        </w:rPr>
      </w:pPr>
      <w:r>
        <w:rPr>
          <w:rFonts w:ascii="Times New Roman" w:cs="Times New Roman" w:eastAsia="Times New Roman" w:hAnsi="Times New Roman"/>
          <w:sz w:val="29"/>
          <w:szCs w:val="29"/>
          <w:b w:val="1"/>
          <w:bCs w:val="1"/>
          <w:color w:val="auto"/>
        </w:rPr>
        <w:t>TRADEWEB MARKETS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122" w:lineRule="exact"/>
        <w:rPr>
          <w:sz w:val="24"/>
          <w:szCs w:val="24"/>
          <w:color w:val="auto"/>
        </w:rPr>
      </w:pPr>
    </w:p>
    <w:tbl>
      <w:tblPr>
        <w:tblLayout w:type="fixed"/>
        <w:tblInd w:w="560" w:type="dxa"/>
        <w:tblCellMar>
          <w:top w:w="0" w:type="dxa"/>
          <w:left w:w="0" w:type="dxa"/>
          <w:bottom w:w="0" w:type="dxa"/>
          <w:right w:w="0" w:type="dxa"/>
        </w:tblCellMar>
      </w:tblPr>
      <w:tr>
        <w:trPr>
          <w:trHeight w:val="23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8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83-2456358</w:t>
            </w:r>
          </w:p>
        </w:tc>
      </w:tr>
      <w:tr>
        <w:trPr>
          <w:trHeight w:val="270"/>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(State of other jurisdiction of incorporation or organization)</w:t>
            </w:r>
          </w:p>
        </w:tc>
        <w:tc>
          <w:tcPr>
            <w:tcW w:w="4880" w:type="dxa"/>
            <w:vAlign w:val="bottom"/>
          </w:tcPr>
          <w:p>
            <w:pPr>
              <w:jc w:val="center"/>
              <w:ind w:left="217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69"/>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1177 Avenue of the Americas</w:t>
            </w:r>
          </w:p>
        </w:tc>
        <w:tc>
          <w:tcPr>
            <w:tcW w:w="4880" w:type="dxa"/>
            <w:vAlign w:val="bottom"/>
          </w:tcPr>
          <w:p>
            <w:pPr>
              <w:spacing w:after="0"/>
              <w:rPr>
                <w:sz w:val="24"/>
                <w:szCs w:val="24"/>
                <w:color w:val="auto"/>
              </w:rPr>
            </w:pPr>
          </w:p>
        </w:tc>
      </w:tr>
      <w:tr>
        <w:trPr>
          <w:trHeight w:val="265"/>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488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243"/>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88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rPr>
              <w:t>(Zip Code)</w:t>
            </w:r>
          </w:p>
        </w:tc>
      </w:tr>
      <w:tr>
        <w:trPr>
          <w:trHeight w:val="338"/>
        </w:trPr>
        <w:tc>
          <w:tcPr>
            <w:tcW w:w="4400" w:type="dxa"/>
            <w:vAlign w:val="bottom"/>
          </w:tcPr>
          <w:p>
            <w:pPr>
              <w:spacing w:after="0"/>
              <w:rPr>
                <w:sz w:val="24"/>
                <w:szCs w:val="24"/>
                <w:color w:val="auto"/>
              </w:rPr>
            </w:pPr>
          </w:p>
        </w:tc>
        <w:tc>
          <w:tcPr>
            <w:tcW w:w="4880" w:type="dxa"/>
            <w:vAlign w:val="bottom"/>
          </w:tcPr>
          <w:p>
            <w:pPr>
              <w:jc w:val="right"/>
              <w:ind w:right="3570"/>
              <w:spacing w:after="0"/>
              <w:rPr>
                <w:sz w:val="20"/>
                <w:szCs w:val="20"/>
                <w:color w:val="auto"/>
              </w:rPr>
            </w:pPr>
            <w:r>
              <w:rPr>
                <w:rFonts w:ascii="Times New Roman" w:cs="Times New Roman" w:eastAsia="Times New Roman" w:hAnsi="Times New Roman"/>
                <w:sz w:val="18"/>
                <w:szCs w:val="18"/>
                <w:b w:val="1"/>
                <w:bCs w:val="1"/>
                <w:color w:val="auto"/>
              </w:rPr>
              <w:t>(646) 430-6000</w:t>
            </w:r>
          </w:p>
        </w:tc>
      </w:tr>
    </w:tbl>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324"/>
        </w:trPr>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35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r>
      <w:tr>
        <w:trPr>
          <w:trHeight w:val="186"/>
        </w:trPr>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Class A common stock, par value $0.00001</w:t>
            </w:r>
          </w:p>
        </w:tc>
        <w:tc>
          <w:tcPr>
            <w:tcW w:w="3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TW</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190" w:lineRule="exact"/>
        <w:rPr>
          <w:sz w:val="24"/>
          <w:szCs w:val="24"/>
          <w:color w:val="auto"/>
        </w:rPr>
      </w:pPr>
    </w:p>
    <w:p>
      <w:pPr>
        <w:ind w:right="220"/>
        <w:spacing w:after="0" w:line="21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w:t>
      </w:r>
    </w:p>
    <w:p>
      <w:pPr>
        <w:spacing w:after="0" w:line="66" w:lineRule="exact"/>
        <w:rPr>
          <w:sz w:val="24"/>
          <w:szCs w:val="24"/>
          <w:color w:val="auto"/>
        </w:rPr>
      </w:pPr>
    </w:p>
    <w:p>
      <w:pPr>
        <w:ind w:right="100"/>
        <w:spacing w:after="0" w:line="21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w:t>
      </w:r>
    </w:p>
    <w:p>
      <w:pPr>
        <w:spacing w:after="0" w:line="66" w:lineRule="exact"/>
        <w:rPr>
          <w:sz w:val="24"/>
          <w:szCs w:val="24"/>
          <w:color w:val="auto"/>
        </w:rPr>
      </w:pPr>
    </w:p>
    <w:p>
      <w:pPr>
        <w:ind w:right="4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94" w:lineRule="exact"/>
        <w:rPr>
          <w:sz w:val="24"/>
          <w:szCs w:val="24"/>
          <w:color w:val="auto"/>
        </w:rPr>
      </w:pPr>
    </w:p>
    <w:p>
      <w:pPr>
        <w:ind w:left="20" w:right="760"/>
        <w:spacing w:after="0" w:line="382" w:lineRule="auto"/>
        <w:rPr>
          <w:sz w:val="20"/>
          <w:szCs w:val="20"/>
          <w:color w:val="auto"/>
        </w:rPr>
      </w:pPr>
      <w:r>
        <w:rPr>
          <w:rFonts w:ascii="Times New Roman" w:cs="Times New Roman" w:eastAsia="Times New Roman" w:hAnsi="Times New Roman"/>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10" w:lineRule="exact"/>
        <w:rPr>
          <w:sz w:val="24"/>
          <w:szCs w:val="24"/>
          <w:color w:val="auto"/>
        </w:rPr>
      </w:pPr>
    </w:p>
    <w:p>
      <w:pPr>
        <w:sectPr>
          <w:pgSz w:w="11900" w:h="16838" w:orient="portrait"/>
          <w:cols w:equalWidth="0" w:num="6">
            <w:col w:w="2360" w:space="720"/>
            <w:col w:w="140" w:space="660"/>
            <w:col w:w="2360" w:space="720"/>
            <w:col w:w="120" w:space="660"/>
            <w:col w:w="2360" w:space="720"/>
            <w:col w:w="420"/>
          </w:cols>
          <w:pgMar w:left="320" w:top="229" w:right="339" w:bottom="1440" w:gutter="0" w:footer="0" w:header="0"/>
          <w:type w:val="continuous"/>
        </w:sectPr>
      </w:pPr>
    </w:p>
    <w:p>
      <w:pPr>
        <w:ind w:right="560"/>
        <w:spacing w:after="0" w:line="211" w:lineRule="exact"/>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7"/>
          <w:szCs w:val="17"/>
          <w:color w:val="auto"/>
        </w:rPr>
        <w:t>☐</w:t>
      </w:r>
    </w:p>
    <w:p>
      <w:pPr>
        <w:spacing w:after="0" w:line="4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5740" w:type="dxa"/>
            <w:vAlign w:val="bottom"/>
            <w:gridSpan w:val="2"/>
          </w:tcPr>
          <w:p>
            <w:pPr>
              <w:ind w:left="2320"/>
              <w:spacing w:after="0"/>
              <w:rPr>
                <w:sz w:val="20"/>
                <w:szCs w:val="20"/>
                <w:color w:val="auto"/>
              </w:rPr>
            </w:pPr>
            <w:r>
              <w:rPr>
                <w:rFonts w:ascii="Times New Roman" w:cs="Times New Roman" w:eastAsia="Times New Roman" w:hAnsi="Times New Roman"/>
                <w:sz w:val="14"/>
                <w:szCs w:val="14"/>
                <w:color w:val="auto"/>
              </w:rPr>
              <w:t>Class of Stock</w:t>
            </w:r>
          </w:p>
        </w:tc>
        <w:tc>
          <w:tcPr>
            <w:tcW w:w="5500" w:type="dxa"/>
            <w:vAlign w:val="bottom"/>
          </w:tcPr>
          <w:p>
            <w:pPr>
              <w:jc w:val="right"/>
              <w:ind w:right="1548"/>
              <w:spacing w:after="0"/>
              <w:rPr>
                <w:sz w:val="20"/>
                <w:szCs w:val="20"/>
                <w:color w:val="auto"/>
              </w:rPr>
            </w:pPr>
            <w:r>
              <w:rPr>
                <w:rFonts w:ascii="Times New Roman" w:cs="Times New Roman" w:eastAsia="Times New Roman" w:hAnsi="Times New Roman"/>
                <w:sz w:val="14"/>
                <w:szCs w:val="14"/>
                <w:color w:val="auto"/>
              </w:rPr>
              <w:t>Shares Outstanding as of July 27, 2022</w:t>
            </w:r>
          </w:p>
        </w:tc>
      </w:tr>
      <w:tr>
        <w:trPr>
          <w:trHeight w:val="23"/>
        </w:trPr>
        <w:tc>
          <w:tcPr>
            <w:tcW w:w="54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18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107,485,886</w:t>
            </w:r>
          </w:p>
        </w:tc>
      </w:tr>
      <w:tr>
        <w:trPr>
          <w:trHeight w:val="22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B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96,933,192</w:t>
            </w:r>
          </w:p>
        </w:tc>
      </w:tr>
      <w:tr>
        <w:trPr>
          <w:trHeight w:val="23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C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1,654,825</w:t>
            </w:r>
          </w:p>
        </w:tc>
      </w:tr>
      <w:tr>
        <w:trPr>
          <w:trHeight w:val="22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D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28,316,833</w:t>
            </w:r>
          </w:p>
        </w:tc>
      </w:tr>
      <w:tr>
        <w:trPr>
          <w:trHeight w:val="186"/>
        </w:trPr>
        <w:tc>
          <w:tcPr>
            <w:tcW w:w="54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500" w:type="dxa"/>
            <w:vAlign w:val="bottom"/>
            <w:tcBorders>
              <w:bottom w:val="single" w:sz="8" w:color="auto"/>
            </w:tcBorders>
          </w:tcPr>
          <w:p>
            <w:pPr>
              <w:spacing w:after="0"/>
              <w:rPr>
                <w:sz w:val="16"/>
                <w:szCs w:val="16"/>
                <w:color w:val="auto"/>
              </w:rPr>
            </w:pP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1000"/>
        </w:trPr>
        <w:tc>
          <w:tcPr>
            <w:tcW w:w="5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TRADEWEB MARKETS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QUARTERLY PERIOD ENDED JUNE 30, 2022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9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3051F2"/>
                <w:w w:val="98"/>
              </w:rPr>
              <w:t>INTRODUCTORY NOTE</w:t>
            </w:r>
          </w:p>
        </w:tc>
        <w:tc>
          <w:tcPr>
            <w:tcW w:w="8300" w:type="dxa"/>
            <w:vAlign w:val="bottom"/>
            <w:gridSpan w:val="19"/>
            <w:vMerge w:val="restart"/>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1940" w:type="dxa"/>
            <w:vAlign w:val="bottom"/>
            <w:tcBorders>
              <w:bottom w:val="single" w:sz="8" w:color="3051F2"/>
            </w:tcBorders>
            <w:gridSpan w:val="9"/>
            <w:vMerge w:val="continue"/>
          </w:tcPr>
          <w:p>
            <w:pPr>
              <w:spacing w:after="0"/>
              <w:rPr>
                <w:sz w:val="15"/>
                <w:szCs w:val="15"/>
                <w:color w:val="auto"/>
              </w:rPr>
            </w:pPr>
          </w:p>
        </w:tc>
        <w:tc>
          <w:tcPr>
            <w:tcW w:w="8300" w:type="dxa"/>
            <w:vAlign w:val="bottom"/>
            <w:gridSpan w:val="19"/>
            <w:vMerge w:val="continue"/>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0240" w:type="dxa"/>
            <w:vAlign w:val="bottom"/>
            <w:gridSpan w:val="28"/>
          </w:tcPr>
          <w:p>
            <w:pPr>
              <w:spacing w:after="0"/>
              <w:rPr>
                <w:sz w:val="20"/>
                <w:szCs w:val="20"/>
                <w:color w:val="auto"/>
              </w:rPr>
            </w:pPr>
            <w:r>
              <w:rPr>
                <w:rFonts w:ascii="Times New Roman" w:cs="Times New Roman" w:eastAsia="Times New Roman" w:hAnsi="Times New Roman"/>
                <w:sz w:val="18"/>
                <w:szCs w:val="18"/>
                <w:color w:val="3051F2"/>
              </w:rPr>
              <w:t>USE OF NON-GAAP FINANCIAL MEASURES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320" w:type="dxa"/>
            <w:vAlign w:val="bottom"/>
            <w:gridSpan w:val="2"/>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240" w:type="dxa"/>
            <w:vAlign w:val="bottom"/>
            <w:gridSpan w:val="28"/>
          </w:tcPr>
          <w:p>
            <w:pPr>
              <w:spacing w:after="0"/>
              <w:rPr>
                <w:sz w:val="20"/>
                <w:szCs w:val="20"/>
                <w:color w:val="auto"/>
              </w:rPr>
            </w:pPr>
            <w:r>
              <w:rPr>
                <w:rFonts w:ascii="Times New Roman" w:cs="Times New Roman" w:eastAsia="Times New Roman" w:hAnsi="Times New Roman"/>
                <w:sz w:val="18"/>
                <w:szCs w:val="18"/>
                <w:color w:val="3051F2"/>
              </w:rPr>
              <w:t>CAUTIONARY NOTE REGARDING FORWARD-LOOKING STATEMENTS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780" w:type="dxa"/>
            <w:vAlign w:val="bottom"/>
            <w:tcBorders>
              <w:top w:val="single" w:sz="8" w:color="3051F2"/>
            </w:tcBorders>
            <w:gridSpan w:val="21"/>
          </w:tcPr>
          <w:p>
            <w:pPr>
              <w:spacing w:after="0"/>
              <w:rPr>
                <w:sz w:val="20"/>
                <w:szCs w:val="20"/>
                <w:color w:val="auto"/>
              </w:rPr>
            </w:pPr>
            <w:r>
              <w:rPr>
                <w:rFonts w:ascii="Times New Roman" w:cs="Times New Roman" w:eastAsia="Times New Roman" w:hAnsi="Times New Roman"/>
                <w:sz w:val="18"/>
                <w:szCs w:val="18"/>
                <w:color w:val="3051F2"/>
              </w:rPr>
              <w:t>PART I — FINANCIAL INFORMATION</w:t>
            </w:r>
          </w:p>
        </w:tc>
        <w:tc>
          <w:tcPr>
            <w:tcW w:w="4460" w:type="dxa"/>
            <w:vAlign w:val="bottom"/>
            <w:gridSpan w:val="7"/>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top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1.</w:t>
            </w:r>
          </w:p>
        </w:tc>
        <w:tc>
          <w:tcPr>
            <w:tcW w:w="280" w:type="dxa"/>
            <w:vAlign w:val="bottom"/>
            <w:tcBorders>
              <w:top w:val="single" w:sz="8" w:color="3051F2"/>
            </w:tcBorders>
            <w:gridSpan w:val="2"/>
          </w:tcPr>
          <w:p>
            <w:pPr>
              <w:spacing w:after="0"/>
              <w:rPr>
                <w:sz w:val="24"/>
                <w:szCs w:val="24"/>
                <w:color w:val="auto"/>
              </w:rPr>
            </w:pPr>
          </w:p>
        </w:tc>
        <w:tc>
          <w:tcPr>
            <w:tcW w:w="160" w:type="dxa"/>
            <w:vAlign w:val="bottom"/>
            <w:tcBorders>
              <w:top w:val="single" w:sz="8" w:color="3051F2"/>
            </w:tcBorders>
          </w:tcPr>
          <w:p>
            <w:pPr>
              <w:spacing w:after="0"/>
              <w:rPr>
                <w:sz w:val="24"/>
                <w:szCs w:val="24"/>
                <w:color w:val="auto"/>
              </w:rPr>
            </w:pPr>
          </w:p>
        </w:tc>
        <w:tc>
          <w:tcPr>
            <w:tcW w:w="2100" w:type="dxa"/>
            <w:vAlign w:val="bottom"/>
            <w:tcBorders>
              <w:top w:val="single" w:sz="8" w:color="3051F2"/>
            </w:tcBorders>
            <w:gridSpan w:val="11"/>
          </w:tcPr>
          <w:p>
            <w:pPr>
              <w:spacing w:after="0"/>
              <w:rPr>
                <w:sz w:val="20"/>
                <w:szCs w:val="20"/>
                <w:color w:val="auto"/>
              </w:rPr>
            </w:pPr>
            <w:r>
              <w:rPr>
                <w:rFonts w:ascii="Times New Roman" w:cs="Times New Roman" w:eastAsia="Times New Roman" w:hAnsi="Times New Roman"/>
                <w:sz w:val="18"/>
                <w:szCs w:val="18"/>
                <w:color w:val="3051F2"/>
              </w:rPr>
              <w:t>Financial Statements</w:t>
            </w:r>
          </w:p>
        </w:tc>
        <w:tc>
          <w:tcPr>
            <w:tcW w:w="7180" w:type="dxa"/>
            <w:vAlign w:val="bottom"/>
            <w:gridSpan w:val="13"/>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3051F2"/>
              </w:rPr>
              <w:t>Condensed Consolidated Statements of Financial Condition as of June 30, 2022 and December 31, 2021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4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520" w:type="dxa"/>
            <w:vAlign w:val="bottom"/>
            <w:gridSpan w:val="2"/>
            <w:shd w:val="clear" w:color="auto" w:fill="3051F2"/>
          </w:tcPr>
          <w:p>
            <w:pPr>
              <w:spacing w:after="0" w:line="20" w:lineRule="exact"/>
              <w:rPr>
                <w:sz w:val="1"/>
                <w:szCs w:val="1"/>
                <w:color w:val="auto"/>
              </w:rPr>
            </w:pPr>
          </w:p>
        </w:tc>
        <w:tc>
          <w:tcPr>
            <w:tcW w:w="1900" w:type="dxa"/>
            <w:vAlign w:val="bottom"/>
            <w:gridSpan w:val="2"/>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2100" w:type="dxa"/>
            <w:vAlign w:val="bottom"/>
            <w:gridSpan w:val="2"/>
            <w:shd w:val="clear" w:color="auto" w:fill="3051F2"/>
          </w:tcPr>
          <w:p>
            <w:pPr>
              <w:spacing w:after="0" w:line="20" w:lineRule="exact"/>
              <w:rPr>
                <w:sz w:val="1"/>
                <w:szCs w:val="1"/>
                <w:color w:val="auto"/>
              </w:rPr>
            </w:pPr>
          </w:p>
        </w:tc>
        <w:tc>
          <w:tcPr>
            <w:tcW w:w="106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3051F2"/>
              </w:rPr>
              <w:t>Condensed Consolidated Statements of Income for the three and six months ended June 30, 2022 and 2021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4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520" w:type="dxa"/>
            <w:vAlign w:val="bottom"/>
            <w:gridSpan w:val="2"/>
            <w:shd w:val="clear" w:color="auto" w:fill="3051F2"/>
          </w:tcPr>
          <w:p>
            <w:pPr>
              <w:spacing w:after="0" w:line="20" w:lineRule="exact"/>
              <w:rPr>
                <w:sz w:val="1"/>
                <w:szCs w:val="1"/>
                <w:color w:val="auto"/>
              </w:rPr>
            </w:pPr>
          </w:p>
        </w:tc>
        <w:tc>
          <w:tcPr>
            <w:tcW w:w="1900" w:type="dxa"/>
            <w:vAlign w:val="bottom"/>
            <w:gridSpan w:val="2"/>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2100" w:type="dxa"/>
            <w:vAlign w:val="bottom"/>
            <w:gridSpan w:val="2"/>
            <w:shd w:val="clear" w:color="auto" w:fill="3051F2"/>
          </w:tcPr>
          <w:p>
            <w:pPr>
              <w:spacing w:after="0" w:line="20" w:lineRule="exact"/>
              <w:rPr>
                <w:sz w:val="1"/>
                <w:szCs w:val="1"/>
                <w:color w:val="auto"/>
              </w:rPr>
            </w:pPr>
          </w:p>
        </w:tc>
        <w:tc>
          <w:tcPr>
            <w:tcW w:w="1060" w:type="dxa"/>
            <w:vAlign w:val="bottom"/>
            <w:shd w:val="clear" w:color="auto" w:fill="3051F2"/>
          </w:tcPr>
          <w:p>
            <w:pPr>
              <w:spacing w:after="0" w:line="20" w:lineRule="exact"/>
              <w:rPr>
                <w:sz w:val="1"/>
                <w:szCs w:val="1"/>
                <w:color w:val="auto"/>
              </w:rPr>
            </w:pPr>
          </w:p>
        </w:tc>
        <w:tc>
          <w:tcPr>
            <w:tcW w:w="400" w:type="dxa"/>
            <w:vAlign w:val="bottom"/>
            <w:gridSpan w:val="2"/>
            <w:shd w:val="clear" w:color="auto" w:fill="3051F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80" w:type="dxa"/>
            <w:vAlign w:val="bottom"/>
            <w:tcBorders>
              <w:bottom w:val="single" w:sz="8" w:color="3051F2"/>
            </w:tcBorders>
            <w:gridSpan w:val="22"/>
          </w:tcPr>
          <w:p>
            <w:pPr>
              <w:spacing w:after="0"/>
              <w:rPr>
                <w:sz w:val="20"/>
                <w:szCs w:val="20"/>
                <w:color w:val="auto"/>
              </w:rPr>
            </w:pPr>
            <w:r>
              <w:rPr>
                <w:rFonts w:ascii="Times New Roman" w:cs="Times New Roman" w:eastAsia="Times New Roman" w:hAnsi="Times New Roman"/>
                <w:sz w:val="18"/>
                <w:szCs w:val="18"/>
                <w:color w:val="3051F2"/>
                <w:w w:val="99"/>
              </w:rPr>
              <w:t>Condensed Consolidated Statements of Comprehensive Income for the three and six months ended June 30, 2022 and 2021</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500" w:type="dxa"/>
            <w:vAlign w:val="bottom"/>
            <w:tcBorders>
              <w:bottom w:val="single" w:sz="8" w:color="3051F2"/>
            </w:tcBorders>
            <w:gridSpan w:val="21"/>
          </w:tcPr>
          <w:p>
            <w:pPr>
              <w:spacing w:after="0"/>
              <w:rPr>
                <w:sz w:val="20"/>
                <w:szCs w:val="20"/>
                <w:color w:val="auto"/>
              </w:rPr>
            </w:pPr>
            <w:r>
              <w:rPr>
                <w:rFonts w:ascii="Times New Roman" w:cs="Times New Roman" w:eastAsia="Times New Roman" w:hAnsi="Times New Roman"/>
                <w:sz w:val="18"/>
                <w:szCs w:val="18"/>
                <w:color w:val="3051F2"/>
                <w:w w:val="99"/>
              </w:rPr>
              <w:t>Condensed Consolidated Statements of Changes in Equity for the three and six months ended June 30, 2022 and 2021</w:t>
            </w:r>
          </w:p>
        </w:tc>
        <w:tc>
          <w:tcPr>
            <w:tcW w:w="560" w:type="dxa"/>
            <w:vAlign w:val="bottom"/>
            <w:gridSpan w:val="2"/>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00" w:type="dxa"/>
            <w:vAlign w:val="bottom"/>
            <w:tcBorders>
              <w:bottom w:val="single" w:sz="8" w:color="3051F2"/>
            </w:tcBorders>
            <w:gridSpan w:val="18"/>
          </w:tcPr>
          <w:p>
            <w:pPr>
              <w:spacing w:after="0"/>
              <w:rPr>
                <w:sz w:val="20"/>
                <w:szCs w:val="20"/>
                <w:color w:val="auto"/>
              </w:rPr>
            </w:pPr>
            <w:r>
              <w:rPr>
                <w:rFonts w:ascii="Times New Roman" w:cs="Times New Roman" w:eastAsia="Times New Roman" w:hAnsi="Times New Roman"/>
                <w:sz w:val="18"/>
                <w:szCs w:val="18"/>
                <w:color w:val="3051F2"/>
                <w:w w:val="99"/>
              </w:rPr>
              <w:t>Condensed Consolidated Statements of Cash Flows for the six months ended June 30, 2022 and 2021</w:t>
            </w:r>
          </w:p>
        </w:tc>
        <w:tc>
          <w:tcPr>
            <w:tcW w:w="1760" w:type="dxa"/>
            <w:vAlign w:val="bottom"/>
            <w:gridSpan w:val="5"/>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Borders>
              <w:bottom w:val="single" w:sz="8" w:color="3051F2"/>
            </w:tcBorders>
            <w:gridSpan w:val="13"/>
          </w:tcPr>
          <w:p>
            <w:pPr>
              <w:spacing w:after="0"/>
              <w:rPr>
                <w:sz w:val="20"/>
                <w:szCs w:val="20"/>
                <w:color w:val="auto"/>
              </w:rPr>
            </w:pPr>
            <w:r>
              <w:rPr>
                <w:rFonts w:ascii="Times New Roman" w:cs="Times New Roman" w:eastAsia="Times New Roman" w:hAnsi="Times New Roman"/>
                <w:sz w:val="18"/>
                <w:szCs w:val="18"/>
                <w:color w:val="3051F2"/>
                <w:w w:val="99"/>
              </w:rPr>
              <w:t>Notes to Condensed Consolidated Financial Statements</w:t>
            </w:r>
          </w:p>
        </w:tc>
        <w:tc>
          <w:tcPr>
            <w:tcW w:w="5060" w:type="dxa"/>
            <w:vAlign w:val="bottom"/>
            <w:gridSpan w:val="10"/>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Item 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80" w:type="dxa"/>
            <w:vAlign w:val="bottom"/>
            <w:gridSpan w:val="24"/>
          </w:tcPr>
          <w:p>
            <w:pPr>
              <w:spacing w:after="0"/>
              <w:rPr>
                <w:sz w:val="20"/>
                <w:szCs w:val="20"/>
                <w:color w:val="auto"/>
              </w:rPr>
            </w:pPr>
            <w:r>
              <w:rPr>
                <w:rFonts w:ascii="Times New Roman" w:cs="Times New Roman" w:eastAsia="Times New Roman" w:hAnsi="Times New Roman"/>
                <w:sz w:val="18"/>
                <w:szCs w:val="18"/>
                <w:color w:val="3051F2"/>
              </w:rPr>
              <w:t>Management’s Discussion and Analysis of Financial Condition and Results of Operations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top w:val="single" w:sz="8" w:color="3051F2"/>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3.</w:t>
            </w:r>
          </w:p>
        </w:tc>
        <w:tc>
          <w:tcPr>
            <w:tcW w:w="120" w:type="dxa"/>
            <w:vAlign w:val="bottom"/>
            <w:tcBorders>
              <w:top w:val="single" w:sz="8" w:color="3051F2"/>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20" w:type="dxa"/>
            <w:vAlign w:val="bottom"/>
            <w:tcBorders>
              <w:top w:val="single" w:sz="8" w:color="3051F2"/>
              <w:bottom w:val="single" w:sz="8" w:color="3051F2"/>
            </w:tcBorders>
            <w:gridSpan w:val="15"/>
          </w:tcPr>
          <w:p>
            <w:pPr>
              <w:spacing w:after="0"/>
              <w:rPr>
                <w:sz w:val="20"/>
                <w:szCs w:val="20"/>
                <w:color w:val="auto"/>
              </w:rPr>
            </w:pPr>
            <w:r>
              <w:rPr>
                <w:rFonts w:ascii="Times New Roman" w:cs="Times New Roman" w:eastAsia="Times New Roman" w:hAnsi="Times New Roman"/>
                <w:sz w:val="18"/>
                <w:szCs w:val="18"/>
                <w:color w:val="3051F2"/>
                <w:w w:val="99"/>
              </w:rPr>
              <w:t>Quantitative and Qualitative Disclosures about Market Risk</w:t>
            </w:r>
          </w:p>
        </w:tc>
        <w:tc>
          <w:tcPr>
            <w:tcW w:w="2140" w:type="dxa"/>
            <w:vAlign w:val="bottom"/>
            <w:tcBorders>
              <w:top w:val="single" w:sz="8" w:color="3051F2"/>
            </w:tcBorders>
            <w:gridSpan w:val="3"/>
          </w:tcPr>
          <w:p>
            <w:pPr>
              <w:spacing w:after="0"/>
              <w:rPr>
                <w:sz w:val="24"/>
                <w:szCs w:val="24"/>
                <w:color w:val="auto"/>
              </w:rPr>
            </w:pPr>
          </w:p>
        </w:tc>
        <w:tc>
          <w:tcPr>
            <w:tcW w:w="2820" w:type="dxa"/>
            <w:vAlign w:val="bottom"/>
            <w:gridSpan w:val="6"/>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67</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4.</w:t>
            </w:r>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Borders>
              <w:bottom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w w:val="99"/>
              </w:rPr>
              <w:t>Controls and Procedures</w:t>
            </w:r>
          </w:p>
        </w:tc>
        <w:tc>
          <w:tcPr>
            <w:tcW w:w="7500" w:type="dxa"/>
            <w:vAlign w:val="bottom"/>
            <w:gridSpan w:val="15"/>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69</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2760" w:type="dxa"/>
            <w:vAlign w:val="bottom"/>
            <w:tcBorders>
              <w:bottom w:val="single" w:sz="8" w:color="3051F2"/>
            </w:tcBorders>
            <w:gridSpan w:val="14"/>
          </w:tcPr>
          <w:p>
            <w:pPr>
              <w:spacing w:after="0"/>
              <w:rPr>
                <w:sz w:val="20"/>
                <w:szCs w:val="20"/>
                <w:color w:val="auto"/>
              </w:rPr>
            </w:pPr>
            <w:r>
              <w:rPr>
                <w:rFonts w:ascii="Times New Roman" w:cs="Times New Roman" w:eastAsia="Times New Roman" w:hAnsi="Times New Roman"/>
                <w:sz w:val="18"/>
                <w:szCs w:val="18"/>
                <w:color w:val="3051F2"/>
                <w:w w:val="97"/>
              </w:rPr>
              <w:t>PART II — OTHER INFORMATION</w:t>
            </w:r>
          </w:p>
        </w:tc>
        <w:tc>
          <w:tcPr>
            <w:tcW w:w="7480" w:type="dxa"/>
            <w:vAlign w:val="bottom"/>
            <w:gridSpan w:val="14"/>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1.</w:t>
            </w:r>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bottom w:val="single" w:sz="8" w:color="3051F2"/>
            </w:tcBorders>
            <w:gridSpan w:val="7"/>
          </w:tcPr>
          <w:p>
            <w:pPr>
              <w:spacing w:after="0"/>
              <w:rPr>
                <w:sz w:val="20"/>
                <w:szCs w:val="20"/>
                <w:color w:val="auto"/>
              </w:rPr>
            </w:pPr>
            <w:r>
              <w:rPr>
                <w:rFonts w:ascii="Times New Roman" w:cs="Times New Roman" w:eastAsia="Times New Roman" w:hAnsi="Times New Roman"/>
                <w:sz w:val="18"/>
                <w:szCs w:val="18"/>
                <w:color w:val="3051F2"/>
                <w:w w:val="98"/>
              </w:rPr>
              <w:t>Legal Proceedings</w:t>
            </w:r>
          </w:p>
        </w:tc>
        <w:tc>
          <w:tcPr>
            <w:tcW w:w="7940" w:type="dxa"/>
            <w:vAlign w:val="bottom"/>
            <w:gridSpan w:val="17"/>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3051F2"/>
              </w:rPr>
              <w:t>Item 1A.</w:t>
            </w:r>
          </w:p>
        </w:tc>
        <w:tc>
          <w:tcPr>
            <w:tcW w:w="9440" w:type="dxa"/>
            <w:vAlign w:val="bottom"/>
            <w:gridSpan w:val="25"/>
          </w:tcPr>
          <w:p>
            <w:pPr>
              <w:ind w:left="160"/>
              <w:spacing w:after="0"/>
              <w:rPr>
                <w:sz w:val="20"/>
                <w:szCs w:val="20"/>
                <w:color w:val="auto"/>
              </w:rPr>
            </w:pPr>
            <w:r>
              <w:rPr>
                <w:rFonts w:ascii="Times New Roman" w:cs="Times New Roman" w:eastAsia="Times New Roman" w:hAnsi="Times New Roman"/>
                <w:sz w:val="18"/>
                <w:szCs w:val="18"/>
                <w:color w:val="3051F2"/>
              </w:rPr>
              <w:t>Risk Factors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3051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920" w:type="dxa"/>
            <w:vAlign w:val="bottom"/>
            <w:gridSpan w:val="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60" w:type="dxa"/>
            <w:vAlign w:val="bottom"/>
            <w:tcBorders>
              <w:bottom w:val="single" w:sz="8" w:color="3051F2"/>
            </w:tcBorders>
            <w:gridSpan w:val="16"/>
          </w:tcPr>
          <w:p>
            <w:pPr>
              <w:spacing w:after="0"/>
              <w:rPr>
                <w:sz w:val="20"/>
                <w:szCs w:val="20"/>
                <w:color w:val="auto"/>
              </w:rPr>
            </w:pPr>
            <w:r>
              <w:rPr>
                <w:rFonts w:ascii="Times New Roman" w:cs="Times New Roman" w:eastAsia="Times New Roman" w:hAnsi="Times New Roman"/>
                <w:sz w:val="18"/>
                <w:szCs w:val="18"/>
                <w:color w:val="3051F2"/>
                <w:w w:val="99"/>
              </w:rPr>
              <w:t>Unregistered Sales of Equity Securities and Use of Proceeds</w:t>
            </w:r>
          </w:p>
        </w:tc>
        <w:tc>
          <w:tcPr>
            <w:tcW w:w="4920" w:type="dxa"/>
            <w:vAlign w:val="bottom"/>
            <w:gridSpan w:val="8"/>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3051F2"/>
              </w:rPr>
              <w:t>Item 3.</w:t>
            </w:r>
          </w:p>
        </w:tc>
        <w:tc>
          <w:tcPr>
            <w:tcW w:w="160" w:type="dxa"/>
            <w:vAlign w:val="bottom"/>
          </w:tcPr>
          <w:p>
            <w:pPr>
              <w:spacing w:after="0"/>
              <w:rPr>
                <w:sz w:val="24"/>
                <w:szCs w:val="24"/>
                <w:color w:val="auto"/>
              </w:rPr>
            </w:pPr>
          </w:p>
        </w:tc>
        <w:tc>
          <w:tcPr>
            <w:tcW w:w="9280" w:type="dxa"/>
            <w:vAlign w:val="bottom"/>
            <w:gridSpan w:val="24"/>
          </w:tcPr>
          <w:p>
            <w:pPr>
              <w:spacing w:after="0"/>
              <w:rPr>
                <w:sz w:val="20"/>
                <w:szCs w:val="20"/>
                <w:color w:val="auto"/>
              </w:rPr>
            </w:pPr>
            <w:r>
              <w:rPr>
                <w:rFonts w:ascii="Times New Roman" w:cs="Times New Roman" w:eastAsia="Times New Roman" w:hAnsi="Times New Roman"/>
                <w:sz w:val="18"/>
                <w:szCs w:val="18"/>
                <w:color w:val="3051F2"/>
              </w:rPr>
              <w:t>Defaults Upon Senior Securities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top w:val="single" w:sz="8" w:color="3051F2"/>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4.</w:t>
            </w:r>
          </w:p>
        </w:tc>
        <w:tc>
          <w:tcPr>
            <w:tcW w:w="280" w:type="dxa"/>
            <w:vAlign w:val="bottom"/>
            <w:tcBorders>
              <w:top w:val="single" w:sz="8" w:color="3051F2"/>
            </w:tcBorders>
            <w:gridSpan w:val="2"/>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Borders>
              <w:top w:val="single" w:sz="8" w:color="3051F2"/>
              <w:bottom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w w:val="99"/>
              </w:rPr>
              <w:t>Mine Safety Disclosures</w:t>
            </w:r>
          </w:p>
        </w:tc>
        <w:tc>
          <w:tcPr>
            <w:tcW w:w="540" w:type="dxa"/>
            <w:vAlign w:val="bottom"/>
            <w:tcBorders>
              <w:top w:val="single" w:sz="8" w:color="3051F2"/>
            </w:tcBorders>
            <w:gridSpan w:val="3"/>
          </w:tcPr>
          <w:p>
            <w:pPr>
              <w:spacing w:after="0"/>
              <w:rPr>
                <w:sz w:val="24"/>
                <w:szCs w:val="24"/>
                <w:color w:val="auto"/>
              </w:rPr>
            </w:pPr>
          </w:p>
        </w:tc>
        <w:tc>
          <w:tcPr>
            <w:tcW w:w="6960" w:type="dxa"/>
            <w:vAlign w:val="bottom"/>
            <w:gridSpan w:val="12"/>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5.</w:t>
            </w:r>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Borders>
              <w:bottom w:val="single" w:sz="8" w:color="3051F2"/>
            </w:tcBorders>
            <w:gridSpan w:val="6"/>
          </w:tcPr>
          <w:p>
            <w:pPr>
              <w:spacing w:after="0"/>
              <w:rPr>
                <w:sz w:val="20"/>
                <w:szCs w:val="20"/>
                <w:color w:val="auto"/>
              </w:rPr>
            </w:pPr>
            <w:r>
              <w:rPr>
                <w:rFonts w:ascii="Times New Roman" w:cs="Times New Roman" w:eastAsia="Times New Roman" w:hAnsi="Times New Roman"/>
                <w:sz w:val="18"/>
                <w:szCs w:val="18"/>
                <w:color w:val="3051F2"/>
                <w:w w:val="98"/>
              </w:rPr>
              <w:t>Other Information</w:t>
            </w:r>
          </w:p>
        </w:tc>
        <w:tc>
          <w:tcPr>
            <w:tcW w:w="7960" w:type="dxa"/>
            <w:vAlign w:val="bottom"/>
            <w:gridSpan w:val="18"/>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3051F2"/>
                <w:w w:val="97"/>
              </w:rPr>
              <w:t>Item 6.</w:t>
            </w:r>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9280" w:type="dxa"/>
            <w:vAlign w:val="bottom"/>
            <w:gridSpan w:val="24"/>
          </w:tcPr>
          <w:p>
            <w:pPr>
              <w:spacing w:after="0"/>
              <w:rPr>
                <w:sz w:val="20"/>
                <w:szCs w:val="20"/>
                <w:color w:val="auto"/>
              </w:rPr>
            </w:pPr>
            <w:r>
              <w:rPr>
                <w:rFonts w:ascii="Times New Roman" w:cs="Times New Roman" w:eastAsia="Times New Roman" w:hAnsi="Times New Roman"/>
                <w:sz w:val="18"/>
                <w:szCs w:val="18"/>
                <w:color w:val="3051F2"/>
              </w:rPr>
              <w:t>Exhibits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3051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520" w:type="dxa"/>
            <w:vAlign w:val="bottom"/>
            <w:gridSpan w:val="21"/>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80" w:type="dxa"/>
            <w:vAlign w:val="bottom"/>
            <w:gridSpan w:val="24"/>
          </w:tcPr>
          <w:p>
            <w:pPr>
              <w:spacing w:after="0"/>
              <w:rPr>
                <w:sz w:val="20"/>
                <w:szCs w:val="20"/>
                <w:color w:val="auto"/>
              </w:rPr>
            </w:pPr>
            <w:r>
              <w:rPr>
                <w:rFonts w:ascii="Times New Roman" w:cs="Times New Roman" w:eastAsia="Times New Roman" w:hAnsi="Times New Roman"/>
                <w:sz w:val="18"/>
                <w:szCs w:val="18"/>
                <w:color w:val="3051F2"/>
              </w:rPr>
              <w:t>Signatures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72</w:t>
            </w: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top w:val="single" w:sz="8" w:color="3051F2"/>
            </w:tcBorders>
            <w:gridSpan w:val="3"/>
          </w:tcPr>
          <w:p>
            <w:pPr>
              <w:spacing w:after="0"/>
              <w:rPr>
                <w:sz w:val="24"/>
                <w:szCs w:val="24"/>
                <w:color w:val="auto"/>
              </w:rPr>
            </w:pPr>
          </w:p>
        </w:tc>
        <w:tc>
          <w:tcPr>
            <w:tcW w:w="4060" w:type="dxa"/>
            <w:vAlign w:val="bottom"/>
            <w:gridSpan w:val="14"/>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financial statements and other disclosures contained in this report include those of Tradeweb Markets Inc., which is the registrant, and those of its consolidating subsidiaries, including Tradeweb Markets LLC, which became the principal operating subsidiary of Tradeweb Markets Inc. on April 4, 2019 in a series of reorganization transactions (the “Reorganization Transactions”) that were completed in connection with Tradeweb Markets Inc.’s initial public offering (the “IPO”), which closed on April 8, 2019.</w:t>
      </w:r>
    </w:p>
    <w:p>
      <w:pPr>
        <w:spacing w:after="0" w:line="1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Quarterly Report on Form 10-Q, unless the context otherwise requires, references to:</w:t>
      </w:r>
    </w:p>
    <w:p>
      <w:pPr>
        <w:spacing w:after="0" w:line="198" w:lineRule="exact"/>
        <w:rPr>
          <w:sz w:val="20"/>
          <w:szCs w:val="20"/>
          <w:color w:val="auto"/>
        </w:rPr>
      </w:pPr>
    </w:p>
    <w:p>
      <w:pPr>
        <w:ind w:left="660" w:right="2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the “Company,” “Tradeweb” and similar references refer: (i) on or prior to the completion of the Reorganization Transactions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TWM LLC and all of its subsidiaries and any predecessor entities.</w:t>
      </w:r>
    </w:p>
    <w:p>
      <w:pPr>
        <w:spacing w:after="0" w:line="139"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Stockholders” refer collectively to entities affiliated with the following clients: Barclays Capital Inc., BofA Securities, Inc. (a subsidiary of Bank of America Corporation), Citigroup Global Markets Inc., Credit Suisse Securities (USA) LLC, Deutsche Bank Securities Inc., Goldman Sachs &amp; Co. LLC, J.P. Morgan Securities LLC, Morgan Stanley &amp; Co. LLC, RBS Securities Inc., UBS Securities LLC and Wells Fargo Securities, LLC, which, prior to the completion of the IPO, collectively held a 46% ownership interest in Tradeweb. As of June 30, 2022, only entities affiliated with Credit Suisse Securities (USA) LLC remained as Bank Stockholders.</w:t>
      </w:r>
    </w:p>
    <w:p>
      <w:pPr>
        <w:spacing w:after="0" w:line="142" w:lineRule="exact"/>
        <w:rPr>
          <w:rFonts w:ascii="Times New Roman" w:cs="Times New Roman" w:eastAsia="Times New Roman" w:hAnsi="Times New Roman"/>
          <w:sz w:val="18"/>
          <w:szCs w:val="18"/>
          <w:color w:val="auto"/>
        </w:rPr>
      </w:pPr>
    </w:p>
    <w:p>
      <w:pPr>
        <w:ind w:left="660" w:right="60" w:hanging="328"/>
        <w:spacing w:after="0" w:line="25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LLC Owners” refer collectively to (i) those “Original LLC Owners,” including Refinitiv (as defined below), certain of the Bank Stockholders and members of management, that continued to own LLC Interests (as defined below) after the completion of the IPO and Reorganization Transactions, that received shares of our Class C common stock, shares of our Class D common stock or a combination of both, as the case may be, in connection with the completion of the Reorganization Transactions, and that may redeem or exchange their LLC Interests for shares of our Class A common stock or Class B common stock and (ii) solely with respect to the Tax Receivable Agreement (as defined below), also include those Original LLC Owners, including certain Bank Stockholders, that disposed of all of their LLC Interests for cash in connection with the IPO.</w:t>
      </w:r>
    </w:p>
    <w:p>
      <w:pPr>
        <w:spacing w:after="0" w:line="161"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Group” refer to certain investment funds affiliated with The Blackstone Group Inc. (f/k/a The Blackstone Group L.P.), an affiliate of Canada Pension Plan Investment Board, an affiliate of GIC Special Investments Pte. Ltd. and certain co-investors, which prior to the LSEG Transaction (as defined below) collectively held indirectly a 55% ownership interest in Refinitiv (as defined below).</w:t>
      </w:r>
    </w:p>
    <w:p>
      <w:pPr>
        <w:spacing w:after="0" w:line="135" w:lineRule="exact"/>
        <w:rPr>
          <w:rFonts w:ascii="Times New Roman" w:cs="Times New Roman" w:eastAsia="Times New Roman" w:hAnsi="Times New Roman"/>
          <w:sz w:val="18"/>
          <w:szCs w:val="18"/>
          <w:color w:val="auto"/>
        </w:rPr>
      </w:pPr>
    </w:p>
    <w:p>
      <w:pPr>
        <w:ind w:left="660" w:right="9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Interests” refer to the single class of common membership interests of TWM LLC issued in connection with the Reorganization Transactions.</w:t>
      </w:r>
    </w:p>
    <w:p>
      <w:pPr>
        <w:spacing w:after="0" w:line="12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“LSEG Transaction” refer to the acquisition of the Refinitiv business by London Stock Exchange Group plc (“LSEG”), in an all share transaction, which closed on January 29, 2021.</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LLC Owners” refer to the owners of TWM LLC prior to the Reorganization Transactions.</w:t>
      </w:r>
    </w:p>
    <w:p>
      <w:pPr>
        <w:spacing w:after="0" w:line="184"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prior to the LSEG Transaction, refer to Refinitiv Holdings Limited, and unless otherwise stated or the context otherwise requires, all of its direct and indirect subsidiaries, and subsequent to the LSEG Transaction, refer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Tradeweb, and was controlled by the Investor Group prior to the LSEG Transaction.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Transaction” refer to the transaction pursuant to which Refinitiv indirectly acquired on October 1, 2018 substantially all of the financial and risk business of Thomson Reuters and Thomson Reuters indirectly acquired a 45% ownership interest in Refinitiv.</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“Thomson Reuters” or “TR” refer to Thomson Reuters Corporation, which prior to the LSEG Transaction indirectly held a 45% ownership interest in Refinitiv.</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Numerical figures included in this Quarterly Report on Form 10-Q have been subject to rounding adjustments. Accordingly, numerical figures shown as totals in various tables may not be arithmetic aggregations of the figures that precede them. In addition, we round certain percentages presented in this Quarterly Report on Form 10-Q to the nearest whole number. As a result, figures expressed as percentages in the text may not total 100% or, when aggregated, may not be the arithmetic aggregation of the percentages that precede them.</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USE OF NON-GAAP FINANCIAL MEASURES</w:t>
      </w:r>
    </w:p>
    <w:p>
      <w:pPr>
        <w:spacing w:after="0" w:line="20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This Quarterly Report on Form 10-Q contains “non-GAAP financial measures,” which are financial measures that are not calculated and presented in accordance with GAAP.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Securities and Exchange Commission (“SEC”) has adopted rules to regulate the use in filings with the SEC and in other public disclosures of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financial measures. These rules govern the manner in which non-GAAP financial measures are publicly presented and require, among other things:</w:t>
      </w:r>
    </w:p>
    <w:p>
      <w:pPr>
        <w:spacing w:after="0" w:line="166" w:lineRule="exact"/>
        <w:rPr>
          <w:sz w:val="20"/>
          <w:szCs w:val="20"/>
          <w:color w:val="auto"/>
        </w:rPr>
      </w:pPr>
    </w:p>
    <w:p>
      <w:pPr>
        <w:ind w:left="660" w:right="3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presentation with equal or greater prominence of the most comparable financial measure or measures calculated and presented in accordance with GAAP; and</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disclosing the purposes for which the registrant’s management uses the non-GAAP financial measure.</w:t>
      </w:r>
    </w:p>
    <w:p>
      <w:pPr>
        <w:spacing w:after="0" w:line="18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Specifically, we make use of the non-GAAP financial measures “Free Cash Flow,” “Adjusted EBITDA,” “Adjusted EBITDA margin,” “Adjusted EBIT,” “Adjusted EBIT margin,” “Adjusted Net Income” and “Adjusted Diluted EPS” in evaluating our past results and future prospects. For the definition of Free Cash Flow and a reconciliation to cash flow from operating activities, its most directly comparable financial measure presented in accordance with GAAP, see Part I, Item 2. – “Management’s Discussion and Analysis of Financial Condition and Results of Operations—Non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GAAP Financial Measures.” For the definitions of Adjusted EBITDA, Adjusted EBIT and Adjusted Net Income and reconciliations to net income and net income attributable to Tradeweb Markets Inc., as applicable, their most directly comparable financial measures presented in accordance with GAAP, see Part I, Item 2. – “Management’s Discussion and Analysis of Financial Condition and Results of Operations—Non-GAAP Financial Measures.” Adjusted EBITDA margin and Adjusted EBIT margin are defined as Adjusted EBITDA and Adjusted EBIT, respectively, divided by revenue for the applicable period.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1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14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4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Free Cash Flow, Adjusted EBITDA, Adjusted EBIT, Adjusted Net Income and Adjusted Diluted EPS have limitations as analytical tools, and you should not consider such measures either in isolation or as substitutes for analyzing our results as reported under GAAP. Some of these limitations include the following:</w:t>
      </w:r>
    </w:p>
    <w:p>
      <w:pPr>
        <w:spacing w:after="0" w:line="149" w:lineRule="exact"/>
        <w:rPr>
          <w:sz w:val="20"/>
          <w:szCs w:val="20"/>
          <w:color w:val="auto"/>
        </w:rPr>
      </w:pPr>
    </w:p>
    <w:p>
      <w:pPr>
        <w:ind w:left="660" w:right="4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Adjusted EBITDA, Adjusted EBIT, Adjusted Net Income and Adjusted Diluted EPS do not reflect every expenditure, future requirements for capital expenditures or contractual commitments;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Diluted EPS do not reflect changes in our working capital needs;</w:t>
      </w:r>
    </w:p>
    <w:p>
      <w:pPr>
        <w:spacing w:after="0" w:line="184"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any interest expense, or the amounts necessary to service interest or principal payments on any debt obligations;</w:t>
      </w:r>
    </w:p>
    <w:p>
      <w:pPr>
        <w:spacing w:after="0" w:line="134"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income tax expense, which in post-IPO periods is a necessary element of our costs and ability to operate;</w:t>
      </w:r>
    </w:p>
    <w:p>
      <w:pPr>
        <w:spacing w:after="0" w:line="12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eliminated in the calculation of Adjusted EBITDA, and the depreciation and amortization related to acquisitions and the Refinitiv Transaction are eliminated in the calculation of Adjusted EBIT, the assets being depreciated and amortized will often have to be replaced in the future, and Adjusted EBITDA and Adjusted EBIT do not reflect any costs of such replacements;</w:t>
      </w:r>
    </w:p>
    <w:p>
      <w:pPr>
        <w:spacing w:after="0" w:line="13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post-IPO periods, Adjusted EBITDA, Adjusted EBIT, Adjusted Net Income and Adjusted Diluted EPS do not reflect the noncash component of certain employee compensation expense or payroll taxes associated with certain option exercises;</w:t>
      </w:r>
    </w:p>
    <w:p>
      <w:pPr>
        <w:spacing w:after="0" w:line="134"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Diluted EPS do not reflect the impact of earnings or charges resulting from matters we consider not to be indicative, on a recurring basis, of our ongoing operations; and</w:t>
      </w:r>
    </w:p>
    <w:p>
      <w:pPr>
        <w:spacing w:after="0" w:line="12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Free Cash Flow, Adjusted EBITDA, Adjusted EBIT, Adjusted Net Income and Adjusted Diluted EPS or similarly titled measures differently than we do, limiting their usefulness as comparative measures.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compensate for these limitations by relying primarily on our GAAP results and using Free Cash Flow, Adjusted EBITDA, Adjusted EBIT, Adjusted Net Income and Adjusted Diluted EPS only as supplemental information.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potential tax savings we may realize as a result of our organizational structure, our dividend policy and our expectations, beliefs, plans, strategies, objectives, prospects or assumptions regarding future events, our performance or otherwise, contained in this Quarterly Report on Form 10-Q are forward-looking statements. In addition, statements contained in this Quarterly Report on Form 10-Q relating to the COVID-19 pandemic (including any variants of COVID-19), the potential impacts of which are inherently uncertain, are forward-looking statements.</w:t>
      </w:r>
    </w:p>
    <w:p>
      <w:pPr>
        <w:spacing w:after="0" w:line="1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may cause our actual results, performance or achievements to differ materially from those expressed or implied by these forward-looking statements, or could affect our share price.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factors that could cause actual results to differ materially from those expressed or implied by the forward-looking statements include:</w:t>
      </w:r>
    </w:p>
    <w:p>
      <w:pPr>
        <w:spacing w:after="0" w:line="198"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political, social and market conditions and the impact of these changes on trading volumes;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compete successfully;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adapt our business effectively to keep pace with industry changes;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and concentration in the financial services industry;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dealer clients that, in some cases, are also stockholders;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for certain market data and certain key functions;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 profitably;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any acquisition or to realize benefits from any strategic alliances, partnerships or joint ventures;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and grow the capacity of our trading platforms, systems and infrastructure;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defects, errors, failures or delays with our platforms or solutions;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failures, interruptions, delays in services, cybersecurity incidents, catastrophic events and any resulting interruptions;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protection of our intellectual property;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our industry;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services of certain members of our management;</w:t>
      </w:r>
    </w:p>
    <w:p>
      <w:pPr>
        <w:spacing w:after="0" w:line="184"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operating our business and incurring additional indebtedness as a result of covenant restrictions under our $500.0 million senior secured revolving credit facility (the “Revolving Credit Facility”) with Citibank, N.A., as administrative agent and collateral agent, and the other lenders party thereto, and certain Refinitiv indebtedness;</w:t>
      </w:r>
    </w:p>
    <w:p>
      <w:pPr>
        <w:spacing w:after="0" w:line="148"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distributions from TWM LLC to fund our expected dividend payments and to pay our taxes and expenses, including payments under the tax receivable agreement (the “Tax Receivable Agreement”) entered into in connection with the IPO;</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benefit from our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Refinitiv’s, and indirectly LSEG’s, control of us and our status as a controlled company; and</w:t>
      </w:r>
    </w:p>
    <w:p>
      <w:pPr>
        <w:spacing w:after="0" w:line="198"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Part I, Item 1A. “Risk Factors” of our Annual Report on Form 10-K for the year ended December 31, 2021 (the “2021 Form 10-K”), filed with the Securities and Exchange Commission (“SEC”) and in other filings we may make from time to time with the SEC.</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Given these risks and uncertainties, you are cautioned not to place undue reliance on such forward-looking statements. The forward-looking statements contained in this Quarterly Report on Form 10-Q are not guarantees of future performance and our actual results of operations, financial condition or liquidity, and the development of the industry and markets in which we operate, may differ materially from the forward-looking statements contained in this Quarterly Report on Form 10-Q. In addition, even if our results of operations, financial condition or liquidity, and events in the industry and markets in which we operate, are consistent with the forward-looking statements contained in this Quarterly Report on Form 10-Q, they may not be predictive of results or developments in future periods.</w:t>
      </w:r>
    </w:p>
    <w:p>
      <w:pPr>
        <w:spacing w:after="0" w:line="14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Any forward-looking statement that we make in this Quarterly Report on Form 10-Q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p>
    <w:p>
      <w:pPr>
        <w:spacing w:after="0" w:line="14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Investors and others should note that we announce material financial and operational information using our investor relations website, press releases, SEC filings and public conference calls and webcasts. Information about Tradeweb, our business and our results of operations may also be announced by posts on Tradeweb’s accounts on the following social media channels: Instagram, LinkedIn and Twitter.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Tradeweb Markets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Financial Condition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9"/>
        </w:trPr>
        <w:tc>
          <w:tcPr>
            <w:tcW w:w="8440" w:type="dxa"/>
            <w:vAlign w:val="bottom"/>
            <w:tcBorders>
              <w:bottom w:val="single" w:sz="8" w:color="CCEEFF"/>
            </w:tcBorders>
            <w:shd w:val="clear" w:color="auto" w:fill="CCEEFF"/>
          </w:tcPr>
          <w:p>
            <w:pPr>
              <w:ind w:left="39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959,719</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972,048</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from brokers and dealers and clearing organizations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 with clearing organizations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20,523</w:t>
            </w: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 net of allowance for credit losses of $117 and $273 at June 30, 2022 and December 31, 2021, respectively</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155,426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129,937</w:t>
            </w:r>
          </w:p>
        </w:tc>
      </w:tr>
      <w:tr>
        <w:trPr>
          <w:trHeight w:val="23"/>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equipment, purchased software and leasehold improvements, net of accumulated depreciation and amortization</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31,060</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right-of-use assets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26,915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20,496</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Software development costs, net of accumulated amortization</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148,483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156,203</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2,780,259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2,780,259</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 of accumulated amortization</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1,126,417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1,180,016</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from affiliates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3,313</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638,572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618,970</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83,997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76,355</w:t>
            </w:r>
          </w:p>
        </w:tc>
      </w:tr>
      <w:tr>
        <w:trPr>
          <w:trHeight w:val="221"/>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5,989,538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5,990,180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8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10"/>
        </w:trPr>
        <w:tc>
          <w:tcPr>
            <w:tcW w:w="8440" w:type="dxa"/>
            <w:vAlign w:val="bottom"/>
            <w:tcBorders>
              <w:bottom w:val="single" w:sz="8" w:color="CCEEFF"/>
            </w:tcBorders>
            <w:shd w:val="clear" w:color="auto" w:fill="CCEEFF"/>
          </w:tcPr>
          <w:p>
            <w:pPr>
              <w:ind w:left="35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19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Payable to brokers and dealers and clearing organizations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compensation</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90,774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154,824</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24,930</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39,783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38,832</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24,331</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 to affiliates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4,860</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liability</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21,011</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Tax receivable agreement liability</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409,153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412,449</w:t>
            </w:r>
          </w:p>
        </w:tc>
      </w:tr>
      <w:tr>
        <w:trPr>
          <w:trHeight w:val="196"/>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618,770</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681,237</w:t>
            </w:r>
          </w:p>
        </w:tc>
      </w:tr>
      <w:tr>
        <w:trPr>
          <w:trHeight w:val="203"/>
        </w:trPr>
        <w:tc>
          <w:tcPr>
            <w:tcW w:w="8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12)</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16"/>
        </w:trPr>
        <w:tc>
          <w:tcPr>
            <w:tcW w:w="8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$0.00001 par value; 250,000,000 shares authorized; none issued or outstanding</w:t>
            </w:r>
          </w:p>
        </w:tc>
        <w:tc>
          <w:tcPr>
            <w:tcW w:w="26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 $0.00001 par value; 1,000,000,000 shares authorized; 107,615,695 and 106,286,821 shares issued and outstanding as of</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5"/>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30, 2022 and December 31, 2021, respectively</w:t>
            </w: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 common stock, $0.00001 par value; 450,000,000 shares authorized; 96,933,192 and 96,933,192 shares issued and outstanding as of</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2"/>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30, 2022 and December 31, 2021, respectively</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3"/>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C common stock, $0.00001 par value; 350,000,000 shares authorized; 1,654,825 and 1,654,825 shares issued and outstanding as of</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5"/>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30, 2022 and December 31, 2021, respectively</w:t>
            </w: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D common stock, $0.00001 par value; 300,000,000 shares authorized; 28,316,833 and 28,873,139 shares issued and outstanding as of</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2"/>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30, 2022 and December 31, 2021, respectively</w:t>
            </w:r>
          </w:p>
        </w:tc>
        <w:tc>
          <w:tcPr>
            <w:tcW w:w="26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4,420,405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4,401,366</w:t>
            </w: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1,604</w:t>
            </w:r>
          </w:p>
        </w:tc>
      </w:tr>
      <w:tr>
        <w:trPr>
          <w:trHeight w:val="24"/>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304,899</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242,623</w:t>
            </w:r>
          </w:p>
        </w:tc>
      </w:tr>
      <w:tr>
        <w:trPr>
          <w:trHeight w:val="189"/>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stockholders’ equity attributable to Tradeweb Markets Inc.</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4,714,902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4,645,595</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655,866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663,348</w:t>
            </w:r>
          </w:p>
        </w:tc>
      </w:tr>
      <w:tr>
        <w:trPr>
          <w:trHeight w:val="189"/>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5,370,768</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5,308,943</w:t>
            </w:r>
          </w:p>
        </w:tc>
      </w:tr>
      <w:tr>
        <w:trPr>
          <w:trHeight w:val="221"/>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5,989,538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5,990,180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Transaction fees and commissions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237,669</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205,381</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489,474</w:t>
            </w:r>
          </w:p>
        </w:tc>
        <w:tc>
          <w:tcPr>
            <w:tcW w:w="80" w:type="dxa"/>
            <w:vAlign w:val="bottom"/>
          </w:tcPr>
          <w:p>
            <w:pPr>
              <w:spacing w:after="0"/>
              <w:rPr>
                <w:sz w:val="16"/>
                <w:szCs w:val="16"/>
                <w:color w:val="auto"/>
              </w:rPr>
            </w:pPr>
          </w:p>
        </w:tc>
        <w:tc>
          <w:tcPr>
            <w:tcW w:w="5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423,197</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Subscription fees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41,540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82,995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75,751</w:t>
            </w:r>
          </w:p>
        </w:tc>
        <w:tc>
          <w:tcPr>
            <w:tcW w:w="0" w:type="dxa"/>
            <w:vAlign w:val="bottom"/>
          </w:tcPr>
          <w:p>
            <w:pPr>
              <w:spacing w:after="0"/>
              <w:rPr>
                <w:sz w:val="1"/>
                <w:szCs w:val="1"/>
                <w:color w:val="auto"/>
              </w:rPr>
            </w:pPr>
          </w:p>
        </w:tc>
      </w:tr>
      <w:tr>
        <w:trPr>
          <w:trHeight w:val="195"/>
        </w:trPr>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Refinitiv market data fees</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30,984</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30,043</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2,503</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5,171</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5,248</w:t>
            </w:r>
          </w:p>
        </w:tc>
        <w:tc>
          <w:tcPr>
            <w:tcW w:w="0" w:type="dxa"/>
            <w:vAlign w:val="bottom"/>
          </w:tcPr>
          <w:p>
            <w:pPr>
              <w:spacing w:after="0"/>
              <w:rPr>
                <w:sz w:val="1"/>
                <w:szCs w:val="1"/>
                <w:color w:val="auto"/>
              </w:rPr>
            </w:pPr>
          </w:p>
        </w:tc>
      </w:tr>
      <w:tr>
        <w:trPr>
          <w:trHeight w:val="186"/>
        </w:trPr>
        <w:tc>
          <w:tcPr>
            <w:tcW w:w="56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297,138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260,840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608,624</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534,239</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compensation and benefits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109,890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227,881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202,071</w:t>
            </w:r>
          </w:p>
        </w:tc>
        <w:tc>
          <w:tcPr>
            <w:tcW w:w="0" w:type="dxa"/>
            <w:vAlign w:val="bottom"/>
          </w:tcPr>
          <w:p>
            <w:pPr>
              <w:spacing w:after="0"/>
              <w:rPr>
                <w:sz w:val="1"/>
                <w:szCs w:val="1"/>
                <w:color w:val="auto"/>
              </w:rPr>
            </w:pPr>
          </w:p>
        </w:tc>
      </w:tr>
      <w:tr>
        <w:trPr>
          <w:trHeight w:val="195"/>
        </w:trPr>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44,770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41,867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89,220</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82,833</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Technology and communications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31,810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27,501</w:t>
            </w:r>
          </w:p>
        </w:tc>
        <w:tc>
          <w:tcPr>
            <w:tcW w:w="0" w:type="dxa"/>
            <w:vAlign w:val="bottom"/>
          </w:tcPr>
          <w:p>
            <w:pPr>
              <w:spacing w:after="0"/>
              <w:rPr>
                <w:sz w:val="1"/>
                <w:szCs w:val="1"/>
                <w:color w:val="auto"/>
              </w:rPr>
            </w:pPr>
          </w:p>
        </w:tc>
      </w:tr>
      <w:tr>
        <w:trPr>
          <w:trHeight w:val="195"/>
        </w:trPr>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17,914</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12,248</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Professional fees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20,096</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Occupancy</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3,661</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7,158</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7,371</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190,531</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177,048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390,415</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352,120</w:t>
            </w:r>
          </w:p>
        </w:tc>
        <w:tc>
          <w:tcPr>
            <w:tcW w:w="0" w:type="dxa"/>
            <w:vAlign w:val="bottom"/>
          </w:tcPr>
          <w:p>
            <w:pPr>
              <w:spacing w:after="0"/>
              <w:rPr>
                <w:sz w:val="1"/>
                <w:szCs w:val="1"/>
                <w:color w:val="auto"/>
              </w:rPr>
            </w:pPr>
          </w:p>
        </w:tc>
      </w:tr>
      <w:tr>
        <w:trPr>
          <w:trHeight w:val="19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106,607</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83,792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218,209</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182,119</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interest income (expense)</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0" w:type="dxa"/>
            <w:vAlign w:val="bottom"/>
          </w:tcPr>
          <w:p>
            <w:pPr>
              <w:spacing w:after="0"/>
              <w:rPr>
                <w:sz w:val="1"/>
                <w:szCs w:val="1"/>
                <w:color w:val="auto"/>
              </w:rPr>
            </w:pPr>
          </w:p>
        </w:tc>
      </w:tr>
      <w:tr>
        <w:trPr>
          <w:trHeight w:val="19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taxes</w:t>
            </w: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107,148</w:t>
            </w:r>
          </w:p>
        </w:tc>
        <w:tc>
          <w:tcPr>
            <w:tcW w:w="8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83,467</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218,303</w:t>
            </w:r>
          </w:p>
        </w:tc>
        <w:tc>
          <w:tcPr>
            <w:tcW w:w="80" w:type="dxa"/>
            <w:vAlign w:val="bottom"/>
            <w:tcBorders>
              <w:bottom w:val="single" w:sz="8" w:color="CCEEFF"/>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181,301</w:t>
            </w: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(25,548)</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(39,258)</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(33,503)</w:t>
            </w:r>
          </w:p>
        </w:tc>
        <w:tc>
          <w:tcPr>
            <w:tcW w:w="0" w:type="dxa"/>
            <w:vAlign w:val="bottom"/>
          </w:tcPr>
          <w:p>
            <w:pPr>
              <w:spacing w:after="0"/>
              <w:rPr>
                <w:sz w:val="1"/>
                <w:szCs w:val="1"/>
                <w:color w:val="auto"/>
              </w:rPr>
            </w:pPr>
          </w:p>
        </w:tc>
      </w:tr>
      <w:tr>
        <w:trPr>
          <w:trHeight w:val="190"/>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81,600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66,233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179,045</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147,798</w:t>
            </w: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13,256</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27,736</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24,623</w:t>
            </w:r>
          </w:p>
        </w:tc>
        <w:tc>
          <w:tcPr>
            <w:tcW w:w="0" w:type="dxa"/>
            <w:vAlign w:val="bottom"/>
          </w:tcPr>
          <w:p>
            <w:pPr>
              <w:spacing w:after="0"/>
              <w:rPr>
                <w:sz w:val="1"/>
                <w:szCs w:val="1"/>
                <w:color w:val="auto"/>
              </w:rPr>
            </w:pPr>
          </w:p>
        </w:tc>
      </w:tr>
      <w:tr>
        <w:trPr>
          <w:trHeight w:val="190"/>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Tradeweb Markets Inc.</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68,344</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55,316</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151,309</w:t>
            </w:r>
          </w:p>
        </w:tc>
        <w:tc>
          <w:tcPr>
            <w:tcW w:w="80" w:type="dxa"/>
            <w:vAlign w:val="bottom"/>
          </w:tcPr>
          <w:p>
            <w:pPr>
              <w:spacing w:after="0"/>
              <w:rPr>
                <w:sz w:val="16"/>
                <w:szCs w:val="16"/>
                <w:color w:val="auto"/>
              </w:rPr>
            </w:pPr>
          </w:p>
        </w:tc>
        <w:tc>
          <w:tcPr>
            <w:tcW w:w="5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123,175</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per share attributable to Tradeweb Markets Inc. Class A and B common stockholders: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5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0.74</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0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0.73</w:t>
            </w:r>
          </w:p>
        </w:tc>
        <w:tc>
          <w:tcPr>
            <w:tcW w:w="80" w:type="dxa"/>
            <w:vAlign w:val="bottom"/>
          </w:tcPr>
          <w:p>
            <w:pPr>
              <w:spacing w:after="0"/>
              <w:rPr>
                <w:sz w:val="15"/>
                <w:szCs w:val="15"/>
                <w:color w:val="auto"/>
              </w:rPr>
            </w:pPr>
          </w:p>
        </w:tc>
        <w:tc>
          <w:tcPr>
            <w:tcW w:w="5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0.60</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204,501,035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201,749,985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204,282,406</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200,414,714</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207,272,675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207,463,960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207,371,372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206,253,756</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Comprehensive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260" w:type="dxa"/>
            <w:vAlign w:val="bottom"/>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02"/>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Borders>
              <w:bottom w:val="single" w:sz="8" w:color="auto"/>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81,600</w:t>
            </w:r>
          </w:p>
        </w:tc>
        <w:tc>
          <w:tcPr>
            <w:tcW w:w="1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66,233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179,045</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147,798</w:t>
            </w:r>
          </w:p>
        </w:tc>
        <w:tc>
          <w:tcPr>
            <w:tcW w:w="0" w:type="dxa"/>
            <w:vAlign w:val="bottom"/>
          </w:tcPr>
          <w:p>
            <w:pPr>
              <w:spacing w:after="0"/>
              <w:rPr>
                <w:sz w:val="1"/>
                <w:szCs w:val="1"/>
                <w:color w:val="auto"/>
              </w:rPr>
            </w:pPr>
          </w:p>
        </w:tc>
      </w:tr>
      <w:tr>
        <w:trPr>
          <w:trHeight w:val="17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2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Foreign currency translation adjustments, with no tax benefit for each of the three and six</w:t>
            </w:r>
          </w:p>
        </w:tc>
        <w:tc>
          <w:tcPr>
            <w:tcW w:w="84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(9,677)</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(13,775)</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months ended June 30, 2022 and 2021</w:t>
            </w:r>
          </w:p>
        </w:tc>
        <w:tc>
          <w:tcPr>
            <w:tcW w:w="8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(9,677)</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(13,775)</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840" w:type="dxa"/>
            <w:vAlign w:val="bottom"/>
          </w:tcPr>
          <w:p>
            <w:pPr>
              <w:spacing w:after="0"/>
              <w:rPr>
                <w:sz w:val="16"/>
                <w:szCs w:val="16"/>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71,923</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66,936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165,270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148,158</w:t>
            </w:r>
          </w:p>
        </w:tc>
        <w:tc>
          <w:tcPr>
            <w:tcW w:w="0" w:type="dxa"/>
            <w:vAlign w:val="bottom"/>
          </w:tcPr>
          <w:p>
            <w:pPr>
              <w:spacing w:after="0"/>
              <w:rPr>
                <w:sz w:val="1"/>
                <w:szCs w:val="1"/>
                <w:color w:val="auto"/>
              </w:rPr>
            </w:pPr>
          </w:p>
        </w:tc>
      </w:tr>
      <w:tr>
        <w:trPr>
          <w:trHeight w:val="217"/>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8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13,256</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27,736</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24,623</w:t>
            </w:r>
          </w:p>
        </w:tc>
        <w:tc>
          <w:tcPr>
            <w:tcW w:w="0" w:type="dxa"/>
            <w:vAlign w:val="bottom"/>
          </w:tcPr>
          <w:p>
            <w:pPr>
              <w:spacing w:after="0"/>
              <w:rPr>
                <w:sz w:val="1"/>
                <w:szCs w:val="1"/>
                <w:color w:val="auto"/>
              </w:rPr>
            </w:pPr>
          </w:p>
        </w:tc>
      </w:tr>
      <w:tr>
        <w:trPr>
          <w:trHeight w:val="196"/>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Foreign currency translation adjustments attributable to non-controlling interests</w:t>
            </w: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(1,237)</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(1,767)</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21"/>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attributable to Tradeweb Markets Inc.</w:t>
            </w:r>
          </w:p>
        </w:tc>
        <w:tc>
          <w:tcPr>
            <w:tcW w:w="840" w:type="dxa"/>
            <w:vAlign w:val="bottom"/>
            <w:tcBorders>
              <w:bottom w:val="single" w:sz="8" w:color="auto"/>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59,904</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55,927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139,301</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123,489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r>
      <w:tr>
        <w:trPr>
          <w:trHeight w:val="2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56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8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 Tradeweb Markets Inc.</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Tradeweb Markets Inc.</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68,344</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55,316</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151,309</w:t>
            </w:r>
          </w:p>
        </w:tc>
        <w:tc>
          <w:tcPr>
            <w:tcW w:w="100" w:type="dxa"/>
            <w:vAlign w:val="bottom"/>
          </w:tcPr>
          <w:p>
            <w:pPr>
              <w:spacing w:after="0"/>
              <w:rPr>
                <w:sz w:val="16"/>
                <w:szCs w:val="16"/>
                <w:color w:val="auto"/>
              </w:rPr>
            </w:pPr>
          </w:p>
        </w:tc>
        <w:tc>
          <w:tcPr>
            <w:tcW w:w="5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123,175</w:t>
            </w: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96"/>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 attributable to Tradeweb Markets Inc.</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(8,440)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(12,008)</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w:t>
            </w:r>
          </w:p>
        </w:tc>
      </w:tr>
      <w:tr>
        <w:trPr>
          <w:trHeight w:val="221"/>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attributable to Tradeweb Markets Inc.</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59,904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55,927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139,301</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123,489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02"/>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 Non-controlling interests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13,256</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10,917</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27,736</w:t>
            </w:r>
          </w:p>
        </w:tc>
        <w:tc>
          <w:tcPr>
            <w:tcW w:w="100" w:type="dxa"/>
            <w:vAlign w:val="bottom"/>
          </w:tcPr>
          <w:p>
            <w:pPr>
              <w:spacing w:after="0"/>
              <w:rPr>
                <w:sz w:val="16"/>
                <w:szCs w:val="16"/>
                <w:color w:val="auto"/>
              </w:rPr>
            </w:pPr>
          </w:p>
        </w:tc>
        <w:tc>
          <w:tcPr>
            <w:tcW w:w="5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24,623</w:t>
            </w: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96"/>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 attributable to non-controlling interests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(1,237)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(1,767)</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21"/>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attributable to non-controlling interests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12,019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25,969</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24,669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Changes in Equity</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20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40" w:type="dxa"/>
            <w:vAlign w:val="bottom"/>
            <w:gridSpan w:val="10"/>
          </w:tcPr>
          <w:p>
            <w:pPr>
              <w:ind w:left="340"/>
              <w:spacing w:after="0"/>
              <w:rPr>
                <w:sz w:val="20"/>
                <w:szCs w:val="20"/>
                <w:color w:val="auto"/>
              </w:rPr>
            </w:pPr>
            <w:r>
              <w:rPr>
                <w:rFonts w:ascii="Times New Roman" w:cs="Times New Roman" w:eastAsia="Times New Roman" w:hAnsi="Times New Roman"/>
                <w:sz w:val="9"/>
                <w:szCs w:val="9"/>
                <w:b w:val="1"/>
                <w:bCs w:val="1"/>
                <w:color w:val="auto"/>
              </w:rPr>
              <w:t>Tradeweb Markets Inc. Stockholders’ Equity</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tcPr>
          <w:p>
            <w:pPr>
              <w:jc w:val="center"/>
              <w:ind w:right="180"/>
              <w:spacing w:after="0" w:line="88"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tcPr>
          <w:p>
            <w:pPr>
              <w:jc w:val="center"/>
              <w:ind w:right="180"/>
              <w:spacing w:after="0" w:line="95" w:lineRule="exact"/>
              <w:rPr>
                <w:sz w:val="20"/>
                <w:szCs w:val="20"/>
                <w:color w:val="auto"/>
              </w:rPr>
            </w:pPr>
            <w:r>
              <w:rPr>
                <w:rFonts w:ascii="Times New Roman" w:cs="Times New Roman" w:eastAsia="Times New Roman" w:hAnsi="Times New Roman"/>
                <w:sz w:val="9"/>
                <w:szCs w:val="9"/>
                <w:b w:val="1"/>
                <w:bCs w:val="1"/>
                <w:color w:val="auto"/>
                <w:w w:val="97"/>
              </w:rPr>
              <w:t>Additional</w:t>
            </w:r>
          </w:p>
        </w:tc>
        <w:tc>
          <w:tcPr>
            <w:tcW w:w="100" w:type="dxa"/>
            <w:vAlign w:val="bottom"/>
          </w:tcPr>
          <w:p>
            <w:pPr>
              <w:spacing w:after="0"/>
              <w:rPr>
                <w:sz w:val="8"/>
                <w:szCs w:val="8"/>
                <w:color w:val="auto"/>
              </w:rPr>
            </w:pPr>
          </w:p>
        </w:tc>
        <w:tc>
          <w:tcPr>
            <w:tcW w:w="820" w:type="dxa"/>
            <w:vAlign w:val="bottom"/>
            <w:gridSpan w:val="2"/>
          </w:tcPr>
          <w:p>
            <w:pPr>
              <w:jc w:val="center"/>
              <w:ind w:right="180"/>
              <w:spacing w:after="0" w:line="95" w:lineRule="exact"/>
              <w:rPr>
                <w:sz w:val="20"/>
                <w:szCs w:val="20"/>
                <w:color w:val="auto"/>
              </w:rPr>
            </w:pPr>
            <w:r>
              <w:rPr>
                <w:rFonts w:ascii="Times New Roman" w:cs="Times New Roman" w:eastAsia="Times New Roman" w:hAnsi="Times New Roman"/>
                <w:sz w:val="9"/>
                <w:szCs w:val="9"/>
                <w:b w:val="1"/>
                <w:bCs w:val="1"/>
                <w:color w:val="auto"/>
              </w:rPr>
              <w:t>Other</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tcPr>
          <w:p>
            <w:pPr>
              <w:jc w:val="center"/>
              <w:ind w:right="180"/>
              <w:spacing w:after="0" w:line="95" w:lineRule="exact"/>
              <w:rPr>
                <w:sz w:val="20"/>
                <w:szCs w:val="20"/>
                <w:color w:val="auto"/>
              </w:rPr>
            </w:pPr>
            <w:r>
              <w:rPr>
                <w:rFonts w:ascii="Times New Roman" w:cs="Times New Roman" w:eastAsia="Times New Roman" w:hAnsi="Times New Roman"/>
                <w:sz w:val="9"/>
                <w:szCs w:val="9"/>
                <w:b w:val="1"/>
                <w:bCs w:val="1"/>
                <w:color w:val="auto"/>
                <w:w w:val="94"/>
              </w:rPr>
              <w:t>Non-</w:t>
            </w: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80" w:type="dxa"/>
            <w:vAlign w:val="bottom"/>
          </w:tcPr>
          <w:p>
            <w:pPr>
              <w:spacing w:after="0"/>
              <w:rPr>
                <w:sz w:val="8"/>
                <w:szCs w:val="8"/>
                <w:color w:val="auto"/>
              </w:rPr>
            </w:pPr>
          </w:p>
        </w:tc>
        <w:tc>
          <w:tcPr>
            <w:tcW w:w="800" w:type="dxa"/>
            <w:vAlign w:val="bottom"/>
            <w:gridSpan w:val="3"/>
          </w:tcPr>
          <w:p>
            <w:pPr>
              <w:jc w:val="right"/>
              <w:spacing w:after="0" w:line="95" w:lineRule="exact"/>
              <w:rPr>
                <w:sz w:val="20"/>
                <w:szCs w:val="20"/>
                <w:color w:val="auto"/>
              </w:rPr>
            </w:pPr>
            <w:r>
              <w:rPr>
                <w:rFonts w:ascii="Times New Roman" w:cs="Times New Roman" w:eastAsia="Times New Roman" w:hAnsi="Times New Roman"/>
                <w:sz w:val="9"/>
                <w:szCs w:val="9"/>
                <w:b w:val="1"/>
                <w:bCs w:val="1"/>
                <w:color w:val="auto"/>
              </w:rPr>
              <w:t>Class A</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3"/>
          </w:tcPr>
          <w:p>
            <w:pPr>
              <w:jc w:val="right"/>
              <w:spacing w:after="0" w:line="95" w:lineRule="exact"/>
              <w:rPr>
                <w:sz w:val="20"/>
                <w:szCs w:val="20"/>
                <w:color w:val="auto"/>
              </w:rPr>
            </w:pPr>
            <w:r>
              <w:rPr>
                <w:rFonts w:ascii="Times New Roman" w:cs="Times New Roman" w:eastAsia="Times New Roman" w:hAnsi="Times New Roman"/>
                <w:sz w:val="9"/>
                <w:szCs w:val="9"/>
                <w:b w:val="1"/>
                <w:bCs w:val="1"/>
                <w:color w:val="auto"/>
              </w:rPr>
              <w:t>Class B</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3"/>
          </w:tcPr>
          <w:p>
            <w:pPr>
              <w:jc w:val="center"/>
              <w:ind w:left="355"/>
              <w:spacing w:after="0" w:line="95" w:lineRule="exact"/>
              <w:rPr>
                <w:sz w:val="20"/>
                <w:szCs w:val="20"/>
                <w:color w:val="auto"/>
              </w:rPr>
            </w:pPr>
            <w:r>
              <w:rPr>
                <w:rFonts w:ascii="Times New Roman" w:cs="Times New Roman" w:eastAsia="Times New Roman" w:hAnsi="Times New Roman"/>
                <w:sz w:val="9"/>
                <w:szCs w:val="9"/>
                <w:b w:val="1"/>
                <w:bCs w:val="1"/>
                <w:color w:val="auto"/>
              </w:rPr>
              <w:t>Class C</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3"/>
          </w:tcPr>
          <w:p>
            <w:pPr>
              <w:jc w:val="center"/>
              <w:ind w:left="375"/>
              <w:spacing w:after="0" w:line="95" w:lineRule="exact"/>
              <w:rPr>
                <w:sz w:val="20"/>
                <w:szCs w:val="20"/>
                <w:color w:val="auto"/>
              </w:rPr>
            </w:pPr>
            <w:r>
              <w:rPr>
                <w:rFonts w:ascii="Times New Roman" w:cs="Times New Roman" w:eastAsia="Times New Roman" w:hAnsi="Times New Roman"/>
                <w:sz w:val="9"/>
                <w:szCs w:val="9"/>
                <w:b w:val="1"/>
                <w:bCs w:val="1"/>
                <w:color w:val="auto"/>
                <w:w w:val="95"/>
              </w:rPr>
              <w:t>Class D</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tcPr>
          <w:p>
            <w:pPr>
              <w:jc w:val="center"/>
              <w:ind w:right="180"/>
              <w:spacing w:after="0" w:line="95" w:lineRule="exact"/>
              <w:rPr>
                <w:sz w:val="20"/>
                <w:szCs w:val="20"/>
                <w:color w:val="auto"/>
              </w:rPr>
            </w:pPr>
            <w:r>
              <w:rPr>
                <w:rFonts w:ascii="Times New Roman" w:cs="Times New Roman" w:eastAsia="Times New Roman" w:hAnsi="Times New Roman"/>
                <w:sz w:val="9"/>
                <w:szCs w:val="9"/>
                <w:b w:val="1"/>
                <w:bCs w:val="1"/>
                <w:color w:val="auto"/>
                <w:w w:val="96"/>
              </w:rPr>
              <w:t>Paid-In</w:t>
            </w:r>
          </w:p>
        </w:tc>
        <w:tc>
          <w:tcPr>
            <w:tcW w:w="100" w:type="dxa"/>
            <w:vAlign w:val="bottom"/>
          </w:tcPr>
          <w:p>
            <w:pPr>
              <w:spacing w:after="0"/>
              <w:rPr>
                <w:sz w:val="8"/>
                <w:szCs w:val="8"/>
                <w:color w:val="auto"/>
              </w:rPr>
            </w:pPr>
          </w:p>
        </w:tc>
        <w:tc>
          <w:tcPr>
            <w:tcW w:w="820" w:type="dxa"/>
            <w:vAlign w:val="bottom"/>
            <w:gridSpan w:val="2"/>
          </w:tcPr>
          <w:p>
            <w:pPr>
              <w:jc w:val="center"/>
              <w:ind w:right="180"/>
              <w:spacing w:after="0" w:line="95" w:lineRule="exact"/>
              <w:rPr>
                <w:sz w:val="20"/>
                <w:szCs w:val="20"/>
                <w:color w:val="auto"/>
              </w:rPr>
            </w:pPr>
            <w:r>
              <w:rPr>
                <w:rFonts w:ascii="Times New Roman" w:cs="Times New Roman" w:eastAsia="Times New Roman" w:hAnsi="Times New Roman"/>
                <w:sz w:val="9"/>
                <w:szCs w:val="9"/>
                <w:b w:val="1"/>
                <w:bCs w:val="1"/>
                <w:color w:val="auto"/>
                <w:w w:val="99"/>
              </w:rPr>
              <w:t>Comprehensive</w:t>
            </w:r>
          </w:p>
        </w:tc>
        <w:tc>
          <w:tcPr>
            <w:tcW w:w="120" w:type="dxa"/>
            <w:vAlign w:val="bottom"/>
          </w:tcPr>
          <w:p>
            <w:pPr>
              <w:spacing w:after="0"/>
              <w:rPr>
                <w:sz w:val="8"/>
                <w:szCs w:val="8"/>
                <w:color w:val="auto"/>
              </w:rPr>
            </w:pPr>
          </w:p>
        </w:tc>
        <w:tc>
          <w:tcPr>
            <w:tcW w:w="680" w:type="dxa"/>
            <w:vAlign w:val="bottom"/>
            <w:gridSpan w:val="2"/>
          </w:tcPr>
          <w:p>
            <w:pPr>
              <w:ind w:left="60"/>
              <w:spacing w:after="0" w:line="95" w:lineRule="exact"/>
              <w:rPr>
                <w:sz w:val="20"/>
                <w:szCs w:val="20"/>
                <w:color w:val="auto"/>
              </w:rPr>
            </w:pPr>
            <w:r>
              <w:rPr>
                <w:rFonts w:ascii="Times New Roman" w:cs="Times New Roman" w:eastAsia="Times New Roman" w:hAnsi="Times New Roman"/>
                <w:sz w:val="9"/>
                <w:szCs w:val="9"/>
                <w:b w:val="1"/>
                <w:bCs w:val="1"/>
                <w:color w:val="auto"/>
              </w:rPr>
              <w:t>Retained</w:t>
            </w:r>
          </w:p>
        </w:tc>
        <w:tc>
          <w:tcPr>
            <w:tcW w:w="100" w:type="dxa"/>
            <w:vAlign w:val="bottom"/>
          </w:tcPr>
          <w:p>
            <w:pPr>
              <w:spacing w:after="0"/>
              <w:rPr>
                <w:sz w:val="8"/>
                <w:szCs w:val="8"/>
                <w:color w:val="auto"/>
              </w:rPr>
            </w:pPr>
          </w:p>
        </w:tc>
        <w:tc>
          <w:tcPr>
            <w:tcW w:w="720" w:type="dxa"/>
            <w:vAlign w:val="bottom"/>
            <w:gridSpan w:val="2"/>
          </w:tcPr>
          <w:p>
            <w:pPr>
              <w:jc w:val="center"/>
              <w:ind w:right="200"/>
              <w:spacing w:after="0" w:line="95" w:lineRule="exact"/>
              <w:rPr>
                <w:sz w:val="20"/>
                <w:szCs w:val="20"/>
                <w:color w:val="auto"/>
              </w:rPr>
            </w:pPr>
            <w:r>
              <w:rPr>
                <w:rFonts w:ascii="Times New Roman" w:cs="Times New Roman" w:eastAsia="Times New Roman" w:hAnsi="Times New Roman"/>
                <w:sz w:val="9"/>
                <w:szCs w:val="9"/>
                <w:b w:val="1"/>
                <w:bCs w:val="1"/>
                <w:color w:val="auto"/>
                <w:w w:val="98"/>
              </w:rPr>
              <w:t>Controlling</w:t>
            </w:r>
          </w:p>
        </w:tc>
        <w:tc>
          <w:tcPr>
            <w:tcW w:w="140" w:type="dxa"/>
            <w:vAlign w:val="bottom"/>
          </w:tcPr>
          <w:p>
            <w:pPr>
              <w:spacing w:after="0"/>
              <w:rPr>
                <w:sz w:val="8"/>
                <w:szCs w:val="8"/>
                <w:color w:val="auto"/>
              </w:rPr>
            </w:pPr>
          </w:p>
        </w:tc>
        <w:tc>
          <w:tcPr>
            <w:tcW w:w="580" w:type="dxa"/>
            <w:vAlign w:val="bottom"/>
          </w:tcPr>
          <w:p>
            <w:pPr>
              <w:jc w:val="right"/>
              <w:ind w:right="215"/>
              <w:spacing w:after="0" w:line="95" w:lineRule="exact"/>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128"/>
        </w:trPr>
        <w:tc>
          <w:tcPr>
            <w:tcW w:w="2080" w:type="dxa"/>
            <w:vAlign w:val="bottom"/>
          </w:tcPr>
          <w:p>
            <w:pPr>
              <w:spacing w:after="0"/>
              <w:rPr>
                <w:sz w:val="11"/>
                <w:szCs w:val="11"/>
                <w:color w:val="auto"/>
              </w:rPr>
            </w:pPr>
          </w:p>
        </w:tc>
        <w:tc>
          <w:tcPr>
            <w:tcW w:w="1200" w:type="dxa"/>
            <w:vAlign w:val="bottom"/>
            <w:tcBorders>
              <w:bottom w:val="single" w:sz="8" w:color="auto"/>
            </w:tcBorders>
            <w:gridSpan w:val="4"/>
          </w:tcPr>
          <w:p>
            <w:pPr>
              <w:jc w:val="right"/>
              <w:ind w:right="255"/>
              <w:spacing w:after="0"/>
              <w:rPr>
                <w:sz w:val="20"/>
                <w:szCs w:val="20"/>
                <w:color w:val="auto"/>
              </w:rPr>
            </w:pPr>
            <w:r>
              <w:rPr>
                <w:rFonts w:ascii="Times New Roman" w:cs="Times New Roman" w:eastAsia="Times New Roman" w:hAnsi="Times New Roman"/>
                <w:sz w:val="9"/>
                <w:szCs w:val="9"/>
                <w:b w:val="1"/>
                <w:bCs w:val="1"/>
                <w:color w:val="auto"/>
              </w:rPr>
              <w:t>Common Stock</w:t>
            </w:r>
          </w:p>
        </w:tc>
        <w:tc>
          <w:tcPr>
            <w:tcW w:w="80" w:type="dxa"/>
            <w:vAlign w:val="bottom"/>
          </w:tcPr>
          <w:p>
            <w:pPr>
              <w:spacing w:after="0"/>
              <w:rPr>
                <w:sz w:val="11"/>
                <w:szCs w:val="11"/>
                <w:color w:val="auto"/>
              </w:rPr>
            </w:pPr>
          </w:p>
        </w:tc>
        <w:tc>
          <w:tcPr>
            <w:tcW w:w="1200" w:type="dxa"/>
            <w:vAlign w:val="bottom"/>
            <w:tcBorders>
              <w:bottom w:val="single" w:sz="8" w:color="auto"/>
            </w:tcBorders>
            <w:gridSpan w:val="4"/>
          </w:tcPr>
          <w:p>
            <w:pPr>
              <w:jc w:val="right"/>
              <w:ind w:right="255"/>
              <w:spacing w:after="0"/>
              <w:rPr>
                <w:sz w:val="20"/>
                <w:szCs w:val="20"/>
                <w:color w:val="auto"/>
              </w:rPr>
            </w:pPr>
            <w:r>
              <w:rPr>
                <w:rFonts w:ascii="Times New Roman" w:cs="Times New Roman" w:eastAsia="Times New Roman" w:hAnsi="Times New Roman"/>
                <w:sz w:val="9"/>
                <w:szCs w:val="9"/>
                <w:b w:val="1"/>
                <w:bCs w:val="1"/>
                <w:color w:val="auto"/>
              </w:rPr>
              <w:t>Common Stock</w:t>
            </w:r>
          </w:p>
        </w:tc>
        <w:tc>
          <w:tcPr>
            <w:tcW w:w="80" w:type="dxa"/>
            <w:vAlign w:val="bottom"/>
          </w:tcPr>
          <w:p>
            <w:pPr>
              <w:spacing w:after="0"/>
              <w:rPr>
                <w:sz w:val="11"/>
                <w:szCs w:val="11"/>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Common Stock</w:t>
            </w:r>
          </w:p>
        </w:tc>
        <w:tc>
          <w:tcPr>
            <w:tcW w:w="80" w:type="dxa"/>
            <w:vAlign w:val="bottom"/>
          </w:tcPr>
          <w:p>
            <w:pPr>
              <w:spacing w:after="0"/>
              <w:rPr>
                <w:sz w:val="11"/>
                <w:szCs w:val="11"/>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9"/>
                <w:szCs w:val="9"/>
                <w:b w:val="1"/>
                <w:bCs w:val="1"/>
                <w:color w:val="auto"/>
              </w:rPr>
              <w:t>Common Stock</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9"/>
                <w:szCs w:val="9"/>
                <w:b w:val="1"/>
                <w:bCs w:val="1"/>
                <w:color w:val="auto"/>
                <w:w w:val="98"/>
              </w:rPr>
              <w:t>Capital</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9"/>
                <w:szCs w:val="9"/>
                <w:b w:val="1"/>
                <w:bCs w:val="1"/>
                <w:color w:val="auto"/>
                <w:w w:val="99"/>
              </w:rPr>
              <w:t>Income (Loss)</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9"/>
                <w:szCs w:val="9"/>
                <w:b w:val="1"/>
                <w:bCs w:val="1"/>
                <w:color w:val="auto"/>
              </w:rPr>
              <w:t>Earnings</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9"/>
                <w:szCs w:val="9"/>
                <w:b w:val="1"/>
                <w:bCs w:val="1"/>
                <w:color w:val="auto"/>
              </w:rPr>
              <w:t>Interests</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9"/>
                <w:szCs w:val="9"/>
                <w:b w:val="1"/>
                <w:bCs w:val="1"/>
                <w:color w:val="auto"/>
              </w:rPr>
              <w:t>Equity</w:t>
            </w:r>
          </w:p>
        </w:tc>
        <w:tc>
          <w:tcPr>
            <w:tcW w:w="0" w:type="dxa"/>
            <w:vAlign w:val="bottom"/>
          </w:tcPr>
          <w:p>
            <w:pPr>
              <w:spacing w:after="0"/>
              <w:rPr>
                <w:sz w:val="1"/>
                <w:szCs w:val="1"/>
                <w:color w:val="auto"/>
              </w:rPr>
            </w:pPr>
          </w:p>
        </w:tc>
      </w:tr>
      <w:tr>
        <w:trPr>
          <w:trHeight w:val="121"/>
        </w:trPr>
        <w:tc>
          <w:tcPr>
            <w:tcW w:w="2080" w:type="dxa"/>
            <w:vAlign w:val="bottom"/>
          </w:tcPr>
          <w:p>
            <w:pPr>
              <w:spacing w:after="0"/>
              <w:rPr>
                <w:sz w:val="10"/>
                <w:szCs w:val="10"/>
                <w:color w:val="auto"/>
              </w:rPr>
            </w:pP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9"/>
                <w:szCs w:val="9"/>
                <w:b w:val="1"/>
                <w:bCs w:val="1"/>
                <w:color w:val="auto"/>
              </w:rPr>
              <w:t>Shares</w:t>
            </w:r>
          </w:p>
        </w:tc>
        <w:tc>
          <w:tcPr>
            <w:tcW w:w="80" w:type="dxa"/>
            <w:vAlign w:val="bottom"/>
          </w:tcPr>
          <w:p>
            <w:pPr>
              <w:spacing w:after="0"/>
              <w:rPr>
                <w:sz w:val="10"/>
                <w:szCs w:val="10"/>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Amount</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9"/>
                <w:szCs w:val="9"/>
                <w:b w:val="1"/>
                <w:bCs w:val="1"/>
                <w:color w:val="auto"/>
              </w:rPr>
              <w:t>Shares</w:t>
            </w:r>
          </w:p>
        </w:tc>
        <w:tc>
          <w:tcPr>
            <w:tcW w:w="60" w:type="dxa"/>
            <w:vAlign w:val="bottom"/>
          </w:tcPr>
          <w:p>
            <w:pPr>
              <w:spacing w:after="0"/>
              <w:rPr>
                <w:sz w:val="10"/>
                <w:szCs w:val="10"/>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Amount</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9"/>
                <w:szCs w:val="9"/>
                <w:b w:val="1"/>
                <w:bCs w:val="1"/>
                <w:color w:val="auto"/>
              </w:rPr>
              <w:t>Shares</w:t>
            </w:r>
          </w:p>
        </w:tc>
        <w:tc>
          <w:tcPr>
            <w:tcW w:w="80" w:type="dxa"/>
            <w:vAlign w:val="bottom"/>
          </w:tcPr>
          <w:p>
            <w:pPr>
              <w:spacing w:after="0"/>
              <w:rPr>
                <w:sz w:val="10"/>
                <w:szCs w:val="10"/>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Amount</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9"/>
                <w:szCs w:val="9"/>
                <w:b w:val="1"/>
                <w:bCs w:val="1"/>
                <w:color w:val="auto"/>
              </w:rPr>
              <w:t>Shares</w:t>
            </w:r>
          </w:p>
        </w:tc>
        <w:tc>
          <w:tcPr>
            <w:tcW w:w="80" w:type="dxa"/>
            <w:vAlign w:val="bottom"/>
          </w:tcPr>
          <w:p>
            <w:pPr>
              <w:spacing w:after="0"/>
              <w:rPr>
                <w:sz w:val="10"/>
                <w:szCs w:val="10"/>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Amount</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80" w:type="dxa"/>
            <w:vAlign w:val="bottom"/>
          </w:tcPr>
          <w:p>
            <w:pPr>
              <w:ind w:left="20"/>
              <w:spacing w:after="0"/>
              <w:rPr>
                <w:sz w:val="20"/>
                <w:szCs w:val="20"/>
                <w:color w:val="auto"/>
              </w:rPr>
            </w:pPr>
            <w:r>
              <w:rPr>
                <w:rFonts w:ascii="Times New Roman" w:cs="Times New Roman" w:eastAsia="Times New Roman" w:hAnsi="Times New Roman"/>
                <w:sz w:val="9"/>
                <w:szCs w:val="9"/>
                <w:color w:val="auto"/>
              </w:rPr>
              <w:t>Balance at December 31, 2021</w:t>
            </w: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106,286,821</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80" w:type="dxa"/>
            <w:vAlign w:val="bottom"/>
          </w:tcPr>
          <w:p>
            <w:pPr>
              <w:spacing w:after="0"/>
              <w:rPr>
                <w:sz w:val="12"/>
                <w:szCs w:val="12"/>
                <w:color w:val="auto"/>
              </w:rPr>
            </w:pPr>
          </w:p>
        </w:tc>
        <w:tc>
          <w:tcPr>
            <w:tcW w:w="64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96,933,192</w:t>
            </w:r>
          </w:p>
        </w:tc>
        <w:tc>
          <w:tcPr>
            <w:tcW w:w="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1</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1,654,825</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28,873,139</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4,401,366</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1,604</w:t>
            </w:r>
          </w:p>
        </w:tc>
        <w:tc>
          <w:tcPr>
            <w:tcW w:w="100" w:type="dxa"/>
            <w:vAlign w:val="bottom"/>
          </w:tcPr>
          <w:p>
            <w:pPr>
              <w:spacing w:after="0"/>
              <w:rPr>
                <w:sz w:val="12"/>
                <w:szCs w:val="12"/>
                <w:color w:val="auto"/>
              </w:rPr>
            </w:pPr>
          </w:p>
        </w:tc>
        <w:tc>
          <w:tcPr>
            <w:tcW w:w="1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242,623</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663,348</w:t>
            </w:r>
          </w:p>
        </w:tc>
        <w:tc>
          <w:tcPr>
            <w:tcW w:w="100" w:type="dxa"/>
            <w:vAlign w:val="bottom"/>
          </w:tcPr>
          <w:p>
            <w:pPr>
              <w:spacing w:after="0"/>
              <w:rPr>
                <w:sz w:val="12"/>
                <w:szCs w:val="12"/>
                <w:color w:val="auto"/>
              </w:rPr>
            </w:pPr>
          </w:p>
        </w:tc>
        <w:tc>
          <w:tcPr>
            <w:tcW w:w="14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w w:val="87"/>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5,308,943</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Activities related to exchanges of LLC Interests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552,606</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(552,606)</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4"/>
        </w:trPr>
        <w:tc>
          <w:tcPr>
            <w:tcW w:w="2080" w:type="dxa"/>
            <w:vAlign w:val="bottom"/>
          </w:tcPr>
          <w:p>
            <w:pPr>
              <w:ind w:left="20"/>
              <w:spacing w:after="0" w:line="95" w:lineRule="exact"/>
              <w:rPr>
                <w:sz w:val="20"/>
                <w:szCs w:val="20"/>
                <w:color w:val="auto"/>
              </w:rPr>
            </w:pPr>
            <w:r>
              <w:rPr>
                <w:rFonts w:ascii="Times New Roman" w:cs="Times New Roman" w:eastAsia="Times New Roman" w:hAnsi="Times New Roman"/>
                <w:sz w:val="9"/>
                <w:szCs w:val="9"/>
                <w:color w:val="auto"/>
              </w:rPr>
              <w:t>Issuance of common stock from equity incentive</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1,068,080</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692</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692</w:t>
            </w:r>
          </w:p>
        </w:tc>
        <w:tc>
          <w:tcPr>
            <w:tcW w:w="0" w:type="dxa"/>
            <w:vAlign w:val="bottom"/>
          </w:tcPr>
          <w:p>
            <w:pPr>
              <w:spacing w:after="0"/>
              <w:rPr>
                <w:sz w:val="1"/>
                <w:szCs w:val="1"/>
                <w:color w:val="auto"/>
              </w:rPr>
            </w:pPr>
          </w:p>
        </w:tc>
      </w:tr>
      <w:tr>
        <w:trPr>
          <w:trHeight w:val="126"/>
        </w:trPr>
        <w:tc>
          <w:tcPr>
            <w:tcW w:w="2080" w:type="dxa"/>
            <w:vAlign w:val="bottom"/>
          </w:tcPr>
          <w:p>
            <w:pPr>
              <w:ind w:left="20"/>
              <w:spacing w:after="0"/>
              <w:rPr>
                <w:sz w:val="20"/>
                <w:szCs w:val="20"/>
                <w:color w:val="auto"/>
              </w:rPr>
            </w:pPr>
            <w:r>
              <w:rPr>
                <w:rFonts w:ascii="Times New Roman" w:cs="Times New Roman" w:eastAsia="Times New Roman" w:hAnsi="Times New Roman"/>
                <w:sz w:val="9"/>
                <w:szCs w:val="9"/>
                <w:color w:val="auto"/>
              </w:rPr>
              <w:t>plans</w:t>
            </w: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Share repurchases pursuant to the Share Repurchase</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(559,428)</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(47,323)</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(47,323)</w:t>
            </w: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Program</w:t>
            </w:r>
          </w:p>
        </w:tc>
        <w:tc>
          <w:tcPr>
            <w:tcW w:w="6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80" w:type="dxa"/>
            <w:vAlign w:val="bottom"/>
          </w:tcPr>
          <w:p>
            <w:pPr>
              <w:ind w:left="20"/>
              <w:spacing w:after="0" w:line="95" w:lineRule="exact"/>
              <w:rPr>
                <w:sz w:val="20"/>
                <w:szCs w:val="20"/>
                <w:color w:val="auto"/>
              </w:rPr>
            </w:pPr>
            <w:r>
              <w:rPr>
                <w:rFonts w:ascii="Times New Roman" w:cs="Times New Roman" w:eastAsia="Times New Roman" w:hAnsi="Times New Roman"/>
                <w:sz w:val="9"/>
                <w:szCs w:val="9"/>
                <w:color w:val="auto"/>
              </w:rPr>
              <w:t>Tax receivable agreement liability and deferred taxes</w:t>
            </w: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080" w:type="dxa"/>
            <w:vAlign w:val="bottom"/>
          </w:tcPr>
          <w:p>
            <w:pPr>
              <w:ind w:left="20"/>
              <w:spacing w:after="0" w:line="86" w:lineRule="exact"/>
              <w:rPr>
                <w:sz w:val="20"/>
                <w:szCs w:val="20"/>
                <w:color w:val="auto"/>
              </w:rPr>
            </w:pPr>
            <w:r>
              <w:rPr>
                <w:rFonts w:ascii="Times New Roman" w:cs="Times New Roman" w:eastAsia="Times New Roman" w:hAnsi="Times New Roman"/>
                <w:sz w:val="9"/>
                <w:szCs w:val="9"/>
                <w:color w:val="auto"/>
              </w:rPr>
              <w:t>arising from LLC Interest ownership exchanges and</w:t>
            </w: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80" w:type="dxa"/>
            <w:vAlign w:val="bottom"/>
          </w:tcPr>
          <w:p>
            <w:pPr>
              <w:ind w:left="20"/>
              <w:spacing w:after="0" w:line="95" w:lineRule="exact"/>
              <w:rPr>
                <w:sz w:val="20"/>
                <w:szCs w:val="20"/>
                <w:color w:val="auto"/>
              </w:rPr>
            </w:pPr>
            <w:r>
              <w:rPr>
                <w:rFonts w:ascii="Times New Roman" w:cs="Times New Roman" w:eastAsia="Times New Roman" w:hAnsi="Times New Roman"/>
                <w:sz w:val="9"/>
                <w:szCs w:val="9"/>
                <w:color w:val="auto"/>
              </w:rPr>
              <w:t>the issuance of common stock from equity incentive</w:t>
            </w: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80" w:type="dxa"/>
            <w:vAlign w:val="bottom"/>
          </w:tcPr>
          <w:p>
            <w:pPr>
              <w:ind w:left="20"/>
              <w:spacing w:after="0"/>
              <w:rPr>
                <w:sz w:val="20"/>
                <w:szCs w:val="20"/>
                <w:color w:val="auto"/>
              </w:rPr>
            </w:pPr>
            <w:r>
              <w:rPr>
                <w:rFonts w:ascii="Times New Roman" w:cs="Times New Roman" w:eastAsia="Times New Roman" w:hAnsi="Times New Roman"/>
                <w:sz w:val="9"/>
                <w:szCs w:val="9"/>
                <w:color w:val="auto"/>
              </w:rPr>
              <w:t>plans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38,676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38,676</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Adjustments to non-controlling interests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30,005</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(30,005)</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0"/>
        </w:trPr>
        <w:tc>
          <w:tcPr>
            <w:tcW w:w="2080" w:type="dxa"/>
            <w:vAlign w:val="bottom"/>
          </w:tcPr>
          <w:p>
            <w:pPr>
              <w:ind w:left="20"/>
              <w:spacing w:after="0"/>
              <w:rPr>
                <w:sz w:val="20"/>
                <w:szCs w:val="20"/>
                <w:color w:val="auto"/>
              </w:rPr>
            </w:pPr>
            <w:r>
              <w:rPr>
                <w:rFonts w:ascii="Times New Roman" w:cs="Times New Roman" w:eastAsia="Times New Roman" w:hAnsi="Times New Roman"/>
                <w:sz w:val="9"/>
                <w:szCs w:val="9"/>
                <w:color w:val="auto"/>
              </w:rPr>
              <w:t>Distributions to non-controlling interests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(2,178)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(2,178)</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Dividends ($0.08 per share)</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(16,350)</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(16,350)</w:t>
            </w:r>
          </w:p>
        </w:tc>
        <w:tc>
          <w:tcPr>
            <w:tcW w:w="0" w:type="dxa"/>
            <w:vAlign w:val="bottom"/>
          </w:tcPr>
          <w:p>
            <w:pPr>
              <w:spacing w:after="0"/>
              <w:rPr>
                <w:sz w:val="1"/>
                <w:szCs w:val="1"/>
                <w:color w:val="auto"/>
              </w:rPr>
            </w:pPr>
          </w:p>
        </w:tc>
      </w:tr>
      <w:tr>
        <w:trPr>
          <w:trHeight w:val="95"/>
        </w:trPr>
        <w:tc>
          <w:tcPr>
            <w:tcW w:w="2080" w:type="dxa"/>
            <w:vAlign w:val="bottom"/>
          </w:tcPr>
          <w:p>
            <w:pPr>
              <w:ind w:left="20"/>
              <w:spacing w:after="0" w:line="95" w:lineRule="exact"/>
              <w:rPr>
                <w:sz w:val="20"/>
                <w:szCs w:val="20"/>
                <w:color w:val="auto"/>
              </w:rPr>
            </w:pPr>
            <w:r>
              <w:rPr>
                <w:rFonts w:ascii="Times New Roman" w:cs="Times New Roman" w:eastAsia="Times New Roman" w:hAnsi="Times New Roman"/>
                <w:sz w:val="9"/>
                <w:szCs w:val="9"/>
                <w:color w:val="auto"/>
              </w:rPr>
              <w:t>Stock-based compensation expense under the PRSU</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6,351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6,351</w:t>
            </w:r>
          </w:p>
        </w:tc>
        <w:tc>
          <w:tcPr>
            <w:tcW w:w="0" w:type="dxa"/>
            <w:vAlign w:val="bottom"/>
          </w:tcPr>
          <w:p>
            <w:pPr>
              <w:spacing w:after="0"/>
              <w:rPr>
                <w:sz w:val="1"/>
                <w:szCs w:val="1"/>
                <w:color w:val="auto"/>
              </w:rPr>
            </w:pPr>
          </w:p>
        </w:tc>
      </w:tr>
      <w:tr>
        <w:trPr>
          <w:trHeight w:val="126"/>
        </w:trPr>
        <w:tc>
          <w:tcPr>
            <w:tcW w:w="2080" w:type="dxa"/>
            <w:vAlign w:val="bottom"/>
          </w:tcPr>
          <w:p>
            <w:pPr>
              <w:ind w:left="20"/>
              <w:spacing w:after="0"/>
              <w:rPr>
                <w:sz w:val="20"/>
                <w:szCs w:val="20"/>
                <w:color w:val="auto"/>
              </w:rPr>
            </w:pPr>
            <w:r>
              <w:rPr>
                <w:rFonts w:ascii="Times New Roman" w:cs="Times New Roman" w:eastAsia="Times New Roman" w:hAnsi="Times New Roman"/>
                <w:sz w:val="9"/>
                <w:szCs w:val="9"/>
                <w:color w:val="auto"/>
              </w:rPr>
              <w:t>Plan</w:t>
            </w:r>
          </w:p>
        </w:tc>
        <w:tc>
          <w:tcPr>
            <w:tcW w:w="7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Stock-based compensation expense under the RSU</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6,102</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6,102</w:t>
            </w: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Plan</w:t>
            </w:r>
          </w:p>
        </w:tc>
        <w:tc>
          <w:tcPr>
            <w:tcW w:w="72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80" w:type="dxa"/>
            <w:vAlign w:val="bottom"/>
          </w:tcPr>
          <w:p>
            <w:pPr>
              <w:ind w:left="20"/>
              <w:spacing w:after="0" w:line="95" w:lineRule="exact"/>
              <w:rPr>
                <w:sz w:val="20"/>
                <w:szCs w:val="20"/>
                <w:color w:val="auto"/>
              </w:rPr>
            </w:pPr>
            <w:r>
              <w:rPr>
                <w:rFonts w:ascii="Times New Roman" w:cs="Times New Roman" w:eastAsia="Times New Roman" w:hAnsi="Times New Roman"/>
                <w:sz w:val="9"/>
                <w:szCs w:val="9"/>
                <w:color w:val="auto"/>
              </w:rPr>
              <w:t>Stock-based compensation expense under the Option</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1,229</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1,229</w:t>
            </w:r>
          </w:p>
        </w:tc>
        <w:tc>
          <w:tcPr>
            <w:tcW w:w="0" w:type="dxa"/>
            <w:vAlign w:val="bottom"/>
          </w:tcPr>
          <w:p>
            <w:pPr>
              <w:spacing w:after="0"/>
              <w:rPr>
                <w:sz w:val="1"/>
                <w:szCs w:val="1"/>
                <w:color w:val="auto"/>
              </w:rPr>
            </w:pPr>
          </w:p>
        </w:tc>
      </w:tr>
      <w:tr>
        <w:trPr>
          <w:trHeight w:val="126"/>
        </w:trPr>
        <w:tc>
          <w:tcPr>
            <w:tcW w:w="2080" w:type="dxa"/>
            <w:vAlign w:val="bottom"/>
          </w:tcPr>
          <w:p>
            <w:pPr>
              <w:ind w:left="20"/>
              <w:spacing w:after="0"/>
              <w:rPr>
                <w:sz w:val="20"/>
                <w:szCs w:val="20"/>
                <w:color w:val="auto"/>
              </w:rPr>
            </w:pPr>
            <w:r>
              <w:rPr>
                <w:rFonts w:ascii="Times New Roman" w:cs="Times New Roman" w:eastAsia="Times New Roman" w:hAnsi="Times New Roman"/>
                <w:sz w:val="9"/>
                <w:szCs w:val="9"/>
                <w:color w:val="auto"/>
              </w:rPr>
              <w:t>Plan</w:t>
            </w:r>
          </w:p>
        </w:tc>
        <w:tc>
          <w:tcPr>
            <w:tcW w:w="7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Payroll taxes paid for stock-based compensation</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(95,758)</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(95,758)</w:t>
            </w:r>
          </w:p>
        </w:tc>
        <w:tc>
          <w:tcPr>
            <w:tcW w:w="0" w:type="dxa"/>
            <w:vAlign w:val="bottom"/>
          </w:tcPr>
          <w:p>
            <w:pPr>
              <w:spacing w:after="0"/>
              <w:rPr>
                <w:sz w:val="1"/>
                <w:szCs w:val="1"/>
                <w:color w:val="auto"/>
              </w:rPr>
            </w:pPr>
          </w:p>
        </w:tc>
      </w:tr>
      <w:tr>
        <w:trPr>
          <w:trHeight w:val="121"/>
        </w:trPr>
        <w:tc>
          <w:tcPr>
            <w:tcW w:w="2080" w:type="dxa"/>
            <w:vAlign w:val="bottom"/>
          </w:tcPr>
          <w:p>
            <w:pPr>
              <w:ind w:left="20"/>
              <w:spacing w:after="0"/>
              <w:rPr>
                <w:sz w:val="20"/>
                <w:szCs w:val="20"/>
                <w:color w:val="auto"/>
              </w:rPr>
            </w:pPr>
            <w:r>
              <w:rPr>
                <w:rFonts w:ascii="Times New Roman" w:cs="Times New Roman" w:eastAsia="Times New Roman" w:hAnsi="Times New Roman"/>
                <w:sz w:val="9"/>
                <w:szCs w:val="9"/>
                <w:color w:val="auto"/>
              </w:rPr>
              <w:t>Net income</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82,965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14,480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97,445</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Foreign currency translation adjustments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(3,568)</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(530)</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(4,098)</w:t>
            </w:r>
          </w:p>
        </w:tc>
        <w:tc>
          <w:tcPr>
            <w:tcW w:w="0" w:type="dxa"/>
            <w:vAlign w:val="bottom"/>
          </w:tcPr>
          <w:p>
            <w:pPr>
              <w:spacing w:after="0"/>
              <w:rPr>
                <w:sz w:val="1"/>
                <w:szCs w:val="1"/>
                <w:color w:val="auto"/>
              </w:rPr>
            </w:pPr>
          </w:p>
        </w:tc>
      </w:tr>
      <w:tr>
        <w:trPr>
          <w:trHeight w:val="141"/>
        </w:trPr>
        <w:tc>
          <w:tcPr>
            <w:tcW w:w="2080" w:type="dxa"/>
            <w:vAlign w:val="bottom"/>
          </w:tcPr>
          <w:p>
            <w:pPr>
              <w:ind w:left="20"/>
              <w:spacing w:after="0"/>
              <w:rPr>
                <w:sz w:val="20"/>
                <w:szCs w:val="20"/>
                <w:color w:val="auto"/>
              </w:rPr>
            </w:pPr>
            <w:r>
              <w:rPr>
                <w:rFonts w:ascii="Times New Roman" w:cs="Times New Roman" w:eastAsia="Times New Roman" w:hAnsi="Times New Roman"/>
                <w:sz w:val="9"/>
                <w:szCs w:val="9"/>
                <w:color w:val="auto"/>
              </w:rPr>
              <w:t>Balance at March 31, 2022</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107,348,079</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9"/>
                <w:szCs w:val="9"/>
                <w:color w:val="auto"/>
              </w:rPr>
              <w:t>96,933,192</w:t>
            </w: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9"/>
                <w:szCs w:val="9"/>
                <w:color w:val="auto"/>
              </w:rPr>
              <w:t>1</w:t>
            </w: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1,654,825</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0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28,320,533</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4,388,663</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(1,964)</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261,915</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645,115</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9"/>
                <w:szCs w:val="9"/>
                <w:color w:val="auto"/>
                <w:w w:val="87"/>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5,293,731</w:t>
            </w:r>
          </w:p>
        </w:tc>
        <w:tc>
          <w:tcPr>
            <w:tcW w:w="0" w:type="dxa"/>
            <w:vAlign w:val="bottom"/>
          </w:tcPr>
          <w:p>
            <w:pPr>
              <w:spacing w:after="0"/>
              <w:rPr>
                <w:sz w:val="1"/>
                <w:szCs w:val="1"/>
                <w:color w:val="auto"/>
              </w:rPr>
            </w:pP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Activities related to exchanges of LLC Interests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3,700</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(3,700)</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5"/>
        </w:trPr>
        <w:tc>
          <w:tcPr>
            <w:tcW w:w="2080" w:type="dxa"/>
            <w:vAlign w:val="bottom"/>
          </w:tcPr>
          <w:p>
            <w:pPr>
              <w:ind w:left="20"/>
              <w:spacing w:after="0" w:line="95" w:lineRule="exact"/>
              <w:rPr>
                <w:sz w:val="20"/>
                <w:szCs w:val="20"/>
                <w:color w:val="auto"/>
              </w:rPr>
            </w:pPr>
            <w:r>
              <w:rPr>
                <w:rFonts w:ascii="Times New Roman" w:cs="Times New Roman" w:eastAsia="Times New Roman" w:hAnsi="Times New Roman"/>
                <w:sz w:val="9"/>
                <w:szCs w:val="9"/>
                <w:color w:val="auto"/>
              </w:rPr>
              <w:t>Issuance of common stock from equity incentive</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367,374</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6,924</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6,924</w:t>
            </w:r>
          </w:p>
        </w:tc>
        <w:tc>
          <w:tcPr>
            <w:tcW w:w="0" w:type="dxa"/>
            <w:vAlign w:val="bottom"/>
          </w:tcPr>
          <w:p>
            <w:pPr>
              <w:spacing w:after="0"/>
              <w:rPr>
                <w:sz w:val="1"/>
                <w:szCs w:val="1"/>
                <w:color w:val="auto"/>
              </w:rPr>
            </w:pPr>
          </w:p>
        </w:tc>
      </w:tr>
      <w:tr>
        <w:trPr>
          <w:trHeight w:val="126"/>
        </w:trPr>
        <w:tc>
          <w:tcPr>
            <w:tcW w:w="2080" w:type="dxa"/>
            <w:vAlign w:val="bottom"/>
          </w:tcPr>
          <w:p>
            <w:pPr>
              <w:ind w:left="20"/>
              <w:spacing w:after="0"/>
              <w:rPr>
                <w:sz w:val="20"/>
                <w:szCs w:val="20"/>
                <w:color w:val="auto"/>
              </w:rPr>
            </w:pPr>
            <w:r>
              <w:rPr>
                <w:rFonts w:ascii="Times New Roman" w:cs="Times New Roman" w:eastAsia="Times New Roman" w:hAnsi="Times New Roman"/>
                <w:sz w:val="9"/>
                <w:szCs w:val="9"/>
                <w:color w:val="auto"/>
              </w:rPr>
              <w:t>plans</w:t>
            </w: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Share repurchases pursuant to the Share Repurchase</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(103,458)</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(9,000)</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(9,000)</w:t>
            </w: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Program</w:t>
            </w:r>
          </w:p>
        </w:tc>
        <w:tc>
          <w:tcPr>
            <w:tcW w:w="6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80" w:type="dxa"/>
            <w:vAlign w:val="bottom"/>
          </w:tcPr>
          <w:p>
            <w:pPr>
              <w:ind w:left="20"/>
              <w:spacing w:after="0" w:line="95" w:lineRule="exact"/>
              <w:rPr>
                <w:sz w:val="20"/>
                <w:szCs w:val="20"/>
                <w:color w:val="auto"/>
              </w:rPr>
            </w:pPr>
            <w:r>
              <w:rPr>
                <w:rFonts w:ascii="Times New Roman" w:cs="Times New Roman" w:eastAsia="Times New Roman" w:hAnsi="Times New Roman"/>
                <w:sz w:val="9"/>
                <w:szCs w:val="9"/>
                <w:color w:val="auto"/>
              </w:rPr>
              <w:t>Tax receivable agreement liability and deferred taxes</w:t>
            </w: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080" w:type="dxa"/>
            <w:vAlign w:val="bottom"/>
          </w:tcPr>
          <w:p>
            <w:pPr>
              <w:ind w:left="20"/>
              <w:spacing w:after="0" w:line="86" w:lineRule="exact"/>
              <w:rPr>
                <w:sz w:val="20"/>
                <w:szCs w:val="20"/>
                <w:color w:val="auto"/>
              </w:rPr>
            </w:pPr>
            <w:r>
              <w:rPr>
                <w:rFonts w:ascii="Times New Roman" w:cs="Times New Roman" w:eastAsia="Times New Roman" w:hAnsi="Times New Roman"/>
                <w:sz w:val="9"/>
                <w:szCs w:val="9"/>
                <w:color w:val="auto"/>
              </w:rPr>
              <w:t>arising from LLC Interest ownership exchanges and</w:t>
            </w: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80" w:type="dxa"/>
            <w:vAlign w:val="bottom"/>
          </w:tcPr>
          <w:p>
            <w:pPr>
              <w:ind w:left="20"/>
              <w:spacing w:after="0" w:line="95" w:lineRule="exact"/>
              <w:rPr>
                <w:sz w:val="20"/>
                <w:szCs w:val="20"/>
                <w:color w:val="auto"/>
              </w:rPr>
            </w:pPr>
            <w:r>
              <w:rPr>
                <w:rFonts w:ascii="Times New Roman" w:cs="Times New Roman" w:eastAsia="Times New Roman" w:hAnsi="Times New Roman"/>
                <w:sz w:val="9"/>
                <w:szCs w:val="9"/>
                <w:color w:val="auto"/>
              </w:rPr>
              <w:t>the issuance of common stock from equity incentive</w:t>
            </w: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80" w:type="dxa"/>
            <w:vAlign w:val="bottom"/>
          </w:tcPr>
          <w:p>
            <w:pPr>
              <w:ind w:left="20"/>
              <w:spacing w:after="0"/>
              <w:rPr>
                <w:sz w:val="20"/>
                <w:szCs w:val="20"/>
                <w:color w:val="auto"/>
              </w:rPr>
            </w:pPr>
            <w:r>
              <w:rPr>
                <w:rFonts w:ascii="Times New Roman" w:cs="Times New Roman" w:eastAsia="Times New Roman" w:hAnsi="Times New Roman"/>
                <w:sz w:val="9"/>
                <w:szCs w:val="9"/>
                <w:color w:val="auto"/>
              </w:rPr>
              <w:t>plans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7,449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7,449</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Adjustments to non-controlling interests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(1,300)</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1,300</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0"/>
        </w:trPr>
        <w:tc>
          <w:tcPr>
            <w:tcW w:w="2080" w:type="dxa"/>
            <w:vAlign w:val="bottom"/>
          </w:tcPr>
          <w:p>
            <w:pPr>
              <w:ind w:left="20"/>
              <w:spacing w:after="0"/>
              <w:rPr>
                <w:sz w:val="20"/>
                <w:szCs w:val="20"/>
                <w:color w:val="auto"/>
              </w:rPr>
            </w:pPr>
            <w:r>
              <w:rPr>
                <w:rFonts w:ascii="Times New Roman" w:cs="Times New Roman" w:eastAsia="Times New Roman" w:hAnsi="Times New Roman"/>
                <w:sz w:val="9"/>
                <w:szCs w:val="9"/>
                <w:color w:val="auto"/>
              </w:rPr>
              <w:t>Distributions to non-controlling interests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(2,568)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(2,568)</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Dividends ($0.08 per share)</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(16,360)</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(16,360)</w:t>
            </w:r>
          </w:p>
        </w:tc>
        <w:tc>
          <w:tcPr>
            <w:tcW w:w="0" w:type="dxa"/>
            <w:vAlign w:val="bottom"/>
          </w:tcPr>
          <w:p>
            <w:pPr>
              <w:spacing w:after="0"/>
              <w:rPr>
                <w:sz w:val="1"/>
                <w:szCs w:val="1"/>
                <w:color w:val="auto"/>
              </w:rPr>
            </w:pPr>
          </w:p>
        </w:tc>
      </w:tr>
      <w:tr>
        <w:trPr>
          <w:trHeight w:val="95"/>
        </w:trPr>
        <w:tc>
          <w:tcPr>
            <w:tcW w:w="2080" w:type="dxa"/>
            <w:vAlign w:val="bottom"/>
          </w:tcPr>
          <w:p>
            <w:pPr>
              <w:ind w:left="20"/>
              <w:spacing w:after="0" w:line="95" w:lineRule="exact"/>
              <w:rPr>
                <w:sz w:val="20"/>
                <w:szCs w:val="20"/>
                <w:color w:val="auto"/>
              </w:rPr>
            </w:pPr>
            <w:r>
              <w:rPr>
                <w:rFonts w:ascii="Times New Roman" w:cs="Times New Roman" w:eastAsia="Times New Roman" w:hAnsi="Times New Roman"/>
                <w:sz w:val="9"/>
                <w:szCs w:val="9"/>
                <w:color w:val="auto"/>
              </w:rPr>
              <w:t>Stock-based compensation expense under the PRSU</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11,140</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11,140</w:t>
            </w:r>
          </w:p>
        </w:tc>
        <w:tc>
          <w:tcPr>
            <w:tcW w:w="0" w:type="dxa"/>
            <w:vAlign w:val="bottom"/>
          </w:tcPr>
          <w:p>
            <w:pPr>
              <w:spacing w:after="0"/>
              <w:rPr>
                <w:sz w:val="1"/>
                <w:szCs w:val="1"/>
                <w:color w:val="auto"/>
              </w:rPr>
            </w:pPr>
          </w:p>
        </w:tc>
      </w:tr>
      <w:tr>
        <w:trPr>
          <w:trHeight w:val="126"/>
        </w:trPr>
        <w:tc>
          <w:tcPr>
            <w:tcW w:w="2080" w:type="dxa"/>
            <w:vAlign w:val="bottom"/>
          </w:tcPr>
          <w:p>
            <w:pPr>
              <w:ind w:left="20"/>
              <w:spacing w:after="0"/>
              <w:rPr>
                <w:sz w:val="20"/>
                <w:szCs w:val="20"/>
                <w:color w:val="auto"/>
              </w:rPr>
            </w:pPr>
            <w:r>
              <w:rPr>
                <w:rFonts w:ascii="Times New Roman" w:cs="Times New Roman" w:eastAsia="Times New Roman" w:hAnsi="Times New Roman"/>
                <w:sz w:val="9"/>
                <w:szCs w:val="9"/>
                <w:color w:val="auto"/>
              </w:rPr>
              <w:t>Plan</w:t>
            </w:r>
          </w:p>
        </w:tc>
        <w:tc>
          <w:tcPr>
            <w:tcW w:w="7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Stock-based compensation expense under the RSU</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9,459</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9,459</w:t>
            </w: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Plan</w:t>
            </w:r>
          </w:p>
        </w:tc>
        <w:tc>
          <w:tcPr>
            <w:tcW w:w="72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80" w:type="dxa"/>
            <w:vAlign w:val="bottom"/>
          </w:tcPr>
          <w:p>
            <w:pPr>
              <w:ind w:left="20"/>
              <w:spacing w:after="0" w:line="95" w:lineRule="exact"/>
              <w:rPr>
                <w:sz w:val="20"/>
                <w:szCs w:val="20"/>
                <w:color w:val="auto"/>
              </w:rPr>
            </w:pPr>
            <w:r>
              <w:rPr>
                <w:rFonts w:ascii="Times New Roman" w:cs="Times New Roman" w:eastAsia="Times New Roman" w:hAnsi="Times New Roman"/>
                <w:sz w:val="9"/>
                <w:szCs w:val="9"/>
                <w:color w:val="auto"/>
              </w:rPr>
              <w:t>Stock-based compensation expense under the Option</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288</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288</w:t>
            </w:r>
          </w:p>
        </w:tc>
        <w:tc>
          <w:tcPr>
            <w:tcW w:w="0" w:type="dxa"/>
            <w:vAlign w:val="bottom"/>
          </w:tcPr>
          <w:p>
            <w:pPr>
              <w:spacing w:after="0"/>
              <w:rPr>
                <w:sz w:val="1"/>
                <w:szCs w:val="1"/>
                <w:color w:val="auto"/>
              </w:rPr>
            </w:pPr>
          </w:p>
        </w:tc>
      </w:tr>
      <w:tr>
        <w:trPr>
          <w:trHeight w:val="126"/>
        </w:trPr>
        <w:tc>
          <w:tcPr>
            <w:tcW w:w="2080" w:type="dxa"/>
            <w:vAlign w:val="bottom"/>
          </w:tcPr>
          <w:p>
            <w:pPr>
              <w:ind w:left="20"/>
              <w:spacing w:after="0"/>
              <w:rPr>
                <w:sz w:val="20"/>
                <w:szCs w:val="20"/>
                <w:color w:val="auto"/>
              </w:rPr>
            </w:pPr>
            <w:r>
              <w:rPr>
                <w:rFonts w:ascii="Times New Roman" w:cs="Times New Roman" w:eastAsia="Times New Roman" w:hAnsi="Times New Roman"/>
                <w:sz w:val="9"/>
                <w:szCs w:val="9"/>
                <w:color w:val="auto"/>
              </w:rPr>
              <w:t>Plan</w:t>
            </w:r>
          </w:p>
        </w:tc>
        <w:tc>
          <w:tcPr>
            <w:tcW w:w="7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Payroll taxes paid for stock-based compensation</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(2,218)</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(2,218)</w:t>
            </w:r>
          </w:p>
        </w:tc>
        <w:tc>
          <w:tcPr>
            <w:tcW w:w="0" w:type="dxa"/>
            <w:vAlign w:val="bottom"/>
          </w:tcPr>
          <w:p>
            <w:pPr>
              <w:spacing w:after="0"/>
              <w:rPr>
                <w:sz w:val="1"/>
                <w:szCs w:val="1"/>
                <w:color w:val="auto"/>
              </w:rPr>
            </w:pPr>
          </w:p>
        </w:tc>
      </w:tr>
      <w:tr>
        <w:trPr>
          <w:trHeight w:val="120"/>
        </w:trPr>
        <w:tc>
          <w:tcPr>
            <w:tcW w:w="2080" w:type="dxa"/>
            <w:vAlign w:val="bottom"/>
          </w:tcPr>
          <w:p>
            <w:pPr>
              <w:ind w:left="20"/>
              <w:spacing w:after="0"/>
              <w:rPr>
                <w:sz w:val="20"/>
                <w:szCs w:val="20"/>
                <w:color w:val="auto"/>
              </w:rPr>
            </w:pPr>
            <w:r>
              <w:rPr>
                <w:rFonts w:ascii="Times New Roman" w:cs="Times New Roman" w:eastAsia="Times New Roman" w:hAnsi="Times New Roman"/>
                <w:sz w:val="9"/>
                <w:szCs w:val="9"/>
                <w:color w:val="auto"/>
              </w:rPr>
              <w:t>Net income</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68,344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13,256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81,600</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Foreign currency translation adjustments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(8,440)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(1,237)</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(9,677)</w:t>
            </w:r>
          </w:p>
        </w:tc>
        <w:tc>
          <w:tcPr>
            <w:tcW w:w="0" w:type="dxa"/>
            <w:vAlign w:val="bottom"/>
          </w:tcPr>
          <w:p>
            <w:pPr>
              <w:spacing w:after="0"/>
              <w:rPr>
                <w:sz w:val="1"/>
                <w:szCs w:val="1"/>
                <w:color w:val="auto"/>
              </w:rPr>
            </w:pPr>
          </w:p>
        </w:tc>
      </w:tr>
      <w:tr>
        <w:trPr>
          <w:trHeight w:val="141"/>
        </w:trPr>
        <w:tc>
          <w:tcPr>
            <w:tcW w:w="2080" w:type="dxa"/>
            <w:vAlign w:val="bottom"/>
          </w:tcPr>
          <w:p>
            <w:pPr>
              <w:ind w:left="20"/>
              <w:spacing w:after="0"/>
              <w:rPr>
                <w:sz w:val="20"/>
                <w:szCs w:val="20"/>
                <w:color w:val="auto"/>
              </w:rPr>
            </w:pPr>
            <w:r>
              <w:rPr>
                <w:rFonts w:ascii="Times New Roman" w:cs="Times New Roman" w:eastAsia="Times New Roman" w:hAnsi="Times New Roman"/>
                <w:sz w:val="9"/>
                <w:szCs w:val="9"/>
                <w:color w:val="auto"/>
              </w:rPr>
              <w:t>Balance at June 30, 2022</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107,615,695</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9"/>
                <w:szCs w:val="9"/>
                <w:color w:val="auto"/>
              </w:rPr>
              <w:t>96,933,192</w:t>
            </w: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9"/>
                <w:szCs w:val="9"/>
                <w:color w:val="auto"/>
              </w:rPr>
              <w:t>1</w:t>
            </w: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1,654,825</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0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28,316,833</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4,420,405</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(10,404)</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304,899</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655,866</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9"/>
                <w:szCs w:val="9"/>
                <w:color w:val="auto"/>
                <w:w w:val="87"/>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5,370,768</w:t>
            </w: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Changes in Equity – (Continued)</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20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40" w:type="dxa"/>
            <w:vAlign w:val="bottom"/>
            <w:gridSpan w:val="10"/>
          </w:tcPr>
          <w:p>
            <w:pPr>
              <w:ind w:left="340"/>
              <w:spacing w:after="0"/>
              <w:rPr>
                <w:sz w:val="20"/>
                <w:szCs w:val="20"/>
                <w:color w:val="auto"/>
              </w:rPr>
            </w:pPr>
            <w:r>
              <w:rPr>
                <w:rFonts w:ascii="Times New Roman" w:cs="Times New Roman" w:eastAsia="Times New Roman" w:hAnsi="Times New Roman"/>
                <w:sz w:val="9"/>
                <w:szCs w:val="9"/>
                <w:b w:val="1"/>
                <w:bCs w:val="1"/>
                <w:color w:val="auto"/>
              </w:rPr>
              <w:t>Tradeweb Markets Inc. Stockholders’ Equity</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tcPr>
          <w:p>
            <w:pPr>
              <w:jc w:val="center"/>
              <w:ind w:right="180"/>
              <w:spacing w:after="0" w:line="88"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tcPr>
          <w:p>
            <w:pPr>
              <w:jc w:val="center"/>
              <w:ind w:right="180"/>
              <w:spacing w:after="0" w:line="95" w:lineRule="exact"/>
              <w:rPr>
                <w:sz w:val="20"/>
                <w:szCs w:val="20"/>
                <w:color w:val="auto"/>
              </w:rPr>
            </w:pPr>
            <w:r>
              <w:rPr>
                <w:rFonts w:ascii="Times New Roman" w:cs="Times New Roman" w:eastAsia="Times New Roman" w:hAnsi="Times New Roman"/>
                <w:sz w:val="9"/>
                <w:szCs w:val="9"/>
                <w:b w:val="1"/>
                <w:bCs w:val="1"/>
                <w:color w:val="auto"/>
                <w:w w:val="97"/>
              </w:rPr>
              <w:t>Additional</w:t>
            </w:r>
          </w:p>
        </w:tc>
        <w:tc>
          <w:tcPr>
            <w:tcW w:w="100" w:type="dxa"/>
            <w:vAlign w:val="bottom"/>
          </w:tcPr>
          <w:p>
            <w:pPr>
              <w:spacing w:after="0"/>
              <w:rPr>
                <w:sz w:val="8"/>
                <w:szCs w:val="8"/>
                <w:color w:val="auto"/>
              </w:rPr>
            </w:pPr>
          </w:p>
        </w:tc>
        <w:tc>
          <w:tcPr>
            <w:tcW w:w="820" w:type="dxa"/>
            <w:vAlign w:val="bottom"/>
            <w:gridSpan w:val="2"/>
          </w:tcPr>
          <w:p>
            <w:pPr>
              <w:jc w:val="center"/>
              <w:ind w:right="180"/>
              <w:spacing w:after="0" w:line="95" w:lineRule="exact"/>
              <w:rPr>
                <w:sz w:val="20"/>
                <w:szCs w:val="20"/>
                <w:color w:val="auto"/>
              </w:rPr>
            </w:pPr>
            <w:r>
              <w:rPr>
                <w:rFonts w:ascii="Times New Roman" w:cs="Times New Roman" w:eastAsia="Times New Roman" w:hAnsi="Times New Roman"/>
                <w:sz w:val="9"/>
                <w:szCs w:val="9"/>
                <w:b w:val="1"/>
                <w:bCs w:val="1"/>
                <w:color w:val="auto"/>
              </w:rPr>
              <w:t>Other</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tcPr>
          <w:p>
            <w:pPr>
              <w:jc w:val="center"/>
              <w:ind w:right="180"/>
              <w:spacing w:after="0" w:line="95" w:lineRule="exact"/>
              <w:rPr>
                <w:sz w:val="20"/>
                <w:szCs w:val="20"/>
                <w:color w:val="auto"/>
              </w:rPr>
            </w:pPr>
            <w:r>
              <w:rPr>
                <w:rFonts w:ascii="Times New Roman" w:cs="Times New Roman" w:eastAsia="Times New Roman" w:hAnsi="Times New Roman"/>
                <w:sz w:val="9"/>
                <w:szCs w:val="9"/>
                <w:b w:val="1"/>
                <w:bCs w:val="1"/>
                <w:color w:val="auto"/>
                <w:w w:val="94"/>
              </w:rPr>
              <w:t>Non-</w:t>
            </w: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80" w:type="dxa"/>
            <w:vAlign w:val="bottom"/>
          </w:tcPr>
          <w:p>
            <w:pPr>
              <w:spacing w:after="0"/>
              <w:rPr>
                <w:sz w:val="8"/>
                <w:szCs w:val="8"/>
                <w:color w:val="auto"/>
              </w:rPr>
            </w:pPr>
          </w:p>
        </w:tc>
        <w:tc>
          <w:tcPr>
            <w:tcW w:w="800" w:type="dxa"/>
            <w:vAlign w:val="bottom"/>
            <w:gridSpan w:val="3"/>
          </w:tcPr>
          <w:p>
            <w:pPr>
              <w:jc w:val="right"/>
              <w:spacing w:after="0" w:line="95" w:lineRule="exact"/>
              <w:rPr>
                <w:sz w:val="20"/>
                <w:szCs w:val="20"/>
                <w:color w:val="auto"/>
              </w:rPr>
            </w:pPr>
            <w:r>
              <w:rPr>
                <w:rFonts w:ascii="Times New Roman" w:cs="Times New Roman" w:eastAsia="Times New Roman" w:hAnsi="Times New Roman"/>
                <w:sz w:val="9"/>
                <w:szCs w:val="9"/>
                <w:b w:val="1"/>
                <w:bCs w:val="1"/>
                <w:color w:val="auto"/>
              </w:rPr>
              <w:t>Class A</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3"/>
          </w:tcPr>
          <w:p>
            <w:pPr>
              <w:jc w:val="right"/>
              <w:spacing w:after="0" w:line="95" w:lineRule="exact"/>
              <w:rPr>
                <w:sz w:val="20"/>
                <w:szCs w:val="20"/>
                <w:color w:val="auto"/>
              </w:rPr>
            </w:pPr>
            <w:r>
              <w:rPr>
                <w:rFonts w:ascii="Times New Roman" w:cs="Times New Roman" w:eastAsia="Times New Roman" w:hAnsi="Times New Roman"/>
                <w:sz w:val="9"/>
                <w:szCs w:val="9"/>
                <w:b w:val="1"/>
                <w:bCs w:val="1"/>
                <w:color w:val="auto"/>
              </w:rPr>
              <w:t>Class B</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3"/>
          </w:tcPr>
          <w:p>
            <w:pPr>
              <w:jc w:val="center"/>
              <w:ind w:left="355"/>
              <w:spacing w:after="0" w:line="95" w:lineRule="exact"/>
              <w:rPr>
                <w:sz w:val="20"/>
                <w:szCs w:val="20"/>
                <w:color w:val="auto"/>
              </w:rPr>
            </w:pPr>
            <w:r>
              <w:rPr>
                <w:rFonts w:ascii="Times New Roman" w:cs="Times New Roman" w:eastAsia="Times New Roman" w:hAnsi="Times New Roman"/>
                <w:sz w:val="9"/>
                <w:szCs w:val="9"/>
                <w:b w:val="1"/>
                <w:bCs w:val="1"/>
                <w:color w:val="auto"/>
              </w:rPr>
              <w:t>Class C</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3"/>
          </w:tcPr>
          <w:p>
            <w:pPr>
              <w:jc w:val="center"/>
              <w:ind w:left="375"/>
              <w:spacing w:after="0" w:line="95" w:lineRule="exact"/>
              <w:rPr>
                <w:sz w:val="20"/>
                <w:szCs w:val="20"/>
                <w:color w:val="auto"/>
              </w:rPr>
            </w:pPr>
            <w:r>
              <w:rPr>
                <w:rFonts w:ascii="Times New Roman" w:cs="Times New Roman" w:eastAsia="Times New Roman" w:hAnsi="Times New Roman"/>
                <w:sz w:val="9"/>
                <w:szCs w:val="9"/>
                <w:b w:val="1"/>
                <w:bCs w:val="1"/>
                <w:color w:val="auto"/>
                <w:w w:val="95"/>
              </w:rPr>
              <w:t>Class D</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tcPr>
          <w:p>
            <w:pPr>
              <w:jc w:val="center"/>
              <w:ind w:right="180"/>
              <w:spacing w:after="0" w:line="95" w:lineRule="exact"/>
              <w:rPr>
                <w:sz w:val="20"/>
                <w:szCs w:val="20"/>
                <w:color w:val="auto"/>
              </w:rPr>
            </w:pPr>
            <w:r>
              <w:rPr>
                <w:rFonts w:ascii="Times New Roman" w:cs="Times New Roman" w:eastAsia="Times New Roman" w:hAnsi="Times New Roman"/>
                <w:sz w:val="9"/>
                <w:szCs w:val="9"/>
                <w:b w:val="1"/>
                <w:bCs w:val="1"/>
                <w:color w:val="auto"/>
                <w:w w:val="96"/>
              </w:rPr>
              <w:t>Paid-In</w:t>
            </w:r>
          </w:p>
        </w:tc>
        <w:tc>
          <w:tcPr>
            <w:tcW w:w="100" w:type="dxa"/>
            <w:vAlign w:val="bottom"/>
          </w:tcPr>
          <w:p>
            <w:pPr>
              <w:spacing w:after="0"/>
              <w:rPr>
                <w:sz w:val="8"/>
                <w:szCs w:val="8"/>
                <w:color w:val="auto"/>
              </w:rPr>
            </w:pPr>
          </w:p>
        </w:tc>
        <w:tc>
          <w:tcPr>
            <w:tcW w:w="820" w:type="dxa"/>
            <w:vAlign w:val="bottom"/>
            <w:gridSpan w:val="2"/>
          </w:tcPr>
          <w:p>
            <w:pPr>
              <w:jc w:val="center"/>
              <w:ind w:right="180"/>
              <w:spacing w:after="0" w:line="95" w:lineRule="exact"/>
              <w:rPr>
                <w:sz w:val="20"/>
                <w:szCs w:val="20"/>
                <w:color w:val="auto"/>
              </w:rPr>
            </w:pPr>
            <w:r>
              <w:rPr>
                <w:rFonts w:ascii="Times New Roman" w:cs="Times New Roman" w:eastAsia="Times New Roman" w:hAnsi="Times New Roman"/>
                <w:sz w:val="9"/>
                <w:szCs w:val="9"/>
                <w:b w:val="1"/>
                <w:bCs w:val="1"/>
                <w:color w:val="auto"/>
                <w:w w:val="99"/>
              </w:rPr>
              <w:t>Comprehensive</w:t>
            </w:r>
          </w:p>
        </w:tc>
        <w:tc>
          <w:tcPr>
            <w:tcW w:w="120" w:type="dxa"/>
            <w:vAlign w:val="bottom"/>
          </w:tcPr>
          <w:p>
            <w:pPr>
              <w:spacing w:after="0"/>
              <w:rPr>
                <w:sz w:val="8"/>
                <w:szCs w:val="8"/>
                <w:color w:val="auto"/>
              </w:rPr>
            </w:pPr>
          </w:p>
        </w:tc>
        <w:tc>
          <w:tcPr>
            <w:tcW w:w="680" w:type="dxa"/>
            <w:vAlign w:val="bottom"/>
            <w:gridSpan w:val="2"/>
          </w:tcPr>
          <w:p>
            <w:pPr>
              <w:ind w:left="60"/>
              <w:spacing w:after="0" w:line="95" w:lineRule="exact"/>
              <w:rPr>
                <w:sz w:val="20"/>
                <w:szCs w:val="20"/>
                <w:color w:val="auto"/>
              </w:rPr>
            </w:pPr>
            <w:r>
              <w:rPr>
                <w:rFonts w:ascii="Times New Roman" w:cs="Times New Roman" w:eastAsia="Times New Roman" w:hAnsi="Times New Roman"/>
                <w:sz w:val="9"/>
                <w:szCs w:val="9"/>
                <w:b w:val="1"/>
                <w:bCs w:val="1"/>
                <w:color w:val="auto"/>
              </w:rPr>
              <w:t>Retained</w:t>
            </w:r>
          </w:p>
        </w:tc>
        <w:tc>
          <w:tcPr>
            <w:tcW w:w="100" w:type="dxa"/>
            <w:vAlign w:val="bottom"/>
          </w:tcPr>
          <w:p>
            <w:pPr>
              <w:spacing w:after="0"/>
              <w:rPr>
                <w:sz w:val="8"/>
                <w:szCs w:val="8"/>
                <w:color w:val="auto"/>
              </w:rPr>
            </w:pPr>
          </w:p>
        </w:tc>
        <w:tc>
          <w:tcPr>
            <w:tcW w:w="720" w:type="dxa"/>
            <w:vAlign w:val="bottom"/>
            <w:gridSpan w:val="2"/>
          </w:tcPr>
          <w:p>
            <w:pPr>
              <w:jc w:val="center"/>
              <w:ind w:right="200"/>
              <w:spacing w:after="0" w:line="95" w:lineRule="exact"/>
              <w:rPr>
                <w:sz w:val="20"/>
                <w:szCs w:val="20"/>
                <w:color w:val="auto"/>
              </w:rPr>
            </w:pPr>
            <w:r>
              <w:rPr>
                <w:rFonts w:ascii="Times New Roman" w:cs="Times New Roman" w:eastAsia="Times New Roman" w:hAnsi="Times New Roman"/>
                <w:sz w:val="9"/>
                <w:szCs w:val="9"/>
                <w:b w:val="1"/>
                <w:bCs w:val="1"/>
                <w:color w:val="auto"/>
                <w:w w:val="98"/>
              </w:rPr>
              <w:t>Controlling</w:t>
            </w:r>
          </w:p>
        </w:tc>
        <w:tc>
          <w:tcPr>
            <w:tcW w:w="140" w:type="dxa"/>
            <w:vAlign w:val="bottom"/>
          </w:tcPr>
          <w:p>
            <w:pPr>
              <w:spacing w:after="0"/>
              <w:rPr>
                <w:sz w:val="8"/>
                <w:szCs w:val="8"/>
                <w:color w:val="auto"/>
              </w:rPr>
            </w:pPr>
          </w:p>
        </w:tc>
        <w:tc>
          <w:tcPr>
            <w:tcW w:w="580" w:type="dxa"/>
            <w:vAlign w:val="bottom"/>
          </w:tcPr>
          <w:p>
            <w:pPr>
              <w:jc w:val="right"/>
              <w:ind w:right="215"/>
              <w:spacing w:after="0" w:line="95" w:lineRule="exact"/>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128"/>
        </w:trPr>
        <w:tc>
          <w:tcPr>
            <w:tcW w:w="2080" w:type="dxa"/>
            <w:vAlign w:val="bottom"/>
          </w:tcPr>
          <w:p>
            <w:pPr>
              <w:spacing w:after="0"/>
              <w:rPr>
                <w:sz w:val="11"/>
                <w:szCs w:val="11"/>
                <w:color w:val="auto"/>
              </w:rPr>
            </w:pPr>
          </w:p>
        </w:tc>
        <w:tc>
          <w:tcPr>
            <w:tcW w:w="1200" w:type="dxa"/>
            <w:vAlign w:val="bottom"/>
            <w:tcBorders>
              <w:bottom w:val="single" w:sz="8" w:color="auto"/>
            </w:tcBorders>
            <w:gridSpan w:val="4"/>
          </w:tcPr>
          <w:p>
            <w:pPr>
              <w:jc w:val="right"/>
              <w:ind w:right="255"/>
              <w:spacing w:after="0"/>
              <w:rPr>
                <w:sz w:val="20"/>
                <w:szCs w:val="20"/>
                <w:color w:val="auto"/>
              </w:rPr>
            </w:pPr>
            <w:r>
              <w:rPr>
                <w:rFonts w:ascii="Times New Roman" w:cs="Times New Roman" w:eastAsia="Times New Roman" w:hAnsi="Times New Roman"/>
                <w:sz w:val="9"/>
                <w:szCs w:val="9"/>
                <w:b w:val="1"/>
                <w:bCs w:val="1"/>
                <w:color w:val="auto"/>
              </w:rPr>
              <w:t>Common Stock</w:t>
            </w:r>
          </w:p>
        </w:tc>
        <w:tc>
          <w:tcPr>
            <w:tcW w:w="80" w:type="dxa"/>
            <w:vAlign w:val="bottom"/>
          </w:tcPr>
          <w:p>
            <w:pPr>
              <w:spacing w:after="0"/>
              <w:rPr>
                <w:sz w:val="11"/>
                <w:szCs w:val="11"/>
                <w:color w:val="auto"/>
              </w:rPr>
            </w:pPr>
          </w:p>
        </w:tc>
        <w:tc>
          <w:tcPr>
            <w:tcW w:w="1200" w:type="dxa"/>
            <w:vAlign w:val="bottom"/>
            <w:tcBorders>
              <w:bottom w:val="single" w:sz="8" w:color="auto"/>
            </w:tcBorders>
            <w:gridSpan w:val="4"/>
          </w:tcPr>
          <w:p>
            <w:pPr>
              <w:jc w:val="right"/>
              <w:ind w:right="255"/>
              <w:spacing w:after="0"/>
              <w:rPr>
                <w:sz w:val="20"/>
                <w:szCs w:val="20"/>
                <w:color w:val="auto"/>
              </w:rPr>
            </w:pPr>
            <w:r>
              <w:rPr>
                <w:rFonts w:ascii="Times New Roman" w:cs="Times New Roman" w:eastAsia="Times New Roman" w:hAnsi="Times New Roman"/>
                <w:sz w:val="9"/>
                <w:szCs w:val="9"/>
                <w:b w:val="1"/>
                <w:bCs w:val="1"/>
                <w:color w:val="auto"/>
              </w:rPr>
              <w:t>Common Stock</w:t>
            </w:r>
          </w:p>
        </w:tc>
        <w:tc>
          <w:tcPr>
            <w:tcW w:w="80" w:type="dxa"/>
            <w:vAlign w:val="bottom"/>
          </w:tcPr>
          <w:p>
            <w:pPr>
              <w:spacing w:after="0"/>
              <w:rPr>
                <w:sz w:val="11"/>
                <w:szCs w:val="11"/>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Common Stock</w:t>
            </w:r>
          </w:p>
        </w:tc>
        <w:tc>
          <w:tcPr>
            <w:tcW w:w="80" w:type="dxa"/>
            <w:vAlign w:val="bottom"/>
          </w:tcPr>
          <w:p>
            <w:pPr>
              <w:spacing w:after="0"/>
              <w:rPr>
                <w:sz w:val="11"/>
                <w:szCs w:val="11"/>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9"/>
                <w:szCs w:val="9"/>
                <w:b w:val="1"/>
                <w:bCs w:val="1"/>
                <w:color w:val="auto"/>
              </w:rPr>
              <w:t>Common Stock</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9"/>
                <w:szCs w:val="9"/>
                <w:b w:val="1"/>
                <w:bCs w:val="1"/>
                <w:color w:val="auto"/>
                <w:w w:val="98"/>
              </w:rPr>
              <w:t>Capital</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9"/>
                <w:szCs w:val="9"/>
                <w:b w:val="1"/>
                <w:bCs w:val="1"/>
                <w:color w:val="auto"/>
                <w:w w:val="99"/>
              </w:rPr>
              <w:t>Income (Loss)</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9"/>
                <w:szCs w:val="9"/>
                <w:b w:val="1"/>
                <w:bCs w:val="1"/>
                <w:color w:val="auto"/>
              </w:rPr>
              <w:t>Earnings</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9"/>
                <w:szCs w:val="9"/>
                <w:b w:val="1"/>
                <w:bCs w:val="1"/>
                <w:color w:val="auto"/>
              </w:rPr>
              <w:t>Interests</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9"/>
                <w:szCs w:val="9"/>
                <w:b w:val="1"/>
                <w:bCs w:val="1"/>
                <w:color w:val="auto"/>
              </w:rPr>
              <w:t>Equity</w:t>
            </w:r>
          </w:p>
        </w:tc>
        <w:tc>
          <w:tcPr>
            <w:tcW w:w="0" w:type="dxa"/>
            <w:vAlign w:val="bottom"/>
          </w:tcPr>
          <w:p>
            <w:pPr>
              <w:spacing w:after="0"/>
              <w:rPr>
                <w:sz w:val="1"/>
                <w:szCs w:val="1"/>
                <w:color w:val="auto"/>
              </w:rPr>
            </w:pPr>
          </w:p>
        </w:tc>
      </w:tr>
      <w:tr>
        <w:trPr>
          <w:trHeight w:val="121"/>
        </w:trPr>
        <w:tc>
          <w:tcPr>
            <w:tcW w:w="2080" w:type="dxa"/>
            <w:vAlign w:val="bottom"/>
          </w:tcPr>
          <w:p>
            <w:pPr>
              <w:spacing w:after="0"/>
              <w:rPr>
                <w:sz w:val="10"/>
                <w:szCs w:val="10"/>
                <w:color w:val="auto"/>
              </w:rPr>
            </w:pP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9"/>
                <w:szCs w:val="9"/>
                <w:b w:val="1"/>
                <w:bCs w:val="1"/>
                <w:color w:val="auto"/>
              </w:rPr>
              <w:t>Shares</w:t>
            </w:r>
          </w:p>
        </w:tc>
        <w:tc>
          <w:tcPr>
            <w:tcW w:w="80" w:type="dxa"/>
            <w:vAlign w:val="bottom"/>
          </w:tcPr>
          <w:p>
            <w:pPr>
              <w:spacing w:after="0"/>
              <w:rPr>
                <w:sz w:val="10"/>
                <w:szCs w:val="10"/>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Amount</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9"/>
                <w:szCs w:val="9"/>
                <w:b w:val="1"/>
                <w:bCs w:val="1"/>
                <w:color w:val="auto"/>
              </w:rPr>
              <w:t>Shares</w:t>
            </w:r>
          </w:p>
        </w:tc>
        <w:tc>
          <w:tcPr>
            <w:tcW w:w="60" w:type="dxa"/>
            <w:vAlign w:val="bottom"/>
          </w:tcPr>
          <w:p>
            <w:pPr>
              <w:spacing w:after="0"/>
              <w:rPr>
                <w:sz w:val="10"/>
                <w:szCs w:val="10"/>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Amount</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9"/>
                <w:szCs w:val="9"/>
                <w:b w:val="1"/>
                <w:bCs w:val="1"/>
                <w:color w:val="auto"/>
              </w:rPr>
              <w:t>Shares</w:t>
            </w:r>
          </w:p>
        </w:tc>
        <w:tc>
          <w:tcPr>
            <w:tcW w:w="80" w:type="dxa"/>
            <w:vAlign w:val="bottom"/>
          </w:tcPr>
          <w:p>
            <w:pPr>
              <w:spacing w:after="0"/>
              <w:rPr>
                <w:sz w:val="10"/>
                <w:szCs w:val="10"/>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Amount</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9"/>
                <w:szCs w:val="9"/>
                <w:b w:val="1"/>
                <w:bCs w:val="1"/>
                <w:color w:val="auto"/>
              </w:rPr>
              <w:t>Shares</w:t>
            </w:r>
          </w:p>
        </w:tc>
        <w:tc>
          <w:tcPr>
            <w:tcW w:w="80" w:type="dxa"/>
            <w:vAlign w:val="bottom"/>
          </w:tcPr>
          <w:p>
            <w:pPr>
              <w:spacing w:after="0"/>
              <w:rPr>
                <w:sz w:val="10"/>
                <w:szCs w:val="10"/>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Amount</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Balance at December 31, 2020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98,075,465</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96,933,192</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1</w:t>
            </w: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3,139,821</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30,871,381</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4,143,094</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4,314</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156,041</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715,712</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w w:val="87"/>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5,019,163</w:t>
            </w:r>
          </w:p>
        </w:tc>
        <w:tc>
          <w:tcPr>
            <w:tcW w:w="0" w:type="dxa"/>
            <w:vAlign w:val="bottom"/>
          </w:tcPr>
          <w:p>
            <w:pPr>
              <w:spacing w:after="0"/>
              <w:rPr>
                <w:sz w:val="1"/>
                <w:szCs w:val="1"/>
                <w:color w:val="auto"/>
              </w:rPr>
            </w:pPr>
          </w:p>
        </w:tc>
      </w:tr>
      <w:tr>
        <w:trPr>
          <w:trHeight w:val="120"/>
        </w:trPr>
        <w:tc>
          <w:tcPr>
            <w:tcW w:w="2080" w:type="dxa"/>
            <w:vAlign w:val="bottom"/>
          </w:tcPr>
          <w:p>
            <w:pPr>
              <w:ind w:left="20"/>
              <w:spacing w:after="0"/>
              <w:rPr>
                <w:sz w:val="20"/>
                <w:szCs w:val="20"/>
                <w:color w:val="auto"/>
              </w:rPr>
            </w:pPr>
            <w:r>
              <w:rPr>
                <w:rFonts w:ascii="Times New Roman" w:cs="Times New Roman" w:eastAsia="Times New Roman" w:hAnsi="Times New Roman"/>
                <w:sz w:val="9"/>
                <w:szCs w:val="9"/>
                <w:color w:val="auto"/>
              </w:rPr>
              <w:t>Activities related to exchanges of LLC Interests</w:t>
            </w: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3,479,269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ind w:left="180"/>
              <w:spacing w:after="0"/>
              <w:rPr>
                <w:sz w:val="20"/>
                <w:szCs w:val="20"/>
                <w:color w:val="auto"/>
              </w:rPr>
            </w:pPr>
            <w:r>
              <w:rPr>
                <w:rFonts w:ascii="Times New Roman" w:cs="Times New Roman" w:eastAsia="Times New Roman" w:hAnsi="Times New Roman"/>
                <w:sz w:val="9"/>
                <w:szCs w:val="9"/>
                <w:color w:val="auto"/>
                <w:w w:val="99"/>
              </w:rPr>
              <w:t>(1,484,996)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ind w:left="180"/>
              <w:spacing w:after="0"/>
              <w:rPr>
                <w:sz w:val="20"/>
                <w:szCs w:val="20"/>
                <w:color w:val="auto"/>
              </w:rPr>
            </w:pPr>
            <w:r>
              <w:rPr>
                <w:rFonts w:ascii="Times New Roman" w:cs="Times New Roman" w:eastAsia="Times New Roman" w:hAnsi="Times New Roman"/>
                <w:sz w:val="9"/>
                <w:szCs w:val="9"/>
                <w:color w:val="auto"/>
                <w:w w:val="99"/>
              </w:rPr>
              <w:t>(1,994,273)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2080" w:type="dxa"/>
            <w:vAlign w:val="bottom"/>
            <w:shd w:val="clear" w:color="auto" w:fill="CCEEFF"/>
          </w:tcPr>
          <w:p>
            <w:pPr>
              <w:ind w:left="20"/>
              <w:spacing w:after="0" w:line="95" w:lineRule="exact"/>
              <w:rPr>
                <w:sz w:val="20"/>
                <w:szCs w:val="20"/>
                <w:color w:val="auto"/>
              </w:rPr>
            </w:pPr>
            <w:r>
              <w:rPr>
                <w:rFonts w:ascii="Times New Roman" w:cs="Times New Roman" w:eastAsia="Times New Roman" w:hAnsi="Times New Roman"/>
                <w:sz w:val="9"/>
                <w:szCs w:val="9"/>
                <w:color w:val="auto"/>
              </w:rPr>
              <w:t>Tax receivable agreement liability and deferred taxes</w:t>
            </w: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080" w:type="dxa"/>
            <w:vAlign w:val="bottom"/>
            <w:shd w:val="clear" w:color="auto" w:fill="CCEEFF"/>
          </w:tcPr>
          <w:p>
            <w:pPr>
              <w:ind w:left="20"/>
              <w:spacing w:after="0" w:line="86" w:lineRule="exact"/>
              <w:rPr>
                <w:sz w:val="20"/>
                <w:szCs w:val="20"/>
                <w:color w:val="auto"/>
              </w:rPr>
            </w:pPr>
            <w:r>
              <w:rPr>
                <w:rFonts w:ascii="Times New Roman" w:cs="Times New Roman" w:eastAsia="Times New Roman" w:hAnsi="Times New Roman"/>
                <w:sz w:val="9"/>
                <w:szCs w:val="9"/>
                <w:color w:val="auto"/>
              </w:rPr>
              <w:t>arising from LLC Interest ownership exchanges and</w:t>
            </w: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080" w:type="dxa"/>
            <w:vAlign w:val="bottom"/>
            <w:shd w:val="clear" w:color="auto" w:fill="CCEEFF"/>
          </w:tcPr>
          <w:p>
            <w:pPr>
              <w:ind w:left="20"/>
              <w:spacing w:after="0" w:line="95" w:lineRule="exact"/>
              <w:rPr>
                <w:sz w:val="20"/>
                <w:szCs w:val="20"/>
                <w:color w:val="auto"/>
              </w:rPr>
            </w:pPr>
            <w:r>
              <w:rPr>
                <w:rFonts w:ascii="Times New Roman" w:cs="Times New Roman" w:eastAsia="Times New Roman" w:hAnsi="Times New Roman"/>
                <w:sz w:val="9"/>
                <w:szCs w:val="9"/>
                <w:color w:val="auto"/>
              </w:rPr>
              <w:t>the issuance of common stock from equity incentive</w:t>
            </w: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plans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71,594</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71,594</w:t>
            </w:r>
          </w:p>
        </w:tc>
        <w:tc>
          <w:tcPr>
            <w:tcW w:w="0" w:type="dxa"/>
            <w:vAlign w:val="bottom"/>
          </w:tcPr>
          <w:p>
            <w:pPr>
              <w:spacing w:after="0"/>
              <w:rPr>
                <w:sz w:val="1"/>
                <w:szCs w:val="1"/>
                <w:color w:val="auto"/>
              </w:rPr>
            </w:pPr>
          </w:p>
        </w:tc>
      </w:tr>
      <w:tr>
        <w:trPr>
          <w:trHeight w:val="94"/>
        </w:trPr>
        <w:tc>
          <w:tcPr>
            <w:tcW w:w="2080" w:type="dxa"/>
            <w:vAlign w:val="bottom"/>
          </w:tcPr>
          <w:p>
            <w:pPr>
              <w:ind w:left="20"/>
              <w:spacing w:after="0" w:line="95" w:lineRule="exact"/>
              <w:rPr>
                <w:sz w:val="20"/>
                <w:szCs w:val="20"/>
                <w:color w:val="auto"/>
              </w:rPr>
            </w:pPr>
            <w:r>
              <w:rPr>
                <w:rFonts w:ascii="Times New Roman" w:cs="Times New Roman" w:eastAsia="Times New Roman" w:hAnsi="Times New Roman"/>
                <w:sz w:val="9"/>
                <w:szCs w:val="9"/>
                <w:color w:val="auto"/>
              </w:rPr>
              <w:t>Issuance of common stock from equity incentive</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3,088,545</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46,397</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46,397</w:t>
            </w:r>
          </w:p>
        </w:tc>
        <w:tc>
          <w:tcPr>
            <w:tcW w:w="0" w:type="dxa"/>
            <w:vAlign w:val="bottom"/>
          </w:tcPr>
          <w:p>
            <w:pPr>
              <w:spacing w:after="0"/>
              <w:rPr>
                <w:sz w:val="1"/>
                <w:szCs w:val="1"/>
                <w:color w:val="auto"/>
              </w:rPr>
            </w:pPr>
          </w:p>
        </w:tc>
      </w:tr>
      <w:tr>
        <w:trPr>
          <w:trHeight w:val="126"/>
        </w:trPr>
        <w:tc>
          <w:tcPr>
            <w:tcW w:w="2080" w:type="dxa"/>
            <w:vAlign w:val="bottom"/>
          </w:tcPr>
          <w:p>
            <w:pPr>
              <w:ind w:left="20"/>
              <w:spacing w:after="0"/>
              <w:rPr>
                <w:sz w:val="20"/>
                <w:szCs w:val="20"/>
                <w:color w:val="auto"/>
              </w:rPr>
            </w:pPr>
            <w:r>
              <w:rPr>
                <w:rFonts w:ascii="Times New Roman" w:cs="Times New Roman" w:eastAsia="Times New Roman" w:hAnsi="Times New Roman"/>
                <w:sz w:val="9"/>
                <w:szCs w:val="9"/>
                <w:color w:val="auto"/>
              </w:rPr>
              <w:t>plans</w:t>
            </w: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Adjustments to non-controlling interests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80,665</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85</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(80,750)</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0"/>
        </w:trPr>
        <w:tc>
          <w:tcPr>
            <w:tcW w:w="2080" w:type="dxa"/>
            <w:vAlign w:val="bottom"/>
          </w:tcPr>
          <w:p>
            <w:pPr>
              <w:ind w:left="20"/>
              <w:spacing w:after="0"/>
              <w:rPr>
                <w:sz w:val="20"/>
                <w:szCs w:val="20"/>
                <w:color w:val="auto"/>
              </w:rPr>
            </w:pPr>
            <w:r>
              <w:rPr>
                <w:rFonts w:ascii="Times New Roman" w:cs="Times New Roman" w:eastAsia="Times New Roman" w:hAnsi="Times New Roman"/>
                <w:sz w:val="9"/>
                <w:szCs w:val="9"/>
                <w:color w:val="auto"/>
              </w:rPr>
              <w:t>Distributions to non-controlling interests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(2,504)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(2,504)</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Dividends ($0.08 per share)</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(16,030)</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(16,030)</w:t>
            </w:r>
          </w:p>
        </w:tc>
        <w:tc>
          <w:tcPr>
            <w:tcW w:w="0" w:type="dxa"/>
            <w:vAlign w:val="bottom"/>
          </w:tcPr>
          <w:p>
            <w:pPr>
              <w:spacing w:after="0"/>
              <w:rPr>
                <w:sz w:val="1"/>
                <w:szCs w:val="1"/>
                <w:color w:val="auto"/>
              </w:rPr>
            </w:pPr>
          </w:p>
        </w:tc>
      </w:tr>
      <w:tr>
        <w:trPr>
          <w:trHeight w:val="94"/>
        </w:trPr>
        <w:tc>
          <w:tcPr>
            <w:tcW w:w="2080" w:type="dxa"/>
            <w:vAlign w:val="bottom"/>
          </w:tcPr>
          <w:p>
            <w:pPr>
              <w:ind w:left="20"/>
              <w:spacing w:after="0" w:line="95" w:lineRule="exact"/>
              <w:rPr>
                <w:sz w:val="20"/>
                <w:szCs w:val="20"/>
                <w:color w:val="auto"/>
              </w:rPr>
            </w:pPr>
            <w:r>
              <w:rPr>
                <w:rFonts w:ascii="Times New Roman" w:cs="Times New Roman" w:eastAsia="Times New Roman" w:hAnsi="Times New Roman"/>
                <w:sz w:val="9"/>
                <w:szCs w:val="9"/>
                <w:color w:val="auto"/>
              </w:rPr>
              <w:t>Stock-based compensation expense under the PRSU</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5,997</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5,997</w:t>
            </w:r>
          </w:p>
        </w:tc>
        <w:tc>
          <w:tcPr>
            <w:tcW w:w="0" w:type="dxa"/>
            <w:vAlign w:val="bottom"/>
          </w:tcPr>
          <w:p>
            <w:pPr>
              <w:spacing w:after="0"/>
              <w:rPr>
                <w:sz w:val="1"/>
                <w:szCs w:val="1"/>
                <w:color w:val="auto"/>
              </w:rPr>
            </w:pPr>
          </w:p>
        </w:tc>
      </w:tr>
      <w:tr>
        <w:trPr>
          <w:trHeight w:val="126"/>
        </w:trPr>
        <w:tc>
          <w:tcPr>
            <w:tcW w:w="2080" w:type="dxa"/>
            <w:vAlign w:val="bottom"/>
          </w:tcPr>
          <w:p>
            <w:pPr>
              <w:ind w:left="20"/>
              <w:spacing w:after="0"/>
              <w:rPr>
                <w:sz w:val="20"/>
                <w:szCs w:val="20"/>
                <w:color w:val="auto"/>
              </w:rPr>
            </w:pPr>
            <w:r>
              <w:rPr>
                <w:rFonts w:ascii="Times New Roman" w:cs="Times New Roman" w:eastAsia="Times New Roman" w:hAnsi="Times New Roman"/>
                <w:sz w:val="9"/>
                <w:szCs w:val="9"/>
                <w:color w:val="auto"/>
              </w:rPr>
              <w:t>Plan</w:t>
            </w:r>
          </w:p>
        </w:tc>
        <w:tc>
          <w:tcPr>
            <w:tcW w:w="7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Stock-based compensation expense under the RSU</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2,523</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2,523</w:t>
            </w: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Plan</w:t>
            </w:r>
          </w:p>
        </w:tc>
        <w:tc>
          <w:tcPr>
            <w:tcW w:w="72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80" w:type="dxa"/>
            <w:vAlign w:val="bottom"/>
          </w:tcPr>
          <w:p>
            <w:pPr>
              <w:ind w:left="20"/>
              <w:spacing w:after="0" w:line="95" w:lineRule="exact"/>
              <w:rPr>
                <w:sz w:val="20"/>
                <w:szCs w:val="20"/>
                <w:color w:val="auto"/>
              </w:rPr>
            </w:pPr>
            <w:r>
              <w:rPr>
                <w:rFonts w:ascii="Times New Roman" w:cs="Times New Roman" w:eastAsia="Times New Roman" w:hAnsi="Times New Roman"/>
                <w:sz w:val="9"/>
                <w:szCs w:val="9"/>
                <w:color w:val="auto"/>
              </w:rPr>
              <w:t>Stock-based compensation expense under the Option</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2,240</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2,240</w:t>
            </w:r>
          </w:p>
        </w:tc>
        <w:tc>
          <w:tcPr>
            <w:tcW w:w="0" w:type="dxa"/>
            <w:vAlign w:val="bottom"/>
          </w:tcPr>
          <w:p>
            <w:pPr>
              <w:spacing w:after="0"/>
              <w:rPr>
                <w:sz w:val="1"/>
                <w:szCs w:val="1"/>
                <w:color w:val="auto"/>
              </w:rPr>
            </w:pPr>
          </w:p>
        </w:tc>
      </w:tr>
      <w:tr>
        <w:trPr>
          <w:trHeight w:val="126"/>
        </w:trPr>
        <w:tc>
          <w:tcPr>
            <w:tcW w:w="2080" w:type="dxa"/>
            <w:vAlign w:val="bottom"/>
          </w:tcPr>
          <w:p>
            <w:pPr>
              <w:ind w:left="20"/>
              <w:spacing w:after="0"/>
              <w:rPr>
                <w:sz w:val="20"/>
                <w:szCs w:val="20"/>
                <w:color w:val="auto"/>
              </w:rPr>
            </w:pPr>
            <w:r>
              <w:rPr>
                <w:rFonts w:ascii="Times New Roman" w:cs="Times New Roman" w:eastAsia="Times New Roman" w:hAnsi="Times New Roman"/>
                <w:sz w:val="9"/>
                <w:szCs w:val="9"/>
                <w:color w:val="auto"/>
              </w:rPr>
              <w:t>Plan</w:t>
            </w:r>
          </w:p>
        </w:tc>
        <w:tc>
          <w:tcPr>
            <w:tcW w:w="7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Payroll taxes paid for stock-based compensation</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(45,464)</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(45,464)</w:t>
            </w:r>
          </w:p>
        </w:tc>
        <w:tc>
          <w:tcPr>
            <w:tcW w:w="0" w:type="dxa"/>
            <w:vAlign w:val="bottom"/>
          </w:tcPr>
          <w:p>
            <w:pPr>
              <w:spacing w:after="0"/>
              <w:rPr>
                <w:sz w:val="1"/>
                <w:szCs w:val="1"/>
                <w:color w:val="auto"/>
              </w:rPr>
            </w:pPr>
          </w:p>
        </w:tc>
      </w:tr>
      <w:tr>
        <w:trPr>
          <w:trHeight w:val="121"/>
        </w:trPr>
        <w:tc>
          <w:tcPr>
            <w:tcW w:w="2080" w:type="dxa"/>
            <w:vAlign w:val="bottom"/>
          </w:tcPr>
          <w:p>
            <w:pPr>
              <w:ind w:left="20"/>
              <w:spacing w:after="0"/>
              <w:rPr>
                <w:sz w:val="20"/>
                <w:szCs w:val="20"/>
                <w:color w:val="auto"/>
              </w:rPr>
            </w:pPr>
            <w:r>
              <w:rPr>
                <w:rFonts w:ascii="Times New Roman" w:cs="Times New Roman" w:eastAsia="Times New Roman" w:hAnsi="Times New Roman"/>
                <w:sz w:val="9"/>
                <w:szCs w:val="9"/>
                <w:color w:val="auto"/>
              </w:rPr>
              <w:t>Net income</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67,859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13,706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81,565</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Foreign currency translation adjustments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(297)</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(46)</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(343)</w:t>
            </w:r>
          </w:p>
        </w:tc>
        <w:tc>
          <w:tcPr>
            <w:tcW w:w="0" w:type="dxa"/>
            <w:vAlign w:val="bottom"/>
          </w:tcPr>
          <w:p>
            <w:pPr>
              <w:spacing w:after="0"/>
              <w:rPr>
                <w:sz w:val="1"/>
                <w:szCs w:val="1"/>
                <w:color w:val="auto"/>
              </w:rPr>
            </w:pPr>
          </w:p>
        </w:tc>
      </w:tr>
      <w:tr>
        <w:trPr>
          <w:trHeight w:val="141"/>
        </w:trPr>
        <w:tc>
          <w:tcPr>
            <w:tcW w:w="2080" w:type="dxa"/>
            <w:vAlign w:val="bottom"/>
          </w:tcPr>
          <w:p>
            <w:pPr>
              <w:ind w:left="20"/>
              <w:spacing w:after="0"/>
              <w:rPr>
                <w:sz w:val="20"/>
                <w:szCs w:val="20"/>
                <w:color w:val="auto"/>
              </w:rPr>
            </w:pPr>
            <w:r>
              <w:rPr>
                <w:rFonts w:ascii="Times New Roman" w:cs="Times New Roman" w:eastAsia="Times New Roman" w:hAnsi="Times New Roman"/>
                <w:sz w:val="9"/>
                <w:szCs w:val="9"/>
                <w:color w:val="auto"/>
              </w:rPr>
              <w:t>Balance at March 31, 2021</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104,643,279</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9"/>
                <w:szCs w:val="9"/>
                <w:color w:val="auto"/>
              </w:rPr>
              <w:t>96,933,192</w:t>
            </w: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9"/>
                <w:szCs w:val="9"/>
                <w:color w:val="auto"/>
              </w:rPr>
              <w:t>1</w:t>
            </w: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1,654,825</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0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28,877,108</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4,307,046</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4,102</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207,870</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646,118</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9"/>
                <w:szCs w:val="9"/>
                <w:color w:val="auto"/>
                <w:w w:val="87"/>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5,165,138</w:t>
            </w:r>
          </w:p>
        </w:tc>
        <w:tc>
          <w:tcPr>
            <w:tcW w:w="0" w:type="dxa"/>
            <w:vAlign w:val="bottom"/>
          </w:tcPr>
          <w:p>
            <w:pPr>
              <w:spacing w:after="0"/>
              <w:rPr>
                <w:sz w:val="1"/>
                <w:szCs w:val="1"/>
                <w:color w:val="auto"/>
              </w:rPr>
            </w:pP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80" w:type="dxa"/>
            <w:vAlign w:val="bottom"/>
            <w:shd w:val="clear" w:color="auto" w:fill="CCEEFF"/>
          </w:tcPr>
          <w:p>
            <w:pPr>
              <w:ind w:left="20"/>
              <w:spacing w:after="0" w:line="62" w:lineRule="exact"/>
              <w:rPr>
                <w:sz w:val="20"/>
                <w:szCs w:val="20"/>
                <w:color w:val="auto"/>
              </w:rPr>
            </w:pPr>
            <w:r>
              <w:rPr>
                <w:rFonts w:ascii="Times New Roman" w:cs="Times New Roman" w:eastAsia="Times New Roman" w:hAnsi="Times New Roman"/>
                <w:sz w:val="7"/>
                <w:szCs w:val="7"/>
                <w:color w:val="auto"/>
              </w:rPr>
              <w:t>Issuance of common stock from equity incentive</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1,127,573</w:t>
            </w: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5"/>
                <w:szCs w:val="5"/>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5"/>
                <w:szCs w:val="5"/>
                <w:color w:val="auto"/>
              </w:rPr>
            </w:pPr>
          </w:p>
        </w:tc>
        <w:tc>
          <w:tcPr>
            <w:tcW w:w="48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5"/>
                <w:szCs w:val="5"/>
                <w:color w:val="auto"/>
              </w:rPr>
            </w:pPr>
          </w:p>
        </w:tc>
        <w:tc>
          <w:tcPr>
            <w:tcW w:w="50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5"/>
                <w:szCs w:val="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21,139</w:t>
            </w: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5"/>
                <w:szCs w:val="5"/>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5"/>
                <w:szCs w:val="5"/>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5"/>
                <w:szCs w:val="5"/>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21,139</w:t>
            </w: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plans</w:t>
            </w:r>
          </w:p>
        </w:tc>
        <w:tc>
          <w:tcPr>
            <w:tcW w:w="6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80" w:type="dxa"/>
            <w:vAlign w:val="bottom"/>
          </w:tcPr>
          <w:p>
            <w:pPr>
              <w:ind w:left="20"/>
              <w:spacing w:after="0" w:line="95" w:lineRule="exact"/>
              <w:rPr>
                <w:sz w:val="20"/>
                <w:szCs w:val="20"/>
                <w:color w:val="auto"/>
              </w:rPr>
            </w:pPr>
            <w:r>
              <w:rPr>
                <w:rFonts w:ascii="Times New Roman" w:cs="Times New Roman" w:eastAsia="Times New Roman" w:hAnsi="Times New Roman"/>
                <w:sz w:val="9"/>
                <w:szCs w:val="9"/>
                <w:color w:val="auto"/>
              </w:rPr>
              <w:t>Tax receivable agreement liability and deferred taxes</w:t>
            </w: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080" w:type="dxa"/>
            <w:vAlign w:val="bottom"/>
          </w:tcPr>
          <w:p>
            <w:pPr>
              <w:ind w:left="20"/>
              <w:spacing w:after="0" w:line="86" w:lineRule="exact"/>
              <w:rPr>
                <w:sz w:val="20"/>
                <w:szCs w:val="20"/>
                <w:color w:val="auto"/>
              </w:rPr>
            </w:pPr>
            <w:r>
              <w:rPr>
                <w:rFonts w:ascii="Times New Roman" w:cs="Times New Roman" w:eastAsia="Times New Roman" w:hAnsi="Times New Roman"/>
                <w:sz w:val="9"/>
                <w:szCs w:val="9"/>
                <w:color w:val="auto"/>
              </w:rPr>
              <w:t>arising from LLC Interest ownership exchanges and</w:t>
            </w: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080" w:type="dxa"/>
            <w:vAlign w:val="bottom"/>
          </w:tcPr>
          <w:p>
            <w:pPr>
              <w:ind w:left="20"/>
              <w:spacing w:after="0" w:line="95" w:lineRule="exact"/>
              <w:rPr>
                <w:sz w:val="20"/>
                <w:szCs w:val="20"/>
                <w:color w:val="auto"/>
              </w:rPr>
            </w:pPr>
            <w:r>
              <w:rPr>
                <w:rFonts w:ascii="Times New Roman" w:cs="Times New Roman" w:eastAsia="Times New Roman" w:hAnsi="Times New Roman"/>
                <w:sz w:val="9"/>
                <w:szCs w:val="9"/>
                <w:color w:val="auto"/>
              </w:rPr>
              <w:t>the issuance of common stock from equity incentive</w:t>
            </w: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80" w:type="dxa"/>
            <w:vAlign w:val="bottom"/>
          </w:tcPr>
          <w:p>
            <w:pPr>
              <w:ind w:left="20"/>
              <w:spacing w:after="0"/>
              <w:rPr>
                <w:sz w:val="20"/>
                <w:szCs w:val="20"/>
                <w:color w:val="auto"/>
              </w:rPr>
            </w:pPr>
            <w:r>
              <w:rPr>
                <w:rFonts w:ascii="Times New Roman" w:cs="Times New Roman" w:eastAsia="Times New Roman" w:hAnsi="Times New Roman"/>
                <w:sz w:val="9"/>
                <w:szCs w:val="9"/>
                <w:color w:val="auto"/>
              </w:rPr>
              <w:t>plans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10,465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10,465</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Adjustments to non-controlling interests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4,797</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(4,798)</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0"/>
        </w:trPr>
        <w:tc>
          <w:tcPr>
            <w:tcW w:w="2080" w:type="dxa"/>
            <w:vAlign w:val="bottom"/>
          </w:tcPr>
          <w:p>
            <w:pPr>
              <w:ind w:left="20"/>
              <w:spacing w:after="0"/>
              <w:rPr>
                <w:sz w:val="20"/>
                <w:szCs w:val="20"/>
                <w:color w:val="auto"/>
              </w:rPr>
            </w:pPr>
            <w:r>
              <w:rPr>
                <w:rFonts w:ascii="Times New Roman" w:cs="Times New Roman" w:eastAsia="Times New Roman" w:hAnsi="Times New Roman"/>
                <w:sz w:val="9"/>
                <w:szCs w:val="9"/>
                <w:color w:val="auto"/>
              </w:rPr>
              <w:t>Distributions to non-controlling interests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(1,969)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(1,969)</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Dividends ($0.08 per share)</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(16,142)</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(16,142)</w:t>
            </w:r>
          </w:p>
        </w:tc>
        <w:tc>
          <w:tcPr>
            <w:tcW w:w="0" w:type="dxa"/>
            <w:vAlign w:val="bottom"/>
          </w:tcPr>
          <w:p>
            <w:pPr>
              <w:spacing w:after="0"/>
              <w:rPr>
                <w:sz w:val="1"/>
                <w:szCs w:val="1"/>
                <w:color w:val="auto"/>
              </w:rPr>
            </w:pPr>
          </w:p>
        </w:tc>
      </w:tr>
      <w:tr>
        <w:trPr>
          <w:trHeight w:val="95"/>
        </w:trPr>
        <w:tc>
          <w:tcPr>
            <w:tcW w:w="2080" w:type="dxa"/>
            <w:vAlign w:val="bottom"/>
          </w:tcPr>
          <w:p>
            <w:pPr>
              <w:ind w:left="20"/>
              <w:spacing w:after="0" w:line="95" w:lineRule="exact"/>
              <w:rPr>
                <w:sz w:val="20"/>
                <w:szCs w:val="20"/>
                <w:color w:val="auto"/>
              </w:rPr>
            </w:pPr>
            <w:r>
              <w:rPr>
                <w:rFonts w:ascii="Times New Roman" w:cs="Times New Roman" w:eastAsia="Times New Roman" w:hAnsi="Times New Roman"/>
                <w:sz w:val="9"/>
                <w:szCs w:val="9"/>
                <w:color w:val="auto"/>
              </w:rPr>
              <w:t>Share repurchases pursuant to the Share Repurchase</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(617,644)</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(51,676)</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(51,676)</w:t>
            </w:r>
          </w:p>
        </w:tc>
        <w:tc>
          <w:tcPr>
            <w:tcW w:w="0" w:type="dxa"/>
            <w:vAlign w:val="bottom"/>
          </w:tcPr>
          <w:p>
            <w:pPr>
              <w:spacing w:after="0"/>
              <w:rPr>
                <w:sz w:val="1"/>
                <w:szCs w:val="1"/>
                <w:color w:val="auto"/>
              </w:rPr>
            </w:pPr>
          </w:p>
        </w:tc>
      </w:tr>
      <w:tr>
        <w:trPr>
          <w:trHeight w:val="126"/>
        </w:trPr>
        <w:tc>
          <w:tcPr>
            <w:tcW w:w="2080" w:type="dxa"/>
            <w:vAlign w:val="bottom"/>
          </w:tcPr>
          <w:p>
            <w:pPr>
              <w:ind w:left="20"/>
              <w:spacing w:after="0"/>
              <w:rPr>
                <w:sz w:val="20"/>
                <w:szCs w:val="20"/>
                <w:color w:val="auto"/>
              </w:rPr>
            </w:pPr>
            <w:r>
              <w:rPr>
                <w:rFonts w:ascii="Times New Roman" w:cs="Times New Roman" w:eastAsia="Times New Roman" w:hAnsi="Times New Roman"/>
                <w:sz w:val="9"/>
                <w:szCs w:val="9"/>
                <w:color w:val="auto"/>
              </w:rPr>
              <w:t>Program</w:t>
            </w: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Stock-based compensation expense under the PRSU</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7,826</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7,826</w:t>
            </w: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Plan</w:t>
            </w:r>
          </w:p>
        </w:tc>
        <w:tc>
          <w:tcPr>
            <w:tcW w:w="72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80" w:type="dxa"/>
            <w:vAlign w:val="bottom"/>
          </w:tcPr>
          <w:p>
            <w:pPr>
              <w:ind w:left="20"/>
              <w:spacing w:after="0" w:line="95" w:lineRule="exact"/>
              <w:rPr>
                <w:sz w:val="20"/>
                <w:szCs w:val="20"/>
                <w:color w:val="auto"/>
              </w:rPr>
            </w:pPr>
            <w:r>
              <w:rPr>
                <w:rFonts w:ascii="Times New Roman" w:cs="Times New Roman" w:eastAsia="Times New Roman" w:hAnsi="Times New Roman"/>
                <w:sz w:val="9"/>
                <w:szCs w:val="9"/>
                <w:color w:val="auto"/>
              </w:rPr>
              <w:t>Stock-based compensation expense under the RSU</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3,815</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3,815</w:t>
            </w:r>
          </w:p>
        </w:tc>
        <w:tc>
          <w:tcPr>
            <w:tcW w:w="0" w:type="dxa"/>
            <w:vAlign w:val="bottom"/>
          </w:tcPr>
          <w:p>
            <w:pPr>
              <w:spacing w:after="0"/>
              <w:rPr>
                <w:sz w:val="1"/>
                <w:szCs w:val="1"/>
                <w:color w:val="auto"/>
              </w:rPr>
            </w:pPr>
          </w:p>
        </w:tc>
      </w:tr>
      <w:tr>
        <w:trPr>
          <w:trHeight w:val="126"/>
        </w:trPr>
        <w:tc>
          <w:tcPr>
            <w:tcW w:w="2080" w:type="dxa"/>
            <w:vAlign w:val="bottom"/>
          </w:tcPr>
          <w:p>
            <w:pPr>
              <w:ind w:left="20"/>
              <w:spacing w:after="0"/>
              <w:rPr>
                <w:sz w:val="20"/>
                <w:szCs w:val="20"/>
                <w:color w:val="auto"/>
              </w:rPr>
            </w:pPr>
            <w:r>
              <w:rPr>
                <w:rFonts w:ascii="Times New Roman" w:cs="Times New Roman" w:eastAsia="Times New Roman" w:hAnsi="Times New Roman"/>
                <w:sz w:val="9"/>
                <w:szCs w:val="9"/>
                <w:color w:val="auto"/>
              </w:rPr>
              <w:t>Plan</w:t>
            </w:r>
          </w:p>
        </w:tc>
        <w:tc>
          <w:tcPr>
            <w:tcW w:w="7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Stock-based compensation expense under the Option</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766</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766</w:t>
            </w: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Plan</w:t>
            </w:r>
          </w:p>
        </w:tc>
        <w:tc>
          <w:tcPr>
            <w:tcW w:w="72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80" w:type="dxa"/>
            <w:vAlign w:val="bottom"/>
          </w:tcPr>
          <w:p>
            <w:pPr>
              <w:ind w:left="20"/>
              <w:spacing w:after="0"/>
              <w:rPr>
                <w:sz w:val="20"/>
                <w:szCs w:val="20"/>
                <w:color w:val="auto"/>
              </w:rPr>
            </w:pPr>
            <w:r>
              <w:rPr>
                <w:rFonts w:ascii="Times New Roman" w:cs="Times New Roman" w:eastAsia="Times New Roman" w:hAnsi="Times New Roman"/>
                <w:sz w:val="9"/>
                <w:szCs w:val="9"/>
                <w:color w:val="auto"/>
              </w:rPr>
              <w:t>Payroll taxes paid for stock-based compensation</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(7,970)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(7,970)</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Net income</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55,316</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10,917</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66,233</w:t>
            </w:r>
          </w:p>
        </w:tc>
        <w:tc>
          <w:tcPr>
            <w:tcW w:w="0" w:type="dxa"/>
            <w:vAlign w:val="bottom"/>
          </w:tcPr>
          <w:p>
            <w:pPr>
              <w:spacing w:after="0"/>
              <w:rPr>
                <w:sz w:val="1"/>
                <w:szCs w:val="1"/>
                <w:color w:val="auto"/>
              </w:rPr>
            </w:pPr>
          </w:p>
        </w:tc>
      </w:tr>
      <w:tr>
        <w:trPr>
          <w:trHeight w:val="120"/>
        </w:trPr>
        <w:tc>
          <w:tcPr>
            <w:tcW w:w="2080" w:type="dxa"/>
            <w:vAlign w:val="bottom"/>
          </w:tcPr>
          <w:p>
            <w:pPr>
              <w:ind w:left="20"/>
              <w:spacing w:after="0"/>
              <w:rPr>
                <w:sz w:val="20"/>
                <w:szCs w:val="20"/>
                <w:color w:val="auto"/>
              </w:rPr>
            </w:pPr>
            <w:r>
              <w:rPr>
                <w:rFonts w:ascii="Times New Roman" w:cs="Times New Roman" w:eastAsia="Times New Roman" w:hAnsi="Times New Roman"/>
                <w:sz w:val="9"/>
                <w:szCs w:val="9"/>
                <w:color w:val="auto"/>
              </w:rPr>
              <w:t>Foreign currency translation adjustments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611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703</w:t>
            </w:r>
          </w:p>
        </w:tc>
        <w:tc>
          <w:tcPr>
            <w:tcW w:w="0" w:type="dxa"/>
            <w:vAlign w:val="bottom"/>
          </w:tcPr>
          <w:p>
            <w:pPr>
              <w:spacing w:after="0"/>
              <w:rPr>
                <w:sz w:val="1"/>
                <w:szCs w:val="1"/>
                <w:color w:val="auto"/>
              </w:rPr>
            </w:pPr>
          </w:p>
        </w:tc>
      </w:tr>
      <w:tr>
        <w:trPr>
          <w:trHeight w:val="28"/>
        </w:trPr>
        <w:tc>
          <w:tcPr>
            <w:tcW w:w="20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80" w:type="dxa"/>
            <w:vAlign w:val="bottom"/>
            <w:tcBorders>
              <w:bottom w:val="single" w:sz="8" w:color="CCEEFF"/>
            </w:tcBorders>
            <w:shd w:val="clear" w:color="auto" w:fill="CCEEFF"/>
          </w:tcPr>
          <w:p>
            <w:pPr>
              <w:ind w:left="20"/>
              <w:spacing w:after="0" w:line="101" w:lineRule="exact"/>
              <w:rPr>
                <w:sz w:val="20"/>
                <w:szCs w:val="20"/>
                <w:color w:val="auto"/>
              </w:rPr>
            </w:pPr>
            <w:r>
              <w:rPr>
                <w:rFonts w:ascii="Times New Roman" w:cs="Times New Roman" w:eastAsia="Times New Roman" w:hAnsi="Times New Roman"/>
                <w:sz w:val="9"/>
                <w:szCs w:val="9"/>
                <w:color w:val="auto"/>
              </w:rPr>
              <w:t>Balance at June 30, 2021</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105,153,208</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96,933,192</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1,654,825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28,877,108</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4,347,884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4,714</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195,368</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650,360</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w w:val="87"/>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5,198,328</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9"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ind w:left="11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4"/>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03"/>
        </w:trPr>
        <w:tc>
          <w:tcPr>
            <w:tcW w:w="8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2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179,045</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147,798</w:t>
            </w:r>
          </w:p>
        </w:tc>
      </w:tr>
      <w:tr>
        <w:trPr>
          <w:trHeight w:val="217"/>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(used in) operating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89,220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82,833</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34,675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23,167</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taxes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30,551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28,749</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(Increase) decrease in operating assets: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Receivable from/payable to brokers and dealers and clearing organizations, net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w:t>
            </w: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Deposits with clearing organizations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8,046</w:t>
            </w: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(30,638)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(33,182)</w:t>
            </w: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Receivable from/payable to affiliates, net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(5,630)</w:t>
            </w: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Increase (decrease) in operating liabilities: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compensation</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(61,919)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(45,320)</w:t>
            </w: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revenue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4,240</w:t>
            </w: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(3,817)</w:t>
            </w: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Employee equity compensation payable</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w:t>
            </w:r>
          </w:p>
        </w:tc>
      </w:tr>
      <w:tr>
        <w:trPr>
          <w:trHeight w:val="186"/>
        </w:trPr>
        <w:tc>
          <w:tcPr>
            <w:tcW w:w="84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223,315</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204,006</w:t>
            </w:r>
          </w:p>
        </w:tc>
      </w:tr>
      <w:tr>
        <w:trPr>
          <w:trHeight w:val="23"/>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acquisitions, net of cash acquired</w:t>
            </w:r>
          </w:p>
        </w:tc>
        <w:tc>
          <w:tcPr>
            <w:tcW w:w="26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(208,857)</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furniture, equipment, software and leasehold improvements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(8,543)</w:t>
            </w:r>
          </w:p>
        </w:tc>
      </w:tr>
      <w:tr>
        <w:trPr>
          <w:trHeight w:val="196"/>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Capitalized software development costs</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(18,264)</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(16,967)</w:t>
            </w:r>
          </w:p>
        </w:tc>
      </w:tr>
      <w:tr>
        <w:trPr>
          <w:trHeight w:val="203"/>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(33,087)</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(234,367)</w:t>
            </w:r>
          </w:p>
        </w:tc>
      </w:tr>
      <w:tr>
        <w:trPr>
          <w:trHeight w:val="17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6"/>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 repurchases pursuant to the Share Repurchase Program</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(56,323)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(51,121)</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stock-based compensation exercises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67,536</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(32,172)</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(4,473)</w:t>
            </w:r>
          </w:p>
        </w:tc>
      </w:tr>
      <w:tr>
        <w:trPr>
          <w:trHeight w:val="217"/>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(97,976)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(53,434)</w:t>
            </w:r>
          </w:p>
        </w:tc>
      </w:tr>
      <w:tr>
        <w:trPr>
          <w:trHeight w:val="196"/>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Payments on tax receivable agreement liability</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(8,995)</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(6,849)</w:t>
            </w:r>
          </w:p>
        </w:tc>
      </w:tr>
      <w:tr>
        <w:trPr>
          <w:trHeight w:val="203"/>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(193,134)</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(80,513)</w:t>
            </w:r>
          </w:p>
        </w:tc>
      </w:tr>
      <w:tr>
        <w:trPr>
          <w:trHeight w:val="18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w:t>
            </w:r>
          </w:p>
        </w:tc>
      </w:tr>
      <w:tr>
        <w:trPr>
          <w:trHeight w:val="23"/>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(12,329)</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(110,055)</w:t>
            </w: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8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of period</w:t>
            </w: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973,048</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792,280</w:t>
            </w:r>
          </w:p>
        </w:tc>
      </w:tr>
      <w:tr>
        <w:trPr>
          <w:trHeight w:val="189"/>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 of period</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960,719</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682,225</w:t>
            </w:r>
          </w:p>
        </w:tc>
      </w:tr>
      <w:tr>
        <w:trPr>
          <w:trHeight w:val="21"/>
        </w:trPr>
        <w:tc>
          <w:tcPr>
            <w:tcW w:w="8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9"/>
        </w:trPr>
        <w:tc>
          <w:tcPr>
            <w:tcW w:w="8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 paid, net of (refunds)</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r>
      <w:tr>
        <w:trPr>
          <w:trHeight w:val="19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financing activities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Unsettled share repurchases included in other liabilities</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Items arising from LLC Interest ownership changes: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8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03"/>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Establishment of liabilities under tax receivable agreement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27,666</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tax asset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51,824</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109,725</w:t>
            </w:r>
          </w:p>
        </w:tc>
      </w:tr>
      <w:tr>
        <w:trPr>
          <w:trHeight w:val="223"/>
        </w:trPr>
        <w:tc>
          <w:tcPr>
            <w:tcW w:w="8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90"/>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6"/>
                <w:szCs w:val="16"/>
                <w:color w:val="auto"/>
              </w:rPr>
            </w:pPr>
          </w:p>
        </w:tc>
        <w:tc>
          <w:tcPr>
            <w:tcW w:w="11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as shown on the statements of financial condition:</w:t>
            </w:r>
          </w:p>
        </w:tc>
        <w:tc>
          <w:tcPr>
            <w:tcW w:w="260" w:type="dxa"/>
            <w:vAlign w:val="bottom"/>
          </w:tcPr>
          <w:p>
            <w:pPr>
              <w:spacing w:after="0"/>
              <w:rPr>
                <w:sz w:val="16"/>
                <w:szCs w:val="16"/>
                <w:color w:val="auto"/>
              </w:rPr>
            </w:pPr>
          </w:p>
        </w:tc>
        <w:tc>
          <w:tcPr>
            <w:tcW w:w="110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959,719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972,048</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21"/>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shown in the statement of cash flows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960,719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973,048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9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3051F2"/>
              </w:rPr>
              <w:t>Note 1</w:t>
            </w:r>
          </w:p>
        </w:tc>
        <w:tc>
          <w:tcPr>
            <w:tcW w:w="4760" w:type="dxa"/>
            <w:vAlign w:val="bottom"/>
            <w:gridSpan w:val="18"/>
          </w:tcPr>
          <w:p>
            <w:pPr>
              <w:ind w:left="280"/>
              <w:spacing w:after="0" w:line="196" w:lineRule="exact"/>
              <w:rPr>
                <w:sz w:val="20"/>
                <w:szCs w:val="20"/>
                <w:color w:val="auto"/>
              </w:rPr>
            </w:pPr>
            <w:r>
              <w:rPr>
                <w:rFonts w:ascii="Times New Roman" w:cs="Times New Roman" w:eastAsia="Times New Roman" w:hAnsi="Times New Roman"/>
                <w:sz w:val="18"/>
                <w:szCs w:val="18"/>
                <w:color w:val="3051F2"/>
              </w:rPr>
              <w:t>Organization</w:t>
            </w:r>
          </w:p>
        </w:tc>
        <w:tc>
          <w:tcPr>
            <w:tcW w:w="58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3051F2"/>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2</w:t>
            </w:r>
          </w:p>
        </w:tc>
        <w:tc>
          <w:tcPr>
            <w:tcW w:w="4760" w:type="dxa"/>
            <w:vAlign w:val="bottom"/>
            <w:gridSpan w:val="18"/>
          </w:tcPr>
          <w:p>
            <w:pPr>
              <w:ind w:left="280"/>
              <w:spacing w:after="0"/>
              <w:rPr>
                <w:sz w:val="20"/>
                <w:szCs w:val="20"/>
                <w:color w:val="auto"/>
              </w:rPr>
            </w:pPr>
            <w:r>
              <w:rPr>
                <w:rFonts w:ascii="Times New Roman" w:cs="Times New Roman" w:eastAsia="Times New Roman" w:hAnsi="Times New Roman"/>
                <w:sz w:val="18"/>
                <w:szCs w:val="18"/>
                <w:color w:val="3051F2"/>
              </w:rPr>
              <w:t>Significant Accounting Policies</w:t>
            </w:r>
          </w:p>
        </w:tc>
        <w:tc>
          <w:tcPr>
            <w:tcW w:w="5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051F2"/>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80" w:type="dxa"/>
            <w:vAlign w:val="bottom"/>
            <w:gridSpan w:val="2"/>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3051F2"/>
                <w:w w:val="98"/>
              </w:rPr>
              <w:t>Note 3</w:t>
            </w:r>
          </w:p>
        </w:tc>
        <w:tc>
          <w:tcPr>
            <w:tcW w:w="80" w:type="dxa"/>
            <w:vAlign w:val="bottom"/>
          </w:tcPr>
          <w:p>
            <w:pPr>
              <w:spacing w:after="0"/>
              <w:rPr>
                <w:sz w:val="21"/>
                <w:szCs w:val="21"/>
                <w:color w:val="auto"/>
              </w:rPr>
            </w:pPr>
          </w:p>
        </w:tc>
        <w:tc>
          <w:tcPr>
            <w:tcW w:w="4760" w:type="dxa"/>
            <w:vAlign w:val="bottom"/>
            <w:gridSpan w:val="18"/>
          </w:tcPr>
          <w:p>
            <w:pPr>
              <w:ind w:left="280"/>
              <w:spacing w:after="0"/>
              <w:rPr>
                <w:sz w:val="20"/>
                <w:szCs w:val="20"/>
                <w:color w:val="auto"/>
              </w:rPr>
            </w:pPr>
            <w:r>
              <w:rPr>
                <w:rFonts w:ascii="Times New Roman" w:cs="Times New Roman" w:eastAsia="Times New Roman" w:hAnsi="Times New Roman"/>
                <w:sz w:val="18"/>
                <w:szCs w:val="18"/>
                <w:color w:val="3051F2"/>
              </w:rPr>
              <w:t>Restricted Cash</w:t>
            </w:r>
          </w:p>
        </w:tc>
        <w:tc>
          <w:tcPr>
            <w:tcW w:w="5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051F2"/>
              </w:rPr>
              <w:t>23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Borders>
              <w:top w:val="single" w:sz="8" w:color="3051F2"/>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8"/>
              </w:rPr>
              <w:t>Note 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Borders>
              <w:top w:val="single" w:sz="8" w:color="3051F2"/>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5"/>
              </w:rPr>
              <w:t>Revenue</w:t>
            </w:r>
          </w:p>
        </w:tc>
        <w:tc>
          <w:tcPr>
            <w:tcW w:w="200" w:type="dxa"/>
            <w:vAlign w:val="bottom"/>
            <w:tcBorders>
              <w:top w:val="single" w:sz="8" w:color="3051F2"/>
              <w:bottom w:val="single" w:sz="8" w:color="3051F2"/>
            </w:tcBorders>
          </w:tcPr>
          <w:p>
            <w:pPr>
              <w:spacing w:after="0"/>
              <w:rPr>
                <w:sz w:val="21"/>
                <w:szCs w:val="21"/>
                <w:color w:val="auto"/>
              </w:rPr>
            </w:pPr>
          </w:p>
        </w:tc>
        <w:tc>
          <w:tcPr>
            <w:tcW w:w="180" w:type="dxa"/>
            <w:vAlign w:val="bottom"/>
            <w:tcBorders>
              <w:top w:val="single" w:sz="8" w:color="3051F2"/>
              <w:bottom w:val="single" w:sz="8" w:color="3051F2"/>
            </w:tcBorders>
            <w:gridSpan w:val="2"/>
          </w:tcPr>
          <w:p>
            <w:pPr>
              <w:spacing w:after="0"/>
              <w:rPr>
                <w:sz w:val="21"/>
                <w:szCs w:val="21"/>
                <w:color w:val="auto"/>
              </w:rPr>
            </w:pPr>
          </w:p>
        </w:tc>
        <w:tc>
          <w:tcPr>
            <w:tcW w:w="140" w:type="dxa"/>
            <w:vAlign w:val="bottom"/>
            <w:tcBorders>
              <w:top w:val="single" w:sz="8" w:color="3051F2"/>
              <w:bottom w:val="single" w:sz="8" w:color="3051F2"/>
            </w:tcBorders>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051F2"/>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25</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5</w:t>
            </w:r>
          </w:p>
        </w:tc>
        <w:tc>
          <w:tcPr>
            <w:tcW w:w="280" w:type="dxa"/>
            <w:vAlign w:val="bottom"/>
          </w:tcPr>
          <w:p>
            <w:pPr>
              <w:spacing w:after="0"/>
              <w:rPr>
                <w:sz w:val="18"/>
                <w:szCs w:val="18"/>
                <w:color w:val="auto"/>
              </w:rPr>
            </w:pPr>
          </w:p>
        </w:tc>
        <w:tc>
          <w:tcPr>
            <w:tcW w:w="1000" w:type="dxa"/>
            <w:vAlign w:val="bottom"/>
            <w:tcBorders>
              <w:bottom w:val="single" w:sz="8" w:color="3051F2"/>
            </w:tcBorders>
            <w:gridSpan w:val="4"/>
          </w:tcPr>
          <w:p>
            <w:pPr>
              <w:spacing w:after="0"/>
              <w:rPr>
                <w:sz w:val="20"/>
                <w:szCs w:val="20"/>
                <w:color w:val="auto"/>
              </w:rPr>
            </w:pPr>
            <w:r>
              <w:rPr>
                <w:rFonts w:ascii="Times New Roman" w:cs="Times New Roman" w:eastAsia="Times New Roman" w:hAnsi="Times New Roman"/>
                <w:sz w:val="18"/>
                <w:szCs w:val="18"/>
                <w:color w:val="3051F2"/>
                <w:w w:val="96"/>
              </w:rPr>
              <w:t>Income Taxes</w:t>
            </w:r>
          </w:p>
        </w:tc>
        <w:tc>
          <w:tcPr>
            <w:tcW w:w="3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25</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6</w:t>
            </w:r>
          </w:p>
        </w:tc>
        <w:tc>
          <w:tcPr>
            <w:tcW w:w="280" w:type="dxa"/>
            <w:vAlign w:val="bottom"/>
          </w:tcPr>
          <w:p>
            <w:pPr>
              <w:spacing w:after="0"/>
              <w:rPr>
                <w:sz w:val="18"/>
                <w:szCs w:val="18"/>
                <w:color w:val="auto"/>
              </w:rPr>
            </w:pPr>
          </w:p>
        </w:tc>
        <w:tc>
          <w:tcPr>
            <w:tcW w:w="1960" w:type="dxa"/>
            <w:vAlign w:val="bottom"/>
            <w:tcBorders>
              <w:bottom w:val="single" w:sz="8" w:color="3051F2"/>
            </w:tcBorders>
            <w:gridSpan w:val="10"/>
          </w:tcPr>
          <w:p>
            <w:pPr>
              <w:spacing w:after="0"/>
              <w:rPr>
                <w:sz w:val="20"/>
                <w:szCs w:val="20"/>
                <w:color w:val="auto"/>
              </w:rPr>
            </w:pPr>
            <w:r>
              <w:rPr>
                <w:rFonts w:ascii="Times New Roman" w:cs="Times New Roman" w:eastAsia="Times New Roman" w:hAnsi="Times New Roman"/>
                <w:sz w:val="18"/>
                <w:szCs w:val="18"/>
                <w:color w:val="3051F2"/>
                <w:w w:val="98"/>
              </w:rPr>
              <w:t>Tax Receivable Agreement</w:t>
            </w:r>
          </w:p>
        </w:tc>
        <w:tc>
          <w:tcPr>
            <w:tcW w:w="4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26</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7</w:t>
            </w:r>
          </w:p>
        </w:tc>
        <w:tc>
          <w:tcPr>
            <w:tcW w:w="280" w:type="dxa"/>
            <w:vAlign w:val="bottom"/>
          </w:tcPr>
          <w:p>
            <w:pPr>
              <w:spacing w:after="0"/>
              <w:rPr>
                <w:sz w:val="18"/>
                <w:szCs w:val="18"/>
                <w:color w:val="auto"/>
              </w:rPr>
            </w:pPr>
          </w:p>
        </w:tc>
        <w:tc>
          <w:tcPr>
            <w:tcW w:w="1860" w:type="dxa"/>
            <w:vAlign w:val="bottom"/>
            <w:tcBorders>
              <w:bottom w:val="single" w:sz="8" w:color="3051F2"/>
            </w:tcBorders>
            <w:gridSpan w:val="8"/>
          </w:tcPr>
          <w:p>
            <w:pPr>
              <w:spacing w:after="0"/>
              <w:rPr>
                <w:sz w:val="20"/>
                <w:szCs w:val="20"/>
                <w:color w:val="auto"/>
              </w:rPr>
            </w:pPr>
            <w:r>
              <w:rPr>
                <w:rFonts w:ascii="Times New Roman" w:cs="Times New Roman" w:eastAsia="Times New Roman" w:hAnsi="Times New Roman"/>
                <w:sz w:val="18"/>
                <w:szCs w:val="18"/>
                <w:color w:val="3051F2"/>
                <w:w w:val="99"/>
              </w:rPr>
              <w:t>Non-Controlling Interests</w:t>
            </w:r>
          </w:p>
        </w:tc>
        <w:tc>
          <w:tcPr>
            <w:tcW w:w="60" w:type="dxa"/>
            <w:vAlign w:val="bottom"/>
          </w:tcPr>
          <w:p>
            <w:pPr>
              <w:spacing w:after="0"/>
              <w:rPr>
                <w:sz w:val="18"/>
                <w:szCs w:val="18"/>
                <w:color w:val="auto"/>
              </w:rPr>
            </w:pPr>
          </w:p>
        </w:tc>
        <w:tc>
          <w:tcPr>
            <w:tcW w:w="4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27</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8</w:t>
            </w:r>
          </w:p>
        </w:tc>
        <w:tc>
          <w:tcPr>
            <w:tcW w:w="280" w:type="dxa"/>
            <w:vAlign w:val="bottom"/>
          </w:tcPr>
          <w:p>
            <w:pPr>
              <w:spacing w:after="0"/>
              <w:rPr>
                <w:sz w:val="18"/>
                <w:szCs w:val="18"/>
                <w:color w:val="auto"/>
              </w:rPr>
            </w:pPr>
          </w:p>
        </w:tc>
        <w:tc>
          <w:tcPr>
            <w:tcW w:w="4300" w:type="dxa"/>
            <w:vAlign w:val="bottom"/>
            <w:tcBorders>
              <w:bottom w:val="single" w:sz="8" w:color="3051F2"/>
            </w:tcBorders>
            <w:gridSpan w:val="16"/>
          </w:tcPr>
          <w:p>
            <w:pPr>
              <w:spacing w:after="0"/>
              <w:rPr>
                <w:sz w:val="20"/>
                <w:szCs w:val="20"/>
                <w:color w:val="auto"/>
              </w:rPr>
            </w:pPr>
            <w:r>
              <w:rPr>
                <w:rFonts w:ascii="Times New Roman" w:cs="Times New Roman" w:eastAsia="Times New Roman" w:hAnsi="Times New Roman"/>
                <w:sz w:val="18"/>
                <w:szCs w:val="18"/>
                <w:color w:val="3051F2"/>
                <w:w w:val="99"/>
              </w:rPr>
              <w:t>Stockholders’ Equity and Stock-Based Compensation Plans</w:t>
            </w: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28</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9</w:t>
            </w:r>
          </w:p>
        </w:tc>
        <w:tc>
          <w:tcPr>
            <w:tcW w:w="280" w:type="dxa"/>
            <w:vAlign w:val="bottom"/>
          </w:tcPr>
          <w:p>
            <w:pPr>
              <w:spacing w:after="0"/>
              <w:rPr>
                <w:sz w:val="18"/>
                <w:szCs w:val="18"/>
                <w:color w:val="auto"/>
              </w:rPr>
            </w:pPr>
          </w:p>
        </w:tc>
        <w:tc>
          <w:tcPr>
            <w:tcW w:w="1920" w:type="dxa"/>
            <w:vAlign w:val="bottom"/>
            <w:tcBorders>
              <w:bottom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w w:val="97"/>
              </w:rPr>
              <w:t>Related Party Transactions</w:t>
            </w:r>
          </w:p>
        </w:tc>
        <w:tc>
          <w:tcPr>
            <w:tcW w:w="4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29</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10</w:t>
            </w:r>
          </w:p>
        </w:tc>
        <w:tc>
          <w:tcPr>
            <w:tcW w:w="280" w:type="dxa"/>
            <w:vAlign w:val="bottom"/>
          </w:tcPr>
          <w:p>
            <w:pPr>
              <w:spacing w:after="0"/>
              <w:rPr>
                <w:sz w:val="18"/>
                <w:szCs w:val="18"/>
                <w:color w:val="auto"/>
              </w:rPr>
            </w:pPr>
          </w:p>
        </w:tc>
        <w:tc>
          <w:tcPr>
            <w:tcW w:w="2540" w:type="dxa"/>
            <w:vAlign w:val="bottom"/>
            <w:tcBorders>
              <w:bottom w:val="single" w:sz="8" w:color="3051F2"/>
            </w:tcBorders>
            <w:gridSpan w:val="14"/>
          </w:tcPr>
          <w:p>
            <w:pPr>
              <w:spacing w:after="0"/>
              <w:rPr>
                <w:sz w:val="20"/>
                <w:szCs w:val="20"/>
                <w:color w:val="auto"/>
              </w:rPr>
            </w:pPr>
            <w:r>
              <w:rPr>
                <w:rFonts w:ascii="Times New Roman" w:cs="Times New Roman" w:eastAsia="Times New Roman" w:hAnsi="Times New Roman"/>
                <w:sz w:val="18"/>
                <w:szCs w:val="18"/>
                <w:color w:val="3051F2"/>
                <w:w w:val="98"/>
              </w:rPr>
              <w:t>Fair Value of Financial Instruments</w:t>
            </w:r>
          </w:p>
        </w:tc>
        <w:tc>
          <w:tcPr>
            <w:tcW w:w="8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32</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11</w:t>
            </w:r>
          </w:p>
        </w:tc>
        <w:tc>
          <w:tcPr>
            <w:tcW w:w="280" w:type="dxa"/>
            <w:vAlign w:val="bottom"/>
          </w:tcPr>
          <w:p>
            <w:pPr>
              <w:spacing w:after="0"/>
              <w:rPr>
                <w:sz w:val="18"/>
                <w:szCs w:val="18"/>
                <w:color w:val="auto"/>
              </w:rPr>
            </w:pPr>
          </w:p>
        </w:tc>
        <w:tc>
          <w:tcPr>
            <w:tcW w:w="82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w w:val="96"/>
              </w:rPr>
              <w:t>Credit Risk</w:t>
            </w:r>
          </w:p>
        </w:tc>
        <w:tc>
          <w:tcPr>
            <w:tcW w:w="54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32</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12</w:t>
            </w:r>
          </w:p>
        </w:tc>
        <w:tc>
          <w:tcPr>
            <w:tcW w:w="280" w:type="dxa"/>
            <w:vAlign w:val="bottom"/>
          </w:tcPr>
          <w:p>
            <w:pPr>
              <w:spacing w:after="0"/>
              <w:rPr>
                <w:sz w:val="18"/>
                <w:szCs w:val="18"/>
                <w:color w:val="auto"/>
              </w:rPr>
            </w:pPr>
          </w:p>
        </w:tc>
        <w:tc>
          <w:tcPr>
            <w:tcW w:w="2400" w:type="dxa"/>
            <w:vAlign w:val="bottom"/>
            <w:tcBorders>
              <w:bottom w:val="single" w:sz="8" w:color="3051F2"/>
            </w:tcBorders>
            <w:gridSpan w:val="12"/>
          </w:tcPr>
          <w:p>
            <w:pPr>
              <w:spacing w:after="0"/>
              <w:rPr>
                <w:sz w:val="20"/>
                <w:szCs w:val="20"/>
                <w:color w:val="auto"/>
              </w:rPr>
            </w:pPr>
            <w:r>
              <w:rPr>
                <w:rFonts w:ascii="Times New Roman" w:cs="Times New Roman" w:eastAsia="Times New Roman" w:hAnsi="Times New Roman"/>
                <w:sz w:val="18"/>
                <w:szCs w:val="18"/>
                <w:color w:val="3051F2"/>
                <w:w w:val="99"/>
              </w:rPr>
              <w:t>Commitments and Contingencies</w:t>
            </w:r>
          </w:p>
        </w:tc>
        <w:tc>
          <w:tcPr>
            <w:tcW w:w="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34</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13</w:t>
            </w:r>
          </w:p>
        </w:tc>
        <w:tc>
          <w:tcPr>
            <w:tcW w:w="280" w:type="dxa"/>
            <w:vAlign w:val="bottom"/>
          </w:tcPr>
          <w:p>
            <w:pPr>
              <w:spacing w:after="0"/>
              <w:rPr>
                <w:sz w:val="18"/>
                <w:szCs w:val="18"/>
                <w:color w:val="auto"/>
              </w:rPr>
            </w:pPr>
          </w:p>
        </w:tc>
        <w:tc>
          <w:tcPr>
            <w:tcW w:w="1380" w:type="dxa"/>
            <w:vAlign w:val="bottom"/>
            <w:tcBorders>
              <w:bottom w:val="single" w:sz="8" w:color="3051F2"/>
            </w:tcBorders>
            <w:gridSpan w:val="7"/>
          </w:tcPr>
          <w:p>
            <w:pPr>
              <w:spacing w:after="0"/>
              <w:rPr>
                <w:sz w:val="20"/>
                <w:szCs w:val="20"/>
                <w:color w:val="auto"/>
              </w:rPr>
            </w:pPr>
            <w:r>
              <w:rPr>
                <w:rFonts w:ascii="Times New Roman" w:cs="Times New Roman" w:eastAsia="Times New Roman" w:hAnsi="Times New Roman"/>
                <w:sz w:val="18"/>
                <w:szCs w:val="18"/>
                <w:color w:val="3051F2"/>
                <w:w w:val="98"/>
              </w:rPr>
              <w:t>Earnings Per Share</w:t>
            </w:r>
          </w:p>
        </w:tc>
        <w:tc>
          <w:tcPr>
            <w:tcW w:w="1040" w:type="dxa"/>
            <w:vAlign w:val="bottom"/>
            <w:gridSpan w:val="6"/>
          </w:tcPr>
          <w:p>
            <w:pPr>
              <w:spacing w:after="0"/>
              <w:rPr>
                <w:sz w:val="18"/>
                <w:szCs w:val="18"/>
                <w:color w:val="auto"/>
              </w:rPr>
            </w:pPr>
          </w:p>
        </w:tc>
        <w:tc>
          <w:tcPr>
            <w:tcW w:w="9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35</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14</w:t>
            </w:r>
          </w:p>
        </w:tc>
        <w:tc>
          <w:tcPr>
            <w:tcW w:w="280" w:type="dxa"/>
            <w:vAlign w:val="bottom"/>
          </w:tcPr>
          <w:p>
            <w:pPr>
              <w:spacing w:after="0"/>
              <w:rPr>
                <w:sz w:val="18"/>
                <w:szCs w:val="18"/>
                <w:color w:val="auto"/>
              </w:rPr>
            </w:pPr>
          </w:p>
        </w:tc>
        <w:tc>
          <w:tcPr>
            <w:tcW w:w="2420" w:type="dxa"/>
            <w:vAlign w:val="bottom"/>
            <w:tcBorders>
              <w:bottom w:val="single" w:sz="8" w:color="3051F2"/>
            </w:tcBorders>
            <w:gridSpan w:val="13"/>
          </w:tcPr>
          <w:p>
            <w:pPr>
              <w:spacing w:after="0"/>
              <w:rPr>
                <w:sz w:val="20"/>
                <w:szCs w:val="20"/>
                <w:color w:val="auto"/>
              </w:rPr>
            </w:pPr>
            <w:r>
              <w:rPr>
                <w:rFonts w:ascii="Times New Roman" w:cs="Times New Roman" w:eastAsia="Times New Roman" w:hAnsi="Times New Roman"/>
                <w:sz w:val="18"/>
                <w:szCs w:val="18"/>
                <w:color w:val="3051F2"/>
                <w:w w:val="99"/>
              </w:rPr>
              <w:t>Regulatory Capital Requirements</w:t>
            </w:r>
          </w:p>
        </w:tc>
        <w:tc>
          <w:tcPr>
            <w:tcW w:w="9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36</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15</w:t>
            </w:r>
          </w:p>
        </w:tc>
        <w:tc>
          <w:tcPr>
            <w:tcW w:w="280" w:type="dxa"/>
            <w:vAlign w:val="bottom"/>
          </w:tcPr>
          <w:p>
            <w:pPr>
              <w:spacing w:after="0"/>
              <w:rPr>
                <w:sz w:val="18"/>
                <w:szCs w:val="18"/>
                <w:color w:val="auto"/>
              </w:rPr>
            </w:pPr>
          </w:p>
        </w:tc>
        <w:tc>
          <w:tcPr>
            <w:tcW w:w="3400" w:type="dxa"/>
            <w:vAlign w:val="bottom"/>
            <w:tcBorders>
              <w:bottom w:val="single" w:sz="8" w:color="3051F2"/>
            </w:tcBorders>
            <w:gridSpan w:val="15"/>
          </w:tcPr>
          <w:p>
            <w:pPr>
              <w:spacing w:after="0"/>
              <w:rPr>
                <w:sz w:val="20"/>
                <w:szCs w:val="20"/>
                <w:color w:val="auto"/>
              </w:rPr>
            </w:pPr>
            <w:r>
              <w:rPr>
                <w:rFonts w:ascii="Times New Roman" w:cs="Times New Roman" w:eastAsia="Times New Roman" w:hAnsi="Times New Roman"/>
                <w:sz w:val="18"/>
                <w:szCs w:val="18"/>
                <w:color w:val="3051F2"/>
                <w:w w:val="99"/>
              </w:rPr>
              <w:t>Business Segment and Geographic Information</w:t>
            </w: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37</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16</w:t>
            </w:r>
          </w:p>
        </w:tc>
        <w:tc>
          <w:tcPr>
            <w:tcW w:w="280" w:type="dxa"/>
            <w:vAlign w:val="bottom"/>
          </w:tcPr>
          <w:p>
            <w:pPr>
              <w:spacing w:after="0"/>
              <w:rPr>
                <w:sz w:val="18"/>
                <w:szCs w:val="18"/>
                <w:color w:val="auto"/>
              </w:rPr>
            </w:pPr>
          </w:p>
        </w:tc>
        <w:tc>
          <w:tcPr>
            <w:tcW w:w="1360" w:type="dxa"/>
            <w:vAlign w:val="bottom"/>
            <w:tcBorders>
              <w:bottom w:val="single" w:sz="8" w:color="3051F2"/>
            </w:tcBorders>
            <w:gridSpan w:val="6"/>
          </w:tcPr>
          <w:p>
            <w:pPr>
              <w:spacing w:after="0"/>
              <w:rPr>
                <w:sz w:val="20"/>
                <w:szCs w:val="20"/>
                <w:color w:val="auto"/>
              </w:rPr>
            </w:pPr>
            <w:r>
              <w:rPr>
                <w:rFonts w:ascii="Times New Roman" w:cs="Times New Roman" w:eastAsia="Times New Roman" w:hAnsi="Times New Roman"/>
                <w:sz w:val="18"/>
                <w:szCs w:val="18"/>
                <w:color w:val="3051F2"/>
                <w:w w:val="98"/>
              </w:rPr>
              <w:t>Subsequent Events</w:t>
            </w:r>
          </w:p>
        </w:tc>
        <w:tc>
          <w:tcPr>
            <w:tcW w:w="3120" w:type="dxa"/>
            <w:vAlign w:val="bottom"/>
            <w:gridSpan w:val="11"/>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00" w:type="dxa"/>
            <w:vAlign w:val="bottom"/>
            <w:vMerge w:val="restart"/>
          </w:tcPr>
          <w:p>
            <w:pPr>
              <w:jc w:val="right"/>
              <w:ind w:right="4450"/>
              <w:spacing w:after="0"/>
              <w:rPr>
                <w:sz w:val="20"/>
                <w:szCs w:val="20"/>
                <w:color w:val="auto"/>
              </w:rPr>
            </w:pPr>
            <w:r>
              <w:rPr>
                <w:rFonts w:ascii="Times New Roman" w:cs="Times New Roman" w:eastAsia="Times New Roman" w:hAnsi="Times New Roman"/>
                <w:sz w:val="18"/>
                <w:szCs w:val="18"/>
                <w:color w:val="auto"/>
              </w:rPr>
              <w:t>14</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6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Tradeweb Markets Inc. (the “Corporation”) was incorporated as a Delaware corporation on November 7, 2018 to carry on the business of Tradeweb Markets LLC (“TWM LLC”) following the completion of a series of reorganization transactions on April 4, 2019 (the “Reorganization Transactions”), in connection with Tradeweb Markets Inc.’s initial public offering (the “IPO”), which closed on April 8, 2019. Following the Reorganization Transactions, Refinitiv Holdings Limited (unless otherwise stated or the context otherwise requires, together with all of its direct and indirect subsidiaries, “Refinitiv”) owned an indirect majority ownership interest in the Company (as defined below).</w:t>
      </w:r>
    </w:p>
    <w:p>
      <w:pPr>
        <w:spacing w:after="0" w:line="15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On January 29, 2021, London Stock Exchange Group plc (“LSEG”) completed its acquisition of Refinitiv from a consortium, including certain investment funds affiliated with The Blackstone Group Inc. (f/k/a The Blackstone Group L.P.) (“Blackstone”) as well as Thomson Reuters Corporation (“TR”), in an all share transaction (the “LSEG Transaction”).</w:t>
      </w:r>
    </w:p>
    <w:p>
      <w:pPr>
        <w:spacing w:after="0" w:line="13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LSEG Transaction, the Corporation became a consolidating subsidiary of LSEG. Prior to the LSEG Transaction, the Corporation was a consolidating subsidiary of BCP York Holdings (“BCP”), a company owned by certain investment funds affiliated with Blackstone, through BCP’s previous majority ownership interest in Refinitiv.</w:t>
      </w:r>
    </w:p>
    <w:p>
      <w:pPr>
        <w:spacing w:after="0" w:line="135"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The Corporation is a holding company whose principal asset is LLC Interests (as defined below) of TWM LLC. As the sole manager of TWM LLC, the Corporation operates and controls all of the business and affairs of TWM LLC and, through TWM LLC and its subsidiaries, conducts the Corporation’s business. As a result of this control, and because the Corporation has a substantial financial interest in TWM LLC, the Corporation consolidates the financial results of TWM LLC and reports a non-controlling interest in the Corporation’s condensed consolidated financial statements. As of June 30, 2022, Tradeweb Markets Inc. owns 87.2% of TWM LLC and the non-controlling interest holders own the remaining 12.8% of TWM LLC. As of December 31, 2021, Tradeweb Markets Inc. owned 86.9% of TWM LLC and the non-controlling interest holders owned the remaining 13.1% of TWM LLC.</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references to the “Company” refer to Tradeweb Markets Inc. and its consolidated subsidiaries, including TWM LLC, following the completion of the Reorganization Transactions, and TWM LLC and its consolidated subsidiaries prior to the completion of the Reorganization Transactions.</w:t>
      </w:r>
    </w:p>
    <w:p>
      <w:pPr>
        <w:spacing w:after="0" w:line="13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is a leader in building and operating electronic marketplaces for a global network of clients across the institutional, wholesale and retail client sectors. The Company’s principal subsidiaries include:</w:t>
      </w:r>
    </w:p>
    <w:p>
      <w:pPr>
        <w:spacing w:after="0" w:line="121" w:lineRule="exact"/>
        <w:rPr>
          <w:sz w:val="20"/>
          <w:szCs w:val="20"/>
          <w:color w:val="auto"/>
        </w:rPr>
      </w:pPr>
    </w:p>
    <w:p>
      <w:pPr>
        <w:ind w:left="660" w:right="1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LLC (“TWL”), a registered broker-dealer under the Securities Exchange Act of 1934, as amended (the “Exchange Act”), a member of the Financial Industry Regulatory Authority (“FINRA”), a registered independent introducing broker with the Commodities Future Trading Commission (“CFTC”) and a member of the National Futures Association (“NFA”).</w:t>
      </w:r>
    </w:p>
    <w:p>
      <w:pPr>
        <w:spacing w:after="0" w:line="148"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Dealerweb Inc. (“DW”) (formerly known as Hilliard Farber &amp; Co., Inc.), a registered broker-dealer under the Exchange Act and a member of FINRA. DW is also registered as an introducing broker with the CFTC and a member of the NFA.</w:t>
      </w:r>
    </w:p>
    <w:p>
      <w:pPr>
        <w:spacing w:after="0" w:line="12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Direct LLC (“TWD”) (formerly known as BondDesk Trading LLC), a registered broker-dealer under the Exchange Act and a member of FINRA.</w:t>
      </w:r>
    </w:p>
    <w:p>
      <w:pPr>
        <w:spacing w:after="0" w:line="12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Access, LLC (“EA”), acquired in June 2021 in connection with the NFI Acquisition (as defined below), a registered broker-dealer under the Exchange Act and a member of FINRA.</w:t>
      </w:r>
    </w:p>
    <w:p>
      <w:pPr>
        <w:spacing w:after="0" w:line="134"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Europe Limited (“TEL”), a Multilateral Trading Facility regulated by the Financial Conduct Authority (the “FCA”) in the UK, which maintains branches in Asia which are regulated by certain Asian securities regulators.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 SEF LLC (“TW SEF”), a Swap Execution Facility (“SEF”) regulated by the CFTC.</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DW SEF LLC (“DW SEF”), a SEF regulated by the CFTC.</w:t>
      </w:r>
    </w:p>
    <w:p>
      <w:pPr>
        <w:spacing w:after="0" w:line="184"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Japan K.K. (“TWJ”), a security house regulated by the Japanese Financial Services Agency (“JFSA”) and the Japan Securities Dealers Association (“JSDA”).</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8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EU B.V. (“TWEU”), a Trading Venue and Approved Publication Arrangement regulated by the Netherlands Authority for the Financial Markets (“AFM”).</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Execution Services Limited (“TESL”), an Investment Firm (“BIPRU Firm”) regulated by the FCA in the UK.</w:t>
      </w:r>
    </w:p>
    <w:p>
      <w:pPr>
        <w:spacing w:after="0" w:line="184"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Commercial Information Consulting (Shanghai) Co., Ltd. a wholly-owned foreign enterprise (WOFE) for the purpose of providing consulting and marketing activities in China. The Tradeweb offshore electronic trading platform is recognized by the People’s Bank of China for the provision of Bond Connect and CIBM Direct.</w:t>
      </w:r>
    </w:p>
    <w:p>
      <w:pPr>
        <w:spacing w:after="0" w:line="135"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Execution Services B.V. (“TESBV”), a European Union investment firm with permission to trade on a matched principal basis, authorized and regulated by the AFM.</w:t>
      </w:r>
    </w:p>
    <w:p>
      <w:pPr>
        <w:spacing w:after="0" w:line="13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June 2021, the Company acquired Nasdaq’s U.S. fixed income electronic trading platform, formerly known as eSpeed (the “NFI Acquisition”), which was a fully executable central order limit book (CLOB) for electronic trading in on-the-run (OTR) U.S. government bonds.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 majority interest of Refinitiv (formerly the Thomson Reuters Financial &amp; Risk Business) was acquired by BCP on October 1, 2018 (the “Refinitiv Transaction”) from TR. The Refinitiv Transaction resulted in a new basis of accounting for certain of the Company’s assets and liabilities beginning on October 1, 2018. See Note 2 – Significant Accounting Policies for a description of pushdown accounting applied as a result of the Refinitiv Transaction.</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Reorganization Transactions, TWM LLC’s limited liability company agreement (the “TWM LLC Agreement”) was amended and restated to, among other things, (i) provide for a new single class of common membership interests in TWM LLC (the “LLC Interests”), (ii) exchange all of the then existing membership interests in TWM LLC for LLC Interests and (iii) appoint the Corporation as the sole manager of TWM LLC. As used herein, references to “Continuing LLC Owners” refer collectively to (i) those “Original LLC Owners,” including an indirect subsidiary of Refinitiv, certain investment and commercial banks (collectively, the “Bank Stockholders”) and members of management, that continued to own LLC Interests after the completion of the IPO and Reorganization Transactions, that received shares of Class C common stock, par value $0.00001 per share, of the Corporation (the “Class C common stock”), shares of Class D common stock, par value $0.00001 per share, of the Corporation (the “Class D common stock”) or a combination of both, as the case may be, in connection with the completion of the Reorganization Transactions, and that may redeem or exchange their LLC Interests for shares of Class A common stock, par value $0.00001 per share, of the Corporation (the “Class A common stock”) or Class B common stock, par value $0.00001 per share, of the Corporation (the “Class B common stock”) and (ii) solely with respect to the Tax Receivable Agreement (as defined in Note 6 – Tax Receivable Agreement), also includes those Original LLC Owners, including certain Bank Stockholders, that disposed of all of their LLC Interests for cash in connection with the IPO.</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w:t>
      </w:r>
    </w:p>
    <w:p>
      <w:pPr>
        <w:spacing w:after="0" w:line="185" w:lineRule="exact"/>
        <w:rPr>
          <w:sz w:val="20"/>
          <w:szCs w:val="20"/>
          <w:color w:val="auto"/>
        </w:rPr>
      </w:pPr>
    </w:p>
    <w:p>
      <w:pPr>
        <w:ind w:left="660" w:right="34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investors collectively owned 107,615,695 shares of Class A common stock, representing 7.9% of the combined voting power of Tradeweb Markets Inc.’s issued and outstanding common stock and indirectly, through Tradeweb Markets Inc., owned 45.9% of the economic interest in TWM LLC;</w:t>
      </w:r>
    </w:p>
    <w:p>
      <w:pPr>
        <w:spacing w:after="0" w:line="13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collectively owned 96,933,192 shares of Class B common stock and 22,988,329 shares of Class D common stock, representing 88.1% of the combined voting power of Tradeweb Markets Inc.’s issued and outstanding common stock and directly and indirectly, through Tradeweb Markets Inc., owned 51.1% of the economic interest in TWM LLC; and</w:t>
      </w:r>
    </w:p>
    <w:p>
      <w:pPr>
        <w:spacing w:after="0" w:line="148"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Stockholders that continue to own LLC Interests collectively owned 1,654,825 shares of Class C common stock and 5,220,129 shares of Class D common stock, representing 4.0% of the combined voting power of Tradeweb Markets Inc.’s issued and outstanding common stock and directly own 2.9% of the economic interest in TWM LLC. As of June 30, 2022, only entities affiliated with Credit Suisse Securities (USA) LLC remained as Bank Stockholders.</w:t>
      </w:r>
    </w:p>
    <w:p>
      <w:pPr>
        <w:spacing w:after="0" w:line="139"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stockholders that continue to own LLC Interests also collectively owned 108,375 shares of Class D common stock, representing less than 0.1% of the combined voting power of Tradeweb Markets Inc.’s issued and outstanding common stock and directly own less than 0.1% of the economic interest in TWM LLC.</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for the three and six months ended June 30, 2022, the Company’s basic and diluted earnings per share calculation is impacted by 76,426 and 80,778, respectively, of weighted average shares resulting from unvested restricted stock units and unsettled vested performance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restricted stock units that were considered participating securities for purposes of calculating earnings per share in accordance with the two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class method, and for the three and six months ended June 30, 2022 the Company’s diluted earnings per share calculation also includes 2,771,640 and 3,088,966, respectively, of weighted average shares resulting from the dilutive effect of its equity incentive plans. See Note 13 – Earnings Per Share for additional details.</w:t>
      </w:r>
    </w:p>
    <w:p>
      <w:pPr>
        <w:spacing w:after="0" w:line="15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significant accounting policies: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subsidiaries. All intercompany transactions and balances have been eliminated in consolidation. As discussed in Note 1 – Organization, as a result of the Reorganization Transactions, Tradeweb Markets Inc. consolidates TWM LLC and its subsidiaries and TWM LLC is considered to be the predecessor to Tradeweb Markets Inc. for financial reporting purposes. Tradeweb Markets Inc. had no business transactions or activities and no substantial assets or liabilities prior to the Reorganization Transactions. The condensed consolidated financial statements represent the financial condition and results of operations of the Company and report a non-controlling interest related to the LLC Interests held by the Continuing LLC Owners.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condensed consolidated financial statements are unaudited and should be read in conjunction with the audited consolidated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the Company’s Annual Report on Form 10-K for the year ended December 31, 2021. The consolidated financial information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has been derived from audited financial statements not included herein. These unaudited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have been prepared in accordance with accounting principles generally accepted in the United States of America (“GAAP”) and the rules and regulations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Securities and Exchange Commission (“SEC”) with respect to interim financial reporting and Form 10-Q. In accordance with such rules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 certain disclosures that are normally included in annual financial statements have been omitted. These unaudited condensed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reflect all normal and recurring adjustments that are, in the opinion of management, necessary for a fair statement of the results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periods presented. Operating results for interim periods are not necessarily indicative of the results that may be expected for the full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condensed consolidated financial statements and the reported amounts of revenues and expenses during the reporting period. Actual results could differ from those estimates and the difference may be material to the condensed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8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7"/>
          <w:szCs w:val="17"/>
          <w:color w:val="auto"/>
        </w:rPr>
        <w:t xml:space="preserve">Business combinations are accounted for under the purchase method of accounting pursuant to Accounting Standards Codification (“ASC”) 805,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Combinations </w:t>
      </w:r>
      <w:r>
        <w:rPr>
          <w:rFonts w:ascii="Times New Roman" w:cs="Times New Roman" w:eastAsia="Times New Roman" w:hAnsi="Times New Roman"/>
          <w:sz w:val="17"/>
          <w:szCs w:val="17"/>
          <w:color w:val="auto"/>
        </w:rPr>
        <w:t>(“ASC 805”). The total cost of an acquisition is allocated to the underlying net assets based on their respective estimated fair values.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excess of the purchase price over the estimated fair values of the net assets acquired is recorded as goodwill. The fair value of assets acquired and liabilities assumed is determined based on assumptions that reasonable market participants would use in the principal (or most advantageous) market for the asset or liability. Determining the fair value of certain assets acquired and liabilities assumed is judgmental in nature and often involves the use of significant estimates and assumptions, including assumptions with respect to future cash flows, discount rates, growth rates, customer attrition rates and asset lives.</w:t>
      </w:r>
    </w:p>
    <w:p>
      <w:pPr>
        <w:spacing w:after="0" w:line="14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Transaction costs incurred to effect a business combination are expensed as incurred and are included as a component of professional fees in the condensed consolidated statements of income. During the three and six months ended June 30, 2021, the Company incurred a total of $3.0 million and $4.7 million, respectively, in transaction costs related to the NFI Acquisition. No material transaction costs were incurred during the three and six months ended June 30, 2022.</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Pushdown Accounting</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Refinitiv Transaction, a majority interest of Refinitiv was acquired by BCP on October 1, 2018 from TR. The Refinitiv Transaction was accounted for by Refinitiv in accordance with the acquisition method of accounting pursuant to ASC 805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pushdown accounting was applied to Refinitiv to record the fair value of the assets and liabilities of Refinitiv as of October 1, 2018, the date of the Refinitiv Transaction. The Company, as a consolidating subsidiary of Refinitiv, also accounted for the Refinitiv Transaction using pushdown accounting which resulted in a new fair value basis of accounting for certain of the Company’s assets and liabilities beginning on October 1, 2018. Under the pushdown accounting applied, the excess of the fair value of the Company above the fair value accounting basis of the net assets and liabilities of the Company as of October 1, 2018 was recorded as goodwill. The fair value of assets acquired and liabilities assumed was determined based on assumptions that reasonable market participants would use in the principal (or most advantageous) market for the asset or liability. The adjusted valuations primarily affected the values of the Company’s long-lived and indefinite-lived intangible assets, including software development costs.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8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consists of cash and highly liquid investments (such as short-term money market instruments) with original maturities at the time of purchase of three months or less.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continually monitors collections and payments from its clients and maintains an allowance for credit losses. The allowance for credit losses is based on an estimate of the amount of potential credit losses in existing accounts receivable, as determined from a review of aging schedules, past due balances, historical collection experience and other specific account data. Careful analysis of the financial condition of the Company’s counterparties is also performed.</w:t>
      </w:r>
    </w:p>
    <w:p>
      <w:pPr>
        <w:spacing w:after="0" w:line="13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Additions to the allowance for credit losses are charged to credit loss expense, which is included in general and administrative expenses in the condensed consolidated statements of income. Aged balances that are determined to be uncollectible, are written off against the allowance for credit losses. See Note 11 – Credit Risk for additional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 from and Payable to Brokers and Dealers and Clearing Organizations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Receivable from and payable to brokers and dealers and clearing organizations consists of proceeds from transactions executed on the Company’s wholesale platform which failed to settle due to the inability of a transaction party to deliver or receive the transacted security. These securities transactions are generally collateralized by those securities. Until the failed transaction settles, a receivable from (and a matching payable to) brokers and dealers and clearing organizations is recognized for the proceeds from the unsettled transaction.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 with Clearing Organizations</w:t>
      </w:r>
    </w:p>
    <w:p>
      <w:pPr>
        <w:spacing w:after="0" w:line="202" w:lineRule="exact"/>
        <w:rPr>
          <w:sz w:val="20"/>
          <w:szCs w:val="20"/>
          <w:color w:val="auto"/>
        </w:rPr>
      </w:pPr>
    </w:p>
    <w:p>
      <w:pPr>
        <w:ind w:right="5580"/>
        <w:spacing w:after="0" w:line="480" w:lineRule="auto"/>
        <w:rPr>
          <w:sz w:val="20"/>
          <w:szCs w:val="20"/>
          <w:color w:val="auto"/>
        </w:rPr>
      </w:pPr>
      <w:r>
        <w:rPr>
          <w:rFonts w:ascii="Times New Roman" w:cs="Times New Roman" w:eastAsia="Times New Roman" w:hAnsi="Times New Roman"/>
          <w:sz w:val="17"/>
          <w:szCs w:val="17"/>
          <w:color w:val="auto"/>
        </w:rPr>
        <w:t xml:space="preserve">Deposits with clearing organizations are comprised of cash deposits. </w:t>
      </w:r>
      <w:r>
        <w:rPr>
          <w:rFonts w:ascii="Times New Roman" w:cs="Times New Roman" w:eastAsia="Times New Roman" w:hAnsi="Times New Roman"/>
          <w:sz w:val="17"/>
          <w:szCs w:val="17"/>
          <w:b w:val="1"/>
          <w:bCs w:val="1"/>
          <w:color w:val="auto"/>
        </w:rPr>
        <w:t>Furniture, Equipment, Purchased Software and Leasehold Improvements</w:t>
      </w:r>
    </w:p>
    <w:p>
      <w:pPr>
        <w:spacing w:after="0" w:line="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Furniture, equipment, purchased software and leasehold improvements are carried at cost less accumulated depreciation. Depreciation for furniture, equipment and purchased software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w:t>
      </w:r>
    </w:p>
    <w:p>
      <w:pPr>
        <w:spacing w:after="0" w:line="15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Furniture, equipment, purchased software and leasehold improvements are tested for impairment whenever events or changes in circumstances suggest that an asset’s carrying value may not be fully recoverable.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June 30, 2022 and December 31, 2021, accumulated depreciation related to furniture, equipment, purchased software and leasehold improvements totaled $63.9 million and $56.0 million, respectively. Depreciation expense for furniture, equipment, purchased software and leasehold improvements was $4.9 million and $5.7 million for the three months ended June 30, 2022 and 2021, respectively, and $9.6 million and $11.1 million for the six months ended June 30, 2022 and 2021,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Software Development Costs</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capitalizes costs associated with the development of internal use software at the point at which the conceptual formulation, design and testing of possible software project alternatives have been completed. The Company capitalizes employee compensation and related benefits and third party consulting costs incurred during the application development stage which directly contribute to such development. Such costs are amortized on a straight-line basis over three years. Software development costs acquired as part of the NFI Acquisition are amortized over one year. Costs capitalized as part of the Refinitiv Transaction pushdown accounting allocation are amortized over nine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14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of June 30, 2022 and December 31, 2021, accumulated amortization related to software development costs totaled $140.5 million and $114.5 million, respectively. Amortization expense for software development costs was $13.0 million and $11.3 million for the three months ended June 30, 2022 and 2021, respectively, and $26.0 million and $22.0 million for the six months ended June 30, 2022 and 2021,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02"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18"/>
          <w:szCs w:val="18"/>
          <w:color w:val="auto"/>
        </w:rPr>
        <w:t>Goodwill includes the excess of the fair value of the Company above the fair value accounting basis of the net assets and liabilities of the Company as previously applied under pushdown accounting in connection with the Refinitiv Transaction. Goodwill also includes the cost of acquired companies in excess of the fair value of identifiable net assets at the acquisition date, including the NFI Acquisition. Goodwill is not amortized, but is tested for impairment annually on October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and between annual tests, whenever events or changes in circumstances indicate that the carrying amount may not be fully recoverable. Goodwill is tested at the reporting unit level, which is defined as an operating segment or one level below the operating segment. The Company consists of one reporting unit for goodwill impairment testing purposes. An impairment loss is recognized if the estimated fair value of a reporting unit is less than its net book value. Such loss is calculated as the difference between the estimated fair value of goodwill and its carrying value.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was last tested for impairment on October 1, 2021 and no impairment of goodwill was identified.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Intangible assets with a finite life are amortized over the estimated lives, ranging from seven to thirteen years. These intangible assets subject to amortization are tested for impairment whenever events or changes in circumstances suggest that an asset’s or asset group’s carrying value may not be fully recoverable. Intangible assets with an indefinite useful life are tested for impairment at least annually. An impairment loss is recognized if the sum of the estimated discounted cash flows relating to the asset or asset group is less than the corresponding book value.</w:t>
      </w:r>
    </w:p>
    <w:p>
      <w:pPr>
        <w:spacing w:after="0" w:line="13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June 30, 2022 and December 31, 2021, accumulated amortization related to intangible assets totaled $380.6 million and $327.0 million, respectively. Amortization expense for definite-lived intangible assets was $26.8 million and $24.9 million for the three months ended June 30, 2022 and 2021, respectively, and $53.6 million and $49.7 million for the six months ended June 30, 2022 and 2021,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Investments Without Readily Determinable Fair Values</w:t>
      </w:r>
    </w:p>
    <w:p>
      <w:pPr>
        <w:spacing w:after="0" w:line="202"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Equity Investments without a readily determinable fair value are measured at cost, less impairment, plus or minus observable price changes (in orderly transactions) of an identical or similar investment of the same issuer. If the Company determines that the equity investment is impaired on the basis of a qualitative assessment, the Company will recognize an impairment loss equal to the amount by which the investment’s carrying amount exceeds its fair value. Equity investments are included as a component of other assets on the condensed consolidated statements of financial condition.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Sold Under Agreements to Repurchase</w:t>
      </w:r>
    </w:p>
    <w:p>
      <w:pPr>
        <w:spacing w:after="0" w:line="189"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From time to time, the Company sells securities under agreements to repurchase in order to facilitate the clearance of securities. Securities sold under agreements to purchase are treated as collateralized financings and are presented in the condensed consolidated statements of financial condition at the amounts of cash received. Receivables and payables arising from these agreements are not offset in the condensed consolidated statements of financial condition.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lease commencement, a right-of-use asset and a lease liability are recognized for all leases with an initial term in excess of twelve months based on the initial present value of the fixed lease payments over the lease term. The lease right-of-use asset also reflects the present value of any initial direct costs, prepaid lease payments and lease incentives. The Company’s leases do not provide a readily determinable implicit discount rate. Therefore, management estimates the Company’s incremental borrowing rate used to discount the lease payments based on the information available at lease commencement. The Company includes the term covered by an option to extend a lease when the option is reasonably certain to be exercised. The Company has elected not to separate non-lease components from lease components for all leases. Significant assumptions and judgments in calculating the lease right-of-use assets and lease liabilities include the determination of the applicable borrowing rate for each lease. Operating lease expense is recognized on a straight-line basis over the lease term and included as a component of occupancy expense in the consolidated statements of income.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IPO and Follow-On Offering Costs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Deferred IPO and follow-on offering costs consist of legal, accounting, and other costs directly related to the Company’s efforts to raise capital. These costs are recognized as a reduction in additional paid-in capital within the condensed consolidated statements of financial condition when the offering is effective. As of both June 30, 2022 and December 31, 2021, $15.9 million of deferred costs related to the IPO and $5.2 million of deferred costs related to follow-on offerings were included as a component of the additional paid-in capital balance in the condensed consolidated statements of financial condition. No offering costs were incurred during each of the three and six months ended June 30, 2022 and 2021.</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8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Company’s classification of revenues in the condensed consolidated statements of income represents revenues from contracts with customers disaggregated by type of revenue. See Note 4 – Revenue for additional details regarding revenue types and the Company’s policies regarding revenue recognition.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Translation of Foreign Currency and Foreign Currency Forward Contracts</w:t>
      </w:r>
    </w:p>
    <w:p>
      <w:pPr>
        <w:spacing w:after="0" w:line="20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condensed consolidated statements of income within general and administrative expenses. The realized and unrealized losses totaled $1.4 million and $0.1 million during the three months ended June 30, 2022 and 2021, respectively, and realized and unrealized losses totaled $1.7 million and $1.9 million during the six months ended June 30, 2022 and 2021, respectively. Since the condensed consolidated financial statements are presented in U.S. dollars, the Company also translates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w:t>
      </w:r>
    </w:p>
    <w:p>
      <w:pPr>
        <w:spacing w:after="0" w:line="1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enters into foreign currency forward contracts to mitigate its U.S. dollar and British pound sterling versus euro exposure, generally with a duration of less than twelve months. The Company’s foreign currency forward contracts are not designated as hedges for accounting purposes and changes in the fair value of these contracts during the period are recognized in the condensed consolidated statements of income within general and administrative expenses. The Company does not use derivative instruments for trading or speculative purposes. Realized and unrealized gains/losses on foreign currency forward contracts totaled a $5.5 million gain and a $0.7 million loss during the three months ended June 30, 2022 and 2021, respectively, and realized and unrealized gains on foreign currency forward contracts totaled $6.2 million and $5.0 million during the six months ended June 30, 2022 and 2021, respectively. See Note 10 – Fair Value of Financial Instruments for additional details on the Company’s derivative instruments.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Corporation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4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records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The Company evaluates the need for valuation allowances based on the weight of positive and negative evidence. The Company records valuation allowances wherever management believes it is more likely than not that the Company will not be able to realize its deferred tax assets in the foreseeable future.</w:t>
      </w:r>
    </w:p>
    <w:p>
      <w:pPr>
        <w:spacing w:after="0" w:line="1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records uncertain tax positions on the basis of a two-step process whereby (i) the Company determines whether it is more likely than not that the tax positions will be sustained on the basis of the technical merits of the position and (ii) for those tax positions that meet the more-likely-than-not recognition threshold, the Company recognizes the amount of tax benefit that is more than 50 percent likely to be realized upon ultimate settlement with the related tax authority.</w:t>
      </w:r>
    </w:p>
    <w:p>
      <w:pPr>
        <w:spacing w:after="0" w:line="15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income taxes within the provision for income taxes in the condensed consolidated statements of income. Accrued interest and penalties are included within accounts payable, accrued expenses and other liabilities in the condensed consolidated statements of financial condition.</w:t>
      </w:r>
    </w:p>
    <w:p>
      <w:pPr>
        <w:spacing w:after="0" w:line="13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has elected to treat taxes due on future U.S. inclusions in taxable income under the global intangible low-taxed income (“GILTI”) provision of the Tax Cuts and Jobs Act as a current period expense when incurred.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0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 The grant-date fair value of stock-based awards that do not require future service (i.e., vested awards) are expensed immediately. Forfeitures of stock-based compensation awards are recognized as they occur.</w:t>
      </w:r>
    </w:p>
    <w:p>
      <w:pPr>
        <w:spacing w:after="0" w:line="14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grants made during the post-IPO period, the fair value of the equity instruments is determined based on the price of the Class A common stock on the grant date.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Prior to the IPO, the Company awarded options to management and other employees (collectively, the “Special Option Award”) under the Amended and Restated Tradeweb Markets Inc. Option Plan (the “Option Plan”). The significant assumptions used to estimate the fair value as of grant date of the options awarded prior to the IPO did not reflect changes that would have occurred to these assumptions as a result of the IPO. The non-cash stock-based compensation expense associated with the Special Option Award began being expensed in the second quarter of 2019.</w:t>
      </w:r>
    </w:p>
    <w:p>
      <w:pPr>
        <w:spacing w:after="0" w:line="15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uses the Black-Scholes pricing model to value some of its option awards. Determining the appropriate fair value model and calculating the fair value of the option awards requires the input of highly subjective assumptions, including the expected life of the option awards and the stock price volatility.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Basic and diluted earnings per share are computed in accordance with the two-class method as unvested restricted stock units and unsettled vested performance-based restricted stock units issued to certain retired executives are entitled to non-forfeitable dividend equivalent rights and are considered participating securities prior to being issued and outstanding shares of common stock. The two-class method is an earnings allocation formula that treats a participating security as having rights to earnings that otherwise would have been available to common shareholders. Basic earnings per share, is computed by dividing the net income attributable to the Company’s outstanding shares of Class A and Class B common stock by the weighted-average number of the Company’s shares outstanding during the period. For purposes of computing diluted earnings per share, the weighted-average number of the Company’s shares reflects the dilutive effect that could occur if all potentially dilutive securities were converted into or exchanged or exercised for the Company’s Class A or Class B common stock.</w:t>
      </w:r>
    </w:p>
    <w:p>
      <w:pPr>
        <w:spacing w:after="0" w:line="14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The dilutive effect of stock options and other stock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payment awards is calculated using the treasury stock method, which assumes the proceeds from the exercise of these instruments are used to purchase common shares at the average market price for the period. The dilutive effect of LLC Interests is evaluated under the if-converted method, where the securities are assumed to be converted at the beginning of the period, and the resulting common shares are included in the denominator of the diluted earnings per share calculation for the entire period presented. Performance-based awards are considered contingently issuable shares and their dilutive effect is included in the denominator of the diluted earnings per share calculation for the entire period, if those shares would be issuable as of the end of the reporting period, assuming the end of the reporting period was also the end of the contingency period.</w:t>
      </w:r>
    </w:p>
    <w:p>
      <w:pPr>
        <w:spacing w:after="0" w:line="14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Shares of Class C and Class D common stock do not have economic rights in Tradeweb Markets Inc. and, therefore, are not included in the calculation of basic earnings per share.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fair value of a financial instrument is the amount that would be received to sell an asset or paid to transfer a liability in an orderly transaction between market participants at the measurement date (the exit price). Instruments that the Company owns (long positions) are marked to bid prices, and instruments that the Company has sold, but not yet purchased (short positions) are marked to offer prices. Fair value measurements do not include transaction costs.</w:t>
      </w:r>
    </w:p>
    <w:p>
      <w:pPr>
        <w:spacing w:after="0" w:line="133"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color w:val="auto"/>
        </w:rPr>
        <w:t xml:space="preserve">The fair value hierarchy under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Fair Value Measurement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financial instrument’s level within the fair value hierarchy is based on the lowest level of any input that is significant to the fair value measurement.</w:t>
      </w:r>
    </w:p>
    <w:p>
      <w:pPr>
        <w:spacing w:after="0" w:line="18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Unadjusted quoted prices in active markets that are accessible at the measurement date for identical, unrestricted assets or liabilities;</w:t>
      </w:r>
    </w:p>
    <w:p>
      <w:pPr>
        <w:spacing w:after="0" w:line="198"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Quoted prices in markets that are not considered to be active or financial instruments for which all significant inputs are observable, either directly or indirectly;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Prices or valuations that require inputs that are both significant to the fair value measurement and unobservable.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June 2022, the Financial Accounting Standards Board (“FASB”) issued Accounting Standards Update (“ASU”) 2022-03,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820): Fair Value Measurement of Equity Securities Subject to Contractual Sale Restrictions </w:t>
      </w:r>
      <w:r>
        <w:rPr>
          <w:rFonts w:ascii="Times New Roman" w:cs="Times New Roman" w:eastAsia="Times New Roman" w:hAnsi="Times New Roman"/>
          <w:sz w:val="18"/>
          <w:szCs w:val="18"/>
          <w:color w:val="auto"/>
        </w:rPr>
        <w:t>(“ASU 2022-03”), which clarifies that a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 on the sale of an equity security is not considered part of the unit of account of the equity security and, therefore, is not considered in measuring fair value and that an entity cannot, as a separate unit of account, recognize and measure a contractual sale restriction. ASU 2022-03 also requires the disclosure of the fair value, as reflected in the statement of financial condition, of equity securities subject to contractual sale restrictions and the nature and the disclosure of the remaining duration of those restrictions. ASU 2022-03 is effective for the Company beginning on January 1, 2024 and early adoption is permitted for both interim and annual financial statements that have not yet been issued. The ASU is to be applied prospectively, with any adjustments from the adoption recognized in earnings on the date of adoption. As of June 30, 2022, the Company has not yet adopted ASU 2022-03 and does not expect that the adoption of this ASU will have a material impact on the Company’s consolidated financial statements.</w:t>
      </w:r>
    </w:p>
    <w:p>
      <w:pPr>
        <w:spacing w:after="0" w:line="14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Restricted Cash</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Cash has been segregated in a special reserve bank account for the benefit of brokers and dealers under SEC Rule 15c3-3. The Company computes the proprietary accounts of broker-dealers (“PAB”) reserve, which requires the Company to maintain minimum segregated cash in the amount of excess total credits per the reserve computation. As of both June 30, 2022 and December 31, 2021, cash in the amount of $1.0 million has been segregated in the PAB reserve account, exceeding the requirements pursuant to SEC Rule 15c3-3.</w:t>
      </w:r>
    </w:p>
    <w:p>
      <w:pPr>
        <w:spacing w:after="0" w:line="14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Revenue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8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Company enters into contracts with its clients to provide a stand-ready connection to its electronic marketplaces, which facilitates the execution of trades by its clients. The access to the Company’s electronic marketplaces includes market data, continuous pricing data refreshes and the processing of trades thereon. The stand-ready connection to the electronic marketplaces is considered a single performance obligation satisfied over time as the client simultaneously receives and consumes the benefit from the Company’s performance as access is provided (that is, the performance obligation constitutes a series of services that are substantially the same in nature and are provided over time using the same measure of progress). For its services, the Company earns subscription fees for granting access to its electronic marketplaces. Subscription fees, which are generally fixed fees, are recognized as revenue on a monthly basis, in the period that access is provided. The frequency of subscription fee billings varies from monthly to annually, depending on contract terms. Fees received by the Company which are not yet earned are included in deferred revenue on the condensed consolidated statements of financial condition until the revenue recognition criteria have been met. The Company also earns transaction fees and/or commissions from transactions executed on the Company’s electronic marketplaces. The Company earns commission revenue from its electronic and voice brokerage services on a riskless principal basis. Riskless principal revenues are derived on matched principal transactions where revenues are earned on the spread between the buy and sell price of the transacted product. Transaction fees and commissions are generated both on a variable and fixed price basis and vary by geographic region, product type and trade size. Fixed monthly transaction fees or commissions, or monthly transaction fees or commission minimums, are earned on a monthly basis in the period the stand-ready trading services are provided and are generally billed monthly. For variable transaction fees or commissions, the Company charges its clients amounts calculated based on the mix of products traded and the volume of transactions executed. Variable transaction fee or commission revenue is recognized and recorded on a trade-date basis when the individual trade occurs and is generally billed when the trade settles or is billed monthly. Variable discounts or rebates on transaction fees or commissions are earned and applied monthly or quarterly, resolved within the same reporting period and are recorded as a reduction to revenue in the period the relevant trades occur.</w:t>
      </w:r>
    </w:p>
    <w:p>
      <w:pPr>
        <w:spacing w:after="0" w:line="16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earns fees from Refinitiv relating to the sale of market data to Refinitiv, which redistributes that data. Included in these fees, which are billed quarterly, are real-time market data fees which are recognized monthly on a straight-line basis, as Refinitiv receives and consumes the benefit evenly over the contract period, as the data is provided. Also included in these fees are fees for historical data sets which are recognized when the historical data set is provided to Refinitiv. Significant judgments used in accounting for this contract include the following determinations:</w:t>
      </w:r>
    </w:p>
    <w:p>
      <w:pPr>
        <w:spacing w:after="0" w:line="139"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real-time market data feeds and annual historical data sets are distinct performance obligations.</w:t>
      </w:r>
    </w:p>
    <w:p>
      <w:pPr>
        <w:spacing w:after="0" w:line="184"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obligations under this contract are recognized over time from the initial delivery of the data feeds or each historical data set until the end of the contract term.</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32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 for the performance obligations by using a market assessment analysis. Inputs in this analysis include a consultant study which determined the overall value of the Company’s market data and pricing information for historical data sets provided by other companies.</w:t>
      </w:r>
    </w:p>
    <w:p>
      <w:pPr>
        <w:spacing w:after="0" w:line="14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Some revenues earned by the Company have fixed fee components, such as monthly minimums or fixed monthly fees, and variable components, such as transaction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fees. The breakdown of revenues between fixed and variable revenues for the three and six months ended June 30, 2022 and 2021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520" w:type="dxa"/>
            <w:vAlign w:val="bottom"/>
            <w:gridSpan w:val="5"/>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3"/>
          </w:tcPr>
          <w:p>
            <w:pPr>
              <w:jc w:val="center"/>
              <w:ind w:left="538"/>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4"/>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900" w:type="dxa"/>
            <w:vAlign w:val="bottom"/>
          </w:tcPr>
          <w:p>
            <w:pPr>
              <w:spacing w:after="0"/>
              <w:rPr>
                <w:sz w:val="17"/>
                <w:szCs w:val="17"/>
                <w:color w:val="auto"/>
              </w:rPr>
            </w:pPr>
          </w:p>
        </w:tc>
      </w:tr>
      <w:tr>
        <w:trPr>
          <w:trHeight w:val="23"/>
        </w:trPr>
        <w:tc>
          <w:tcPr>
            <w:tcW w:w="5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3"/>
          </w:tcPr>
          <w:p>
            <w:pPr>
              <w:jc w:val="center"/>
              <w:ind w:left="5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4"/>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r>
      <w:tr>
        <w:trPr>
          <w:trHeight w:val="229"/>
        </w:trPr>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460" w:type="dxa"/>
            <w:vAlign w:val="bottom"/>
          </w:tcPr>
          <w:p>
            <w:pPr>
              <w:spacing w:after="0"/>
              <w:rPr>
                <w:sz w:val="19"/>
                <w:szCs w:val="19"/>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260" w:type="dxa"/>
            <w:vAlign w:val="bottom"/>
          </w:tcPr>
          <w:p>
            <w:pPr>
              <w:spacing w:after="0"/>
              <w:rPr>
                <w:sz w:val="19"/>
                <w:szCs w:val="19"/>
                <w:color w:val="auto"/>
              </w:rPr>
            </w:pPr>
          </w:p>
        </w:tc>
        <w:tc>
          <w:tcPr>
            <w:tcW w:w="11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440" w:type="dxa"/>
            <w:vAlign w:val="bottom"/>
          </w:tcPr>
          <w:p>
            <w:pPr>
              <w:spacing w:after="0"/>
              <w:rPr>
                <w:sz w:val="19"/>
                <w:szCs w:val="19"/>
                <w:color w:val="auto"/>
              </w:rPr>
            </w:pPr>
          </w:p>
        </w:tc>
        <w:tc>
          <w:tcPr>
            <w:tcW w:w="9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Fixed</w:t>
            </w:r>
          </w:p>
        </w:tc>
      </w:tr>
      <w:tr>
        <w:trPr>
          <w:trHeight w:val="37"/>
        </w:trPr>
        <w:tc>
          <w:tcPr>
            <w:tcW w:w="56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0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7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fees and commissions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201,199</w:t>
            </w:r>
          </w:p>
        </w:tc>
        <w:tc>
          <w:tcPr>
            <w:tcW w:w="8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36,470</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166,655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38,726</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fees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37,423</w:t>
            </w:r>
          </w:p>
        </w:tc>
      </w:tr>
      <w:tr>
        <w:trPr>
          <w:trHeight w:val="27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Refinitiv market data fees</w:t>
            </w:r>
          </w:p>
        </w:tc>
        <w:tc>
          <w:tcPr>
            <w:tcW w:w="2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14,926</w:t>
            </w:r>
          </w:p>
        </w:tc>
      </w:tr>
      <w:tr>
        <w:trPr>
          <w:trHeight w:val="27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w:t>
            </w: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201,898</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95,240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93,508</w:t>
            </w:r>
          </w:p>
        </w:tc>
      </w:tr>
      <w:tr>
        <w:trPr>
          <w:trHeight w:val="21"/>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r>
      <w:tr>
        <w:trPr>
          <w:trHeight w:val="469"/>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60" w:type="dxa"/>
            <w:vAlign w:val="bottom"/>
          </w:tcPr>
          <w:p>
            <w:pPr>
              <w:spacing w:after="0"/>
              <w:rPr>
                <w:sz w:val="24"/>
                <w:szCs w:val="24"/>
                <w:color w:val="auto"/>
              </w:rPr>
            </w:pPr>
          </w:p>
        </w:tc>
        <w:tc>
          <w:tcPr>
            <w:tcW w:w="2520" w:type="dxa"/>
            <w:vAlign w:val="bottom"/>
            <w:gridSpan w:val="5"/>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03"/>
        </w:trPr>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3"/>
          </w:tcPr>
          <w:p>
            <w:pPr>
              <w:jc w:val="center"/>
              <w:ind w:left="538"/>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4"/>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900" w:type="dxa"/>
            <w:vAlign w:val="bottom"/>
          </w:tcPr>
          <w:p>
            <w:pPr>
              <w:spacing w:after="0"/>
              <w:rPr>
                <w:sz w:val="17"/>
                <w:szCs w:val="17"/>
                <w:color w:val="auto"/>
              </w:rPr>
            </w:pPr>
          </w:p>
        </w:tc>
      </w:tr>
      <w:tr>
        <w:trPr>
          <w:trHeight w:val="23"/>
        </w:trPr>
        <w:tc>
          <w:tcPr>
            <w:tcW w:w="5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3"/>
          </w:tcPr>
          <w:p>
            <w:pPr>
              <w:jc w:val="center"/>
              <w:ind w:left="5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4"/>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r>
      <w:tr>
        <w:trPr>
          <w:trHeight w:val="229"/>
        </w:trPr>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460" w:type="dxa"/>
            <w:vAlign w:val="bottom"/>
          </w:tcPr>
          <w:p>
            <w:pPr>
              <w:spacing w:after="0"/>
              <w:rPr>
                <w:sz w:val="19"/>
                <w:szCs w:val="19"/>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260" w:type="dxa"/>
            <w:vAlign w:val="bottom"/>
          </w:tcPr>
          <w:p>
            <w:pPr>
              <w:spacing w:after="0"/>
              <w:rPr>
                <w:sz w:val="19"/>
                <w:szCs w:val="19"/>
                <w:color w:val="auto"/>
              </w:rPr>
            </w:pPr>
          </w:p>
        </w:tc>
        <w:tc>
          <w:tcPr>
            <w:tcW w:w="11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440" w:type="dxa"/>
            <w:vAlign w:val="bottom"/>
          </w:tcPr>
          <w:p>
            <w:pPr>
              <w:spacing w:after="0"/>
              <w:rPr>
                <w:sz w:val="19"/>
                <w:szCs w:val="19"/>
                <w:color w:val="auto"/>
              </w:rPr>
            </w:pPr>
          </w:p>
        </w:tc>
        <w:tc>
          <w:tcPr>
            <w:tcW w:w="9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Fixed</w:t>
            </w:r>
          </w:p>
        </w:tc>
      </w:tr>
      <w:tr>
        <w:trPr>
          <w:trHeight w:val="37"/>
        </w:trPr>
        <w:tc>
          <w:tcPr>
            <w:tcW w:w="56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7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fees and commissions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414,935</w:t>
            </w:r>
          </w:p>
        </w:tc>
        <w:tc>
          <w:tcPr>
            <w:tcW w:w="8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74,539</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346,322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76,875</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fees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74,829</w:t>
            </w:r>
          </w:p>
        </w:tc>
      </w:tr>
      <w:tr>
        <w:trPr>
          <w:trHeight w:val="27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Refinitiv market data fees</w:t>
            </w:r>
          </w:p>
        </w:tc>
        <w:tc>
          <w:tcPr>
            <w:tcW w:w="2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30,043</w:t>
            </w:r>
          </w:p>
        </w:tc>
      </w:tr>
      <w:tr>
        <w:trPr>
          <w:trHeight w:val="27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w:t>
            </w: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416,360</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192,264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347,674</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186,565</w:t>
            </w:r>
          </w:p>
        </w:tc>
      </w:tr>
      <w:tr>
        <w:trPr>
          <w:trHeight w:val="21"/>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records deferred revenue when cash payments are received or due in advance of services to be performed. The revenue recognized and the remaining deferred revenue balances are shown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98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27"/>
        </w:trPr>
        <w:tc>
          <w:tcPr>
            <w:tcW w:w="9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9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balance - December 31, 2021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24,930</w:t>
            </w:r>
          </w:p>
        </w:tc>
      </w:tr>
      <w:tr>
        <w:trPr>
          <w:trHeight w:val="230"/>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billings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57,195</w:t>
            </w: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(58,153)</w:t>
            </w:r>
          </w:p>
        </w:tc>
      </w:tr>
      <w:tr>
        <w:trPr>
          <w:trHeight w:val="230"/>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 changes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balance - June 30,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23,862</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the Company recognized $20.2 million in total revenue that was deferred as of December 31, 2021. During the six months ended June 30, 2021, the Company recognized $20.0 million in total revenue that was deferred as of December 31, 2020.</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Corporation is subject to U.S. federal, state and local income taxes with respect to its taxable income, including its allocable share of any taxable income of TWM LLC, and is taxed at prevailing corporate tax rates. The Company’s actual effective tax rate will be impacted by the Corporation’s ownership share of TWM LLC, which is expected to continue to increase over time as the Continuing LLC Owners redeem or exchange their LLC Interests for shares of Class A common stock or Class B common stock, as applicable, or the Corporation purchases LLC Interests from the Continuing LLC Owners. The Company’s consolidated effective tax rate will also vary from period to period depending on changes in the mix of earnings, tax legislation and tax rates in various jurisdictions. The Company’s provision for income taxes includes U.S. federal, state, local and foreign taxes.</w:t>
      </w:r>
    </w:p>
    <w:p>
      <w:pPr>
        <w:spacing w:after="0" w:line="14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June 30, 2022 and 2021 was approximately 23.8% and 20.6%, respectively. The effective tax rate for the three months ended June 30, 2022 differed from the U.S. federal statutory rate of 21.0% primarily due to the effect of state, local and foreign taxes, partially offset by non-controlling interests. The effective tax rate for the three months ended June 30, 2021 differed from the U.S. federal statutory rate of 21.0% primarily due to the effect of non-controlling interests and the tax impact of the issuance of common stock from equity incentive plans, partially offset by state, local and foreign taxes.</w:t>
      </w:r>
    </w:p>
    <w:p>
      <w:pPr>
        <w:spacing w:after="0" w:line="14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effective tax rate for the six months ended June 30, 2022 and 2021 was approximately 18.0% and 18.5%, respectively. The effective tax rate for the six months ended June 30, 2022 differed from the U.S. federal statutory rate of 21.0% primarily due to the tax impact of the issuance of common stock from equity incentive plans, return-to-provision adjustments and the effect of non-controlling interests, partially offset by state, local and foreign taxes. The effective tax rate for the six months ended June 30, 2021 differed from the U.S. federal statutory rate of 21.0% primarily due to the effect of non-controlling interests and the tax impact of the issuance of common stock from equity incentive plans, partially offset by state, local and foreign taxes.</w:t>
      </w:r>
    </w:p>
    <w:p>
      <w:pPr>
        <w:spacing w:after="0" w:line="16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expects to obtain an increase in its share of the tax basis of the assets of TWM LLC when LLC Interests are redeemed or exchanged by the Continuing LLC Owners and in connection with certain other qualifying transactions. This increase in tax basis may have the effect of reducing the amounts that the Corporation would otherwise pay in the future to various tax authorities. Pursuant to the Tax Receivable Agreement, the Corporation is required to make cash payments to the Continuing LLC Owners equal to 50% of the amount of U.S. federal, state and local income or franchise tax savings, if any, that the Corporation actually realizes (or in some circumstances are deemed to realize) as a result of certain future tax benefits to which the Corporation may become entitled. The Corporation expects to benefit from the remaining 50% of tax benefits, if any, that the Corporation may actually realize. See Note 6 – Tax Receivable Agreement for further details. The tax benefit has been recognized in deferred tax assets on the condensed consolidated statement of financial condition.</w:t>
      </w:r>
    </w:p>
    <w:p>
      <w:pPr>
        <w:spacing w:after="0" w:line="15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In connection with the completion of the Reorganization Transactions, the Corporation received 96,933,192 LLC Interests and Refinitiv received 96,933,192 shares of Class B common stock (“Refinitiv Contribution”). As a result of the Refinitiv Contribution, the Company assumed the tax liabilities of the contributed entity. The contributed entity is under audit by the State of New Jersey for the tax years 2012 through 2015 and is appealing a tax assessment from an audit by the State of New Jersey for the tax years 2008 through 2011. As of both June 30, 2022 and December 31, 2021, the tax liability related to the Refinitiv Contribution was $2.7 million and is included within accounts payable, accrued expenses and other liabilities on the condensed consolidated statement of financial condition. The Company is indemnified by Refinitiv for these tax liabilities that were assumed by the Company as a result of the Refinitiv Contribution. As of both June 30, 2022 and December 31, 2021, $2.7 million is included in other assets on the condensed consolidated statements of financial condition related to this related party indemnification.</w:t>
      </w:r>
    </w:p>
    <w:p>
      <w:pPr>
        <w:spacing w:after="0" w:line="1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Tax Receivable Agreement</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with the Reorganization Transactions, the Corporation entered into a tax receivable agreement (the “Tax Receivable Agreement”) with TWM LLC and the Continuing LLC Owners, which provides for the payment by the Corporation to a Continuing LLC Owner of 50% of the amount of U.S. federal, state and local income or franchise tax savings, if any, that the Corporation actually realizes (or in some circumstances is deemed to realize) as a result of (i) increases in the tax basis of TWM LLC’s assets resulting from (a) the purchase of LLC Interests from such Continuing LLC Owner, including with the net proceeds from the IPO and any subsequent offerings or (b) redemptions or exchanges by such Continuing LLC Owner of LLC Interests for shares of Class A common stock or Class B common stock or for cash, as applicable, and (ii) certain other tax benefits related to the Corporation making payments under the Tax Receivable Agreement. Payments under the Tax Receivable Agreement are made within 150 days after the filing of the tax return based on the actual tax savings realized by the Corporation. The first payment of the Tax Receivable Agreement was made in January 2021. Substantially all payments due under the Tax Receivable Agreement are payable over the fifteen years following the purchase of LLC Interests from Continuing LLC Owners or redemption or exchanges by Continuing LLC Owners of LLC Interests.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Corporation accounts for the income tax effects resulting from taxable redemptions or exchanges of LLC Interests by the Continuing LLC Owners for shares of Class A common stock or Class B common stock or cash, as the case may be, and purchases by the Corporation of LLC Interests from the Continuing LLC Owners by recognizing an increase in deferred tax assets, based on enacted tax rates at the date of each redemption, exchange, or purchase, as the case may be. Further, the Corporation evaluates the likelihood that it will realize the benefit represented by the deferred tax asset, and, to the extent that the Corporation estimates that it is more likely than not that it will not realize the benefit, it reduces the carrying amount of the deferred tax asset with a valuation allowance.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of any changes in the total projected obligations recorded under the Tax Receivable Agreement as a result of actual changes in the mix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earnings, tax legislation and tax rates in various jurisdictions, or other factors that may impact the Corporation’s actual tax savings realized,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reflected in income before taxes on the condensed consolidated statement of income in the period in which the change occurs. As of June 30, 2022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the tax receivable agreement liability on the condensed consolidated statements of financial condition totaled $409.2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$412.4 million, respectively. During each of the three and six months ended June 30, 2022 and 2021, no tax receivable agreement liability adjustment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recognized in the condensed consolidated statements of income.</w:t>
      </w:r>
    </w:p>
    <w:p>
      <w:pPr>
        <w:spacing w:after="0" w:line="16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Non-Controlling Interests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the Reorganization Transactions, Tradeweb Markets Inc. became the sole manager of TWM LLC and, as a result of this control, and because Tradeweb Markets Inc. has a substantial financial interest in TWM LLC, consolidates the financial results of TWM LLC into its condensed consolidated financial statements. The non-controlling interests balance reported on the condensed consolidated statements of financial condition represents the economic interests of TWM LLC held by the holders of LLC Interests other than Tradeweb Markets Inc. Income or loss is attributed to the non-controlling interests based on the relative ownership percentages of LLC Interests held during the period by Tradeweb Markets Inc. and the other holders of LLC Interests.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ownership interest in Tradeweb Markets LLC:</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980" w:type="dxa"/>
            <w:vAlign w:val="bottom"/>
            <w:gridSpan w:val="4"/>
          </w:tcPr>
          <w:p>
            <w:pPr>
              <w:ind w:left="10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900" w:type="dxa"/>
            <w:vAlign w:val="bottom"/>
            <w:gridSpan w:val="3"/>
          </w:tcPr>
          <w:p>
            <w:pPr>
              <w:jc w:val="right"/>
              <w:ind w:right="957"/>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23"/>
        </w:trPr>
        <w:tc>
          <w:tcPr>
            <w:tcW w:w="53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56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r>
      <w:tr>
        <w:trPr>
          <w:trHeight w:val="131"/>
        </w:trPr>
        <w:tc>
          <w:tcPr>
            <w:tcW w:w="536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LLC</w:t>
            </w:r>
          </w:p>
        </w:tc>
        <w:tc>
          <w:tcPr>
            <w:tcW w:w="1460" w:type="dxa"/>
            <w:vAlign w:val="bottom"/>
            <w:tcBorders>
              <w:top w:val="single" w:sz="8" w:color="auto"/>
            </w:tcBorders>
          </w:tcPr>
          <w:p>
            <w:pPr>
              <w:jc w:val="right"/>
              <w:ind w:right="297"/>
              <w:spacing w:after="0" w:line="131"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10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LLC</w:t>
            </w:r>
          </w:p>
        </w:tc>
        <w:tc>
          <w:tcPr>
            <w:tcW w:w="1480" w:type="dxa"/>
            <w:vAlign w:val="bottom"/>
            <w:tcBorders>
              <w:top w:val="single" w:sz="8" w:color="auto"/>
            </w:tcBorders>
          </w:tcPr>
          <w:p>
            <w:pPr>
              <w:jc w:val="right"/>
              <w:ind w:right="317"/>
              <w:spacing w:after="0" w:line="131" w:lineRule="exact"/>
              <w:rPr>
                <w:sz w:val="20"/>
                <w:szCs w:val="20"/>
                <w:color w:val="auto"/>
              </w:rPr>
            </w:pPr>
            <w:r>
              <w:rPr>
                <w:rFonts w:ascii="Times New Roman" w:cs="Times New Roman" w:eastAsia="Times New Roman" w:hAnsi="Times New Roman"/>
                <w:sz w:val="14"/>
                <w:szCs w:val="14"/>
                <w:b w:val="1"/>
                <w:bCs w:val="1"/>
                <w:color w:val="auto"/>
              </w:rPr>
              <w:t>Ownership</w:t>
            </w:r>
          </w:p>
        </w:tc>
      </w:tr>
      <w:tr>
        <w:trPr>
          <w:trHeight w:val="195"/>
        </w:trPr>
        <w:tc>
          <w:tcPr>
            <w:tcW w:w="536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46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8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8"/>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LLC Interests held by Tradeweb Markets Inc.</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204,548,887</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202,086,400</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86.9 %</w:t>
            </w: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Number of LLC Interests held by non-controlling interests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29,971,658</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30,531,933</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13.1 %</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LLC Interests outstanding</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234,520,545</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232,618,333</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LLC Interests held by the Continuing LLC Owners are redeemable in accordance with the TWM LLC Agreement at the election of the members for shares of Class A common stock or Class B common stock, on a one-for-one basis or, at the Company’s option, a cash payment in accordance with the terms of the TWM LLC Agreement.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impact on Tradeweb Market Inc.’s equity due to changes in the Corporation’s ownership interest in TWM LLC:</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Tradeweb Markets Inc. and Transfers (to) from the Non-</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3"/>
          </w:tcPr>
          <w:p>
            <w:pPr>
              <w:jc w:val="center"/>
              <w:ind w:left="59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5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Controlling Interests</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19"/>
        </w:trPr>
        <w:tc>
          <w:tcPr>
            <w:tcW w:w="5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68,344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151,309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123,175</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(to) from non-controlling interests: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5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Increase/(decrease) in Tradeweb Markets Inc.’s additional paid-in capital</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 a result of ownership changes in TWM LLC</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8"/>
              </w:rPr>
              <w:t>(1,300)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28,705</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85,462</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transfers (to) from non-controlling interests</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8"/>
              </w:rPr>
              <w:t>(1,300)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85,462</w:t>
            </w:r>
          </w:p>
        </w:tc>
        <w:tc>
          <w:tcPr>
            <w:tcW w:w="0" w:type="dxa"/>
            <w:vAlign w:val="bottom"/>
          </w:tcPr>
          <w:p>
            <w:pPr>
              <w:spacing w:after="0"/>
              <w:rPr>
                <w:sz w:val="1"/>
                <w:szCs w:val="1"/>
                <w:color w:val="auto"/>
              </w:rPr>
            </w:pPr>
          </w:p>
        </w:tc>
      </w:tr>
      <w:tr>
        <w:trPr>
          <w:trHeight w:val="155"/>
        </w:trPr>
        <w:tc>
          <w:tcPr>
            <w:tcW w:w="55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Change from net income attributable to Tradeweb Markets Inc. and</w:t>
            </w:r>
          </w:p>
        </w:tc>
        <w:tc>
          <w:tcPr>
            <w:tcW w:w="4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67,044</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60,113</w:t>
            </w:r>
          </w:p>
        </w:tc>
        <w:tc>
          <w:tcPr>
            <w:tcW w:w="10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180,014</w:t>
            </w:r>
          </w:p>
        </w:tc>
        <w:tc>
          <w:tcPr>
            <w:tcW w:w="1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208,637</w:t>
            </w:r>
          </w:p>
        </w:tc>
        <w:tc>
          <w:tcPr>
            <w:tcW w:w="0" w:type="dxa"/>
            <w:vAlign w:val="bottom"/>
          </w:tcPr>
          <w:p>
            <w:pPr>
              <w:spacing w:after="0"/>
              <w:rPr>
                <w:sz w:val="1"/>
                <w:szCs w:val="1"/>
                <w:color w:val="auto"/>
              </w:rPr>
            </w:pPr>
          </w:p>
        </w:tc>
      </w:tr>
      <w:tr>
        <w:trPr>
          <w:trHeight w:val="23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(to) from non-controlling interests</w:t>
            </w:r>
          </w:p>
        </w:tc>
        <w:tc>
          <w:tcPr>
            <w:tcW w:w="400" w:type="dxa"/>
            <w:vAlign w:val="bottom"/>
            <w:gridSpan w:val="2"/>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5520" w:type="dxa"/>
            <w:vAlign w:val="bottom"/>
          </w:tcPr>
          <w:p>
            <w:pPr>
              <w:spacing w:after="0"/>
              <w:rPr>
                <w:sz w:val="24"/>
                <w:szCs w:val="24"/>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26</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Stockholders’ Equity and Stock-Based Compensation Plans</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rights and privileges of the Company’s stockholders’ equity and LLC Interests are described in the audited consolidated financial statements included in the Company’s Annual Report on Form 10-K for the year ended December 31, 2021 and there have been no changes to those rights and privileges during the six months ended June 30, 2022.</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Plans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Tradeweb Markets Inc. 2019 Omnibus Equity Incentive Plan, the Company is authorized to issue up to 8,841,864 new shares of Class A common stock to employees, officers and non-employee directors. Under this plan, the Company may grant awards in respect of shares of Class A common stock, including performance-based restricted stock units (“PRSUs”), stock options, restricted stock units (“RSUs”) and dividend equivalent rights. The awards may have performance-based and/or time-based vesting conditions. RSUs and PRSUs each represent promises to issue actual shares of Class A common stock at the end of a vesting period. Stock options have a maximum contractual term of 10 years.</w:t>
      </w:r>
    </w:p>
    <w:p>
      <w:pPr>
        <w:spacing w:after="0" w:line="1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February 16, 2022, the Company announced that Mr. Olesky will retire as Chief Executive Officer (“CEO”) of the Company, effective December 31, 2022. On February 11, 2022, the board of directors elected the Company’s President, Mr. Billy Hult, to succeed Mr. Olesky as CEO of the Company, effective January 1, 2023. Mr. Olesky will stay on with the Company in the position of Chairman of the board of directors, and accordingly will continue to serve in his capacity as a director of the Company.</w:t>
      </w:r>
    </w:p>
    <w:p>
      <w:pPr>
        <w:spacing w:after="0" w:line="13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of the beginning of Mr. Olesky’s six month notice period under the Company’s 2019 Omnibus Equity Incentive Plan, there was approximately $6.7 million in total unamortized stock-based compensation associated with equity awards previously granted to Mr. Olesky plus $5.0 million in unamortized stock-based compensation awards granted to Mr. Olesky during 2022 that will both be accelerated and amortized into expense over a revised estimated service period ending on August 11, 2022, the date that ends such six month notice period. Of these amounts, $3.1 million represents regular amortization that would have been recognized through August 11, 2022 if Mr. Olesky had not announced his retirement and $8.6 million represents accelerated stock-based compensation (the “CEO Retirement Accelerated Stock-Based Compensation Expense”). Total amortization amounts disclosed are based on a 100% multiplier achieved for the 2022 PRSUs and are subject to adjustment, up or down, in an amount up to $2.1 million, based on the final performance multiplier achieved for the year ending December 31, 2022. During the three and six months ended June 30, 2022, the Company incurred a total of $5.7 million and $7.4 million, respectively, in CEO Retirement Accelerated Stock-Based Compensation Expense.</w:t>
      </w:r>
    </w:p>
    <w:p>
      <w:pPr>
        <w:spacing w:after="0" w:line="14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three months ended June 30, 2022, the Company granted 1,125 RSUs at a weighted-average grant-date fair value of $88.84. No PRSUs were granted during the three months ended June 30, 2022. During the six months ended June 30, 2022, the Company granted 396,554 RSUs and 249,292 PRSUs at a weighted-average grant-date fair value of $83.81 and $83.74, respectively. RSU awards granted to employees will generally vest one-third each year over a three-year period, and RSU awards granted to non-employee directors will vest after one year. PRSUs generally cliff vest on January 1 of the third calendar year from the calendar year of the date of grant and the number of shares a participant will receive upon vesting is determined by a performance modifier, which is adjusted as a result of the financial performance of the Company in the grant year. The performance modifier can vary between 0% (minimum) and 200% (maximum) of the target (100%) award amount.</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summary of the Company’s total stock-based compensation expense, including expense associated with the CEO Retirement Accelerated Stock-Based Compensation Expense, is presented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6"/>
                <w:szCs w:val="16"/>
                <w:color w:val="auto"/>
              </w:rPr>
            </w:pPr>
          </w:p>
        </w:tc>
        <w:tc>
          <w:tcPr>
            <w:tcW w:w="1500" w:type="dxa"/>
            <w:vAlign w:val="bottom"/>
            <w:gridSpan w:val="3"/>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r>
      <w:tr>
        <w:trPr>
          <w:trHeight w:val="203"/>
        </w:trPr>
        <w:tc>
          <w:tcPr>
            <w:tcW w:w="4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center"/>
              <w:ind w:left="60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gridSpan w:val="3"/>
          </w:tcPr>
          <w:p>
            <w:pPr>
              <w:jc w:val="center"/>
              <w:ind w:left="30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r>
      <w:tr>
        <w:trPr>
          <w:trHeight w:val="23"/>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0"/>
        </w:trPr>
        <w:tc>
          <w:tcPr>
            <w:tcW w:w="4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3"/>
        </w:trPr>
        <w:tc>
          <w:tcPr>
            <w:tcW w:w="4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12,407</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34,675</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23,167</w:t>
            </w:r>
          </w:p>
        </w:tc>
      </w:tr>
      <w:tr>
        <w:trPr>
          <w:trHeight w:val="905"/>
        </w:trPr>
        <w:tc>
          <w:tcPr>
            <w:tcW w:w="4240" w:type="dxa"/>
            <w:vAlign w:val="bottom"/>
          </w:tcPr>
          <w:p>
            <w:pPr>
              <w:spacing w:after="0"/>
              <w:rPr>
                <w:sz w:val="24"/>
                <w:szCs w:val="24"/>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0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February 4, 2021, the Company announced that the board of directors authorized a new share repurchase program (the “Share Repurchase Program”), primarily to offset annual dilution from stock-based compensation plans. The Share Repurchase Program authorizes the purchase of up to $150.0 million of the Company’s Class A common stock at the Company’s discretion through the end of fiscal year 2023. The Share Repurchase Program will be effected primarily through regular open-market purchases (which may include repurchase plans designed to comply with Rule 10b5-1). The amounts and timing of the repurchases will be subject to general market conditions and the prevailing price and trading volumes of the Company’s Class A common stock. The Share Repurchase Program does not require the Company to acquire a specific number of shares and may be suspended, amended or discontinued at any time. For shares repurchased pursuant to the Share Repurchase Program, the excess of the repurchase price paid over the par value of the Class A common stock will be recorded as a reduction to retained earnings.</w:t>
      </w:r>
    </w:p>
    <w:p>
      <w:pPr>
        <w:spacing w:after="0" w:line="15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 began purchasing shares pursuant to the Share Repurchase Program during the second quarter of 2021. During the three months ended June 30, 2022 and 2021, the Company acquired a total of 103,458 and 617,644 shares of Class A common stock, at an average price of $86.99 and $83.67, for purchases totaling $9.0 million and $51.7 million, respectively. During the six months ended June 30, 2022 and 2021, the Company acquired a total of 662,886 and 617,644 shares of Class A common stock, at an average price of $84.97 and $83.67, for purchases totaling $56.3 million and $51.7 million, respectively. Each share of Class A common stock repurchased pursuant to the Share Repurchase Program was funded with the proceeds, on a dollar-for-dollar basis, from the repurchase by Tradeweb Markets LLC of an LLC Interest from the Company in order to maintain the one-to-one ratio between outstanding shares of the Company’s common stock and LLC Interests owned by the Company. Subsequent to their repurchase, the shares of Class A common stock and the LLC Interests were all cancelled and retired. As of June 30, 2022, a total of $18.0 million remained available for repurchase pursuant to the Share Repurchase Program.</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Share Repurchases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June 30, 2022 and 2021, the Company withheld 29,530 and 98,003 shares, respectively, of common stock from employee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PRSU and RSU awards, at an average price per share of $75.14 and $81.32, respectively, and an aggregate value of $2.2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 million, respectively, based on the price of the Class A common stock on the date the relevant withholding occurred. During the six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and 2021, the Company withheld 1,015,489 and 794,850 shares, respectively, of common stock from employee stock option, PRSU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 awards, at an average price per share of $96.49 and $67.23, respectively, and an aggregate value of $98.0 million and $53.4 million,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price of the Class A common stock on the date the relevant withholding occurred.</w:t>
      </w:r>
    </w:p>
    <w:p>
      <w:pPr>
        <w:spacing w:after="0" w:line="16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These shares are withheld in order for the Company to cover the payroll tax withholding obligations upon the exercise of stock options and settlement of RSUs and PRSUs and such shares were not withheld in connection with the Share Repurchase Program discussed above.</w:t>
      </w:r>
    </w:p>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enters into transactions with its affiliates from time to time which are considered to be related party transactions.</w:t>
      </w:r>
    </w:p>
    <w:p>
      <w:pPr>
        <w:spacing w:after="0" w:line="18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the following balances with such affiliates were included in the condensed consolidated statements of financial condition in the following line items: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2"/>
        </w:trPr>
        <w:tc>
          <w:tcPr>
            <w:tcW w:w="48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48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13"/>
        </w:trPr>
        <w:tc>
          <w:tcPr>
            <w:tcW w:w="48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4"/>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48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 from affiliates</w:t>
            </w:r>
          </w:p>
        </w:tc>
        <w:tc>
          <w:tcPr>
            <w:tcW w:w="3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w:t>
            </w: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r>
      <w:tr>
        <w:trPr>
          <w:trHeight w:val="27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7,545</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7,767</w:t>
            </w: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w:t>
            </w: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to affiliates</w:t>
            </w:r>
          </w:p>
        </w:tc>
        <w:tc>
          <w:tcPr>
            <w:tcW w:w="3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w:t>
            </w:r>
          </w:p>
        </w:tc>
      </w:tr>
      <w:tr>
        <w:trPr>
          <w:trHeight w:val="900"/>
        </w:trPr>
        <w:tc>
          <w:tcPr>
            <w:tcW w:w="4820" w:type="dxa"/>
            <w:vAlign w:val="bottom"/>
          </w:tcPr>
          <w:p>
            <w:pPr>
              <w:spacing w:after="0"/>
              <w:rPr>
                <w:sz w:val="24"/>
                <w:szCs w:val="24"/>
                <w:color w:val="auto"/>
              </w:rPr>
            </w:pPr>
          </w:p>
        </w:tc>
        <w:tc>
          <w:tcPr>
            <w:tcW w:w="3620" w:type="dxa"/>
            <w:vAlign w:val="bottom"/>
          </w:tcPr>
          <w:p>
            <w:pPr>
              <w:jc w:val="right"/>
              <w:ind w:right="2630"/>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balances with such affiliates were included in the condensed consolidated statements of income in the following line items: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6"/>
                <w:szCs w:val="16"/>
                <w:color w:val="auto"/>
              </w:rPr>
            </w:pPr>
          </w:p>
        </w:tc>
        <w:tc>
          <w:tcPr>
            <w:tcW w:w="1500" w:type="dxa"/>
            <w:vAlign w:val="bottom"/>
            <w:gridSpan w:val="3"/>
          </w:tcPr>
          <w:p>
            <w:pPr>
              <w:jc w:val="center"/>
              <w:ind w:left="27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gridSpan w:val="3"/>
          </w:tcPr>
          <w:p>
            <w:pPr>
              <w:jc w:val="center"/>
              <w:ind w:left="2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r>
      <w:tr>
        <w:trPr>
          <w:trHeight w:val="2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19"/>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7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fees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23"/>
                <w:szCs w:val="23"/>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29"/>
        </w:trPr>
        <w:tc>
          <w:tcPr>
            <w:tcW w:w="56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Refinitiv market data fees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30,043</w:t>
            </w:r>
          </w:p>
        </w:tc>
      </w:tr>
      <w:tr>
        <w:trPr>
          <w:trHeight w:val="27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fees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30"/>
        </w:trPr>
        <w:tc>
          <w:tcPr>
            <w:tcW w:w="5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23"/>
                <w:szCs w:val="23"/>
                <w:b w:val="1"/>
                <w:bCs w:val="1"/>
                <w:color w:val="auto"/>
                <w:vertAlign w:val="superscript"/>
              </w:rPr>
              <w:t>(2)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r>
      <w:tr>
        <w:trPr>
          <w:trHeight w:val="229"/>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5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Professional fees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58" w:lineRule="exact"/>
        <w:rPr>
          <w:sz w:val="20"/>
          <w:szCs w:val="20"/>
          <w:color w:val="auto"/>
        </w:rPr>
      </w:pPr>
    </w:p>
    <w:p>
      <w:pPr>
        <w:ind w:left="340" w:right="180" w:hanging="332"/>
        <w:spacing w:after="0" w:line="271" w:lineRule="auto"/>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maintains a market data license agreement with Refinitiv. Under the agreement, the Company delivers to Refinitiv certain market data feeds which Refinitiv redistributes to its customers. The Company earns license fees and royalties for these feeds.</w:t>
      </w: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maintains agreements with Refinitiv to provide the Company with certain real estate, payroll, benefits administration and other administrative services.</w:t>
      </w:r>
    </w:p>
    <w:p>
      <w:pPr>
        <w:spacing w:after="0" w:line="18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engaged Blackstone Advisory Partners L.P., an affiliate of Blackstone, to provide certain financial consulting services in connection with the IPO, the October 2019 follow-on offering and the April 2020 follow-on offering for fees of $1.0 million, $0.5 million, and $0.5 million, respectively, which fees, with respect to the October 2019 follow-on offering and the April 2020 follow-on offering, were reimbursed by the underwriters. As of both June 30, 2022 and December 31, 2021, $2.0 million related to these offering costs, is included as a component of the additional paid-in capital balance on the condensed consolidated statements of financial condition.</w:t>
      </w:r>
    </w:p>
    <w:p>
      <w:pPr>
        <w:spacing w:after="0" w:line="13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Measured at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instruments measured at fair value on the condensed consolidated statements of financial condition as of June 30,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have been categorized based upon the fair value hierarchy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Identical</w:t>
            </w: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Pr>
          <w:p>
            <w:pPr>
              <w:spacing w:after="0"/>
              <w:rPr>
                <w:sz w:val="15"/>
                <w:szCs w:val="15"/>
                <w:color w:val="auto"/>
              </w:rPr>
            </w:pPr>
          </w:p>
        </w:tc>
        <w:tc>
          <w:tcPr>
            <w:tcW w:w="102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of June 30, 2022</w:t>
            </w: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725,142</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725,142</w:t>
            </w: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Receivable from affiliates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Foreign currency forward contracts</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0" w:type="dxa"/>
            <w:vAlign w:val="bottom"/>
          </w:tcPr>
          <w:p>
            <w:pPr>
              <w:spacing w:after="0"/>
              <w:rPr>
                <w:sz w:val="1"/>
                <w:szCs w:val="1"/>
                <w:color w:val="auto"/>
              </w:rPr>
            </w:pPr>
          </w:p>
        </w:tc>
      </w:tr>
      <w:tr>
        <w:trPr>
          <w:trHeight w:val="196"/>
        </w:trPr>
        <w:tc>
          <w:tcPr>
            <w:tcW w:w="55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assets measured at fair value</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725,142</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5,561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ind w:left="9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730,703</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of December 31, 2021</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654,553</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654,553</w:t>
            </w:r>
          </w:p>
        </w:tc>
        <w:tc>
          <w:tcPr>
            <w:tcW w:w="0" w:type="dxa"/>
            <w:vAlign w:val="bottom"/>
          </w:tcPr>
          <w:p>
            <w:pPr>
              <w:spacing w:after="0"/>
              <w:rPr>
                <w:sz w:val="1"/>
                <w:szCs w:val="1"/>
                <w:color w:val="auto"/>
              </w:rPr>
            </w:pPr>
          </w:p>
        </w:tc>
      </w:tr>
      <w:tr>
        <w:trPr>
          <w:trHeight w:val="229"/>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Receivable from affiliates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Foreign currency forward contracts</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0" w:type="dxa"/>
            <w:vAlign w:val="bottom"/>
          </w:tcPr>
          <w:p>
            <w:pPr>
              <w:spacing w:after="0"/>
              <w:rPr>
                <w:sz w:val="1"/>
                <w:szCs w:val="1"/>
                <w:color w:val="auto"/>
              </w:rPr>
            </w:pPr>
          </w:p>
        </w:tc>
      </w:tr>
      <w:tr>
        <w:trPr>
          <w:trHeight w:val="22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654,553</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657,572</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Company’s money market funds are classified within level 1 of the fair value hierarchy because they are valued using quoted market prices in active markets. There were no financial instruments measured at fair value in a liability position as of June 30, 2022 and December 31, 2021.</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valuation for the Company’s foreign currency forward contracts is primarily based on the difference between the exchange rate associated with the forward contract and the exchange rate at the current period end. Foreign currency forward contracts are categorized as Level 2 in the fair value hierarchy. The Company enters into foreign currency forward contracts to mitigate its U.S. dollar and British pound sterling versus euro exposure, generally with a duration of less than twelve months. As of June 30, 2022 and December 31, 2021, the counterparty on each of the foreign currency forward contracts was an affiliate of Refinitiv and therefore the corresponding receivables on such contracts were included in receivable from affiliates on the accompanying condensed consolidated statements of financial condition.</w:t>
      </w:r>
    </w:p>
    <w:p>
      <w:pPr>
        <w:spacing w:after="0" w:line="16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aggregate U.S. dollar equivalent notional amount of the Company’s foreign currency forward contracts not designated as hedges for accounting purposes: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6"/>
                <w:szCs w:val="16"/>
                <w:color w:val="auto"/>
              </w:rPr>
            </w:pPr>
          </w:p>
        </w:tc>
        <w:tc>
          <w:tcPr>
            <w:tcW w:w="116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13"/>
        </w:trPr>
        <w:tc>
          <w:tcPr>
            <w:tcW w:w="8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4"/>
          </w:tcPr>
          <w:p>
            <w:pPr>
              <w:jc w:val="right"/>
              <w:ind w:right="88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 – Gross notional amount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161,918</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146,202</w:t>
            </w:r>
          </w:p>
        </w:tc>
      </w:tr>
    </w:tbl>
    <w:p>
      <w:pPr>
        <w:spacing w:after="0" w:line="25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Company’s foreign currency forward contracts are not designated as hedges for accounting purposes and changes in the fair value of these contracts during the period are recognized in the condensed consolidated statements of income within general and administrative expenses.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total realized and unrealized gains (losses) on foreign currency forward contracts recorded within general and administrative expenses in the condensed consolidated statements of income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6"/>
                <w:szCs w:val="16"/>
                <w:color w:val="auto"/>
              </w:rPr>
            </w:pPr>
          </w:p>
        </w:tc>
        <w:tc>
          <w:tcPr>
            <w:tcW w:w="1500" w:type="dxa"/>
            <w:vAlign w:val="bottom"/>
            <w:gridSpan w:val="3"/>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r>
      <w:tr>
        <w:trPr>
          <w:trHeight w:val="203"/>
        </w:trPr>
        <w:tc>
          <w:tcPr>
            <w:tcW w:w="5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center"/>
              <w:ind w:left="60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gridSpan w:val="3"/>
          </w:tcPr>
          <w:p>
            <w:pPr>
              <w:jc w:val="center"/>
              <w:ind w:left="30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r>
      <w:tr>
        <w:trPr>
          <w:trHeight w:val="23"/>
        </w:trPr>
        <w:tc>
          <w:tcPr>
            <w:tcW w:w="5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5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19"/>
        </w:trPr>
        <w:tc>
          <w:tcPr>
            <w:tcW w:w="5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37"/>
        </w:trPr>
        <w:tc>
          <w:tcPr>
            <w:tcW w:w="5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25"/>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 not designated in accounting hedge</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61"/>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relationship</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w:t>
            </w:r>
          </w:p>
        </w:tc>
      </w:tr>
      <w:tr>
        <w:trPr>
          <w:trHeight w:val="891"/>
        </w:trPr>
        <w:tc>
          <w:tcPr>
            <w:tcW w:w="5340" w:type="dxa"/>
            <w:vAlign w:val="bottom"/>
          </w:tcPr>
          <w:p>
            <w:pPr>
              <w:spacing w:after="0"/>
              <w:rPr>
                <w:sz w:val="24"/>
                <w:szCs w:val="24"/>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5"/>
        </w:trPr>
        <w:tc>
          <w:tcPr>
            <w:tcW w:w="5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Measured at Fair Value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instruments not measured at fair value on the condensed consolidated statements of financial condition as of June 30,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have been categorized based upon the fair value hierarchy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16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Identical</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6"/>
                <w:szCs w:val="16"/>
                <w:color w:val="auto"/>
              </w:rPr>
            </w:pPr>
          </w:p>
        </w:tc>
        <w:tc>
          <w:tcPr>
            <w:tcW w:w="12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37"/>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As of June 30, 2022</w:t>
            </w: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16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restricted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235,577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235,577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235,577</w:t>
            </w:r>
          </w:p>
        </w:tc>
        <w:tc>
          <w:tcPr>
            <w:tcW w:w="0" w:type="dxa"/>
            <w:vAlign w:val="bottom"/>
          </w:tcPr>
          <w:p>
            <w:pPr>
              <w:spacing w:after="0"/>
              <w:rPr>
                <w:sz w:val="1"/>
                <w:szCs w:val="1"/>
                <w:color w:val="auto"/>
              </w:rPr>
            </w:pPr>
          </w:p>
        </w:tc>
      </w:tr>
      <w:tr>
        <w:trPr>
          <w:trHeight w:val="175"/>
        </w:trPr>
        <w:tc>
          <w:tcPr>
            <w:tcW w:w="41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Receivable from brokers and dealers and clearing</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25,990</w:t>
            </w: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155,426</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Memberships in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421,049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1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Payable to brokers and dealers and clearing</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As of December 31, 2021</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1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restricted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318,495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318,495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318,495</w:t>
            </w:r>
          </w:p>
        </w:tc>
        <w:tc>
          <w:tcPr>
            <w:tcW w:w="0" w:type="dxa"/>
            <w:vAlign w:val="bottom"/>
          </w:tcPr>
          <w:p>
            <w:pPr>
              <w:spacing w:after="0"/>
              <w:rPr>
                <w:sz w:val="1"/>
                <w:szCs w:val="1"/>
                <w:color w:val="auto"/>
              </w:rPr>
            </w:pPr>
          </w:p>
        </w:tc>
      </w:tr>
      <w:tr>
        <w:trPr>
          <w:trHeight w:val="175"/>
        </w:trPr>
        <w:tc>
          <w:tcPr>
            <w:tcW w:w="41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Receivable from brokers and dealers and clearing</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20,523</w:t>
            </w: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129,937</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Memberships in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471,347</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1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Payable to brokers and dealers and clearing</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carrying value of financial instruments not measured at fair value classified within level 1 or level 2 of the fair value hierarchy approximates fair value because of the relatively short term nature of the underlying assets or liabilities. The memberships in clearing organizations, which are included in other assets on the condensed consolidated statements of financial condition, are classified within level 3 of the fair value hierarchy because the valuation requires assumptions that are both significant and unobservable.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Without Readily Determinable Fair Values</w:t>
      </w:r>
    </w:p>
    <w:p>
      <w:pPr>
        <w:spacing w:after="0" w:line="20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Included in other assets on the condensed consolidated statements of financial condition are equity investments without readily determinable fair values of $21.0 million and $21.1 million as of June 30, 2022 and December 31, 2021, respectively. There were no impairments or adjustments to the carrying value of equity investments without readily determinable fair values during each of the three and six months ended June 30, 2022 and 2021 and no adjustments to the original cost basis recorded to the consolidated statements of operations have been made to the carrying value over the life of the instruments.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0" w:hanging="392"/>
        <w:spacing w:after="0"/>
        <w:tabs>
          <w:tab w:leader="none" w:pos="4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Risk</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the Company, as agent, executes transactions with, and on behalf of, other brokers and dealers. If the agency transactions do not settle because of failure to perform by either counterparty, the Company will recognize a receivable from (and a matching payable to) brokers and dealers and clearing organizations for the proceeds from the unsettled transaction, until the failed transaction settles. The Company may be obligated to discharge the obligation of the non-performing party and, as a result, may incur a loss if the market value of the security is different from the contract amount of the transaction. However, from time to time, the Company enters into repurchase and/or reverse repurchase agreements to facilitate the clearance of securities relating to fails to deliver or receive. We seek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Fixed Income Clearing Corporation (“FICC”). The FICC operates a continuous net settlement system, whereby as trades are submitted and compared, the FICC becomes the counterparty.</w:t>
      </w:r>
    </w:p>
    <w:p>
      <w:pPr>
        <w:spacing w:after="0" w:line="148" w:lineRule="exact"/>
        <w:rPr>
          <w:sz w:val="20"/>
          <w:szCs w:val="20"/>
          <w:color w:val="auto"/>
        </w:rPr>
      </w:pPr>
    </w:p>
    <w:p>
      <w:pPr>
        <w:ind w:right="480"/>
        <w:spacing w:after="0" w:line="289" w:lineRule="auto"/>
        <w:rPr>
          <w:sz w:val="20"/>
          <w:szCs w:val="20"/>
          <w:color w:val="auto"/>
        </w:rPr>
      </w:pPr>
      <w:r>
        <w:rPr>
          <w:rFonts w:ascii="Times New Roman" w:cs="Times New Roman" w:eastAsia="Times New Roman" w:hAnsi="Times New Roman"/>
          <w:sz w:val="17"/>
          <w:szCs w:val="17"/>
          <w:color w:val="auto"/>
        </w:rPr>
        <w:t>A substantial number of the Company’s transactions are collateralized and executed with, and on behalf of, a limited number of broker-dealers.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may be exposed to credit risk regarding its receivables, which are primarily receivables from financial institutions, including investment managers and broker-dealers. The Company maintains an allowance for credit losses based upon an estimate of the amount of potential credit losses in existing accounts receivable, as determined from a review of aging schedules, past due balances, historical collection experience and other specific account data. Careful analysis of the financial condition of the Company’s counterparties is also performed.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balances are pooled based on the following risk characteristics:</w:t>
      </w:r>
    </w:p>
    <w:p>
      <w:pPr>
        <w:spacing w:after="0" w:line="2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location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fee type (billing type)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entity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Write-Offs</w:t>
      </w:r>
    </w:p>
    <w:p>
      <w:pPr>
        <w:spacing w:after="0" w:line="18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Once determined uncollectible, aged balances are written off against the allowance for credit losses. This determination is based on careful analysis of individual receivables and aging schedules, which are disaggregated based on the risk characteristics described above. Based on current policy, this generally occurs when the receivable is 360 days past due.</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June 30, 2022 and December 31, 2021, the Company maintained an allowance for credit losses with regard to these receivables of $0.1 million and $0.3 million, respectively. For the three months ended June 30, 2022, credit loss expense was recognized totaling $49,000. For the three months ended June 30, 2021, recoveries resulted in a reversal of credit loss expense totaling $42,000. For the six months ended June 30, 2022 and 2021, recoveries resulted in a reversal of credit loss expense totaling $25,000 and $106,000, respectively.</w:t>
      </w:r>
    </w:p>
    <w:p>
      <w:pPr>
        <w:spacing w:after="0" w:line="14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user agreements with its dealers which provide the dealers with indemnification from third parties in the event that the electronic marketplaces of the Company infringe upon the intellectual property or other proprietary right of a third party. The Company’s exposure under these user agreements is unknown as this would involve estimating future claims against the Company which have not yet occurred. However, based on its experience, the Company expects the risk of a material loss to be remote.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has been named as a defendant, along with other financial institutions, in two consolidated antitrust class actions relating to trading practices in United States Treasury securities auctions. The cases were dismissed in March 2021, with the Court granting the Plaintiffs leave to further amend the complaint by no later than May 14, 2021. The plaintiffs filed an amended complaint on or about May 14, 2021, and the Company moved to dismiss the amended complaint on June 14, 2021. By order dated March 31, 2022, the Court granted the Company’s motion to dismiss in full and dismissed all of the claims in the amended complaint. The Court also denied the plaintiffs’ request for leave to file a further amended complaint. On April 28, 2022, the Plaintiffs filed a Notice of Appeal of the decision; that appeal is currently pending in the United States Court of Appeals for the Second Circuit. The Company intends to vigorously defend the District Court’s decision on appeal and assert its meritorious defenses to the allegations.</w:t>
      </w:r>
    </w:p>
    <w:p>
      <w:pPr>
        <w:spacing w:after="0" w:line="16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Additionally, the Company was dismissed from a class action relating to an interest rate swaps matter in 2017, but that matter continues against the remaining defendant financial institutions.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records its best estimate of a loss, including estimated defense costs, when the loss is considered probable and the amount of such loss can be reasonably estimated. Based on its experience, the Company believes that the amount of damages claimed in a legal proceeding is not a meaningful indicator of the potential liability. At this time, the Company cannot reasonably predict the timing or outcomes of, or estimate the amount of loss, or range of loss, if any, related to its pending legal proceedings, including the matters described above, and therefore does not have any contingency reserves established for any of these matters.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p>
      <w:pPr>
        <w:spacing w:after="0" w:line="20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April 8, 2019, the Company entered into a five year, $500.0 million senior secured revolving credit facility (“Credit Facility”) with a syndicate of banks. The Credit Facility was subsequently amended on November 7, 2019. The Credit Facility provides additional borrowing capacity to be used to fund ongoing working capital needs, letters of credit and for general corporate purposes, including potential future acquisitions and expansions.</w:t>
      </w:r>
    </w:p>
    <w:p>
      <w:pPr>
        <w:spacing w:after="0" w:line="13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Under the terms of the credit agreement that governs the Credit Facility, borrowings under the Credit Facility bear interest at a rate equal to, at the Company’s option, either (a) a base rate equal to the greatest of (i) the administrative agent’s prime rate, (ii) the federal funds effective rate plus ½ of 1.0% and (iii) one month LIBOR plus 1.0%, in each case plus 0.75%, or (b) LIBOR plus 1.75%, subject to a 0.00% floor. The credit agreement also includes a commitment fee of 0.25% for available but unborrowed amounts and other administrative fees that are payable quarterly. The Credit Facility is available until April 2024, provided the Company is in compliance with all covenants. Financial covenant requirements include maintaining minimum ratios related to interest coverage and leverage.</w:t>
      </w:r>
    </w:p>
    <w:p>
      <w:pPr>
        <w:spacing w:after="0" w:line="14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there were $0.5 million in letters of credit issued under the Revolving Credit Facility and no borrowings outstanding.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corporate offices and data centers with initial lease terms ranging from one to ten years. The following table presents the future minimum lease payments and the maturity of lease liabilities as of June 30, 2022: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6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78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6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6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7,024</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6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31,573</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6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6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bottom w:val="single" w:sz="8" w:color="CCEEFF"/>
            </w:tcBorders>
            <w:vMerge w:val="restart"/>
          </w:tcPr>
          <w:p>
            <w:pPr>
              <w:jc w:val="right"/>
              <w:ind w:right="407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780" w:type="dxa"/>
            <w:vAlign w:val="bottom"/>
          </w:tcPr>
          <w:p>
            <w:pPr>
              <w:spacing w:after="0"/>
              <w:rPr>
                <w:sz w:val="24"/>
                <w:szCs w:val="24"/>
                <w:color w:val="auto"/>
              </w:rPr>
            </w:pPr>
          </w:p>
        </w:tc>
        <w:tc>
          <w:tcPr>
            <w:tcW w:w="6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6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0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calculations of basic and diluted earnings per outstanding share of Class A and Class B common stock for Tradeweb Markets Inc.:</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560" w:type="dxa"/>
            <w:vAlign w:val="bottom"/>
            <w:gridSpan w:val="4"/>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380" w:type="dxa"/>
            <w:vAlign w:val="bottom"/>
            <w:gridSpan w:val="9"/>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Numerator:</w:t>
            </w:r>
          </w:p>
        </w:tc>
        <w:tc>
          <w:tcPr>
            <w:tcW w:w="470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68,344</w:t>
            </w:r>
          </w:p>
        </w:tc>
        <w:tc>
          <w:tcPr>
            <w:tcW w:w="10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55,316</w:t>
            </w:r>
          </w:p>
        </w:tc>
        <w:tc>
          <w:tcPr>
            <w:tcW w:w="8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151,309</w:t>
            </w:r>
          </w:p>
        </w:tc>
        <w:tc>
          <w:tcPr>
            <w:tcW w:w="8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123,175</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5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Less: Distributed and undistributed earnings allocated to unvested RSUs</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40" w:type="dxa"/>
            <w:vAlign w:val="bottom"/>
            <w:gridSpan w:val="3"/>
            <w:shd w:val="clear" w:color="auto" w:fill="CCEEFF"/>
          </w:tcPr>
          <w:p>
            <w:pPr>
              <w:ind w:left="420"/>
              <w:spacing w:after="0" w:line="243" w:lineRule="exact"/>
              <w:rPr>
                <w:sz w:val="20"/>
                <w:szCs w:val="20"/>
                <w:color w:val="auto"/>
              </w:rPr>
            </w:pPr>
            <w:r>
              <w:rPr>
                <w:rFonts w:ascii="Times New Roman" w:cs="Times New Roman" w:eastAsia="Times New Roman" w:hAnsi="Times New Roman"/>
                <w:sz w:val="18"/>
                <w:szCs w:val="18"/>
                <w:color w:val="auto"/>
              </w:rPr>
              <w:t xml:space="preserve">and unsettled vested PRSUs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4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auto"/>
              </w:rPr>
              <w:t>Net income attributable to outstanding shares of Class A and Class B</w:t>
            </w:r>
          </w:p>
        </w:tc>
        <w:tc>
          <w:tcPr>
            <w:tcW w:w="24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68,318</w:t>
            </w:r>
          </w:p>
        </w:tc>
        <w:tc>
          <w:tcPr>
            <w:tcW w:w="100" w:type="dxa"/>
            <w:vAlign w:val="bottom"/>
          </w:tcPr>
          <w:p>
            <w:pPr>
              <w:spacing w:after="0"/>
              <w:rPr>
                <w:sz w:val="13"/>
                <w:szCs w:val="13"/>
                <w:color w:val="auto"/>
              </w:rPr>
            </w:pPr>
          </w:p>
        </w:tc>
        <w:tc>
          <w:tcPr>
            <w:tcW w:w="30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55,316</w:t>
            </w:r>
          </w:p>
        </w:tc>
        <w:tc>
          <w:tcPr>
            <w:tcW w:w="80" w:type="dxa"/>
            <w:vAlign w:val="bottom"/>
          </w:tcPr>
          <w:p>
            <w:pPr>
              <w:spacing w:after="0"/>
              <w:rPr>
                <w:sz w:val="13"/>
                <w:szCs w:val="13"/>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151,256</w:t>
            </w:r>
          </w:p>
        </w:tc>
        <w:tc>
          <w:tcPr>
            <w:tcW w:w="80" w:type="dxa"/>
            <w:vAlign w:val="bottom"/>
          </w:tcPr>
          <w:p>
            <w:pPr>
              <w:spacing w:after="0"/>
              <w:rPr>
                <w:sz w:val="13"/>
                <w:szCs w:val="13"/>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123,175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 Basic and Diluted</w:t>
            </w:r>
          </w:p>
        </w:tc>
        <w:tc>
          <w:tcPr>
            <w:tcW w:w="2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5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Weighted average shares of Class A and Class B common stock</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Basic</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204,501,035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201,749,985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204,282,406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200,414,714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Dilutive effect of PRSUs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782,955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2,021,234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765,497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1,926,771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effect of options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1,839,177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3,461,230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2,080,602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3,656,412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5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Dilutive effect of RSUs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149,508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231,511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242,867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255,859</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554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Weighted average shares of Class A and Class B common stock</w:t>
            </w:r>
          </w:p>
        </w:tc>
        <w:tc>
          <w:tcPr>
            <w:tcW w:w="2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207,272,675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207,463,960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207,371,372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206,253,756</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Diluted</w:t>
            </w:r>
          </w:p>
        </w:tc>
        <w:tc>
          <w:tcPr>
            <w:tcW w:w="2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 Basic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rPr>
              <w:t>Earnings per share - Diluted</w:t>
            </w: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0.27</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0.73</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right="100" w:hanging="332"/>
        <w:spacing w:after="0" w:line="282" w:lineRule="auto"/>
        <w:tabs>
          <w:tab w:leader="none" w:pos="33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and six months ended June 30, 2022, there was a total of 76,426 and 80,778, respectively, weighted average unvested RSUs and unsettled vested PRSUs that were considered a participating security for purposes of calculating earnings per share in accordance with the two-class method. There were none during the three and six months ended June 30, 2021.</w:t>
      </w:r>
    </w:p>
    <w:p>
      <w:pPr>
        <w:spacing w:after="0" w:line="31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LLC Interests held by the Continuing LLC Owners are redeemable in accordance with the TWM LLC Agreement, at the election of such holders, for shares of Class A or Class B common stock of Tradeweb Markets Inc. The potential dilutive effect of LLC Interests are evaluated under the if-converted method. The potential dilutive effect of PRSUs, shares underlying options and RSUs are evaluated under the treasury stock method.</w:t>
      </w:r>
    </w:p>
    <w:p>
      <w:pPr>
        <w:spacing w:after="0" w:line="149" w:lineRule="exact"/>
        <w:rPr>
          <w:sz w:val="20"/>
          <w:szCs w:val="20"/>
          <w:color w:val="auto"/>
        </w:rPr>
      </w:pPr>
    </w:p>
    <w:p>
      <w:pPr>
        <w:jc w:val="both"/>
        <w:ind w:right="240"/>
        <w:spacing w:after="0" w:line="312" w:lineRule="auto"/>
        <w:rPr>
          <w:sz w:val="20"/>
          <w:szCs w:val="20"/>
          <w:color w:val="auto"/>
        </w:rPr>
      </w:pPr>
      <w:r>
        <w:rPr>
          <w:rFonts w:ascii="Times New Roman" w:cs="Times New Roman" w:eastAsia="Times New Roman" w:hAnsi="Times New Roman"/>
          <w:sz w:val="17"/>
          <w:szCs w:val="17"/>
          <w:color w:val="auto"/>
        </w:rPr>
        <w:t>The following table summarizes the PRSUs, shares underlying options, RSUs and weighted-average LLC Interests that were anti-dilutive for the periods indicated. As a result, these shares, which were outstanding, were excluded from the computation of diluted earnings per share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8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780" w:type="dxa"/>
            <w:vAlign w:val="bottom"/>
            <w:gridSpan w:val="3"/>
          </w:tcPr>
          <w:p>
            <w:pPr>
              <w:jc w:val="center"/>
              <w:ind w:left="91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gridSpan w:val="3"/>
          </w:tcPr>
          <w:p>
            <w:pPr>
              <w:jc w:val="center"/>
              <w:ind w:left="93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Pr>
          <w:p>
            <w:pPr>
              <w:spacing w:after="0"/>
              <w:rPr>
                <w:sz w:val="17"/>
                <w:szCs w:val="17"/>
                <w:color w:val="auto"/>
              </w:rPr>
            </w:pPr>
          </w:p>
        </w:tc>
      </w:tr>
      <w:tr>
        <w:trPr>
          <w:trHeight w:val="23"/>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34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3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40"/>
        </w:trPr>
        <w:tc>
          <w:tcPr>
            <w:tcW w:w="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40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20" w:type="dxa"/>
            <w:vAlign w:val="bottom"/>
            <w:shd w:val="clear" w:color="auto" w:fill="CCEEFF"/>
          </w:tcPr>
          <w:p>
            <w:pPr>
              <w:spacing w:after="0"/>
              <w:rPr>
                <w:sz w:val="18"/>
                <w:szCs w:val="18"/>
                <w:color w:val="auto"/>
              </w:rPr>
            </w:pPr>
          </w:p>
        </w:tc>
        <w:tc>
          <w:tcPr>
            <w:tcW w:w="55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Anti-dilutive Shares: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PRSUs</w:t>
            </w:r>
          </w:p>
        </w:tc>
        <w:tc>
          <w:tcPr>
            <w:tcW w:w="4040" w:type="dxa"/>
            <w:vAlign w:val="bottom"/>
            <w:tcBorders>
              <w:top w:val="single" w:sz="8" w:color="CCEEFF"/>
            </w:tcBorders>
          </w:tcPr>
          <w:p>
            <w:pPr>
              <w:spacing w:after="0"/>
              <w:rPr>
                <w:sz w:val="19"/>
                <w:szCs w:val="19"/>
                <w:color w:val="auto"/>
              </w:rPr>
            </w:pPr>
          </w:p>
        </w:tc>
        <w:tc>
          <w:tcPr>
            <w:tcW w:w="13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378,265</w:t>
            </w: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CCEEFF"/>
            </w:tcBorders>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shd w:val="clear" w:color="auto" w:fill="CCEEFF"/>
          </w:tcPr>
          <w:p>
            <w:pPr>
              <w:spacing w:after="0"/>
              <w:rPr>
                <w:sz w:val="23"/>
                <w:szCs w:val="23"/>
                <w:color w:val="auto"/>
              </w:rPr>
            </w:pPr>
          </w:p>
        </w:tc>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7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LLC Interests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29,971,658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30,531,933</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30,133,370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30,871,285</w:t>
            </w:r>
          </w:p>
        </w:tc>
      </w:tr>
    </w:tbl>
    <w:p>
      <w:pPr>
        <w:spacing w:after="0" w:line="25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Shares of Class C and Class D common stock do not have economic rights in Tradeweb Markets Inc. and, therefore, are not included in the calculation of basic earnings per share and are not participating securities for purposes of the computation of diluted earnings per share.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Regulatory Capital Requirements</w:t>
      </w:r>
    </w:p>
    <w:p>
      <w:pPr>
        <w:spacing w:after="0" w:line="20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TWL, DW, TWD and EA are subject to the Uniform Net Capital Rule 15c3-1 under the Exchange Act. TEL and TESL are subject to certain financial resource requirements with the FCA in the UK, TWJ is subject to certain financial resource requirements with the FCA in Japan and TWEU and TESBV are subject to certain finance resource requirements with the AFM in the Netherlands.</w:t>
      </w:r>
    </w:p>
    <w:p>
      <w:pPr>
        <w:spacing w:after="0" w:line="13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At June 30, 2022 and December 31, 2021, the regulatory capital requirements and regulatory capital for TWL, DW, TWD, TEL, TWJ, TWEU, TESL, EA and TESBV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180" w:type="dxa"/>
            <w:vAlign w:val="bottom"/>
          </w:tcPr>
          <w:p>
            <w:pPr>
              <w:spacing w:after="0"/>
              <w:rPr>
                <w:sz w:val="17"/>
                <w:szCs w:val="17"/>
                <w:color w:val="auto"/>
              </w:rPr>
            </w:pPr>
          </w:p>
        </w:tc>
        <w:tc>
          <w:tcPr>
            <w:tcW w:w="8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TWL</w:t>
            </w:r>
          </w:p>
        </w:tc>
        <w:tc>
          <w:tcPr>
            <w:tcW w:w="200" w:type="dxa"/>
            <w:vAlign w:val="bottom"/>
          </w:tcPr>
          <w:p>
            <w:pPr>
              <w:spacing w:after="0"/>
              <w:rPr>
                <w:sz w:val="17"/>
                <w:szCs w:val="17"/>
                <w:color w:val="auto"/>
              </w:rPr>
            </w:pPr>
          </w:p>
        </w:tc>
        <w:tc>
          <w:tcPr>
            <w:tcW w:w="7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DW</w:t>
            </w:r>
          </w:p>
        </w:tc>
        <w:tc>
          <w:tcPr>
            <w:tcW w:w="180" w:type="dxa"/>
            <w:vAlign w:val="bottom"/>
          </w:tcPr>
          <w:p>
            <w:pPr>
              <w:spacing w:after="0"/>
              <w:rPr>
                <w:sz w:val="17"/>
                <w:szCs w:val="17"/>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TWD</w:t>
            </w:r>
          </w:p>
        </w:tc>
        <w:tc>
          <w:tcPr>
            <w:tcW w:w="220" w:type="dxa"/>
            <w:vAlign w:val="bottom"/>
          </w:tcPr>
          <w:p>
            <w:pPr>
              <w:spacing w:after="0"/>
              <w:rPr>
                <w:sz w:val="17"/>
                <w:szCs w:val="17"/>
                <w:color w:val="auto"/>
              </w:rPr>
            </w:pP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TEL</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TWJ</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TWEU</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TESL</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EA</w:t>
            </w:r>
          </w:p>
        </w:tc>
        <w:tc>
          <w:tcPr>
            <w:tcW w:w="160" w:type="dxa"/>
            <w:vAlign w:val="bottom"/>
          </w:tcPr>
          <w:p>
            <w:pPr>
              <w:spacing w:after="0"/>
              <w:rPr>
                <w:sz w:val="17"/>
                <w:szCs w:val="17"/>
                <w:color w:val="auto"/>
              </w:rPr>
            </w:pPr>
          </w:p>
        </w:tc>
        <w:tc>
          <w:tcPr>
            <w:tcW w:w="7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TESBV</w:t>
            </w:r>
          </w:p>
        </w:tc>
      </w:tr>
      <w:tr>
        <w:trPr>
          <w:trHeight w:val="23"/>
        </w:trPr>
        <w:tc>
          <w:tcPr>
            <w:tcW w:w="2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3"/>
        </w:trPr>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8"/>
          </w:tcPr>
          <w:p>
            <w:pPr>
              <w:ind w:lef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
        </w:trPr>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0"/>
        </w:trPr>
        <w:tc>
          <w:tcPr>
            <w:tcW w:w="24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Capital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1,620</w:t>
            </w: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r>
      <w:tr>
        <w:trPr>
          <w:trHeight w:val="184"/>
        </w:trPr>
        <w:tc>
          <w:tcPr>
            <w:tcW w:w="2460" w:type="dxa"/>
            <w:vAlign w:val="bottom"/>
            <w:gridSpan w:val="4"/>
          </w:tcPr>
          <w:p>
            <w:pPr>
              <w:ind w:left="20"/>
              <w:spacing w:after="0" w:line="184" w:lineRule="exact"/>
              <w:rPr>
                <w:sz w:val="20"/>
                <w:szCs w:val="20"/>
                <w:color w:val="auto"/>
              </w:rPr>
            </w:pPr>
            <w:r>
              <w:rPr>
                <w:rFonts w:ascii="Times New Roman" w:cs="Times New Roman" w:eastAsia="Times New Roman" w:hAnsi="Times New Roman"/>
                <w:sz w:val="18"/>
                <w:szCs w:val="18"/>
                <w:color w:val="auto"/>
              </w:rPr>
              <w:t>Regulatory Capital</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4"/>
        </w:trPr>
        <w:tc>
          <w:tcPr>
            <w:tcW w:w="24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Requirement</w:t>
            </w: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1,114</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48"/>
        </w:trPr>
        <w:tc>
          <w:tcPr>
            <w:tcW w:w="24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Regulatory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213,121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477"/>
        </w:trPr>
        <w:tc>
          <w:tcPr>
            <w:tcW w:w="24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80" w:type="dxa"/>
            <w:vAlign w:val="bottom"/>
          </w:tcPr>
          <w:p>
            <w:pPr>
              <w:spacing w:after="0"/>
              <w:rPr>
                <w:sz w:val="24"/>
                <w:szCs w:val="24"/>
                <w:color w:val="auto"/>
              </w:rPr>
            </w:pPr>
          </w:p>
        </w:tc>
        <w:tc>
          <w:tcPr>
            <w:tcW w:w="8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TWL</w:t>
            </w:r>
          </w:p>
        </w:tc>
        <w:tc>
          <w:tcPr>
            <w:tcW w:w="200" w:type="dxa"/>
            <w:vAlign w:val="bottom"/>
          </w:tcPr>
          <w:p>
            <w:pPr>
              <w:spacing w:after="0"/>
              <w:rPr>
                <w:sz w:val="24"/>
                <w:szCs w:val="24"/>
                <w:color w:val="auto"/>
              </w:rPr>
            </w:pPr>
          </w:p>
        </w:tc>
        <w:tc>
          <w:tcPr>
            <w:tcW w:w="7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DW</w:t>
            </w:r>
          </w:p>
        </w:tc>
        <w:tc>
          <w:tcPr>
            <w:tcW w:w="180" w:type="dxa"/>
            <w:vAlign w:val="bottom"/>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TWD</w:t>
            </w:r>
          </w:p>
        </w:tc>
        <w:tc>
          <w:tcPr>
            <w:tcW w:w="220" w:type="dxa"/>
            <w:vAlign w:val="bottom"/>
          </w:tcPr>
          <w:p>
            <w:pPr>
              <w:spacing w:after="0"/>
              <w:rPr>
                <w:sz w:val="24"/>
                <w:szCs w:val="24"/>
                <w:color w:val="auto"/>
              </w:rPr>
            </w:pPr>
          </w:p>
        </w:tc>
        <w:tc>
          <w:tcPr>
            <w:tcW w:w="7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TEL</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TWJ</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TWEU</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TESL</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EA</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
        </w:trPr>
        <w:tc>
          <w:tcPr>
            <w:tcW w:w="2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13"/>
        </w:trPr>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8"/>
          </w:tcPr>
          <w:p>
            <w:pPr>
              <w:ind w:lef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
        </w:trPr>
        <w:tc>
          <w:tcPr>
            <w:tcW w:w="23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24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Capital</w:t>
            </w: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1,760</w:t>
            </w: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84"/>
        </w:trPr>
        <w:tc>
          <w:tcPr>
            <w:tcW w:w="2460" w:type="dxa"/>
            <w:vAlign w:val="bottom"/>
            <w:gridSpan w:val="4"/>
          </w:tcPr>
          <w:p>
            <w:pPr>
              <w:ind w:left="20"/>
              <w:spacing w:after="0" w:line="184" w:lineRule="exact"/>
              <w:rPr>
                <w:sz w:val="20"/>
                <w:szCs w:val="20"/>
                <w:color w:val="auto"/>
              </w:rPr>
            </w:pPr>
            <w:r>
              <w:rPr>
                <w:rFonts w:ascii="Times New Roman" w:cs="Times New Roman" w:eastAsia="Times New Roman" w:hAnsi="Times New Roman"/>
                <w:sz w:val="18"/>
                <w:szCs w:val="18"/>
                <w:color w:val="auto"/>
              </w:rPr>
              <w:t>Regulatory Capital</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4"/>
        </w:trPr>
        <w:tc>
          <w:tcPr>
            <w:tcW w:w="24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Requirement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1,272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8"/>
        </w:trPr>
        <w:tc>
          <w:tcPr>
            <w:tcW w:w="24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Regulatory Capital</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212,494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SEFs, TW SEF and DW SEF are required to maintain adequate financial resources and liquid financial assets in accordance with CFTC regulations. The required and maintained financial resources and liquid financial assets at June 30, 2022 and December 31, 2021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380" w:type="dxa"/>
            <w:vAlign w:val="bottom"/>
          </w:tcPr>
          <w:p>
            <w:pPr>
              <w:spacing w:after="0"/>
              <w:rPr>
                <w:sz w:val="16"/>
                <w:szCs w:val="16"/>
                <w:color w:val="auto"/>
              </w:rPr>
            </w:pPr>
          </w:p>
        </w:tc>
        <w:tc>
          <w:tcPr>
            <w:tcW w:w="238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r>
      <w:tr>
        <w:trPr>
          <w:trHeight w:val="23"/>
        </w:trPr>
        <w:tc>
          <w:tcPr>
            <w:tcW w:w="3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39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TW SEF</w:t>
            </w:r>
          </w:p>
        </w:tc>
        <w:tc>
          <w:tcPr>
            <w:tcW w:w="26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DW SEF</w:t>
            </w:r>
          </w:p>
        </w:tc>
        <w:tc>
          <w:tcPr>
            <w:tcW w:w="38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TW SEF</w:t>
            </w:r>
          </w:p>
        </w:tc>
        <w:tc>
          <w:tcPr>
            <w:tcW w:w="260" w:type="dxa"/>
            <w:vAlign w:val="bottom"/>
          </w:tcPr>
          <w:p>
            <w:pPr>
              <w:spacing w:after="0"/>
              <w:rPr>
                <w:sz w:val="16"/>
                <w:szCs w:val="16"/>
                <w:color w:val="auto"/>
              </w:rPr>
            </w:pPr>
          </w:p>
        </w:tc>
        <w:tc>
          <w:tcPr>
            <w:tcW w:w="10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DW SEF</w:t>
            </w:r>
          </w:p>
        </w:tc>
      </w:tr>
      <w:tr>
        <w:trPr>
          <w:trHeight w:val="37"/>
        </w:trPr>
        <w:tc>
          <w:tcPr>
            <w:tcW w:w="3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13"/>
        </w:trPr>
        <w:tc>
          <w:tcPr>
            <w:tcW w:w="39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
        </w:trPr>
        <w:tc>
          <w:tcPr>
            <w:tcW w:w="3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Resources</w:t>
            </w:r>
          </w:p>
        </w:tc>
        <w:tc>
          <w:tcPr>
            <w:tcW w:w="18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15,999</w:t>
            </w:r>
          </w:p>
        </w:tc>
      </w:tr>
      <w:tr>
        <w:trPr>
          <w:trHeight w:val="229"/>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Required Financial Resources</w:t>
            </w:r>
          </w:p>
        </w:tc>
        <w:tc>
          <w:tcPr>
            <w:tcW w:w="16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6,770</w:t>
            </w:r>
          </w:p>
        </w:tc>
      </w:tr>
      <w:tr>
        <w:trPr>
          <w:trHeight w:val="248"/>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Financial Resources</w:t>
            </w:r>
          </w:p>
        </w:tc>
        <w:tc>
          <w:tcPr>
            <w:tcW w:w="1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9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Liquid Financial Assets</w:t>
            </w:r>
          </w:p>
        </w:tc>
        <w:tc>
          <w:tcPr>
            <w:tcW w:w="18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10,014</w:t>
            </w:r>
          </w:p>
        </w:tc>
      </w:tr>
      <w:tr>
        <w:trPr>
          <w:trHeight w:val="229"/>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Required Liquid Financial Assets</w:t>
            </w:r>
          </w:p>
        </w:tc>
        <w:tc>
          <w:tcPr>
            <w:tcW w:w="16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r>
      <w:tr>
        <w:trPr>
          <w:trHeight w:val="248"/>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Liquid Financial Assets</w:t>
            </w:r>
          </w:p>
        </w:tc>
        <w:tc>
          <w:tcPr>
            <w:tcW w:w="1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8,321</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865"/>
        </w:trPr>
        <w:tc>
          <w:tcPr>
            <w:tcW w:w="3980" w:type="dxa"/>
            <w:vAlign w:val="bottom"/>
          </w:tcPr>
          <w:p>
            <w:pPr>
              <w:spacing w:after="0"/>
              <w:rPr>
                <w:sz w:val="24"/>
                <w:szCs w:val="24"/>
                <w:color w:val="auto"/>
              </w:rPr>
            </w:pPr>
          </w:p>
        </w:tc>
        <w:tc>
          <w:tcPr>
            <w:tcW w:w="1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Business Segment and Geographic Information</w:t>
      </w:r>
    </w:p>
    <w:p>
      <w:pPr>
        <w:spacing w:after="0" w:line="20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operates electronic marketplaces for the trading of products across the rates, credit, equities and money markets asset classes and provides related pre-trade and post-trade services. The Company’s operations constitute a single business segment because of the integrated nature of these marketplaces and services.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revenue by client sector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r>
      <w:tr>
        <w:trPr>
          <w:trHeight w:val="2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19"/>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Institutional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181,298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160,883</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378,508</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336,207</w:t>
            </w:r>
          </w:p>
        </w:tc>
      </w:tr>
      <w:tr>
        <w:trPr>
          <w:trHeight w:val="23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Wholesale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140,948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121,079</w:t>
            </w: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36,974</w:t>
            </w: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 Data</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39,979</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260,840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608,624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534,239</w:t>
            </w: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190,531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177,048</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390,415</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352,120</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106,607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83,792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218,209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182,119</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Company operates in the U.S. and internationally, primarily in the Europe and Asia regions. Revenues are attributed to geographic area based on the jurisdiction where the underlying transactions take place. The results by geographic region are not meaningful in understanding the Company’s business. Long-lived assets are attributed to the geographic area based on the location of the particular subsidiary.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revenue by geographic area: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r>
      <w:tr>
        <w:trPr>
          <w:trHeight w:val="202"/>
        </w:trPr>
        <w:tc>
          <w:tcPr>
            <w:tcW w:w="5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r>
      <w:tr>
        <w:trPr>
          <w:trHeight w:val="23"/>
        </w:trPr>
        <w:tc>
          <w:tcPr>
            <w:tcW w:w="5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5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219"/>
        </w:trPr>
        <w:tc>
          <w:tcPr>
            <w:tcW w:w="5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
        </w:trPr>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190,150</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163,605</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380,443</w:t>
            </w:r>
          </w:p>
        </w:tc>
        <w:tc>
          <w:tcPr>
            <w:tcW w:w="8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331,341</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106,988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97,235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228,181</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202,898</w:t>
            </w:r>
          </w:p>
        </w:tc>
      </w:tr>
      <w:tr>
        <w:trPr>
          <w:trHeight w:val="22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297,138</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260,840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608,624</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534,239</w:t>
            </w:r>
          </w:p>
        </w:tc>
      </w:tr>
      <w:tr>
        <w:trPr>
          <w:trHeight w:val="20"/>
        </w:trPr>
        <w:tc>
          <w:tcPr>
            <w:tcW w:w="5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the attribution of long-lived assets by geographic area: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4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6"/>
                <w:szCs w:val="16"/>
                <w:color w:val="auto"/>
              </w:rPr>
            </w:pPr>
          </w:p>
        </w:tc>
        <w:tc>
          <w:tcPr>
            <w:tcW w:w="11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34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4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4"/>
          </w:tcPr>
          <w:p>
            <w:pPr>
              <w:jc w:val="right"/>
              <w:ind w:right="87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34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5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5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4,104,021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4,152,186</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50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15,848</w:t>
            </w: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4,117,374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4,168,034</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5000" w:type="dxa"/>
            <w:vAlign w:val="bottom"/>
            <w:vMerge w:val="restart"/>
          </w:tcPr>
          <w:p>
            <w:pPr>
              <w:jc w:val="right"/>
              <w:ind w:right="2630"/>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44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40" w:type="dxa"/>
            <w:vAlign w:val="bottom"/>
            <w:tcBorders>
              <w:bottom w:val="single" w:sz="8" w:color="9A9A9A"/>
            </w:tcBorders>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202"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On August 2, 2022, the board of directors of Tradeweb Markets Inc. declared a cash dividend of $0.08 per share of Class A common stock and Class B common stock for the third quarter of 2022. This dividend will be payable on September 15, 2022 to stockholders of record as of September 1, 2022.</w:t>
      </w:r>
    </w:p>
    <w:p>
      <w:pPr>
        <w:spacing w:after="0" w:line="9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August 1, 2022, Tradeweb Markets Inc., as the sole manager, approved a distribution by TWM LLC to its equityholders, including Tradeweb Markets Inc., in an aggregate amount of $22.4 million, as adjusted by required state and local tax withholdings that will be determined prior to the record date of September 1, 2022, payable on September 13, 2022.</w:t>
      </w:r>
    </w:p>
    <w:p>
      <w:pPr>
        <w:spacing w:after="0" w:line="200" w:lineRule="exact"/>
        <w:rPr>
          <w:sz w:val="20"/>
          <w:szCs w:val="20"/>
          <w:color w:val="auto"/>
        </w:rPr>
      </w:pPr>
    </w:p>
    <w:p>
      <w:pPr>
        <w:spacing w:after="0" w:line="3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ind w:right="40"/>
        <w:spacing w:after="0" w:line="220" w:lineRule="exact"/>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included elsewhere in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 titled “Cautionary Note Regarding Forward-Looking Statements” included elsewhere in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and the section titled “Item 1A. Risk Factors” in Part I of the 2021 Form 10-K .</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equities and money markets. We are a global company serving clients in over 65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w:t>
      </w:r>
    </w:p>
    <w:p>
      <w:pPr>
        <w:spacing w:after="0" w:line="162"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17"/>
          <w:szCs w:val="17"/>
          <w:color w:val="auto"/>
        </w:rPr>
        <w:t>Our institutional client sector serves institutional investors in over 45 markets across over 25 currencies, and in over 65 countries around the globe. We connect institutional investors with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11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our wholesale client sector, we provide a broad range of electronic, voice and hybrid platforms to more than 300 dealers and financial institutions with more than 100 actively trading on our electronic or hybrid markets with our Dealerweb platform. This platform was launched in 2008 following the acquisition of inter-dealer broker Hilliard Farber &amp; Co., Inc. In 2011, we acquired the brokerage assets of Rafferty Capital Markets and in June 2021, we acquired Nasdaq’s U.S. fixed income electronic trading platform (formerly known as eSpeed) (the “NFI Acquisition”). Today, Dealerweb actively competes across a range of rates, credit, money markets, derivatives and equity markets.</w:t>
      </w:r>
    </w:p>
    <w:p>
      <w:pPr>
        <w:spacing w:after="0" w:line="1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our retail client sector, we provide advanced trading solutions for financial advisory firms and traders with our Tradeweb Direct platform. We entered the retail sector in 2006 and launched our Tradeweb Direct platform following the 2013 acquisition of BondDesk Group LLC, which was built to bring innovation and efficiency to the wealth management community. Tradeweb Direct has provided financial advisory firms access to live offerings, accurate pricing in the marketplace and fast execution.</w:t>
      </w:r>
    </w:p>
    <w:p>
      <w:pPr>
        <w:spacing w:after="0" w:line="15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Other Factors Impacting Our Performance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CEO Transition</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February 16, 2022, we announced that Mr. Lee Olesky will retire as Chief Executive Officer (“CEO”) of the Company, effective December 31, 2022. On February 11, 2022, the board of directors elected our President, Mr. Billy Hult, to succeed Mr. Olesky as CEO of the Company, effective January 1, 2023. Mr. Olesky will stay on with the Company in the position of Chairman of the board of directors, and accordingly will continue to serve in his capacity as a director of the Company.</w:t>
      </w:r>
    </w:p>
    <w:p>
      <w:pPr>
        <w:spacing w:after="0" w:line="13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of the beginning of Mr. Olesky’s six month notice period under our 2019 Omnibus Equity Incentive Plan, there was approximately $6.7 million in total unamortized stock-based compensation associated with equity awards previously granted to Mr. Olesky plus $5.0 million in unamortized stock-based compensation awards granted to Mr. Olesky during 2022 that will both be accelerated and amortized into expense over a revised estimated service period ending on August 11, 2022, the date that ends such six month notice period. Of these amounts, $3.1 million represents regular amortization that would have been recognized through August 11, 2022 if Mr. Olesky had not announced his retirement and $8.6 million represents accelerated stock-based compensation (the “CEO Retirement Accelerated Stock-Based Compensation Expense”) that will be excluded from our non-GAAP measures of Adjusted EBITDA and Adjusted Net Income when it is recorded as expense. Total amortization amounts disclosed are based on a 100% multiplier achieved for the 2022 performance-based restricted stock units and are subject to adjustment, up or down, in an amount up to $2.1 million, based on the final performance multiplier achieved for the year ending December 31, 2022. See “—Non-GAAP Financial Measures” below for further details. During the three and six months ended June 30, 2022, we incurred a total of $5.7 million and $7.4 million, respectively, in CEO Retirement Accelerated Stock-Based Compensation Expense.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President Transition</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July 13, 2022, we announced that the board of directors appointed Mr. Thomas Pluta as our next President effective as of January 1, 2023. Mr. Pluta will succeed Mr. Hult in this role, when, as previously announced and discussed above, Mr. Hult assumes the position of CEO of the Company on January 1, 2023. In the meantime, Mr. Pluta will join the Company as President-elect in October. Mr. Pluta is currently a member of our board of directors and will remain on the board in his new role.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02" w:lineRule="exact"/>
        <w:rPr>
          <w:sz w:val="20"/>
          <w:szCs w:val="20"/>
          <w:color w:val="auto"/>
        </w:rPr>
      </w:pPr>
    </w:p>
    <w:p>
      <w:pPr>
        <w:jc w:val="both"/>
        <w:ind w:right="320"/>
        <w:spacing w:after="0" w:line="255" w:lineRule="auto"/>
        <w:rPr>
          <w:sz w:val="20"/>
          <w:szCs w:val="20"/>
          <w:color w:val="auto"/>
        </w:rPr>
      </w:pPr>
      <w:r>
        <w:rPr>
          <w:rFonts w:ascii="Times New Roman" w:cs="Times New Roman" w:eastAsia="Times New Roman" w:hAnsi="Times New Roman"/>
          <w:sz w:val="18"/>
          <w:szCs w:val="18"/>
          <w:color w:val="auto"/>
        </w:rPr>
        <w:t>Since the onset of the COVID-19 pandemic, we have been focused on keeping our employees safe, helping our clients stay connected and ensuring our markets operate efficiently through this period of unprecedented market volatility. We have implemented a series of measures to protect the health and safety of our employees. Our successful transition to remote work, beginning over two years ago, reflected our commitment to keeping employees safe, helping clients succeed and playing a positive role in markets. Those same priorities guide our approach to our robust and safe return to the office.</w:t>
      </w:r>
    </w:p>
    <w:p>
      <w:pPr>
        <w:spacing w:after="0" w:line="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Beginning in June 2021, many roles within Tradeweb had transitioned to a hybrid approach in our return to the office plans. Our creative and flexible return to the office plans aim to keep driving our business forward and allow safe collaboration and positive team dynamics. We will continue to monitor the impact of COVID-19, including any related variants, and will adjust our plans accordingly.</w:t>
      </w:r>
    </w:p>
    <w:p>
      <w:pPr>
        <w:spacing w:after="0" w:line="14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light of the market volatility and economic disruption that has arisen in the wake of the pandemic, we have worked closely with our clients to provide flexible, stable, resilient and secure access to our platforms across our multi-asset offerings so they can reliably manage their core cash and derivatives needs in the diverse geographic, product and customer sector markets we serve. Our employees and clients together have adapted to working remotely.</w:t>
      </w:r>
    </w:p>
    <w:p>
      <w:pPr>
        <w:spacing w:after="0" w:line="13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are determined to minimize any future disruptive impact of COVID-19 on our business. Although we have implemented risk management and contingency plans and taken preventive measures and other precautions, our efforts to mitigate the effects of any disruptions may prove to be inadequate. Due to the uncertainty of the duration and severity of COVID-19, the speed with which this pandemic has developed and persists, the spread of various COVID-19 variants, the uncertainty as to what governmental measures may yet be taken in response to the pandemic and the unpredictable effect on our business, our employees and our clients, we are not able to reasonably estimate the extent of any potential impact of COVID-19 on our financial condition or results of operations at this time, but the impact could potentially be material. Even after the COVID-19 outbreak has subsided, we may continue to experience impacts to our business as a result of the virus’ global economic impact and any recession that may occur in the future. Further, as the COVID-19 situation is unprecedented and continuously evolving, COVID-19 may also affect our operating and financial results in a manner that is not presently known to us or in a manner that we currently do not consider to present significant risks to our operations.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the COVID-19 pandemic continues to evolve, it may also have the effect of heightening many of the risks described in “Item 1A. Risk Factors” in Part I of our 2021 Form 10-K, including, but not limited to, those relating to changes in economic, political, social and market conditions and the impact of these changes on trading volumes; consolidation and concentration in the financial services industry; our dependence on dealer clients; systems failures, interruptions, delays in services, cybersecurity incidents, unforeseen or catastrophic events and any resulting interruptions; our international operations; and our dependence on our senior management team and other qualified personnel.</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Environment</w:t>
      </w:r>
    </w:p>
    <w:p>
      <w:pPr>
        <w:spacing w:after="0" w:line="18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Our business is impacted by the overall market activity and, in particular, trading volumes and market volatility. Lower volatility may result in lower trading volume for our clients and may negatively impact our operating performance and financial condition. Factors that may impact market activity during the remainder of 2022 include, among other things, evolving global monetary policies of central banks, economic, political and social conditions, and legislative, regulatory or government policy changes, including related to COVID-19.</w:t>
      </w:r>
    </w:p>
    <w:p>
      <w:pPr>
        <w:spacing w:after="0" w:line="13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partially offset market volatility risk.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Environment</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business is subject to extensive regulations in the United States and internationally, which may expose us to significant regulatory risk and cause additional legal costs to ensure compliance. The existing legal framework that governs the financial markets is periodically reviewed and amended, resulting in enforcement of new laws and regulations that apply to our business. The current regulatory environment in the United States may be subject to future legislative changes driven by President Biden’s administration and its priorities. The impact of any reform efforts on us and our operations remains uncertain. For example, as a result of the UK’s withdrawal from the EU (“Brexit”), which occurred on January 31, 2020, and the end of the UK-EU transition period, which occurred on December 31, 2020, we are currently subject to two separate and distinct legal regimes in Europe. We have incurred additional costs to establish a new regulated subsidiary in the Netherlands, and over time there may be a divergence of regulatory requirements between the UK and EU.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electronification due to regulatory changes as market participants seek platforms that meet regulatory requirements and solutions that help them comply with their regulatory obligations.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Environment</w:t>
      </w:r>
    </w:p>
    <w:p>
      <w:pPr>
        <w:spacing w:after="0" w:line="20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platforms. Our ability to compete is influenced by key factors such as (i) developments in trading platforms and solutions, (ii) the liquidity we provide on transactions, (iii) the transaction costs we incur in providing our solutions, (iv) the efficiency in execution of transactions on our platforms, (v) our ability to hire and retain talent and (vi) our ability to maintain the security of our platforms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Cybersecurity Environment</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 and its success are largely impacted by the introduction of increasingly complex and sophisticated technology systems and infrastructures and new business models. Offering specialized trading venues and solutions through the development of new and enhanced platforms is essential to maintaining our level of competitiveness in the market and attracting new clients seeking platforms that provide advanced automation and better liquidity. We believe we will continue to increase demand for our platforms and solutions and the volume of transactions on our platforms, and thereby enhance our client relationships, by responding to new trading and information requirements by utilizing technological advances and emerging industry standards and practices in an effective and efficient way. We plan to continue to focus on and invest in technology infrastructure initiatives and continually improve and expand our platforms and solutions to further enhance our market position. We experience cyber-threats and attempted security breaches. If these were successful, these cybersecurity incidents could impact revenue and operating income and increase costs. We therefore continue to make investments, which may result in increased costs, to strengthen our cybersecurity measures.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Environment</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earn revenues, pay expenses, hold assets and incur liabilities in currencies other than the U.S. dollar.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Part I, Item 3. “Quantitative and Qualitative Disclosures About Market Risk — Foreign Currency and Derivative Risk”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8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connection with the Reorganization Transactions, we became the sole manager of TWM LLC. As a result, beginning with the second quarter of 2019, we became subject to U.S. federal, state and local income taxes with respect to our allocable share of any taxable income of TWM LLC and are taxed at prevailing corporate tax rates. Our actual effective tax rate is impacted by our ownership share of TWM LLC, which will increase over time primarily as the Continuing LLC Owners redeem or exchange their LLC Interests for shares of Class A common stock or Class B common stock, as applicable, or as we purchase LLC Interests from the Continuing LLC Owners. Furthermore, in connection with the IPO, we entered into the Tax Receivable Agreement pursuant to which we began to make payments in January 2021, and we expect future payments to be significant. We intend to cause TWM LLC to make distributions in an amount sufficient to allow us to pay our tax obligations, operating expenses, including payments under the Tax Receivable Agreement, and our quarterly cash dividends, as and when declared by our board of directors.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is derived primarily from transaction fees, commissions, subscription fees and market data fees.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Fees and Commissions</w:t>
      </w:r>
    </w:p>
    <w:p>
      <w:pPr>
        <w:spacing w:after="0" w:line="20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earn transaction fees from transactions executed on our trading platforms through various fee plans. Transaction fees are generated on both a variable and fixed price basis and vary by geographic region, product type and trade size. For most of our products, clients pay both fixed minimum monthly transaction fees and variable transaction fees on a per transaction basis in excess of the monthly minimum. For certain of our products, clients also pay a subscription fee in addition to the minimum monthly transaction fee. For other products, instead of a minimum monthly transaction fee, clients pay a subscription fee and a fixed transaction fee or variable transaction fees on a per transaction basis. For variable transaction fees, we charge clients fees based on the mix of products traded and the volume of transactions executed.</w:t>
      </w:r>
    </w:p>
    <w:p>
      <w:pPr>
        <w:spacing w:after="0" w:line="14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Transaction volume is determined by using either a measure of the notional volume of the products traded or a count of the number of trades. We typically charge higher fees for products that are less actively traded. In addition, because transaction fees are sometimes subject to fee plans with tiered pricing based on product mix, volume, monthly minimums and monthly maximum fee caps, average transaction fees per million generated for a client may vary each month depending on the mix of products and volume traded. Furthermore, because transaction fees vary by geographic region, product type and trade size, our revenues may not correlate with volume growth.</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TBA-MBS, U.S. treasury and repurchase agreement transactions executed by our wholesale clients, we also generate revenue from fixed commissions that are generally invoiced monthly.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Fees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earn subscription fees primarily for granting clients access to our markets for trading and market data. For a limited number of products, we only charge subscription fees and no transaction fees or commissions. Subscription fees are generally generated on a fixed price basis.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purposes of our discussion of our results of operations, we include Refinitiv (formerly Thomson Reuters) market data fees in subscription fees. We earn fixed license fees from our market data license agreement with Refinitiv. We also earn royalties from Refinitiv for referrals of new Eikon (a Refinitiv data platform) customers based on customer conversion rates. Royalties may fluctuate from period to period depending on the numbers of customer conversions achieved by Refinitiv during the applicable royalty fee earning period, which is typically five years from the date of the initial referral.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Compensation and Benefits</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Employee compensation and benefits expense consists of wages, employee benefits, bonuses, commissions, stock-based compensation cost and related taxes. Factors that influence employee compensation and benefits expense include revenue and earnings growth, hiring new employees and trading activity which generates broker commissions. We expect employee compensation and benefits expense to increase as we hire additional employees to support revenue and earnings growth. As a result, employee compensation and benefits can vary from period to period.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8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consists of costs relating to the depreciation and amortization of acquired and internally developed software, other intangible assets, leasehold improvements, furniture and equipment.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consists of travel and entertainment, marketing, value-added taxes, state use taxes, foreign currency transaction gains and losses, gains and losses on foreign currency forward contracts entered into for foreign exchange risk management purposes, charitable contributions, other administrative expenses and credit loss expense. We expect general and administrative expense to increase as we expand the number of our employees and product offerings and grow our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and Communications</w:t>
      </w:r>
    </w:p>
    <w:p>
      <w:pPr>
        <w:spacing w:after="0" w:line="187" w:lineRule="exact"/>
        <w:rPr>
          <w:sz w:val="20"/>
          <w:szCs w:val="20"/>
          <w:color w:val="auto"/>
        </w:rPr>
      </w:pPr>
    </w:p>
    <w:p>
      <w:pPr>
        <w:jc w:val="both"/>
        <w:ind w:right="260"/>
        <w:spacing w:after="0" w:line="289" w:lineRule="auto"/>
        <w:rPr>
          <w:sz w:val="20"/>
          <w:szCs w:val="20"/>
          <w:color w:val="auto"/>
        </w:rPr>
      </w:pPr>
      <w:r>
        <w:rPr>
          <w:rFonts w:ascii="Times New Roman" w:cs="Times New Roman" w:eastAsia="Times New Roman" w:hAnsi="Times New Roman"/>
          <w:sz w:val="17"/>
          <w:szCs w:val="17"/>
          <w:color w:val="auto"/>
        </w:rPr>
        <w:t>Technology and communications expense consists of costs relating to software and hardware maintenance, our internal network connections, data center costs, clearance and other trading platform related transaction costs and data feeds provided by third-party service providers, including Refinitiv. Factors that influence technology and communications expense include trading volumes and our investments in innovation, data strategy and cybersecurity.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Fees</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Professional fees consist primarily of accounting, tax and legal fees and fees paid to technology and software consultants to maintain our trading platforms and infrastructure, as well as costs related to business acquisition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Occupancy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Occupancy expense consists of operating lease rent and related costs for office space and data centers leased in North America, Europe and Asia.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 Liability Adjustment</w:t>
      </w:r>
    </w:p>
    <w:p>
      <w:pPr>
        <w:spacing w:after="0" w:line="20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tax receivable agreement liability adjustment reflects changes in the tax receivable agreement liability recorded in our condensed consolidated statement of financial condition as a result of changes in the mix of earnings, tax legislation and tax rates in various jurisdictions which impacted our tax savings. There was no tax receivable agreement liability adjustment during each of the three and six months ended June 30, 2022 and 2021.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 (Expense)</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Interest income consists of interest earned from our cash deposited with large commercial banks and money market funds. Interest expense consists of commitment fees payable on, and, if applicable, interest payable on any borrowings outstanding under, the Revolving Credit Facility.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U.S. federal, state and local income taxes with respect to our taxable income, including our allocable share of any taxable income of TWM LLC, and are taxed at prevailing corporate tax rates. TWM LLC is a multiple member limited liability company taxed as a partnership and accordingly any taxable income generated by TWM LLC is passed through to and included in the taxable income of its members, including to us.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the sole manager of TWM LLC. As a result of this control, and because we have a substantial financial interest in TWM LLC, we consolidate the financial results of TWM LLC and report a non-controlling interest in our condensed consolidated financial statements, representing the economic interests of TWM LLC held by the Continuing LLC Owners. Income or loss is attributed to the non-controlling interests based on the relative ownership percentages of LLC Interests held during the period by us and the Continuing LLC Owners.</w:t>
      </w:r>
    </w:p>
    <w:p>
      <w:pPr>
        <w:spacing w:after="0" w:line="13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connection with the Reorganization Transactions, the TWM LLC Agreement was amended and restated to, among other things, (i) provide for LLC Interests and (ii) exchange all of the then existing membership interests in TWM LLC for LLC Interests. LLC Interests held by the Continuing LLC Owners are redeemable in accordance with the TWM LLC Agreement, at the election of such holders, for newly issued shares of Class A common stock or Class B common stock, as the case may be, on a one-for-one basis. In the event of such election by a Continuing LLC Owner, we may, at our option, effect a direct exchange of Class A common stock or Class B common stock for such LLC Interests of such Continuing LLC Owner in lieu of such redemption. In connection with any redemption or exchange, we will receive a corresponding number of LLC Interests, increasing our total ownership interest in TWM LLC. Following the completion of the Reorganization Transactions and the IPO, we owned 64.3% of TWM LLC and the Continuing LLC Owners owned the remaining 35.7% of TWM LLC. As of June 30, 2022, we owned 87.2% of TWM LLC and the Continuing LLC Owners owned the remaining 12.8% of TWM LLC.</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June 30, 2022 and Three Months Ended June 30, 2021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statements of income for the three months ended June 30, 2022 and 2021: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3"/>
          </w:tcPr>
          <w:p>
            <w:pPr>
              <w:jc w:val="center"/>
              <w:ind w:left="5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297,138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260,840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36,298</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177,048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13,483</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0" w:type="dxa"/>
            <w:vAlign w:val="bottom"/>
          </w:tcPr>
          <w:p>
            <w:pPr>
              <w:spacing w:after="0"/>
              <w:rPr>
                <w:sz w:val="1"/>
                <w:szCs w:val="1"/>
                <w:color w:val="auto"/>
              </w:rPr>
            </w:pPr>
          </w:p>
        </w:tc>
      </w:tr>
      <w:tr>
        <w:trPr>
          <w:trHeight w:val="27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interest income (expense)</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28.4 %</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(8,314)</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48.2 %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for the three months ended June 30, 2022 and 2021, and the resulting dollar and percentage changes,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4"/>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3"/>
          </w:tcPr>
          <w:p>
            <w:pPr>
              <w:jc w:val="center"/>
              <w:ind w:left="9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8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 of Total</w:t>
            </w:r>
          </w:p>
        </w:tc>
        <w:tc>
          <w:tcPr>
            <w:tcW w:w="420" w:type="dxa"/>
            <w:vAlign w:val="bottom"/>
          </w:tcPr>
          <w:p>
            <w:pPr>
              <w:spacing w:after="0"/>
              <w:rPr>
                <w:sz w:val="13"/>
                <w:szCs w:val="13"/>
                <w:color w:val="auto"/>
              </w:rPr>
            </w:pPr>
          </w:p>
        </w:tc>
        <w:tc>
          <w:tcPr>
            <w:tcW w:w="82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3"/>
              </w:rPr>
              <w:t>% of Total</w:t>
            </w:r>
          </w:p>
        </w:tc>
        <w:tc>
          <w:tcPr>
            <w:tcW w:w="220" w:type="dxa"/>
            <w:vAlign w:val="bottom"/>
          </w:tcPr>
          <w:p>
            <w:pPr>
              <w:spacing w:after="0"/>
              <w:rPr>
                <w:sz w:val="13"/>
                <w:szCs w:val="13"/>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6"/>
        </w:trPr>
        <w:tc>
          <w:tcPr>
            <w:tcW w:w="2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Revenue</w:t>
            </w:r>
          </w:p>
        </w:tc>
        <w:tc>
          <w:tcPr>
            <w:tcW w:w="4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Revenue</w:t>
            </w: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4"/>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fees and commissions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237,669</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8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205,381</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78.7 %</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32,288</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Subscription fees </w:t>
            </w:r>
            <w:r>
              <w:rPr>
                <w:rFonts w:ascii="Times New Roman" w:cs="Times New Roman" w:eastAsia="Times New Roman" w:hAnsi="Times New Roman"/>
                <w:sz w:val="23"/>
                <w:szCs w:val="23"/>
                <w:color w:val="auto"/>
                <w:vertAlign w:val="superscript"/>
              </w:rPr>
              <w:t>(1)</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56,966</w:t>
            </w:r>
          </w:p>
        </w:tc>
        <w:tc>
          <w:tcPr>
            <w:tcW w:w="156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52,809</w:t>
            </w:r>
          </w:p>
        </w:tc>
        <w:tc>
          <w:tcPr>
            <w:tcW w:w="156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156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56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297,138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260,840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total revenue growth:</w:t>
            </w: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Constant currency growth </w:t>
            </w:r>
            <w:r>
              <w:rPr>
                <w:rFonts w:ascii="Times New Roman" w:cs="Times New Roman" w:eastAsia="Times New Roman" w:hAnsi="Times New Roman"/>
                <w:sz w:val="23"/>
                <w:szCs w:val="23"/>
                <w:color w:val="auto"/>
                <w:vertAlign w:val="superscript"/>
              </w:rPr>
              <w:t>(2)</w:t>
            </w: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impact</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2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 growth</w:t>
            </w: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fees for the three months ended June 30, 2022 and 2021 include $15.4 million and $14.9 million, respectively, of Refinitiv market data fees.</w:t>
      </w:r>
    </w:p>
    <w:p>
      <w:pPr>
        <w:spacing w:after="0" w:line="17" w:lineRule="exact"/>
        <w:rPr>
          <w:rFonts w:ascii="Times New Roman" w:cs="Times New Roman" w:eastAsia="Times New Roman" w:hAnsi="Times New Roman"/>
          <w:sz w:val="14"/>
          <w:szCs w:val="14"/>
          <w:color w:val="auto"/>
        </w:rPr>
      </w:pPr>
    </w:p>
    <w:p>
      <w:pPr>
        <w:ind w:left="340" w:right="200" w:hanging="332"/>
        <w:spacing w:after="0" w:line="267" w:lineRule="auto"/>
        <w:tabs>
          <w:tab w:leader="none" w:pos="33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growth, which is a non-GAAP financial measure, is defined as total revenue growth excluding the effects of foreign currency fluctuations. Total revenue excluding the effects of foreign currency fluctuations is calculated by translating the current period and prior period’s total revenue using the annual average exchange rates for 2021. We use constant currency growth as a supplemental metric to evaluate our underlying total revenue performance between periods by removing the impact of foreign currency fluctuations. We believe that providing constant currency growth provides a useful comparison of our total revenue performance and trends between periods.</w:t>
      </w:r>
    </w:p>
    <w:p>
      <w:pPr>
        <w:spacing w:after="0" w:line="14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primary driver of the $36.3 million increase in revenue is related to a $32.3 million increase in transaction fees and commissions to $237.7 million for the three months ended June 30, 2022 from $205.4 million for the three months ended June 30, 2021, primarily due to increased volumes and fees from rates derivatives products, U.S. government bonds and municipals.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revenue by asset class for the three months ended June 30, 2022 and 2021, and the resulting dollar and percentage changes,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3"/>
          </w:tcPr>
          <w:p>
            <w:pPr>
              <w:jc w:val="center"/>
              <w:ind w:left="57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151,586</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134,003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83,991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11,779</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297,138</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260,840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Our variable and fixed revenues by asset class for the three months ended June 30, 2022 and 2021, and the resulting dollar and percentage changes,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3"/>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3"/>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24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6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80" w:type="dxa"/>
            <w:vAlign w:val="bottom"/>
          </w:tcPr>
          <w:p>
            <w:pPr>
              <w:spacing w:after="0"/>
              <w:rPr>
                <w:sz w:val="16"/>
                <w:szCs w:val="16"/>
                <w:color w:val="auto"/>
              </w:rPr>
            </w:pPr>
          </w:p>
        </w:tc>
        <w:tc>
          <w:tcPr>
            <w:tcW w:w="7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00" w:type="dxa"/>
            <w:vAlign w:val="bottom"/>
          </w:tcPr>
          <w:p>
            <w:pPr>
              <w:spacing w:after="0"/>
              <w:rPr>
                <w:sz w:val="16"/>
                <w:szCs w:val="16"/>
                <w:color w:val="auto"/>
              </w:rPr>
            </w:pPr>
          </w:p>
        </w:tc>
        <w:tc>
          <w:tcPr>
            <w:tcW w:w="158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8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96,334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55,252</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79,766</w:t>
            </w:r>
          </w:p>
        </w:tc>
        <w:tc>
          <w:tcPr>
            <w:tcW w:w="8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65,712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19"/>
                <w:szCs w:val="19"/>
                <w:color w:val="auto"/>
              </w:rPr>
            </w:pPr>
          </w:p>
        </w:tc>
        <w:tc>
          <w:tcPr>
            <w:tcW w:w="15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201,898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95,240</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167,332</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93,508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 significant percentage of our transaction fees and commissions are tied directly to overall trading volumes in the rates, credit, equities and money markets asset classes. The average daily volumes and total volumes on our trading platforms by asset class for the three months ended June 30, 2022 and 2021, and the resulting percentage changes, are summarized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gridSpan w:val="3"/>
          </w:tcPr>
          <w:p>
            <w:pPr>
              <w:jc w:val="center"/>
              <w:ind w:left="6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ADV</w:t>
            </w: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ADV</w:t>
            </w: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360" w:type="dxa"/>
            <w:vAlign w:val="bottom"/>
          </w:tcPr>
          <w:p>
            <w:pPr>
              <w:spacing w:after="0"/>
              <w:rPr>
                <w:sz w:val="16"/>
                <w:szCs w:val="16"/>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ADV</w:t>
            </w: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Rates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708,956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43,742,413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575,644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36,556,150</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23.2 %</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Rates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341,351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21,125,468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20,346,393</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Rates Derivatives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367,604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22,616,945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16,209,757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Swaps / Swaptions Tenor (greater than 1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221,191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13,602,492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10,441,873</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Rates Derivatives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146,414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9,014,453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5,767,883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26,650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1,637,924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1,140,350</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47.4 %</w:t>
            </w: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Credit </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624,892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599,766</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Derivatives and U.S. Cash “EP”</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1,013,032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540,584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16,706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1,032,383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1,007,530</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4.1 %</w:t>
            </w: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516,731</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Derivatives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490,800</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Money Markets (Cash)</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424,016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26,207,624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366,978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23,326,831</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1,176,328</w:t>
            </w:r>
          </w:p>
        </w:tc>
        <w:tc>
          <w:tcPr>
            <w:tcW w:w="8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72,620,344</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976,762</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62,030,861</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Total excluding Other Rates Derivatives </w:t>
            </w:r>
            <w:r>
              <w:rPr>
                <w:rFonts w:ascii="Times New Roman" w:cs="Times New Roman" w:eastAsia="Times New Roman" w:hAnsi="Times New Roman"/>
                <w:sz w:val="23"/>
                <w:szCs w:val="23"/>
                <w:b w:val="1"/>
                <w:bCs w:val="1"/>
                <w:color w:val="auto"/>
                <w:vertAlign w:val="superscript"/>
              </w:rPr>
              <w:t>(3)</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2"/>
        </w:trPr>
        <w:tc>
          <w:tcPr>
            <w:tcW w:w="4060" w:type="dxa"/>
            <w:vAlign w:val="bottom"/>
            <w:vMerge w:val="continue"/>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1,029,914</w:t>
            </w:r>
          </w:p>
        </w:tc>
        <w:tc>
          <w:tcPr>
            <w:tcW w:w="8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63,605,891</w:t>
            </w:r>
          </w:p>
        </w:tc>
        <w:tc>
          <w:tcPr>
            <w:tcW w:w="10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885,939</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56,262,978</w:t>
            </w: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Swaps/Swaptions of tenor less than 1 year and Rates Futures.</w:t>
      </w:r>
    </w:p>
    <w:p>
      <w:pPr>
        <w:spacing w:after="0" w:line="16"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Credit” category represents the “Credit” asset class excluding (1) Credit Derivatives and (2) U.S. High Grade and High Yield electronically processed (“EP”) activity.</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to contextualize the impact of short-tenored Swaps/Swaptions and Rates Futures on totals for all periods presented.</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20.4 %</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16.3 %</w:t>
      </w:r>
    </w:p>
    <w:p>
      <w:pPr>
        <w:spacing w:after="0" w:line="807" w:lineRule="exact"/>
        <w:rPr>
          <w:sz w:val="20"/>
          <w:szCs w:val="20"/>
          <w:color w:val="auto"/>
        </w:rPr>
      </w:pPr>
    </w:p>
    <w:p>
      <w:pPr>
        <w:sectPr>
          <w:pgSz w:w="11900" w:h="16838" w:orient="portrait"/>
          <w:cols w:equalWidth="0" w:num="2">
            <w:col w:w="10520" w:space="160"/>
            <w:col w:w="560"/>
          </w:cols>
          <w:pgMar w:left="320" w:top="121" w:right="339" w:bottom="1440" w:gutter="0" w:footer="0" w:header="0"/>
          <w:type w:val="continuous"/>
        </w:sect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average variable fees per million dollars of volume traded on our trading platforms by asset class for the three months ended June 30, 2022 and 2021 are summarized below. There are four potential drivers of quarterly fluctuations in our average variable fees per million: (1) volume discounts, (2) the mix and duration of cash and derivatives products traded, (3) the mix of protocols underpinning cash and derivatives products and (4) clients moving between fixed and variable pricing structures. Average variable fees per million should be reviewed in conjunction with our trading volumes and total revenue by asset class. Since variable fees are sometimes subject to fee plans with tiered pricing based on product mix and volume, average variable fees per million for a specific asset class may not correlate with volumes or revenue growth.</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0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Rates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0.9 %</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Rates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Rates Derivatives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Swaps / Swaptions Tenor (greater than 1 year)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Rates Derivatives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(10.31)</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Credit </w:t>
            </w:r>
            <w:r>
              <w:rPr>
                <w:rFonts w:ascii="Times New Roman" w:cs="Times New Roman" w:eastAsia="Times New Roman" w:hAnsi="Times New Roman"/>
                <w:sz w:val="23"/>
                <w:szCs w:val="23"/>
                <w:color w:val="auto"/>
                <w:vertAlign w:val="superscript"/>
              </w:rPr>
              <w:t>(2)</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155.56</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Derivatives and U.S. Cash “EP”</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5.27</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36.3 %</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Derivatives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Money Markets (Cash)</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Fees per Million</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0.08</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3.1 %</w:t>
            </w:r>
          </w:p>
        </w:tc>
        <w:tc>
          <w:tcPr>
            <w:tcW w:w="0" w:type="dxa"/>
            <w:vAlign w:val="bottom"/>
          </w:tcPr>
          <w:p>
            <w:pPr>
              <w:spacing w:after="0"/>
              <w:rPr>
                <w:sz w:val="1"/>
                <w:szCs w:val="1"/>
                <w:color w:val="auto"/>
              </w:rPr>
            </w:pPr>
          </w:p>
        </w:tc>
      </w:tr>
      <w:tr>
        <w:trPr>
          <w:trHeight w:val="312"/>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Fees per Million excluding Other Rates Derivatives </w:t>
            </w:r>
            <w:r>
              <w:rPr>
                <w:rFonts w:ascii="Times New Roman" w:cs="Times New Roman" w:eastAsia="Times New Roman" w:hAnsi="Times New Roman"/>
                <w:sz w:val="23"/>
                <w:szCs w:val="23"/>
                <w:b w:val="1"/>
                <w:bCs w:val="1"/>
                <w:color w:val="auto"/>
                <w:vertAlign w:val="superscript"/>
              </w:rPr>
              <w:t>(3)</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3.14</w:t>
            </w:r>
          </w:p>
        </w:tc>
        <w:tc>
          <w:tcPr>
            <w:tcW w:w="8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0.19</w:t>
            </w:r>
          </w:p>
        </w:tc>
        <w:tc>
          <w:tcPr>
            <w:tcW w:w="10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6.7 %</w:t>
            </w: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Swaps/Swaptions of tenor less than 1 year and Rates Futures.</w:t>
      </w:r>
    </w:p>
    <w:p>
      <w:pPr>
        <w:spacing w:after="0" w:line="16"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Credit” category represents the “credit” asset class excluding (1) Credit Derivatives and (2) U.S. High Grade and High Yield electronically processed (“EP”) activity.</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to contextualize the impact of short-tenored Swaps/Swaptions and Rates Futures on blended fees per million across all periods presented.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drivers of the change in total revenue, volumes and variable fees per million by asset class are summarized as follows:</w:t>
      </w:r>
    </w:p>
    <w:p>
      <w:pPr>
        <w:spacing w:after="0" w:line="18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Revenues from our rates asset class increased by $17.6 million or 13.1% to $151.6 million for the three months ended June 30, 2022 compared to $134.0 million for the three months ended June 30, 2021 primarily due to variable transaction fees and commissions earned on higher trading volumes for rates derivatives products and U.S. government bonds.</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Average variable fees per million for rates increased primarily due to a shift for certain dealers away from fixed fees towards a variable pricing structure for European government bonds and growth of U.S. government bonds which have a higher variable fee capture compared to overall rates. These increases were offset by a decrease in average variable fees per million for rates derivatives driven primarily by shifts in the mix and duration of derivative products traded.</w:t>
      </w:r>
    </w:p>
    <w:p>
      <w:pPr>
        <w:spacing w:after="0" w:line="15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Revenues from our credit asset class increased by $11.8 million or 16.3% to $84.0 million for the three months ended June 30, 2022 compared to $72.2 million for the three months ended June 30, 2021 primarily due to variable transaction fees and commissions on higher trading volumes for municipals, U.S. corporate bonds and credit derivatives products.</w:t>
      </w:r>
    </w:p>
    <w:p>
      <w:pPr>
        <w:spacing w:after="0" w:line="13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Average variable fees per million for credit decreased primarily due to relative product mix, with strong volume growth in lower fee per million credit derivatives.</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u w:val="single" w:color="auto"/>
          <w:color w:val="auto"/>
        </w:rPr>
        <w:t>Equities</w:t>
      </w:r>
      <w:r>
        <w:rPr>
          <w:rFonts w:ascii="Times New Roman" w:cs="Times New Roman" w:eastAsia="Times New Roman" w:hAnsi="Times New Roman"/>
          <w:sz w:val="18"/>
          <w:szCs w:val="18"/>
          <w:color w:val="auto"/>
        </w:rPr>
        <w:t>. Revenues from our equities asset class increased by $5.3 million or 30.2% to $22.7 million for the three months ended June 30, 2022 compared to $17.4 million for the three months ended June 30, 2021 primarily due to variable transaction fees and commissions on higher trading volumes for U.S. and European ETFs.</w:t>
      </w:r>
    </w:p>
    <w:p>
      <w:pPr>
        <w:spacing w:after="0" w:line="14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Average variable fees per million for equities increased primarily due to higher growth in U.S. ETFs, which have a higher variable fee capture compared to overall equities.</w:t>
      </w:r>
    </w:p>
    <w:p>
      <w:pPr>
        <w:spacing w:after="0" w:line="121"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u w:val="single" w:color="auto"/>
          <w:color w:val="auto"/>
        </w:rPr>
        <w:t>Money Markets</w:t>
      </w:r>
      <w:r>
        <w:rPr>
          <w:rFonts w:ascii="Times New Roman" w:cs="Times New Roman" w:eastAsia="Times New Roman" w:hAnsi="Times New Roman"/>
          <w:sz w:val="18"/>
          <w:szCs w:val="18"/>
          <w:color w:val="auto"/>
        </w:rPr>
        <w:t>. Revenues from our money markets asset class increased by $0.8 million or 7.3% to $12.2 million for the three months ended June 30, 2022 compared to $11.3 million for the three months ended June 30, 2021 primarily due to variable transaction fees and commissions on higher trading volumes for certificates of deposit and repurchase agreements.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variable fees per million for money markets was relatively flat for the three months ended June 30,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Revenues from our market data asset class increased by $1.0 million or 5.1% to $21.0 million for the three months ended June 30, 2022 compared to $20.0 million for the three months ended June 30, 2021. The increase was derived primarily from increased third party market data fees and Refinitiv market data fees.</w:t>
      </w:r>
    </w:p>
    <w:p>
      <w:pPr>
        <w:spacing w:after="0" w:line="14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Revenues from our other asset class remained relatively flat at $5.7 million for the three months ended June 30, 2022 compared to $5.9 million for the three months ended June 30, 2021.</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generate revenue from a diverse portfolio of client sectors. Our total revenue by client sector for the three months ended June 30, 2022 and 2021, and the resulting dollar and percentage changes,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3"/>
          </w:tcPr>
          <w:p>
            <w:pPr>
              <w:jc w:val="center"/>
              <w:ind w:left="57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Institutional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181,298</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160,883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68,010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297,138</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260,840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u w:val="single" w:color="auto"/>
          <w:color w:val="auto"/>
        </w:rPr>
        <w:t>Institutional</w:t>
      </w:r>
      <w:r>
        <w:rPr>
          <w:rFonts w:ascii="Times New Roman" w:cs="Times New Roman" w:eastAsia="Times New Roman" w:hAnsi="Times New Roman"/>
          <w:sz w:val="18"/>
          <w:szCs w:val="18"/>
          <w:color w:val="auto"/>
        </w:rPr>
        <w:t>. Revenues from our institutional client sector increased by $20.4 million or 12.7% to $181.3 million for the three months ended June 30, 2022 from $160.9 million for the three months ended June 30, 2021. The increase was derived primarily from increased volumes for rates derivatives products, U.S. ETFs, credit derivatives products and U.S. corporate bonds.</w:t>
      </w:r>
    </w:p>
    <w:p>
      <w:pPr>
        <w:spacing w:after="0" w:line="14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u w:val="single" w:color="auto"/>
          <w:color w:val="auto"/>
        </w:rPr>
        <w:t>Wholesale</w:t>
      </w:r>
      <w:r>
        <w:rPr>
          <w:rFonts w:ascii="Times New Roman" w:cs="Times New Roman" w:eastAsia="Times New Roman" w:hAnsi="Times New Roman"/>
          <w:sz w:val="18"/>
          <w:szCs w:val="18"/>
          <w:color w:val="auto"/>
        </w:rPr>
        <w:t>. Revenues from our wholesale client sector increased by $6.3 million or 10.2% to $68.0 million for the three months ended June 30, 2022 from $61.7 million for the three months ended June 30, 2021. The increase was derived primarily from increased volumes for U.S. government bonds.</w:t>
      </w:r>
    </w:p>
    <w:p>
      <w:pPr>
        <w:spacing w:after="0" w:line="12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u w:val="single" w:color="auto"/>
          <w:color w:val="auto"/>
        </w:rPr>
        <w:t>Retail</w:t>
      </w:r>
      <w:r>
        <w:rPr>
          <w:rFonts w:ascii="Times New Roman" w:cs="Times New Roman" w:eastAsia="Times New Roman" w:hAnsi="Times New Roman"/>
          <w:sz w:val="18"/>
          <w:szCs w:val="18"/>
          <w:color w:val="auto"/>
        </w:rPr>
        <w:t>. Revenues from our retail client sector increased by $8.5 million or 46.8% to $26.8 million for the three months ended June 30, 2022 from $18.3 million for the three months ended June 30, 2021. The increase was derived primarily from increased volumes for municipals, U.S. corporate bonds and U.S. government bonds.</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Revenues from our market data client sector increased by $1.0 million or 5.1% to $21.0 million for the three months ended June 30, 2022 from $20.0 million for the three months ended June 30, 2021. The increase was derived primarily from increased third party market data fees and Refinitiv market data fees.</w:t>
      </w:r>
    </w:p>
    <w:p>
      <w:pPr>
        <w:spacing w:after="0" w:line="14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revenues and client base are also diversified by geography. Our total revenue by geography (based on client location) for the three months ended June 30, 2022 and 2021, and the resulting dollar and percentage changes,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3"/>
          </w:tcPr>
          <w:p>
            <w:pPr>
              <w:jc w:val="center"/>
              <w:ind w:left="5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190,150</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163,605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106,988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9,753</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297,138</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260,840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xml:space="preserve"> Revenues from U.S. clients increased by $26.5 million or 16.2% to $190.2 million for the three months ended June 30, 2022 from $163.6 million for the three months ended June 30, 2021 primarily due to higher revenues for U.S. government bonds, municipals, U.S. corporate bonds, rates derivatives products and U.S. ETFs.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u w:val="single" w:color="auto"/>
          <w:color w:val="auto"/>
        </w:rPr>
        <w:t>International</w:t>
      </w:r>
      <w:r>
        <w:rPr>
          <w:rFonts w:ascii="Times New Roman" w:cs="Times New Roman" w:eastAsia="Times New Roman" w:hAnsi="Times New Roman"/>
          <w:sz w:val="18"/>
          <w:szCs w:val="18"/>
          <w:color w:val="auto"/>
        </w:rPr>
        <w:t>. Revenues from International clients increased by $9.8 million or 10.0% to $107.0 million for the three months ended June 30, 2022 from $97.2 million for the three months ended June 30, 2021. Fluctuations in foreign currency rates decreased our total International revenues for the three months ended June 30, 2022 by $8.4 million when comparing to International revenues for the three months ended June 30, 2022 determined using constant currency foreign currency exchange rates. Excluding this foreign currency impact, international revenues increased $18.2 million or 18.7% primarily due to higher revenues for rates derivatives products, credit derivatives products and European ETFs.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expenses for the three months ended June 30, 2022 and 2021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3"/>
          </w:tcPr>
          <w:p>
            <w:pPr>
              <w:jc w:val="center"/>
              <w:ind w:left="57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13,483</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u w:val="single" w:color="auto"/>
          <w:color w:val="auto"/>
        </w:rPr>
        <w:t>Employee Compensation and Benefits</w:t>
      </w:r>
      <w:r>
        <w:rPr>
          <w:rFonts w:ascii="Times New Roman" w:cs="Times New Roman" w:eastAsia="Times New Roman" w:hAnsi="Times New Roman"/>
          <w:sz w:val="18"/>
          <w:szCs w:val="18"/>
          <w:color w:val="auto"/>
        </w:rPr>
        <w:t>. Expenses related to employee compensation and benefits increased by $11.4 million or 11.6% to $109.9 million for the three months ended June 30, 2022 from $98.4 million for the three months ended June 30, 2021. The increase was primarily due to increases in incentive compensation expense tied to our operating performance and an increase in salaries and benefits as a result of increased employee headcount. During the three months ended June 30, 2022, we also incurred a total of $5.7 million in stock-based compensation expense and related payroll taxes relating to the CEO Retirement Accelerated Stock-Based Compensation Expense. See “— Trends and Other Factors Impacting Our Performance — CEO Transition.”</w:t>
      </w:r>
    </w:p>
    <w:p>
      <w:pPr>
        <w:spacing w:after="0" w:line="16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u w:val="single" w:color="auto"/>
          <w:color w:val="auto"/>
        </w:rPr>
        <w:t>Depreciation and Amortization</w:t>
      </w:r>
      <w:r>
        <w:rPr>
          <w:rFonts w:ascii="Times New Roman" w:cs="Times New Roman" w:eastAsia="Times New Roman" w:hAnsi="Times New Roman"/>
          <w:sz w:val="18"/>
          <w:szCs w:val="18"/>
          <w:color w:val="auto"/>
        </w:rPr>
        <w:t>. Expenses related to depreciation and amortization increased by $2.9 million or 6.9% to $44.8 million for the three months ended June 30, 2022 from $41.9 million for the three months ended June 30, 2021. The increase in depreciation and amortization expense was primarily the result of assets acquired in connection with the NFI Acquisition. Also contributing to the increase were longer estimated useful lives of computer software and the adjusted fair value of the assets that were established in connection with pushdown accounting on October 1, 2018 (see Note 2 – Significant Accounting Policies to the condensed consolidated financial statements included elsewhere in this Quarterly Report on Form 10-Q for details). Assets which may have been fully depreciated or amortized prior to the application of pushdown accounting are still being depreciated or amortized in these periods.</w:t>
      </w:r>
    </w:p>
    <w:p>
      <w:pPr>
        <w:spacing w:after="0" w:line="14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u w:val="single" w:color="auto"/>
          <w:color w:val="auto"/>
        </w:rPr>
        <w:t>Technology and Communications</w:t>
      </w:r>
      <w:r>
        <w:rPr>
          <w:rFonts w:ascii="Times New Roman" w:cs="Times New Roman" w:eastAsia="Times New Roman" w:hAnsi="Times New Roman"/>
          <w:sz w:val="18"/>
          <w:szCs w:val="18"/>
          <w:color w:val="auto"/>
        </w:rPr>
        <w:t>. Expenses related to technology and communications increased by $2.1 million or 14.9% to $16.0 million for the three months ended June 30, 2022 from $14.0 million for the three months ended June 30, 2021. The increase was primarily due to increased data and clearance fees driven primarily by higher trading volumes period over period and increased investment in our data strategy and infrastructure.</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u w:val="single" w:color="auto"/>
          <w:color w:val="auto"/>
        </w:rPr>
        <w:t>General and Administrative</w:t>
      </w:r>
      <w:r>
        <w:rPr>
          <w:rFonts w:ascii="Times New Roman" w:cs="Times New Roman" w:eastAsia="Times New Roman" w:hAnsi="Times New Roman"/>
          <w:sz w:val="18"/>
          <w:szCs w:val="18"/>
          <w:color w:val="auto"/>
        </w:rPr>
        <w:t>. Expenses related to general and administrative costs decreased by $1.2 million or 13.5% to $7.6 million for the three months ended June 30, 2022 from $8.8 million for the three months ended June 30, 2021. The decrease was primarily the result of a $4.9 million increase in foreign exchange gains during the three months ended June 30, 2022. Realized and unrealized foreign currency gains totaled $4.1 million during the three months ended June 30, 2022 as compared to $0.8 million in losses during three months ended June 30, 2021. The change was primarily driven by changes in fair value of our foreign currency forward contracts used in connection with our foreign currency risk management program. The foreign exchange gains were partially offset by increased travel and entertainment expenses, as the COVID-19 pandemic contributed to a reduction in expenses during 2021 and an increase in recruiting costs.</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u w:val="single" w:color="auto"/>
          <w:color w:val="auto"/>
        </w:rPr>
        <w:t>Professional Fees</w:t>
      </w:r>
      <w:r>
        <w:rPr>
          <w:rFonts w:ascii="Times New Roman" w:cs="Times New Roman" w:eastAsia="Times New Roman" w:hAnsi="Times New Roman"/>
          <w:sz w:val="18"/>
          <w:szCs w:val="18"/>
          <w:color w:val="auto"/>
        </w:rPr>
        <w:t>. Expenses related to professional fees decreased by $1.8 million or 17.3% to $8.6 million for the three months ended June 30, 2022 from $10.4 million for the three months ended June 30, 2021. The decrease was primarily due to acquisition transaction costs related to the NFI Acquisition during the three months ended June 30, 2021, partially offset by increased legal fees.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u w:val="single" w:color="auto"/>
          <w:color w:val="auto"/>
        </w:rPr>
        <w:t>Occupancy</w:t>
      </w:r>
      <w:r>
        <w:rPr>
          <w:rFonts w:ascii="Times New Roman" w:cs="Times New Roman" w:eastAsia="Times New Roman" w:hAnsi="Times New Roman"/>
          <w:sz w:val="18"/>
          <w:szCs w:val="18"/>
          <w:color w:val="auto"/>
        </w:rPr>
        <w:t>. Expenses related to occupancy costs remained relatively flat at $3.7 million for the three months ended June 30, 2022 as compared to $3.6 million for the three months ended June 30, 2021.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Interest Income (Expense)</w:t>
      </w:r>
    </w:p>
    <w:p>
      <w:pPr>
        <w:spacing w:after="0" w:line="18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Net interest income (expense) increased by $0.9 million to net interest income of $0.5 million for the three months ended June 30, 2022 from net interest expense of $0.3 million for the three months ended June 30, 2021 primarily due to an increase in interest income earned relating to an increase in interest rates and an increase in our average cash balance period over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0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Income tax expense increased by $8.3 million to $25.5 million for the three months ended June 30, 2022 from $17.2 million for the three months ended June 30, 2021. The provision for income taxes includes U.S. federal, state, local and foreign taxes. The effective tax rate for the three months ended June 30, 2022 was approximately 23.8%, compared with 20.6% for the three months ended June 30, 2021. The effective tax rate for the three months ended June 30, 2022 differed from the U.S. federal statutory rate of 21.0% primarily due to the effect of state, local and foreign taxes, partially offset by non-controlling interests. The effective tax rate for the three months ended June 30, 2021 differed from the U.S. federal statutory rate of 21.0% primarily due to the effect of non-controlling interests and the tax impact of the issuance of common stock from equity incentive plans, partially offset by state, local and foreign taxes.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Six Months Ended June 30, 2022 and Six Months Ended June 30, 2021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statements of income for the six months ended June 30, 2022 and 2021: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gridSpan w:val="3"/>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80" w:type="dxa"/>
            <w:vAlign w:val="bottom"/>
            <w:gridSpan w:val="3"/>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50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608,624</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534,239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74,385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390,415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38,295</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218,209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0" w:type="dxa"/>
            <w:vAlign w:val="bottom"/>
          </w:tcPr>
          <w:p>
            <w:pPr>
              <w:spacing w:after="0"/>
              <w:rPr>
                <w:sz w:val="1"/>
                <w:szCs w:val="1"/>
                <w:color w:val="auto"/>
              </w:rPr>
            </w:pPr>
          </w:p>
        </w:tc>
      </w:tr>
      <w:tr>
        <w:trPr>
          <w:trHeight w:val="27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interest income (expense)</w:t>
            </w: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218,303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(39,258)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151,309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5480" w:type="dxa"/>
            <w:vAlign w:val="bottom"/>
          </w:tcPr>
          <w:p>
            <w:pPr>
              <w:spacing w:after="0"/>
              <w:rPr>
                <w:sz w:val="24"/>
                <w:szCs w:val="24"/>
                <w:color w:val="auto"/>
              </w:rPr>
            </w:pP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for the six months ended June 30, 2022 and 2021, and the resulting dollar and percentage changes,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3"/>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3"/>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8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 of Total</w:t>
            </w:r>
          </w:p>
        </w:tc>
        <w:tc>
          <w:tcPr>
            <w:tcW w:w="580" w:type="dxa"/>
            <w:vAlign w:val="bottom"/>
          </w:tcPr>
          <w:p>
            <w:pPr>
              <w:spacing w:after="0"/>
              <w:rPr>
                <w:sz w:val="13"/>
                <w:szCs w:val="13"/>
                <w:color w:val="auto"/>
              </w:rPr>
            </w:pPr>
          </w:p>
        </w:tc>
        <w:tc>
          <w:tcPr>
            <w:tcW w:w="66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3"/>
              </w:rPr>
              <w:t>% of Total</w:t>
            </w:r>
          </w:p>
        </w:tc>
        <w:tc>
          <w:tcPr>
            <w:tcW w:w="220" w:type="dxa"/>
            <w:vAlign w:val="bottom"/>
          </w:tcPr>
          <w:p>
            <w:pPr>
              <w:spacing w:after="0"/>
              <w:rPr>
                <w:sz w:val="13"/>
                <w:szCs w:val="13"/>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6"/>
        </w:trPr>
        <w:tc>
          <w:tcPr>
            <w:tcW w:w="2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Revenue</w:t>
            </w:r>
          </w:p>
        </w:tc>
        <w:tc>
          <w:tcPr>
            <w:tcW w:w="5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Revenue</w:t>
            </w: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4"/>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fees and commissions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489,474</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80.4 %</w:t>
            </w:r>
          </w:p>
        </w:tc>
        <w:tc>
          <w:tcPr>
            <w:tcW w:w="80" w:type="dxa"/>
            <w:vAlign w:val="bottom"/>
          </w:tcPr>
          <w:p>
            <w:pPr>
              <w:spacing w:after="0"/>
              <w:rPr>
                <w:sz w:val="23"/>
                <w:szCs w:val="23"/>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423,197</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79.2 %</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66,277</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Subscription fees </w:t>
            </w:r>
            <w:r>
              <w:rPr>
                <w:rFonts w:ascii="Times New Roman" w:cs="Times New Roman" w:eastAsia="Times New Roman" w:hAnsi="Times New Roman"/>
                <w:sz w:val="23"/>
                <w:szCs w:val="23"/>
                <w:color w:val="auto"/>
                <w:vertAlign w:val="superscript"/>
              </w:rPr>
              <w:t>(1)</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113,979</w:t>
            </w:r>
          </w:p>
        </w:tc>
        <w:tc>
          <w:tcPr>
            <w:tcW w:w="156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105,794</w:t>
            </w:r>
          </w:p>
        </w:tc>
        <w:tc>
          <w:tcPr>
            <w:tcW w:w="156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5,171</w:t>
            </w:r>
          </w:p>
        </w:tc>
        <w:tc>
          <w:tcPr>
            <w:tcW w:w="156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156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608,624</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534,239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total revenue growth:</w:t>
            </w: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Constant currency growth </w:t>
            </w:r>
            <w:r>
              <w:rPr>
                <w:rFonts w:ascii="Times New Roman" w:cs="Times New Roman" w:eastAsia="Times New Roman" w:hAnsi="Times New Roman"/>
                <w:sz w:val="23"/>
                <w:szCs w:val="23"/>
                <w:color w:val="auto"/>
                <w:vertAlign w:val="superscript"/>
              </w:rPr>
              <w:t>(2)</w:t>
            </w: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impact</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2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 growth</w:t>
            </w: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fees for the six months ended June 30, 2022 and 2021 include $31.0 million and $30.0 million respectively, of Refinitiv market data fees.</w:t>
      </w:r>
    </w:p>
    <w:p>
      <w:pPr>
        <w:spacing w:after="0" w:line="17" w:lineRule="exact"/>
        <w:rPr>
          <w:rFonts w:ascii="Times New Roman" w:cs="Times New Roman" w:eastAsia="Times New Roman" w:hAnsi="Times New Roman"/>
          <w:sz w:val="14"/>
          <w:szCs w:val="14"/>
          <w:color w:val="auto"/>
        </w:rPr>
      </w:pPr>
    </w:p>
    <w:p>
      <w:pPr>
        <w:ind w:left="340" w:right="200" w:hanging="332"/>
        <w:spacing w:after="0" w:line="267" w:lineRule="auto"/>
        <w:tabs>
          <w:tab w:leader="none" w:pos="33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growth, which is a non-GAAP financial measure, is defined as total revenue growth excluding the effects of foreign currency fluctuations. Total revenue excluding the effects of foreign currency fluctuations is calculated by translating the current period and prior period’s total revenue using the annual average exchange rates for 2021. We use constant currency growth as a supplemental metric to evaluate our underlying total revenue performance between periods by removing the impact of foreign currency fluctuations. We believe that providing constant currency growth provides a useful comparison of our total revenue performance and trends between periods.</w:t>
      </w:r>
    </w:p>
    <w:p>
      <w:pPr>
        <w:spacing w:after="0" w:line="1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primary driver of the $74.4 million increase in revenue related to a $66.3 million increase in transaction fees and commissions to $489.5 million for the six months ended June 30, 2022 from $423.2 million for the six months ended June 30, 2021, primarily due to increased volumes and fees for rates derivatives products, U.S. government bonds, U.S. corporate bonds and U.S. ETFs.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revenue by asset class for the six months ended June 30, 2022 and 2021, and the resulting dollar and percentage changes,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3"/>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311,925</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276,932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170,309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23,729</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11,110</w:t>
            </w:r>
          </w:p>
        </w:tc>
        <w:tc>
          <w:tcPr>
            <w:tcW w:w="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608,624</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534,239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74,385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5480" w:type="dxa"/>
            <w:vAlign w:val="bottom"/>
          </w:tcPr>
          <w:p>
            <w:pPr>
              <w:spacing w:after="0"/>
              <w:rPr>
                <w:sz w:val="24"/>
                <w:szCs w:val="24"/>
                <w:color w:val="auto"/>
              </w:rPr>
            </w:pP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variable and fixed revenues by asset class for the six months ended June 30, 2022 and 2021, and the resulting dollar and percentage changes,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3"/>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3"/>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24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80" w:type="dxa"/>
            <w:vAlign w:val="bottom"/>
          </w:tcPr>
          <w:p>
            <w:pPr>
              <w:spacing w:after="0"/>
              <w:rPr>
                <w:sz w:val="16"/>
                <w:szCs w:val="16"/>
                <w:color w:val="auto"/>
              </w:rPr>
            </w:pPr>
          </w:p>
        </w:tc>
        <w:tc>
          <w:tcPr>
            <w:tcW w:w="7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00" w:type="dxa"/>
            <w:vAlign w:val="bottom"/>
          </w:tcPr>
          <w:p>
            <w:pPr>
              <w:spacing w:after="0"/>
              <w:rPr>
                <w:sz w:val="16"/>
                <w:szCs w:val="16"/>
                <w:color w:val="auto"/>
              </w:rPr>
            </w:pPr>
          </w:p>
        </w:tc>
        <w:tc>
          <w:tcPr>
            <w:tcW w:w="158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8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199,723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112,202</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169,417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107,515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tcPr>
          <w:p>
            <w:pPr>
              <w:spacing w:after="0"/>
              <w:rPr>
                <w:sz w:val="19"/>
                <w:szCs w:val="19"/>
                <w:color w:val="auto"/>
              </w:rPr>
            </w:pPr>
          </w:p>
        </w:tc>
        <w:tc>
          <w:tcPr>
            <w:tcW w:w="15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416,360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192,264</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347,674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186,565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68,686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drivers of the change in total revenue by asset class are summarized as follows:</w:t>
      </w:r>
    </w:p>
    <w:p>
      <w:pPr>
        <w:spacing w:after="0" w:line="18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Revenues from our rates asset class increased by $35.0 million or 12.6% to $311.9 million for the six months ended June 30, 2022 compared to $276.9 million for the six months ended June 30, 2021 primarily due to variable transaction fees and commissions earned on higher trading volumes for rates derivatives products and U.S. government bonds.</w:t>
      </w:r>
    </w:p>
    <w:p>
      <w:pPr>
        <w:spacing w:after="0" w:line="13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Revenues from our credit asset class increased by $23.7 million or 16.2% to $170.3 million for the six months ended June 30, 2022 compared to $146.6 million for the six months ended June 30, 2021 primarily due to variable transaction fees and commissions on higher trading volumes for U.S. corporate bonds, credit derivatives products and municipals.</w:t>
      </w:r>
    </w:p>
    <w:p>
      <w:pPr>
        <w:spacing w:after="0" w:line="14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u w:val="single" w:color="auto"/>
          <w:color w:val="auto"/>
        </w:rPr>
        <w:t>Equities</w:t>
      </w:r>
      <w:r>
        <w:rPr>
          <w:rFonts w:ascii="Times New Roman" w:cs="Times New Roman" w:eastAsia="Times New Roman" w:hAnsi="Times New Roman"/>
          <w:sz w:val="18"/>
          <w:szCs w:val="18"/>
          <w:color w:val="auto"/>
        </w:rPr>
        <w:t>. Revenues from our equities asset class increased by $12.9 million or 35.7% to $49.2 million for the six months ended June 30, 2022 compared to $36.3 million for the six months ended June 30, 2021 primarily due to variable transaction fees and commissions on higher trading volumes for U.S. and European ETFs.</w:t>
      </w:r>
    </w:p>
    <w:p>
      <w:pPr>
        <w:spacing w:after="0" w:line="13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u w:val="single" w:color="auto"/>
          <w:color w:val="auto"/>
        </w:rPr>
        <w:t>Money Markets</w:t>
      </w:r>
      <w:r>
        <w:rPr>
          <w:rFonts w:ascii="Times New Roman" w:cs="Times New Roman" w:eastAsia="Times New Roman" w:hAnsi="Times New Roman"/>
          <w:sz w:val="18"/>
          <w:szCs w:val="18"/>
          <w:color w:val="auto"/>
        </w:rPr>
        <w:t>. Revenues from our money markets asset class increased by $1.5 million or 6.9% to $23.7 million for the six months ended June 30, 2022 compared to $22.2 million for the six months ended June 30, 2021 primarily due to variable transaction fees and commissions on higher trading volumes for repurchase agreements and certificates of deposit.</w:t>
      </w:r>
    </w:p>
    <w:p>
      <w:pPr>
        <w:spacing w:after="0" w:line="13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Revenues from our market data asset class increased by $2.4 million or 6.0% to $42.4 million for the six months ended June 30, 2022 compared to $40.0 million for the six months ended June 30, 2021. The increase was derived primarily from increased third party market data fees and Refinitiv market data fees.</w:t>
      </w:r>
    </w:p>
    <w:p>
      <w:pPr>
        <w:spacing w:after="0" w:line="14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Revenues from our other asset class decreased by $1.2 million or 9.9%, to $11.1 million for the six months ended June 30, 2022 compared to $12.3 million for the six months ended June 30, 2021. The decrease was driven primarily by lower fees from software development and implementation revenue on behalf of certain clients.</w:t>
      </w:r>
    </w:p>
    <w:p>
      <w:pPr>
        <w:spacing w:after="0" w:line="13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generate revenue from a diverse portfolio of client sectors. Our total revenue by client sector for the six months ended June 30, 2022 and 2021, and the resulting dollar and percentage changes,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3"/>
          </w:tcPr>
          <w:p>
            <w:pPr>
              <w:jc w:val="center"/>
              <w:ind w:left="57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Institutional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378,508</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336,207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140,948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19,869</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608,624</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534,239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74,385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u w:val="single" w:color="auto"/>
          <w:color w:val="auto"/>
        </w:rPr>
        <w:t>Institutional</w:t>
      </w:r>
      <w:r>
        <w:rPr>
          <w:rFonts w:ascii="Times New Roman" w:cs="Times New Roman" w:eastAsia="Times New Roman" w:hAnsi="Times New Roman"/>
          <w:sz w:val="18"/>
          <w:szCs w:val="18"/>
          <w:color w:val="auto"/>
        </w:rPr>
        <w:t>. Revenues from our institutional client sector increased by $42.3 million or 12.6% to $378.5 million for the six months ended June 30, 2022 from $336.2 million for the six months ended June 30, 2021. The increase was derived primarily from increased volumes for rates derivatives products, U.S. ETFs and credit derivatives products.</w:t>
      </w:r>
    </w:p>
    <w:p>
      <w:pPr>
        <w:spacing w:after="0" w:line="14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u w:val="single" w:color="auto"/>
          <w:color w:val="auto"/>
        </w:rPr>
        <w:t>Wholesale</w:t>
      </w:r>
      <w:r>
        <w:rPr>
          <w:rFonts w:ascii="Times New Roman" w:cs="Times New Roman" w:eastAsia="Times New Roman" w:hAnsi="Times New Roman"/>
          <w:sz w:val="18"/>
          <w:szCs w:val="18"/>
          <w:color w:val="auto"/>
        </w:rPr>
        <w:t>. Revenues from our wholesale client sector increased by $19.9 million or 16.4% to $140.9 million for the six months ended June 30, 2022 from $121.1 million for the six months ended June 30, 2021. The increase was derived primarily from increased revenue for U.S. government bonds, U.S. corporate bonds and mortgages.</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u w:val="single" w:color="auto"/>
          <w:color w:val="auto"/>
        </w:rPr>
        <w:t>Retail</w:t>
      </w:r>
      <w:r>
        <w:rPr>
          <w:rFonts w:ascii="Times New Roman" w:cs="Times New Roman" w:eastAsia="Times New Roman" w:hAnsi="Times New Roman"/>
          <w:sz w:val="18"/>
          <w:szCs w:val="18"/>
          <w:color w:val="auto"/>
        </w:rPr>
        <w:t>. Revenues from our retail client sector increased by $9.8 million or 26.5% to $46.8 million for the six months ended June 30, 2022 from $37.0 million for the six months ended June 30, 2021. The increase was derived primarily from increased volumes for from municipals, U.S. corporate bonds and U.S. government bonds.</w:t>
      </w:r>
    </w:p>
    <w:p>
      <w:pPr>
        <w:spacing w:after="0" w:line="13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Revenues from our market data client sector increased by $2.4 million or 6.0% to $42.4 million for the six months ended June 30, 2022 from $40.0 million for the six months ended June 30, 2021. The increase was derived primarily from increased third party market data fees and Refinitiv market data fees.</w:t>
      </w:r>
    </w:p>
    <w:p>
      <w:pPr>
        <w:spacing w:after="0" w:line="1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revenues and client base are also diversified by geography. Our total revenue by geography (based on client location) for the six months ended June 30, 2022 and 2021, and the resulting dollar and percentage changes,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3"/>
          </w:tcPr>
          <w:p>
            <w:pPr>
              <w:jc w:val="center"/>
              <w:ind w:left="5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380,443</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331,341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228,181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202,898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25,283</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608,624</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534,239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74,385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xml:space="preserve"> Revenues from U.S. clients increased by $49.1 million or 14.8% to $380.4 million for the six months ended June 30, 2022 from $331.3 million for the six months ended June 30, 2021 primarily due to higher revenues for U.S. government bonds, U.S. corporate bonds, U.S. ETFs, rates derivatives products and municipals.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International</w:t>
      </w:r>
      <w:r>
        <w:rPr>
          <w:rFonts w:ascii="Times New Roman" w:cs="Times New Roman" w:eastAsia="Times New Roman" w:hAnsi="Times New Roman"/>
          <w:sz w:val="18"/>
          <w:szCs w:val="18"/>
          <w:color w:val="auto"/>
        </w:rPr>
        <w:t>. Revenues from International clients increased by $25.3 million or 12.5% to $228.2 million for the six months ended June 30, 2022 from</w:t>
      </w:r>
    </w:p>
    <w:p>
      <w:pPr>
        <w:spacing w:after="0" w:line="2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$202.9 million for the six months ended June 30, 2021. Fluctuations in foreign currency rates decreased our total International revenues for the six months ended June 30, 2022 by $12.9 million when comparing to International revenues for the six months ended June 30, 2022 determined using constant currency foreign currency exchange rates. Excluding this foreign currency impact, international revenues increased by $38.2 million or 18.8% primarily due to higher revenues for rates derivatives products, credit derivatives products and European ETFs.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expenses for the six months ended June 30, 2022 and 2021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3"/>
          </w:tcPr>
          <w:p>
            <w:pPr>
              <w:jc w:val="center"/>
              <w:ind w:left="57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46.3 %</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u w:val="single" w:color="auto"/>
          <w:color w:val="auto"/>
        </w:rPr>
        <w:t>Employee Compensation and Benefits</w:t>
      </w:r>
      <w:r>
        <w:rPr>
          <w:rFonts w:ascii="Times New Roman" w:cs="Times New Roman" w:eastAsia="Times New Roman" w:hAnsi="Times New Roman"/>
          <w:sz w:val="18"/>
          <w:szCs w:val="18"/>
          <w:color w:val="auto"/>
        </w:rPr>
        <w:t>. Expenses related to employee compensation and benefits increased by $25.8 million or 12.8% to $227.9 million for the six months ended June 30, 2022 from $202.1 million for the six months ended June 30, 2021. The increase was primarily due to increases in incentive compensation expense tied to our operating performance and an increase in salaries and benefits as a result of increased employee headcount. During the six months ended June 30, 2022, we also incurred a total of $7.4 million in stock-based compensation expense and related payroll taxes relating to the CEO Retirement Accelerated Stock-Based Compensation Expense. See “— Trends and Other Factors Impacting Our Performance — CEO Transition.”</w:t>
      </w:r>
    </w:p>
    <w:p>
      <w:pPr>
        <w:spacing w:after="0" w:line="15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u w:val="single" w:color="auto"/>
          <w:color w:val="auto"/>
        </w:rPr>
        <w:t>Depreciation and Amortization</w:t>
      </w:r>
      <w:r>
        <w:rPr>
          <w:rFonts w:ascii="Times New Roman" w:cs="Times New Roman" w:eastAsia="Times New Roman" w:hAnsi="Times New Roman"/>
          <w:sz w:val="18"/>
          <w:szCs w:val="18"/>
          <w:color w:val="auto"/>
        </w:rPr>
        <w:t>. Expenses related to depreciation and amortization increased by $6.4 million or 7.7% to $89.2 million for the six months ended June 30, 2022 from $82.8 million for the six months ended June 30, 2021. The increase in depreciation and amortization expense was primarily the result of assets acquired in connection with the NFI Acquisition. Also contributing to the increase were longer estimated useful lives of computer software and the adjusted fair value of the assets that were established in connection with pushdown accounting on October 1, 2018 (see Note 2 – Significant Accounting Policies to the condensed consolidated financial statements included elsewhere in this Quarterly Report on Form 10-Q for details). Assets which may have been fully depreciated or amortized prior to the application of pushdown accounting are still being depreciated or amortized in these periods.</w:t>
      </w:r>
    </w:p>
    <w:p>
      <w:pPr>
        <w:spacing w:after="0" w:line="14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u w:val="single" w:color="auto"/>
          <w:color w:val="auto"/>
        </w:rPr>
        <w:t>Technology and Communications</w:t>
      </w:r>
      <w:r>
        <w:rPr>
          <w:rFonts w:ascii="Times New Roman" w:cs="Times New Roman" w:eastAsia="Times New Roman" w:hAnsi="Times New Roman"/>
          <w:sz w:val="18"/>
          <w:szCs w:val="18"/>
          <w:color w:val="auto"/>
        </w:rPr>
        <w:t>. Expenses related to technology and communications increased by $4.3 million or 15.7% to $31.8 million for the six months ended June 30, 2022 from $27.5 million for the six months ended June 30, 2021. The increase was primarily due to increased data and clearance fees driven primarily by higher trading volumes period over period and increased investment in our data strategy and infrastructure.</w:t>
      </w:r>
    </w:p>
    <w:p>
      <w:pPr>
        <w:spacing w:after="0" w:line="13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u w:val="single" w:color="auto"/>
          <w:color w:val="auto"/>
        </w:rPr>
        <w:t>General and Administrative</w:t>
      </w:r>
      <w:r>
        <w:rPr>
          <w:rFonts w:ascii="Times New Roman" w:cs="Times New Roman" w:eastAsia="Times New Roman" w:hAnsi="Times New Roman"/>
          <w:sz w:val="18"/>
          <w:szCs w:val="18"/>
          <w:color w:val="auto"/>
        </w:rPr>
        <w:t>. Expenses related to general and administrative costs increased by $5.7 million or 46.3% to $17.9 million for the six months ended June 30, 2022 from $12.2 million for the six months ended June 30, 2021. The increase was primarily due to higher travel and entertainment expenses, as the COVID-19 pandemic contributed to a reduction in expenses during 2021. This increase was partially offset by a $1.5 million increase in foreign exchange gains during the six months ended June 30, 2022. Realized and unrealized foreign currency gains totaled $4.5 million during the six months ended June 30, 2022 as compared to $3.0 million in gains during the six months ended June 30, 2021. The change was primarily driven by an increase in fair value of our foreign currency forward contracts used in connection with our foreign currency risk management program, which was partially offset by an increase in foreign currency re-measurement losses on transactions in nonfunctional currencies.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Professional Fees</w:t>
      </w:r>
      <w:r>
        <w:rPr>
          <w:rFonts w:ascii="Times New Roman" w:cs="Times New Roman" w:eastAsia="Times New Roman" w:hAnsi="Times New Roman"/>
          <w:sz w:val="18"/>
          <w:szCs w:val="18"/>
          <w:color w:val="auto"/>
        </w:rPr>
        <w:t>. Expenses related to professional fees decreased by $3.7 million or 18.2% to $16.4 million for the six months ended June 30, 2022 from $20.1 million for the six months ended June 30, 2021. The decrease was primarily due to acquisition transaction costs related to the NFI Acquisition during the six months ended June 30, 2021, partially offset by increased legal fees.</w:t>
      </w:r>
    </w:p>
    <w:p>
      <w:pPr>
        <w:spacing w:after="0" w:line="13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u w:val="single" w:color="auto"/>
          <w:color w:val="auto"/>
        </w:rPr>
        <w:t>Occupancy</w:t>
      </w:r>
      <w:r>
        <w:rPr>
          <w:rFonts w:ascii="Times New Roman" w:cs="Times New Roman" w:eastAsia="Times New Roman" w:hAnsi="Times New Roman"/>
          <w:sz w:val="18"/>
          <w:szCs w:val="18"/>
          <w:color w:val="auto"/>
        </w:rPr>
        <w:t>. Expenses related to occupancy costs remained relatively flat at $7.2 million for the six months ended June 30, 2022 as compared to $7.4 million for the six months ended June 30, 2021.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Interest Income (Expense)</w:t>
      </w:r>
    </w:p>
    <w:p>
      <w:pPr>
        <w:spacing w:after="0" w:line="200"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Net interest income (expense) increased by $0.9 million to net interest income of $0.1 million for the six months ended June 30, 2022 from net interest expense of $0.8 million for the six months ended June 30, 2021 primarily due to an increase in interest income earned relating to an increase in interest rates and an increase in our average cash balance period over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Income tax expense increased by $5.8 million to $39.3 million for the six months ended June 30, 2022 from $33.5 million for the six months ended June 30, 2021. The provision for income taxes includes U.S. federal, state, local, and foreign taxes. The effective tax rate for the six months ended June 30, 2022 was approximately 18.0%, compared with 18.5% for the six months ended June 30, 2021. The effective tax rate for the six months ended June 30, 2022 differed from the U.S. federal statutory rate of 21.0% primarily due to the tax impact of the issuance of common stock from equity incentive plans, return-to-provision adjustments and the effect of non-controlling interests, partially offset by state, local and foreign taxes. The effective tax rate for the six months ended June 30, 2021 differed from the U.S. federal statutory rate of 21.0% primarily due to the effect of non-controlling interests and the tax impact of the issuance of common stock from equity incentive plans, partially offset by state, local and foreign taxes.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89"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on hand, cash flows from operations and availability under the Revolving Credit Facility and their sufficiency to fund our operating and investing activities.</w:t>
      </w:r>
    </w:p>
    <w:p>
      <w:pPr>
        <w:spacing w:after="0" w:line="1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Historically, we have generated significant cash flows from operations and have funded our business operations through cash on hand and cash flows from operations.</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primary cash needs are for day to day operations, working capital requirements, clearing margin requirements, capital expenditures primarily for software and equipment, our expected dividend payments and our share repurchase program. In addition, we are obligated to make payments under the Tax Receivable Agreement.</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expect to fund our short and long-term liquidity requirements through cash and cash equivalents and cash flows from operations. While historically we have generated significant and adequate cash flows from operations, in the case of an unexpected event in the future or otherwise, we may fund our liquidity requirements through borrowings under the Revolving Credit Facility.</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believe that our projected cash position, cash flows from operations and, if necessary, borrowings under the Revolving Credit Facility, will be sufficient to fund our liquidity requirements for at least the next 12 months. However, our future liquidity requirements could be higher than we currently expect as a result of various factors. For example, any future investments, acquisitions, joint ventures or other similar transactions, which we consider from time to time, may reduce our cash balance or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16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of June 30, 2022 and December 31, 2021, we had cash and cash equivalents of approximately $959.7 million and $972.0 million, respectively. All cash and cash equivalents were held in accounts with financial institutions or money market funds such that the funds are immediately available or in fixed term deposits with a maximum maturity of three months.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Influencing Our Liquidity and Capital Resources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20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Subject to legally available funds, we intend to continue to pay quarterly cash dividends on our Class A common stock and Class B common stock equal to $0.08 per share. As discussed below, our ability to pay these quarterly cash dividends on our Class A common stock and Class B common stock will depend on distributions to us from TWM LLC.</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 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 when TWM LLC makes distributions to us, the other holders of LLC Interests will be entitled to receive proportionate distributions based on their economic interests in TWM LLC at the time of such distributions.</w:t>
      </w:r>
    </w:p>
    <w:p>
      <w:pPr>
        <w:spacing w:after="0" w:line="14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Dividends</w:t>
      </w:r>
    </w:p>
    <w:p>
      <w:pPr>
        <w:spacing w:after="0" w:line="198"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7"/>
          <w:szCs w:val="17"/>
          <w:color w:val="auto"/>
        </w:rPr>
        <w:t>On August 2, 2022, the board of directors of Tradeweb Markets Inc. declared a cash dividend of $0.08 per share of Class A common stock and Class B common stock for the third quarter of 2022. This dividend will be payable on September 15, 2022 to stockholders of record as of September 1, 2022.</w:t>
      </w:r>
    </w:p>
    <w:p>
      <w:pPr>
        <w:spacing w:after="0" w:line="9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March and June 2022, Tradeweb Markets Inc. paid quarterly cash dividends to holders of Class A common stock and Class B common stock in an aggregate amount totaling $32.7 million during the six months ended June 30,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Distributions</w:t>
      </w:r>
    </w:p>
    <w:p>
      <w:pPr>
        <w:spacing w:after="0" w:line="19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August 1, 2022, Tradeweb Markets Inc., as the sole manager, approved a distribution by TWM LLC to its equityholders, including Tradeweb Markets Inc., in an aggregate amount of $22.4 million, as adjusted by required state and local tax withholdings that will be determined prior to the record date of September 1, 2022, payable on September 13, 2022.</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March and June 2022, TWM LLC made a quarterly cash distribution to its equityholders in an aggregate amount of $36.7 million, including distributions to Tradeweb Markets Inc. of $32.0 million and distributions to non-controlling interests of $4.7 million. The proceeds of the cash distributions were used by Tradeweb Markets Inc. to fund dividend payments, taxes and expenses.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Repurchase Program</w:t>
      </w:r>
    </w:p>
    <w:p>
      <w:pPr>
        <w:spacing w:after="0" w:line="1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February 4, 2021, we announced that our board of directors authorized a new share repurchase program (the “Share Repurchase Program”), primarily to offset annual dilution from stock-based compensation plans. The Share Repurchase Program authorizes the purchase of up to $150.0 million of our Class A common stock at the Company’s discretion through the end of fiscal year 2023. The Share Repurchase Program will be effected primarily through regular open-market purchases (which may include repurchase plans designed to comply with Rule 10b5-1). The amounts and timing of the repurchases will be subject to general market conditions and the prevailing price and trading volumes of our Class A common stock. The Share Repurchase Program does not require the Company to acquire a specific number of shares and may be suspended, amended or discontinued at any time. The Company began purchasing shares pursuant to the Share Repurchase Program during the second quarter of 2021. During the six months ended June 30, 2022, the Company acquired a total of 662,886 shares of Class A common stock, at an average price of $84.97, for purchases totaling $56.3 million.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Share Repurchases</w:t>
      </w:r>
    </w:p>
    <w:p>
      <w:pPr>
        <w:spacing w:after="0" w:line="18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 addition to the Share Repurchase Program discussed above, we may also withhold shares to cover the payroll tax withholding obligations upon the exercise of stock options and vesting of performance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restricted stock units and restricted stock units.</w:t>
      </w:r>
    </w:p>
    <w:p>
      <w:pPr>
        <w:spacing w:after="0" w:line="13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the Company withheld 1,015,489 shares of common stock from employee stock option, PRSU and RSU awards, at an average price per share of $96.49 and an aggregate value of $98.0 million, based on the price of the Class A common stock on the date the relevant withholding occurred.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obligated to make payments under the Tax Receivable Agreement. See Note 6 – Tax Receivable Agreement to our condensed consolidated financial statements included elsewhere in this Quarterly Report on Form 10-Q for additional details regarding the requirements for these payments. Although the actual timing and amount of any payments that may be made under the Tax Receivable Agreement will vary, we expect the payments required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 The first payment of the Tax Receivable Agreement was made in January 2021. As of June 30, 2022, total amounts due to the Continuing LLC Owners under the Tax Receivable Agreement were $409.2 million, substantially all due to be paid over 15 years following the purchase of LLC Interests from Continuing LLC Owners or redemption or exchanges by Continuing LLC Owners of LLC Interests. As of June 30, 2022, we expect to make tax receivable agreement liability payments of approximately $6.3 million within the next twelve months and approximately $402.9 million thereafter.</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the above, our tax receivable agreement liability and future payments thereunder are expected to increase as we realize (or are deemed to realize) an increase in tax basis of TWM LLC’s assets resulting from any future purchases, redemptions or exchanges of LLC Interests from Continuing LLC Owners. We currently expect to fund these future tax receivable agreement liability payments from some of the realized cash tax savings as a result of this increase in tax basis.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Indebtedness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and December 31, 2021, we had no outstanding indebtedness.</w:t>
      </w:r>
    </w:p>
    <w:p>
      <w:pPr>
        <w:spacing w:after="0" w:line="18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April 8, 2019, TWM LLC entered into the Revolving Credit Facility with a syndicate of banks. The Revolving Credit Facility was subsequently amended on November 7, 2019. The Revolving Credit Facility provides $500.0 million of borrowing capacity to be used to fund our ongoing working capital needs, letters of credit and for general corporate purposes, including potential future acquisitions and expansions. As of June 30, 2022, there were $0.5 million in letters of credit issued under the Revolving Credit Facility and no borrowings outstanding. The Revolving Credit Facility will mature on April 8, 2024.</w:t>
      </w:r>
    </w:p>
    <w:p>
      <w:pPr>
        <w:spacing w:after="0" w:line="1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credit agreement that governs the Revolving Credit Facility contains a number of covenants that, among other things and subject to certain exceptions, restrict the ability of TWM LLC and the ability of its restricted subsidiaries to incur additional indebtedness, pay dividends or distributions, make investments and enter into certain other transactions. As of June 30, 2022, we were in compliance with all the covenants set forth in the Revolving Credit Facility.</w:t>
      </w:r>
    </w:p>
    <w:p>
      <w:pPr>
        <w:spacing w:after="0" w:line="13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 – Liquidity and Capital Resources – Factors Influencing Our Liquidity and Capital Resources – Indebtedness” in Part II of our 2021 Form 10-K for additional details regarding the terms, restrictions and covenants applicable to our Revolving Credit Facility.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 Obligations</w:t>
      </w:r>
    </w:p>
    <w:p>
      <w:pPr>
        <w:spacing w:after="0" w:line="20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operating leases for corporate offices and data centers with initial lease terms ranging from one to 10 years. Our operating lease obligations are primarily related to rental payments under lease agreements for office space in the United States and the United Kingdom through December 2027. In March 2022, the lease for our New York headquarters was extended for an amended term through December 2023, as we continue to evaluate our office space needs for the future. As of June 30, 2022, our operating lease liabilities totaled $29.9 million, with payments pursuant to these obligations due within the next twelve months and thereafter totaling approximately $11.0 million and $20.6 million,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Cash and Liquidity Requirements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U.S. subsidiaries are registered as broker-dealers, SEFs or introducing brokers and are subject to the applicable rules and regulations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and CFTC. These rules contain minimum net capital or other financial resource requirements, as defined in the applicable regulations.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 may also require a significant part of the registrants’ assets be kept in relatively liquid form. Certain of our foreign subsidiaries are regulated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Conduct Authority in the UK, the Nederlandsche Bank in the Netherlands, the Japanese Financial Services Agency, the Japanese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Dealers Association and other foreign regulators, and must maintain financial resources, as defined in the applicable regulations, in excess of the applicable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resources requirement. As of June 30, 2022 and December 31, 2021, each of our regulated subsidiaries had maintained sufficient net capital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resources to at least satisfy their minimum requirements, which in aggregate were $60.8 million and $66.7 million, respectively. We maintain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balances in these subsidiaries in excess of our minimum requirements in order to satisfy working capital needs and to ensure that we have enough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on hand to satisfy margin requirements and credit risk, including the excess capital expectations of our clients. The FICC and some of our clearing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brokers require us to post collateral on unsettled positions, included within deposits with clearing organizations in our consolidated statements of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 Collateral amounts are marked to market on a daily basis, requiring us to pay or receive margin amounts as part of the daily funds settlement.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Margin call requirements can vary significantly across periods based on daily market changes and may represent a significant and unpredictable use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times, transactions executed on our wholesale platform fail to settle due to the inability of a transaction party to deliver or receive the transacted security. Until the failed transaction settles, we will recognize a receivable from (and a matching payable to) brokers and dealers and clearing organizations for the proceeds from the unsettled transaction. The impact on our liquidity and capital resources is minimal as receivables and payables for failed transactions are usually recognized simultaneously and predominantly offset. However, from time to time, we enter into repurchase and/or reverse repurchase agreements to facilitate the clearance of securities relating to fails to deliver or receive. We seek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FICC. The FICC operates a continuous net settlement system, whereby as trades are submitted and compared, the FICC becomes the counterparty.</w:t>
      </w:r>
    </w:p>
    <w:p>
      <w:pPr>
        <w:spacing w:after="0" w:line="16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business also requires continued investment in our technology for product innovation, proprietary technology architecture, operational reliability and cybersecurity. We expect total capital expenditures and software development costs for fiscal 2022 to be between $62.0 million and $68.0 million, compared to expenditures of $51.3 million in fiscal 2021, with the increase primarily driven by technology investments. We expect approximately 18% of our 2022 capital expenditures to be non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recurring.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8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Working capital is defined as current assets minus current liabilities. Current assets consist of cash and cash equivalents, restricted cash, receivable from brokers and dealers and clearing organizations, deposits with clearing organizations, accounts receivable and receivable from affiliates. Current liabilities consist of payable to brokers and dealers and clearing organizations, accrued compensation, deferred revenue, payable to affiliates, accounts payable, accrued expenses and other liabilities, lease liabilities and the tax receivable agreement liability. Changes in working capital, which impact our cash flows provided by operating activities, can vary depending on factors such as delays in the collection of receivables, changes in our operating performance, changes in trading patterns, changes in client billing terms and other changes in the demand for our platforms and solutions.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working capital as of June 30, 2022 and December 31, 2021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6"/>
                <w:szCs w:val="16"/>
                <w:color w:val="auto"/>
              </w:rPr>
            </w:pPr>
          </w:p>
        </w:tc>
        <w:tc>
          <w:tcPr>
            <w:tcW w:w="11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2"/>
        </w:trPr>
        <w:tc>
          <w:tcPr>
            <w:tcW w:w="8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27"/>
        </w:trPr>
        <w:tc>
          <w:tcPr>
            <w:tcW w:w="8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4"/>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8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959,719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972,048</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from brokers and dealers and clearing organizations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20,523</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155,426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129,937</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Receivable from affiliates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w:t>
            </w:r>
          </w:p>
        </w:tc>
      </w:tr>
      <w:tr>
        <w:trPr>
          <w:trHeight w:val="25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1,149,595</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1,126,821</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to brokers and dealers and clearing organizations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154,824</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24,930</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affiliates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38,214</w:t>
            </w:r>
          </w:p>
        </w:tc>
      </w:tr>
      <w:tr>
        <w:trPr>
          <w:trHeight w:val="230"/>
        </w:trPr>
        <w:tc>
          <w:tcPr>
            <w:tcW w:w="8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7,534</w:t>
            </w:r>
          </w:p>
        </w:tc>
      </w:tr>
      <w:tr>
        <w:trPr>
          <w:trHeight w:val="22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receivable agreement liability</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9,078</w:t>
            </w:r>
          </w:p>
        </w:tc>
      </w:tr>
      <w:tr>
        <w:trPr>
          <w:trHeight w:val="25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175,400</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239,440</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working capital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974,195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887,381</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Assets</w:t>
      </w:r>
    </w:p>
    <w:p>
      <w:pPr>
        <w:spacing w:after="0" w:line="18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Current assets increased to $1,149.6 million as of June 30, 2022 from $1,126.8 million as of December 31, 2021 primarily due to an increase in accounts receivable as a result of increased revenues.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p>
      <w:pPr>
        <w:spacing w:after="0" w:line="20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Current liabilities decreased to $175.4 million as of June 30, 2022 from $239.4 million as of December 31, 2021 primarily due to a decrease in accrued compensation as a result of annual bonus payments which occurred during the six months ended June 30, 2022.</w:t>
      </w:r>
    </w:p>
    <w:p>
      <w:pPr>
        <w:spacing w:after="0" w:line="119" w:lineRule="exact"/>
        <w:rPr>
          <w:sz w:val="20"/>
          <w:szCs w:val="20"/>
          <w:color w:val="auto"/>
        </w:rPr>
      </w:pPr>
    </w:p>
    <w:p>
      <w:pPr>
        <w:ind w:right="1640"/>
        <w:spacing w:after="0" w:line="462"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Other Cash and Liquidity Requirements</w:t>
      </w:r>
      <w:r>
        <w:rPr>
          <w:rFonts w:ascii="Times New Roman" w:cs="Times New Roman" w:eastAsia="Times New Roman" w:hAnsi="Times New Roman"/>
          <w:sz w:val="18"/>
          <w:szCs w:val="18"/>
          <w:color w:val="auto"/>
        </w:rPr>
        <w:t xml:space="preserve">” above for a discussion on how capital requirements can impact our working capital. </w:t>
      </w:r>
      <w:r>
        <w:rPr>
          <w:rFonts w:ascii="Times New Roman" w:cs="Times New Roman" w:eastAsia="Times New Roman" w:hAnsi="Times New Roman"/>
          <w:sz w:val="18"/>
          <w:szCs w:val="18"/>
          <w:b w:val="1"/>
          <w:bCs w:val="1"/>
          <w:i w:val="1"/>
          <w:iCs w:val="1"/>
          <w:color w:val="auto"/>
        </w:rPr>
        <w:t>Cash Flows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flows for the six months ended June 30, 2022 and 2021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3"/>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3"/>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233"/>
        </w:trPr>
        <w:tc>
          <w:tcPr>
            <w:tcW w:w="8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20"/>
                <w:szCs w:val="20"/>
                <w:color w:val="auto"/>
              </w:rPr>
            </w:pP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223,315</w:t>
            </w: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204,006</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(33,087)</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(234,367)</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(193,134)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(80,513)</w:t>
            </w:r>
          </w:p>
        </w:tc>
      </w:tr>
      <w:tr>
        <w:trPr>
          <w:trHeight w:val="27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(9,423)</w:t>
            </w:r>
          </w:p>
        </w:tc>
        <w:tc>
          <w:tcPr>
            <w:tcW w:w="8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(12,329)</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(110,055)</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Operating activities consist primarily of net income adjusted for noncash items that primarily include depreciation and amortization and stock-based compensation expense. Cash flows from operating activities can fluctuate significantly from period-to-period as working capital needs and the timing of payments for accrued compensation (primarily in the first quarter) and other items impact reported cash flows.</w:t>
      </w:r>
    </w:p>
    <w:p>
      <w:pPr>
        <w:spacing w:after="0" w:line="14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June 30, 2022 was $223.3 million, an increase of $19.3 million over the six months ended June 30, 2021, primarily driven by an increase in net income during 2022, partially offset by changes in working capital.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software development costs, investments in technology hardware, purchases of equipment and other tangible assets, business acquisitions and investments.</w:t>
      </w:r>
    </w:p>
    <w:p>
      <w:pPr>
        <w:spacing w:after="0" w:line="135"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$33.1 million for the six months ended June 30, 2022, which consisted of $18.3 million of capitalized software development costs and $14.8 million of purchases of furniture, equipment, purchased software and leasehold improvements. Net cash used in investing activities was $234.4 million for the six months ended June 30, 2021, which consisted of $208.9 million in total net cash paid related to the NFI Acquisition (net of cash acquired), $17.0 million of capitalized software development costs and $8.5 million of purchases of furniture, equipment, purchased software and leasehold improvements.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June 30, 2022 was $193.1 million, and was primarily driven by $90.4 million in payroll tax payments for options, PRSUs and RSUs, net of proceeds from the related stock-based compensation option exercises, $56.3 million in share repurchases pursuant to the Share Repurchase Program and $32.7 million in cash dividends to our Class A and Class B common stockholders. Net cash used in financing activities for the six months ended June 30, 2021 was $80.5 million, and was primarily driven by $51.1 million in share repurchases pursuant to the Share Repurchase Program and $32.2 million in cash dividends to our Class A and Class B common stockholders, partially offset by $14.1 million in net proceeds from stock-based compensation option exercises, net of related stock-based compensation payroll tax payments for options, PRSUs and RSUs.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to cash flow from operating activities presented in accordance with GAAP, we use Free Cash Flow, a non-GAAP measure, to measure liquidity. Free Cash Flow is defined as cash flow from operating activities less non-acquisition related expenditures for capitalized software development costs and furniture, equipment and leasehold improvements.</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present Free Cash Flow because we believe it is a useful indicator of liquidity that provides information to management and investors about the amount of cash generated from our core operations after non-acquisition related expenditures for capitalized software development costs and furniture, equipment and leasehold improvements.</w:t>
      </w:r>
    </w:p>
    <w:p>
      <w:pPr>
        <w:spacing w:after="0" w:line="14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14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our cash flow from operating activities to Free Cash Flow for the six months ended June 30, 2022 and 2021: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3"/>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3"/>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233"/>
        </w:trPr>
        <w:tc>
          <w:tcPr>
            <w:tcW w:w="8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20"/>
                <w:szCs w:val="20"/>
                <w:color w:val="auto"/>
              </w:rPr>
            </w:pP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223,315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204,006</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Capitalization of software development costs</w:t>
            </w:r>
          </w:p>
        </w:tc>
        <w:tc>
          <w:tcPr>
            <w:tcW w:w="320" w:type="dxa"/>
            <w:vAlign w:val="bottom"/>
          </w:tcPr>
          <w:p>
            <w:pPr>
              <w:spacing w:after="0"/>
              <w:rPr>
                <w:sz w:val="19"/>
                <w:szCs w:val="19"/>
                <w:color w:val="auto"/>
              </w:rPr>
            </w:pPr>
          </w:p>
        </w:tc>
        <w:tc>
          <w:tcPr>
            <w:tcW w:w="1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(18,264)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(16,967)</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Purchases of furniture, equipment and leasehold improvements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(14,823)</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(8,543)</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190,228</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178,496</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Adjusted EBITDA margin, Adjusted EBIT, Adjusted EBIT margin, Adjusted Net Income and Adjusted Diluted EPS</w:t>
      </w:r>
    </w:p>
    <w:p>
      <w:pPr>
        <w:spacing w:after="0" w:line="20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to net income and net income attributable to Tradeweb Markets Inc., each presented in accordance with GAAP, we present Adjusted EBITDA, Adjusted EBITDA margin, Adjusted EBIT and Adjusted EBIT margin as non-GAAP measures of our operating performance and Adjusted Net Income and Adjusted Net Income per diluted share (“Adjusted Diluted EPS”) as non-GAAP measures of our profitability.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Adjusted EBITDA margin, Adjusted EBIT and Adjusted EBIT margin</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Adjusted EBITDA is defined as net income before net interest income/expense, provision for income taxes and depreciation and amortization, adjusted for the impact of certain other items, including transaction and other costs related to the NFI Acquisition, certain stock-based compensation expense and related payroll taxes, tax receivable agreement liability adjustments, unrealized gains and losses from outstanding foreign currency forward contracts and gains and losses from the revaluation of foreign denominated cash.</w:t>
      </w:r>
    </w:p>
    <w:p>
      <w:pPr>
        <w:spacing w:after="0" w:line="15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Adjusted EBIT is defined as net income before net interest income/expense and provision for income taxes, adjusted for the impact of certain other items, including transaction and other costs related to the NFI Acquisition, certain stock-based compensation expense and related payroll taxes, tax receivable agreement liability adjustments, depreciation and amortization related to acquisitions and the Refinitiv Transaction, unrealized gains and losses from outstanding foreign currency forward contracts and gains and losses from the revaluation of foreign denominated cash.</w:t>
      </w:r>
    </w:p>
    <w:p>
      <w:pPr>
        <w:spacing w:after="0" w:line="13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Adjusted EBITDA margin and Adjusted EBIT margin are defined as Adjusted EBITDA and Adjusted EBIT, respectively, divided by revenue for the applicable period.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For example, we exclude non-cash stock-based compensation expense associated with the Special Option Award as defined in Note 2 – Significant Accounting Policies to our unaudited condensed consolidated financial statements included elsewhere in this Quarterly Report on Form 10-Q and post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IPO options awarded in 2019 to management and other employees as well as payroll taxes associated with exercises of such options during the applicable period. We believe it is useful to exclude this stock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compensation expense and associated payroll taxes because the amount of expense associated with the Special Option Award and the post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IPO option awards in 2019 may not directly correlate to the underlying performance of our business and will vary across periods. We do not expect to exclude any non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cash stock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compensation expense associated with options that may be awarded to management and other employees during 2022. Beginning on August 30, 2021, we also exclude the non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cash accelerated stock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compensation expense associated with our former CFO and beginning on February 11, 2022 the incremental non-cash accelerated stock-based compensation expense associated with our retiring CEO, the CEO Retirement Accelerated Stock-Based Compensation Expense discussed above under “— Trends and Other Factors Impacting Our Performance — CEO Transition,” and related payroll taxes are also excluded, as we do not consider these expenses indicative of our core ongoing operating performance. The accelerated stock-based compensation expense associated with our former CFO was fully amortized on January 4, 2022 and we expect the CEO Retirement Accelerated Stock-Based Compensation Expense will be fully amortized during 2022. In addition, we exclude the tax receivable agreement liability adjustments discussed below under “— Critical Accounting Policies and Estimates — Tax Receivable Agreement.” We believe it is useful to exclude the tax receivable agreement liability adjustment because the recognition of income during a period due to changes in the tax receivable agreement liability recorded in our condensed consolidated statement of financial condition as a result of changes in the mix of earnings, tax legislation and tax rates in various jurisdictions, or other factors that may impact our tax savings, may not directly correlate to the underlying performance of our business and will vary across periods. We also believe it is useful to exclude the transaction and other costs related to the NFI Acquisition as costs related to the acquisition are not indicative of our core operating performance. With respect to Adjusted EBIT and Adjusted EBIT margin, we believe it is useful to exclude the depreciation and amortization of tangible and intangible assets resulting from acquisitions and the application of pushdown accounting to the Refinitiv Transaction in order to facilitate a period-over-period comparison of our financial performance.</w:t>
      </w:r>
    </w:p>
    <w:p>
      <w:pPr>
        <w:spacing w:after="0" w:line="17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and Adjusted Diluted EPS</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adjusted for certain stock-based compensation expense and related payroll taxes, tax receivable agreement liability adjustments, transaction and other costs related to the NFI Acquisition, depreciation and amortization related to acquisitions and the Refinitiv Transaction, unrealized gains and losses from outstanding foreign currency forward contracts and gains and losses from the revaluation of foreign denominated cash. Adjusted Net Income also gives effect to certain tax related adjustments to reflect an assumed effective tax rate.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use Adjusted Net Income and Adjusted Diluted EPS as supplemental metrics to evaluate our business performance in a way that also considers our ability to generate profit without the impact of certain items. We exclude stock-based compensation expense associated with the Special Option Award and the post-IPO option awards in 2019 and payroll taxes associated with exercises of such options, non-cash accelerated stock-based compensation expense associated with our former CFO and related payroll taxes, CEO Retirement Accelerated Stock-Based Compensation Expense and related payroll taxes, tax receivable agreement liability adjustments, acquisition-related costs and acquisition and Refinitiv Transaction-related depreciation and amortization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 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pacing w:after="0" w:line="16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operating income, gross margin, earnings per share or any other financial measure derived in accordance with GAAP. You are encouraged to evaluate each adjustment and, as applicable, the reasons we consider it appropriate for supplemental analysis. In addition, in evaluating Adjusted EBITDA, 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 be unaffected by unusual or non-recurring items. In addition, Adjusted EBITDA, Adjusted EBITDA margin, Adjusted EBIT, Adjusted EBIT margin, Adjusted Net Income and Adjusted Diluted EPS may not be comparable to similarly titled measures used by other companies in our industry or across different industries.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net income to Adjusted EBITDA, Adjusted EBITDA margin, Adjusted EBIT and Adjusted EBIT margin for the three and six months ended June 30, 2022 and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9"/>
        </w:trPr>
        <w:tc>
          <w:tcPr>
            <w:tcW w:w="5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81,600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66,233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179,045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147,798</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Acquisition transaction costs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4,727</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(income)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44,770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41,867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89,220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82,833</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7,295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11,164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9,186</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25,548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17,234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39,258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33,503</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Foreign exchange (gains) / losses </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(3,066)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(2,334)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(4,883)</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receivable agreement liability adjustment </w:t>
            </w:r>
            <w:r>
              <w:rPr>
                <w:rFonts w:ascii="Times New Roman" w:cs="Times New Roman" w:eastAsia="Times New Roman" w:hAnsi="Times New Roman"/>
                <w:sz w:val="23"/>
                <w:szCs w:val="23"/>
                <w:color w:val="auto"/>
                <w:vertAlign w:val="superscript"/>
              </w:rPr>
              <w:t>(4)</w:t>
            </w:r>
          </w:p>
        </w:tc>
        <w:tc>
          <w:tcPr>
            <w:tcW w:w="34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155,621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131,898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316,256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273,982</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93"/>
              <w:spacing w:after="0" w:line="203" w:lineRule="exact"/>
              <w:rPr>
                <w:sz w:val="20"/>
                <w:szCs w:val="20"/>
                <w:color w:val="auto"/>
              </w:rPr>
            </w:pPr>
            <w:r>
              <w:rPr>
                <w:rFonts w:ascii="Times New Roman" w:cs="Times New Roman" w:eastAsia="Times New Roman" w:hAnsi="Times New Roman"/>
                <w:sz w:val="18"/>
                <w:szCs w:val="18"/>
                <w:color w:val="auto"/>
              </w:rPr>
              <w:t>(44,770)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ind w:right="92"/>
              <w:spacing w:after="0" w:line="203" w:lineRule="exact"/>
              <w:rPr>
                <w:sz w:val="20"/>
                <w:szCs w:val="20"/>
                <w:color w:val="auto"/>
              </w:rPr>
            </w:pPr>
            <w:r>
              <w:rPr>
                <w:rFonts w:ascii="Times New Roman" w:cs="Times New Roman" w:eastAsia="Times New Roman" w:hAnsi="Times New Roman"/>
                <w:sz w:val="18"/>
                <w:szCs w:val="18"/>
                <w:color w:val="auto"/>
              </w:rPr>
              <w:t>(41,867)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93"/>
              <w:spacing w:after="0" w:line="203" w:lineRule="exact"/>
              <w:rPr>
                <w:sz w:val="20"/>
                <w:szCs w:val="20"/>
                <w:color w:val="auto"/>
              </w:rPr>
            </w:pPr>
            <w:r>
              <w:rPr>
                <w:rFonts w:ascii="Times New Roman" w:cs="Times New Roman" w:eastAsia="Times New Roman" w:hAnsi="Times New Roman"/>
                <w:sz w:val="18"/>
                <w:szCs w:val="18"/>
                <w:color w:val="auto"/>
              </w:rPr>
              <w:t>(89,220)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91"/>
              <w:spacing w:after="0" w:line="203" w:lineRule="exact"/>
              <w:rPr>
                <w:sz w:val="20"/>
                <w:szCs w:val="20"/>
                <w:color w:val="auto"/>
              </w:rPr>
            </w:pPr>
            <w:r>
              <w:rPr>
                <w:rFonts w:ascii="Times New Roman" w:cs="Times New Roman" w:eastAsia="Times New Roman" w:hAnsi="Times New Roman"/>
                <w:sz w:val="18"/>
                <w:szCs w:val="18"/>
                <w:color w:val="auto"/>
              </w:rPr>
              <w:t>(82,833)</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Add: D&amp;A related to acquisitions and the Refinitiv Transaction</w:t>
            </w:r>
            <w:r>
              <w:rPr>
                <w:rFonts w:ascii="Times New Roman" w:cs="Times New Roman" w:eastAsia="Times New Roman" w:hAnsi="Times New Roman"/>
                <w:sz w:val="23"/>
                <w:szCs w:val="23"/>
                <w:color w:val="auto"/>
                <w:vertAlign w:val="superscript"/>
              </w:rPr>
              <w:t>(5)</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31,761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30,240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63,530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59,843</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142,612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120,271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290,566</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250,992</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51.3 %</w:t>
            </w:r>
          </w:p>
        </w:tc>
        <w:tc>
          <w:tcPr>
            <w:tcW w:w="0" w:type="dxa"/>
            <w:vAlign w:val="bottom"/>
          </w:tcPr>
          <w:p>
            <w:pPr>
              <w:spacing w:after="0"/>
              <w:rPr>
                <w:sz w:val="1"/>
                <w:szCs w:val="1"/>
                <w:color w:val="auto"/>
              </w:rPr>
            </w:pPr>
          </w:p>
        </w:tc>
      </w:tr>
      <w:tr>
        <w:trPr>
          <w:trHeight w:val="23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 margin</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47.7 %</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40" w:right="540" w:hanging="332"/>
        <w:spacing w:after="0" w:line="271"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transaction and other costs related to the NFI Acquisition, which closed in June 2021. Acquisition-related costs primarily include legal, consulting and advisory fees and severance costs incurred that relate to the acquisition transaction.</w:t>
      </w:r>
    </w:p>
    <w:p>
      <w:pPr>
        <w:ind w:left="340" w:right="60" w:hanging="332"/>
        <w:spacing w:after="0" w:line="256"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stock-based compensation expense associated with the Special Option Award and post-IPO options awarded in 2019 and payroll taxes associated with the exercise of such options totaling $1.6 million and $2.8 million during the three months ended June 30, 2022 and 2021, respectively, and $3.8 million and $9.2 million during the six months ended June 30, 2022 and 2021, respectively. During the three and six months ended June 30, 2022, this adjustment also includes $5.7 million and $7.4 million, respectively, of non-cash accelerated stock-based compensation expense and related payroll taxes associated with our former CFO and our retiring CEO.</w:t>
      </w:r>
    </w:p>
    <w:p>
      <w:pPr>
        <w:spacing w:after="0" w:line="1" w:lineRule="exact"/>
        <w:rPr>
          <w:rFonts w:ascii="Times New Roman" w:cs="Times New Roman" w:eastAsia="Times New Roman" w:hAnsi="Times New Roman"/>
          <w:sz w:val="14"/>
          <w:szCs w:val="14"/>
          <w:color w:val="auto"/>
        </w:rPr>
      </w:pPr>
    </w:p>
    <w:p>
      <w:pPr>
        <w:ind w:left="340" w:right="60" w:hanging="332"/>
        <w:spacing w:after="0" w:line="261"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60" w:hanging="332"/>
        <w:spacing w:after="0" w:line="251"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jc w:val="both"/>
        <w:ind w:left="340" w:right="240" w:hanging="332"/>
        <w:spacing w:after="0" w:line="272"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3"/>
          </w:tcPr>
          <w:p>
            <w:pPr>
              <w:jc w:val="center"/>
              <w:ind w:left="6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center"/>
              <w:ind w:left="6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12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Constant</w:t>
            </w:r>
          </w:p>
        </w:tc>
        <w:tc>
          <w:tcPr>
            <w:tcW w:w="10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0" w:type="dxa"/>
            <w:vAlign w:val="bottom"/>
          </w:tcPr>
          <w:p>
            <w:pPr>
              <w:spacing w:after="0"/>
              <w:rPr>
                <w:sz w:val="1"/>
                <w:szCs w:val="1"/>
                <w:color w:val="auto"/>
              </w:rPr>
            </w:pPr>
          </w:p>
        </w:tc>
      </w:tr>
      <w:tr>
        <w:trPr>
          <w:trHeight w:val="146"/>
        </w:trPr>
        <w:tc>
          <w:tcPr>
            <w:tcW w:w="2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Basis Point</w:t>
            </w:r>
          </w:p>
        </w:tc>
        <w:tc>
          <w:tcPr>
            <w:tcW w:w="10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Currency Basis</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Basis Point</w:t>
            </w:r>
          </w:p>
        </w:tc>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 Basis</w:t>
            </w: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12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1"/>
                <w:szCs w:val="11"/>
                <w:color w:val="auto"/>
              </w:rPr>
            </w:pPr>
          </w:p>
        </w:tc>
        <w:tc>
          <w:tcPr>
            <w:tcW w:w="1120" w:type="dxa"/>
            <w:vAlign w:val="bottom"/>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Point Change</w:t>
            </w:r>
          </w:p>
        </w:tc>
        <w:tc>
          <w:tcPr>
            <w:tcW w:w="112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1"/>
                <w:szCs w:val="11"/>
                <w:color w:val="auto"/>
              </w:rPr>
            </w:pPr>
          </w:p>
        </w:tc>
        <w:tc>
          <w:tcPr>
            <w:tcW w:w="1120" w:type="dxa"/>
            <w:vAlign w:val="bottom"/>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Point Change</w:t>
            </w: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tcPr>
          <w:p>
            <w:pPr>
              <w:jc w:val="center"/>
              <w:ind w:right="240"/>
              <w:spacing w:after="0" w:line="54" w:lineRule="exact"/>
              <w:rPr>
                <w:sz w:val="20"/>
                <w:szCs w:val="20"/>
                <w:color w:val="auto"/>
              </w:rPr>
            </w:pPr>
            <w:r>
              <w:rPr>
                <w:rFonts w:ascii="Times New Roman" w:cs="Times New Roman" w:eastAsia="Times New Roman" w:hAnsi="Times New Roman"/>
                <w:sz w:val="6"/>
                <w:szCs w:val="6"/>
                <w:b w:val="1"/>
                <w:bCs w:val="1"/>
                <w:color w:val="auto"/>
              </w:rPr>
              <w:t>Change</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10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tcPr>
          <w:p>
            <w:pPr>
              <w:jc w:val="center"/>
              <w:ind w:right="220"/>
              <w:spacing w:after="0" w:line="54" w:lineRule="exact"/>
              <w:rPr>
                <w:sz w:val="20"/>
                <w:szCs w:val="20"/>
                <w:color w:val="auto"/>
              </w:rPr>
            </w:pPr>
            <w:r>
              <w:rPr>
                <w:rFonts w:ascii="Times New Roman" w:cs="Times New Roman" w:eastAsia="Times New Roman" w:hAnsi="Times New Roman"/>
                <w:sz w:val="6"/>
                <w:szCs w:val="6"/>
                <w:b w:val="1"/>
                <w:bCs w:val="1"/>
                <w:color w:val="auto"/>
              </w:rPr>
              <w:t>Change</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0" w:type="dxa"/>
            <w:vAlign w:val="bottom"/>
          </w:tcPr>
          <w:p>
            <w:pPr>
              <w:spacing w:after="0"/>
              <w:rPr>
                <w:sz w:val="1"/>
                <w:szCs w:val="1"/>
                <w:color w:val="auto"/>
              </w:rPr>
            </w:pPr>
          </w:p>
        </w:tc>
      </w:tr>
      <w:tr>
        <w:trPr>
          <w:trHeight w:val="69"/>
        </w:trPr>
        <w:tc>
          <w:tcPr>
            <w:tcW w:w="2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12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2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52.4 %</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+181 bps</w:t>
            </w:r>
          </w:p>
        </w:tc>
        <w:tc>
          <w:tcPr>
            <w:tcW w:w="10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+220 bps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+68 bps</w:t>
            </w:r>
          </w:p>
        </w:tc>
        <w:tc>
          <w:tcPr>
            <w:tcW w:w="1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+75 bps</w:t>
            </w:r>
          </w:p>
        </w:tc>
        <w:tc>
          <w:tcPr>
            <w:tcW w:w="0" w:type="dxa"/>
            <w:vAlign w:val="bottom"/>
          </w:tcPr>
          <w:p>
            <w:pPr>
              <w:spacing w:after="0"/>
              <w:rPr>
                <w:sz w:val="1"/>
                <w:szCs w:val="1"/>
                <w:color w:val="auto"/>
              </w:rPr>
            </w:pPr>
          </w:p>
        </w:tc>
      </w:tr>
      <w:tr>
        <w:trPr>
          <w:trHeight w:val="23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 margin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+189 bps</w:t>
            </w: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+238 bps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47.7 %</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+76 bps</w:t>
            </w:r>
          </w:p>
        </w:tc>
        <w:tc>
          <w:tcPr>
            <w:tcW w:w="1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+91 bps</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80" w:hanging="332"/>
        <w:spacing w:after="0" w:line="265" w:lineRule="auto"/>
        <w:tabs>
          <w:tab w:leader="none" w:pos="33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changes in Adjusted EBITDA margin and Adjusted EBIT margin, both on a constant currency basis, are non-GAAP financial measures, and are defined as the changes in Adjusted EBITDA margin and Adjusted EBIT margin excluding the effects of foreign currency fluctuations. Adjusted EBITDA margin and Adjusted EBIT margin excluding the effects of foreign currency fluctuations are calculated by translating the current period and prior period’s results using the annual average exchange rates for 2021. We use the changes in Adjusted EBITDA margin and Adjusted EBIT margin on a constant currency basis as supplemental metrics to evaluate our underlying margin performance between periods by removing the impact of foreign currency fluctuations. We believe that providing changes in Adjusted EBITDA margin and Adjusted EBIT margin on a constant currency basis provide useful comparisons of our Adjusted EBITDA margin and Adjusted EBIT margin and trends between periods.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net income attributable to Tradeweb Markets Inc. and net income, as applicable, to Adjusted Net Income and Adjusted Diluted EPS for the three and six months ended June 30, 2022 and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r>
      <w:tr>
        <w:trPr>
          <w:trHeight w:val="203"/>
        </w:trPr>
        <w:tc>
          <w:tcPr>
            <w:tcW w:w="5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7"/>
                <w:szCs w:val="17"/>
                <w:color w:val="auto"/>
              </w:rPr>
            </w:pPr>
          </w:p>
        </w:tc>
        <w:tc>
          <w:tcPr>
            <w:tcW w:w="164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r>
      <w:tr>
        <w:trPr>
          <w:trHeight w:val="23"/>
        </w:trPr>
        <w:tc>
          <w:tcPr>
            <w:tcW w:w="5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5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219"/>
        </w:trPr>
        <w:tc>
          <w:tcPr>
            <w:tcW w:w="5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
        </w:trPr>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68"/>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diluted share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7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68,344</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151,309</w:t>
            </w: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123,175</w:t>
            </w:r>
          </w:p>
        </w:tc>
      </w:tr>
      <w:tr>
        <w:trPr>
          <w:trHeight w:val="27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Net income attributable to non-controlling interests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13,256</w:t>
            </w: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10,917</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27,736</w:t>
            </w:r>
          </w:p>
        </w:tc>
        <w:tc>
          <w:tcPr>
            <w:tcW w:w="8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24,623</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179,045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147,798</w:t>
            </w: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33,503</w:t>
            </w:r>
          </w:p>
        </w:tc>
      </w:tr>
      <w:tr>
        <w:trPr>
          <w:trHeight w:val="27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Acquisition transaction costs </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w:t>
            </w:r>
          </w:p>
        </w:tc>
      </w:tr>
      <w:tr>
        <w:trPr>
          <w:trHeight w:val="27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D&amp;A related to acquisitions and the Refinitiv Transaction </w:t>
            </w:r>
            <w:r>
              <w:rPr>
                <w:rFonts w:ascii="Times New Roman" w:cs="Times New Roman" w:eastAsia="Times New Roman" w:hAnsi="Times New Roman"/>
                <w:sz w:val="23"/>
                <w:szCs w:val="23"/>
                <w:color w:val="auto"/>
                <w:vertAlign w:val="superscript"/>
              </w:rPr>
              <w:t>(3)</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31,761</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63,530</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59,843</w:t>
            </w:r>
          </w:p>
        </w:tc>
      </w:tr>
      <w:tr>
        <w:trPr>
          <w:trHeight w:val="27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(4)</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7,295</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11,164</w:t>
            </w: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w:t>
            </w:r>
          </w:p>
        </w:tc>
      </w:tr>
      <w:tr>
        <w:trPr>
          <w:trHeight w:val="229"/>
        </w:trPr>
        <w:tc>
          <w:tcPr>
            <w:tcW w:w="5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Foreign exchange (gains) / losses </w:t>
            </w:r>
            <w:r>
              <w:rPr>
                <w:rFonts w:ascii="Times New Roman" w:cs="Times New Roman" w:eastAsia="Times New Roman" w:hAnsi="Times New Roman"/>
                <w:sz w:val="23"/>
                <w:szCs w:val="23"/>
                <w:color w:val="auto"/>
                <w:vertAlign w:val="superscript"/>
              </w:rPr>
              <w:t>(5)</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w:t>
            </w:r>
          </w:p>
        </w:tc>
      </w:tr>
      <w:tr>
        <w:trPr>
          <w:trHeight w:val="27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Tax receivable agreement liability adjustment </w:t>
            </w:r>
            <w:r>
              <w:rPr>
                <w:rFonts w:ascii="Times New Roman" w:cs="Times New Roman" w:eastAsia="Times New Roman" w:hAnsi="Times New Roman"/>
                <w:sz w:val="23"/>
                <w:szCs w:val="23"/>
                <w:color w:val="auto"/>
                <w:vertAlign w:val="superscript"/>
              </w:rPr>
              <w:t>(6)</w:t>
            </w:r>
          </w:p>
        </w:tc>
        <w:tc>
          <w:tcPr>
            <w:tcW w:w="3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before income taxes</w:t>
            </w: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143,153</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119,946</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290,660</w:t>
            </w: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250,174</w:t>
            </w:r>
          </w:p>
        </w:tc>
      </w:tr>
      <w:tr>
        <w:trPr>
          <w:trHeight w:val="27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Adjusted income taxes </w:t>
            </w:r>
            <w:r>
              <w:rPr>
                <w:rFonts w:ascii="Times New Roman" w:cs="Times New Roman" w:eastAsia="Times New Roman" w:hAnsi="Times New Roman"/>
                <w:sz w:val="23"/>
                <w:szCs w:val="23"/>
                <w:color w:val="auto"/>
                <w:vertAlign w:val="superscript"/>
              </w:rPr>
              <w:t>(7)</w:t>
            </w: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(31,494)</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(63,946)</w:t>
            </w:r>
          </w:p>
        </w:tc>
        <w:tc>
          <w:tcPr>
            <w:tcW w:w="8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(55,038)</w:t>
            </w: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111,659</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93,558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226,714</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195,136</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8"/>
        </w:trPr>
        <w:tc>
          <w:tcPr>
            <w:tcW w:w="56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Diluted EPS </w:t>
            </w:r>
            <w:r>
              <w:rPr>
                <w:rFonts w:ascii="Times New Roman" w:cs="Times New Roman" w:eastAsia="Times New Roman" w:hAnsi="Times New Roman"/>
                <w:sz w:val="23"/>
                <w:szCs w:val="23"/>
                <w:color w:val="auto"/>
                <w:vertAlign w:val="superscript"/>
              </w:rPr>
              <w:t>(8)</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340" w:right="60" w:hanging="332"/>
        <w:spacing w:after="0" w:line="271"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reallocation of net income attributable to non-controlling interests from the assumed exchange of all outstanding LLC Interests held by non-controlling interests for shares of Class A or Class B common stock.</w:t>
      </w:r>
    </w:p>
    <w:p>
      <w:pPr>
        <w:ind w:left="340" w:right="540" w:hanging="332"/>
        <w:spacing w:after="0" w:line="261"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transaction and other costs related to the NFI Acquisition, which closed in June 2021. Acquisition-related costs primarily include legal, consulting and advisory fees and severance costs incurred that relate to the acquisition transaction.</w:t>
      </w:r>
    </w:p>
    <w:p>
      <w:pPr>
        <w:jc w:val="both"/>
        <w:ind w:left="340" w:right="240" w:hanging="332"/>
        <w:spacing w:after="0" w:line="254"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 w:lineRule="exact"/>
        <w:rPr>
          <w:rFonts w:ascii="Times New Roman" w:cs="Times New Roman" w:eastAsia="Times New Roman" w:hAnsi="Times New Roman"/>
          <w:sz w:val="14"/>
          <w:szCs w:val="14"/>
          <w:color w:val="auto"/>
        </w:rPr>
      </w:pPr>
    </w:p>
    <w:p>
      <w:pPr>
        <w:ind w:left="340" w:right="60" w:hanging="332"/>
        <w:spacing w:after="0" w:line="256"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stock-based compensation expense associated with the Special Option Award and post-IPO options awarded in 2019 and payroll taxes associated with the exercise of such options totaling $1.6 million and $2.8 million during the three months ended June 30, 2022 and 2021, respectively, and $3.8 million and $9.2 million during the six months ended June 30, 2022 and 2021, respectively. During the three and six months ended June 30, 2022, this adjustment also includes $5.7 million and $7.4 million, respectively, of non-cash accelerated stock-based compensation expense and related payroll taxes associated with our former CFO and our retiring CEO.</w:t>
      </w:r>
    </w:p>
    <w:p>
      <w:pPr>
        <w:spacing w:after="0" w:line="1" w:lineRule="exact"/>
        <w:rPr>
          <w:rFonts w:ascii="Times New Roman" w:cs="Times New Roman" w:eastAsia="Times New Roman" w:hAnsi="Times New Roman"/>
          <w:sz w:val="14"/>
          <w:szCs w:val="14"/>
          <w:color w:val="auto"/>
        </w:rPr>
      </w:pPr>
    </w:p>
    <w:p>
      <w:pPr>
        <w:ind w:left="340" w:right="60" w:hanging="332"/>
        <w:spacing w:after="0" w:line="261"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60" w:hanging="332"/>
        <w:spacing w:after="0" w:line="251"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ind w:left="340" w:right="120" w:hanging="332"/>
        <w:spacing w:after="0" w:line="261"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corporate income taxes at an assumed effective tax rate of 22.0% applied to Adjusted Net Income before income taxes for each of the three and six months ended June 30, 2022 and 2021.</w:t>
      </w:r>
    </w:p>
    <w:p>
      <w:pPr>
        <w:ind w:left="340" w:right="40" w:hanging="332"/>
        <w:spacing w:after="0" w:line="283"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summary of the calculation of Adjusted Diluted EPS, see “Reconciliation of Diluted Weighted Average Shares Outstanding to Adjusted Diluted Weighted Average Shares Outstanding and Adjusted Diluted EPS” below.</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calculation of Adjusted Diluted EPS for the three and six months ended June 30, 2022 and 2021: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560" w:type="dxa"/>
            <w:vAlign w:val="bottom"/>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16"/>
        </w:trPr>
        <w:tc>
          <w:tcPr>
            <w:tcW w:w="5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Diluted Weighted Average Shares Outstanding to Adjusted Diluted</w:t>
            </w:r>
          </w:p>
        </w:tc>
        <w:tc>
          <w:tcPr>
            <w:tcW w:w="240" w:type="dxa"/>
            <w:vAlign w:val="bottom"/>
          </w:tcPr>
          <w:p>
            <w:pPr>
              <w:spacing w:after="0"/>
              <w:rPr>
                <w:sz w:val="18"/>
                <w:szCs w:val="18"/>
                <w:color w:val="auto"/>
              </w:rPr>
            </w:pPr>
          </w:p>
        </w:tc>
        <w:tc>
          <w:tcPr>
            <w:tcW w:w="15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560" w:type="dxa"/>
            <w:vAlign w:val="bottom"/>
            <w:gridSpan w:val="2"/>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Shares Outstanding and Adjusted Diluted EPS</w:t>
            </w:r>
          </w:p>
        </w:tc>
        <w:tc>
          <w:tcPr>
            <w:tcW w:w="240" w:type="dxa"/>
            <w:vAlign w:val="bottom"/>
          </w:tcPr>
          <w:p>
            <w:pPr>
              <w:spacing w:after="0"/>
              <w:rPr>
                <w:sz w:val="16"/>
                <w:szCs w:val="16"/>
                <w:color w:val="auto"/>
              </w:rPr>
            </w:pPr>
          </w:p>
        </w:tc>
        <w:tc>
          <w:tcPr>
            <w:tcW w:w="11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75"/>
        </w:trPr>
        <w:tc>
          <w:tcPr>
            <w:tcW w:w="546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Diluted weighted average shares of Class A and Class B common stock</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207,272,675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207,463,960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207,371,372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206,253,756</w:t>
            </w: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of other participating securities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80,778</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exchange of LLC Interests for shares of Class A or Class B</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common stock </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29,971,658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30,531,933</w:t>
            </w:r>
          </w:p>
        </w:tc>
        <w:tc>
          <w:tcPr>
            <w:tcW w:w="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30,133,370</w:t>
            </w:r>
          </w:p>
        </w:tc>
        <w:tc>
          <w:tcPr>
            <w:tcW w:w="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30,871,285</w:t>
            </w:r>
          </w:p>
        </w:tc>
        <w:tc>
          <w:tcPr>
            <w:tcW w:w="0" w:type="dxa"/>
            <w:vAlign w:val="bottom"/>
          </w:tcPr>
          <w:p>
            <w:pPr>
              <w:spacing w:after="0"/>
              <w:rPr>
                <w:sz w:val="1"/>
                <w:szCs w:val="1"/>
                <w:color w:val="auto"/>
              </w:rPr>
            </w:pPr>
          </w:p>
        </w:tc>
      </w:tr>
      <w:tr>
        <w:trPr>
          <w:trHeight w:val="22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diluted weighted average shares outstanding</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237,320,759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237,995,893</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237,585,520</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237,125,041</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(in thousands)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93,558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226,714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195,136</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Adjusted Diluted EPS</w:t>
            </w: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0.39</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0.95</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0.82</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40" w:hanging="332"/>
        <w:spacing w:after="0" w:line="266" w:lineRule="auto"/>
        <w:tabs>
          <w:tab w:leader="none" w:pos="3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weighted average unvested restricted stock units and unsettled vested performance-based restricted stock units issued to certain retired executives that are entitled to non-forfeitable dividend equivalent rights and are considered participating securities prior to being issued and outstanding shares of common stock in accordance with the two-class method used for purposes of calculating earnings per share. See Note 2 – Significant Accounting Policies to our unaudited condensed consolidated financial statements included elsewhere in this Quarterly Report on Form 10-Q for discussion of the two-class method.</w:t>
      </w:r>
    </w:p>
    <w:p>
      <w:pPr>
        <w:spacing w:after="0" w:line="1" w:lineRule="exact"/>
        <w:rPr>
          <w:rFonts w:ascii="Times New Roman" w:cs="Times New Roman" w:eastAsia="Times New Roman" w:hAnsi="Times New Roman"/>
          <w:sz w:val="14"/>
          <w:szCs w:val="14"/>
          <w:color w:val="auto"/>
        </w:rPr>
      </w:pPr>
    </w:p>
    <w:p>
      <w:pPr>
        <w:ind w:left="340" w:right="480" w:hanging="332"/>
        <w:spacing w:after="0" w:line="263" w:lineRule="auto"/>
        <w:tabs>
          <w:tab w:leader="none" w:pos="3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U.S. GAAP which requires us to make estimates and assumptions about future events that affect the reported amounts of assets, liabilities, revenues and expenses, and disclosure of contingent assets and liabilities. Management evaluates its accounting policies, estimates and judgments on an on-going basis.</w:t>
      </w:r>
    </w:p>
    <w:p>
      <w:pPr>
        <w:spacing w:after="0" w:line="13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With respect to critical accounting policies and estimates, even a relatively minor variance between actual and expected experience can potentially have a materially favorable or unfavorable impact on subsequent results of operations. More information on all of our significant accounting policies can be found in Note 2 – Significant Accounting Policies to our unaudited condensed consolidated financial statements included elsewhere in this Quarterly Report on Form 10-Q.</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0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and disclosures in our condensed consolidated financial statements and accompanying notes.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 the basis for making judgments about the carrying values of assets and liabilities that may not be readily apparent from other sources. Therefore, actual results could differ materially from those estimates. Such estimates include revenue recognition, current and deferred income taxes and the tax receivable agreement liability.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enter into contracts with our clients to provide a stand-ready connection to our electronic marketplaces, which facilitates the execution of trades by our clients. The access to our electronic marketplaces, including market data and continuous pricing data refreshes and the processing of trades thereon are highly interrelated and are considered a single performance obligation satisfied over time as the client simultaneously receives and consumes the benefit from our performance. This performance obligation constitutes a series of services that are substantially the same in nature and are provided over time using the same measure of progress. For our services, we earn subscription fees for granting access to our electronic marketplaces.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earn transaction fees and/or commissions from transactions executed on our trading platforms, including commission revenue from electronic and voice brokerage transacted on a riskless principal basis. Riskless principal revenues are derived on matched principal transactions where revenues are earned on the spread between the buy and sell price of the transacted product. Fixed monthly transaction fees or commissions or monthly transaction fee or commission minimums are generally earned on a monthly basis in the period the stand-ready trading services are provided. Variable transaction fee or commission revenue is recognized and recorded on a trade-date basis when the individual trade occurs. Variable discounts or rebates on transaction fees or commissions are generally earned and applied monthly or quarterly, are resolved within the same reporting period and are recorded as a reduction to revenue in the period the relevant trades occur.</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earn fees from Refinitiv relating to the sale of market data to Refinitiv, which redistributes that data. Included in these fees are real-time market data fees which are recognized monthly on a straight-line basis as Refinitiv receives and consumes the benefit evenly, over the contact period, as the data is provided, and fees for historical data sets which are recognized when the historical data set is provided to Refinitiv.</w:t>
      </w:r>
    </w:p>
    <w:p>
      <w:pPr>
        <w:spacing w:after="0" w:line="13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are required to make significant judgments for the Refinitiv market data fees. Significant judgments used in accounting for this contract include the following determinations:</w:t>
      </w:r>
    </w:p>
    <w:p>
      <w:pPr>
        <w:spacing w:after="0" w:line="121"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real-time market data feeds and annual historical data sets are distinct performance obligations.</w:t>
      </w:r>
    </w:p>
    <w:p>
      <w:pPr>
        <w:spacing w:after="0" w:line="198"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obligations under this contract are recognized over time from the initial delivery of the data feeds or each historical data set until the end of the contract term.</w:t>
      </w:r>
    </w:p>
    <w:p>
      <w:pPr>
        <w:spacing w:after="0" w:line="121" w:lineRule="exact"/>
        <w:rPr>
          <w:rFonts w:ascii="Times New Roman" w:cs="Times New Roman" w:eastAsia="Times New Roman" w:hAnsi="Times New Roman"/>
          <w:sz w:val="18"/>
          <w:szCs w:val="18"/>
          <w:color w:val="auto"/>
        </w:rPr>
      </w:pPr>
    </w:p>
    <w:p>
      <w:pPr>
        <w:jc w:val="both"/>
        <w:ind w:left="660" w:right="68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 for the performance obligations by using a market assessment analysis. Inputs in this analysis include a consultant study which determined the overall value of our market data and pricing information for historical data sets provided by other companies.</w:t>
      </w:r>
    </w:p>
    <w:p>
      <w:pPr>
        <w:spacing w:after="0" w:line="13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each of the three and six months ended June 30, 2022 and 2021, there were no material changes in the assumptions used to determine the Refinitiv market data fees.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Tradeweb Markets Inc.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to us. TWM LLC records taxes for conducting business in certain state, local and foreign jurisdictions and records U.S. federal taxes for subsidiaries that are taxed as corporations for U.S. tax purposes.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The measurement of deferred taxes often involves the exercise of significant judgment related to the realization of tax basis. Our deferred tax assets and liabilities reflect our assessment that tax positions taken in filed tax returns and the resulting tax basis are more likely than not to be sustained if they are audited by taxing authorities. Assessing tax rates that we expect to apply and determining the years when the temporary differences are expected to affect taxable income requires judgment about the future apportionment of our income among the jurisdictions in which we operate. Any changes in our practices or judgments involved in the measurement of deferred tax assets and liabilities could materially impact our financial condition or results of operations.</w:t>
      </w:r>
    </w:p>
    <w:p>
      <w:pPr>
        <w:spacing w:after="0" w:line="14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connection with recording deferred tax assets and liabilities, we record valuation allowances when we believe that it is more likely than not that the Company will not be able to realize its deferred tax assets in the future. We evaluate our deferred tax assets quarterly to determine whether adjustments to our valuation allowance are appropriate in light of changes in facts or circumstances, such as changes in tax law, interactions with taxing authorities and developments in case law. In making this evaluation, we rely on our recent history of pre-tax earnings, our forecasts of future earnings and the nature and timing of future deductions and benefits represented by the deferred tax assets, all of which involve the exercise of significant judgment. As of both June 30, 2022 and December 31, 2021, the valuation allowance was $0.7 million. If forecasts of future earnings and the nature and estimated timing of future deductions and benefits change in the future, we may determine that existing valuation allowances must be revised or new valuation allowances created, any of which could materially impact our financial condition or results of operations. See Note 5 – Income Taxes to our unaudited condensed consolidated financial statements included elsewhere in this Quarterly Report on Form 10-Q.</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recognize interest and penalties related to unrecognized tax benefits within the provision for income taxes in our condensed consolidated statements of income. Accrued interest and penalties are included within accounts payable, accrued expenses and other liabilities in our condensed consolidated statements of financial condition. A U.S. shareholder of a controlled foreign corporation (“CFC”) is required to include in income, as a deemed dividend, the global intangible low-taxed income (“GILTI”) of the CFC. We have elected to treat taxes due on future U.S. inclusions in taxable income of GILTI as a current period expense when incurred.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Tradeweb Markets Inc. entered into a Tax Receivable Agreement with TWM LLC and the Continuing LLC Owners which provides for the payment by Tradeweb Markets Inc. to a Continuing LLC Owner of 50% of the amount of U.S. federal, state and local income or franchise tax savings, if any, that Tradeweb Markets Inc. actually realizes (or in some circumstances is deemed to realize) as a result of (i) increases in the tax basis of TWM LLC’s assets resulting from (a) the purchase of LLC Interests from such Continuing LLC Owner, including with the net proceeds from the IPO, the October 2019 and April 2020 follow-on offerings and any future offering or (b) redemptions or exchanges by such Continuing LLC Owner of LLC Interests for shares of Class A common stock or Class B common stock or for cash, as applicable, and (ii) certain other tax benefits related to Tradeweb Markets Inc. making payments under the Tax Receivable Agreement. Substantially all payments due under the Tax Receivable Agreement are payable over the fifteen years following the purchase of LLC Interests from Continuing LLC Owners or redemption or exchanges by Continuing LLC Owners of LLC Interests. The timing of the payments over the fifteen year period is dependent upon our annual taxable income over the same period. In determining the estimated timing of payments, the current year’s taxable income is used to extrapolate an estimate of future taxable income. This requires significant judgment relating to projecting future earnings, the geographic mix of those earnings and the timing of deferred taxes becoming current.</w:t>
      </w:r>
    </w:p>
    <w:p>
      <w:pPr>
        <w:spacing w:after="0" w:line="15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impact of any changes in the total projected obligations recorded under the Tax Receivable Agreement as a result of actual changes in the geographic mix of our earnings, changes in tax legislation and tax rates or other factors that may impact our actual tax savings realized will be reflected in income before taxes in the period in which the change occurs.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See Note 2 – Significant Accounting Policies to the condensed consolidated financial statements included elsewhere in this Quarterly Report on Form 10-Q for a discussion of recent accounting pronouncements.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and Derivative Risk</w:t>
      </w:r>
    </w:p>
    <w:p>
      <w:pPr>
        <w:spacing w:after="0" w:line="1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have global operations and substantial portions of our revenues, expenses, assets and liabilities are generated and denominated in non-U.S. dollar currencies.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percentage breakdown of our revenue and operating expenses denominated in currencies other than the U.S. dollar for the three and six months ended June 30, 2022 and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0" w:hanging="194"/>
        <w:spacing w:after="0"/>
        <w:tabs>
          <w:tab w:leader="none" w:pos="2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revenue denominated in foreign currencies </w:t>
      </w:r>
      <w:r>
        <w:rPr>
          <w:rFonts w:ascii="Times New Roman" w:cs="Times New Roman" w:eastAsia="Times New Roman" w:hAnsi="Times New Roman"/>
          <w:sz w:val="9"/>
          <w:szCs w:val="9"/>
          <w:color w:val="auto"/>
        </w:rPr>
        <w:t>(1)</w:t>
      </w:r>
    </w:p>
    <w:p>
      <w:pPr>
        <w:spacing w:after="0" w:line="63" w:lineRule="exact"/>
        <w:rPr>
          <w:rFonts w:ascii="Times New Roman" w:cs="Times New Roman" w:eastAsia="Times New Roman" w:hAnsi="Times New Roman"/>
          <w:sz w:val="18"/>
          <w:szCs w:val="18"/>
          <w:color w:val="auto"/>
        </w:rPr>
      </w:pPr>
    </w:p>
    <w:p>
      <w:pPr>
        <w:ind w:left="220" w:hanging="194"/>
        <w:spacing w:after="0"/>
        <w:tabs>
          <w:tab w:leader="none" w:pos="2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operating expenses denominated in foreign currencies </w:t>
      </w:r>
      <w:r>
        <w:rPr>
          <w:rFonts w:ascii="Times New Roman" w:cs="Times New Roman" w:eastAsia="Times New Roman" w:hAnsi="Times New Roman"/>
          <w:sz w:val="9"/>
          <w:szCs w:val="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3" w:lineRule="exact"/>
        <w:rPr>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in foreign currencies is primarily denominated in euros.</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expenses in foreign currencies are primarily denominated in British pounds sterling.</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360" w:type="dxa"/>
            <w:vAlign w:val="bottom"/>
            <w:gridSpan w:val="4"/>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1880" w:type="dxa"/>
            <w:vAlign w:val="bottom"/>
            <w:gridSpan w:val="3"/>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7"/>
                <w:szCs w:val="17"/>
                <w:color w:val="auto"/>
              </w:rPr>
            </w:pPr>
          </w:p>
        </w:tc>
        <w:tc>
          <w:tcPr>
            <w:tcW w:w="1780" w:type="dxa"/>
            <w:vAlign w:val="bottom"/>
            <w:gridSpan w:val="3"/>
          </w:tcPr>
          <w:p>
            <w:pPr>
              <w:jc w:val="center"/>
              <w:ind w:right="9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23"/>
        </w:trPr>
        <w:tc>
          <w:tcPr>
            <w:tcW w:w="48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40" w:type="dxa"/>
            <w:vAlign w:val="bottom"/>
            <w:vMerge w:val="restart"/>
          </w:tcPr>
          <w:p>
            <w:pPr>
              <w:spacing w:after="0"/>
              <w:rPr>
                <w:sz w:val="2"/>
                <w:szCs w:val="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56"/>
        </w:trPr>
        <w:tc>
          <w:tcPr>
            <w:tcW w:w="480" w:type="dxa"/>
            <w:vAlign w:val="bottom"/>
          </w:tcPr>
          <w:p>
            <w:pPr>
              <w:jc w:val="center"/>
              <w:ind w:right="79"/>
              <w:spacing w:after="0"/>
              <w:rPr>
                <w:sz w:val="20"/>
                <w:szCs w:val="20"/>
                <w:color w:val="auto"/>
              </w:rPr>
            </w:pPr>
            <w:r>
              <w:rPr>
                <w:rFonts w:ascii="Times New Roman" w:cs="Times New Roman" w:eastAsia="Times New Roman" w:hAnsi="Times New Roman"/>
                <w:sz w:val="18"/>
                <w:szCs w:val="18"/>
                <w:color w:val="auto"/>
                <w:w w:val="96"/>
              </w:rPr>
              <w:t>28%</w:t>
            </w:r>
          </w:p>
        </w:tc>
        <w:tc>
          <w:tcPr>
            <w:tcW w:w="1780" w:type="dxa"/>
            <w:vAlign w:val="bottom"/>
            <w:gridSpan w:val="2"/>
          </w:tcPr>
          <w:p>
            <w:pPr>
              <w:jc w:val="center"/>
              <w:ind w:left="356"/>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2"/>
                <w:szCs w:val="22"/>
                <w:color w:val="auto"/>
              </w:rPr>
            </w:pPr>
          </w:p>
        </w:tc>
        <w:tc>
          <w:tcPr>
            <w:tcW w:w="980" w:type="dxa"/>
            <w:vAlign w:val="bottom"/>
          </w:tcPr>
          <w:p>
            <w:pPr>
              <w:jc w:val="center"/>
              <w:ind w:left="259"/>
              <w:spacing w:after="0"/>
              <w:rPr>
                <w:sz w:val="20"/>
                <w:szCs w:val="20"/>
                <w:color w:val="auto"/>
              </w:rPr>
            </w:pPr>
            <w:r>
              <w:rPr>
                <w:rFonts w:ascii="Times New Roman" w:cs="Times New Roman" w:eastAsia="Times New Roman" w:hAnsi="Times New Roman"/>
                <w:sz w:val="18"/>
                <w:szCs w:val="18"/>
                <w:color w:val="auto"/>
                <w:w w:val="96"/>
              </w:rPr>
              <w:t>29%</w:t>
            </w:r>
          </w:p>
        </w:tc>
        <w:tc>
          <w:tcPr>
            <w:tcW w:w="1780" w:type="dxa"/>
            <w:vAlign w:val="bottom"/>
            <w:gridSpan w:val="3"/>
          </w:tcPr>
          <w:p>
            <w:pPr>
              <w:jc w:val="center"/>
              <w:ind w:left="356"/>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0"/>
        </w:trPr>
        <w:tc>
          <w:tcPr>
            <w:tcW w:w="480" w:type="dxa"/>
            <w:vAlign w:val="bottom"/>
          </w:tcPr>
          <w:p>
            <w:pPr>
              <w:jc w:val="center"/>
              <w:ind w:right="79"/>
              <w:spacing w:after="0"/>
              <w:rPr>
                <w:sz w:val="20"/>
                <w:szCs w:val="20"/>
                <w:color w:val="auto"/>
              </w:rPr>
            </w:pPr>
            <w:r>
              <w:rPr>
                <w:rFonts w:ascii="Times New Roman" w:cs="Times New Roman" w:eastAsia="Times New Roman" w:hAnsi="Times New Roman"/>
                <w:sz w:val="18"/>
                <w:szCs w:val="18"/>
                <w:color w:val="auto"/>
                <w:w w:val="96"/>
              </w:rPr>
              <w:t>14%</w:t>
            </w:r>
          </w:p>
        </w:tc>
        <w:tc>
          <w:tcPr>
            <w:tcW w:w="1780" w:type="dxa"/>
            <w:vAlign w:val="bottom"/>
            <w:gridSpan w:val="2"/>
          </w:tcPr>
          <w:p>
            <w:pPr>
              <w:jc w:val="center"/>
              <w:ind w:left="356"/>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3"/>
                <w:szCs w:val="23"/>
                <w:color w:val="auto"/>
              </w:rPr>
            </w:pPr>
          </w:p>
        </w:tc>
        <w:tc>
          <w:tcPr>
            <w:tcW w:w="980" w:type="dxa"/>
            <w:vAlign w:val="bottom"/>
          </w:tcPr>
          <w:p>
            <w:pPr>
              <w:jc w:val="center"/>
              <w:ind w:left="259"/>
              <w:spacing w:after="0"/>
              <w:rPr>
                <w:sz w:val="20"/>
                <w:szCs w:val="20"/>
                <w:color w:val="auto"/>
              </w:rPr>
            </w:pPr>
            <w:r>
              <w:rPr>
                <w:rFonts w:ascii="Times New Roman" w:cs="Times New Roman" w:eastAsia="Times New Roman" w:hAnsi="Times New Roman"/>
                <w:sz w:val="18"/>
                <w:szCs w:val="18"/>
                <w:color w:val="auto"/>
                <w:w w:val="96"/>
              </w:rPr>
              <w:t>14%</w:t>
            </w:r>
          </w:p>
        </w:tc>
        <w:tc>
          <w:tcPr>
            <w:tcW w:w="1780" w:type="dxa"/>
            <w:vAlign w:val="bottom"/>
            <w:gridSpan w:val="3"/>
          </w:tcPr>
          <w:p>
            <w:pPr>
              <w:jc w:val="center"/>
              <w:ind w:left="356"/>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-479425</wp:posOffset>
            </wp:positionV>
            <wp:extent cx="17576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607" w:lineRule="exact"/>
        <w:rPr>
          <w:sz w:val="20"/>
          <w:szCs w:val="20"/>
          <w:color w:val="auto"/>
        </w:rPr>
      </w:pPr>
    </w:p>
    <w:p>
      <w:pPr>
        <w:sectPr>
          <w:pgSz w:w="11900" w:h="16838" w:orient="portrait"/>
          <w:cols w:equalWidth="0" w:num="2">
            <w:col w:w="5780" w:space="340"/>
            <w:col w:w="5120"/>
          </w:cols>
          <w:pgMar w:left="320" w:top="121" w:right="339" w:bottom="1440" w:gutter="0" w:footer="0" w:header="0"/>
          <w:type w:val="continuous"/>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condensed consolidated statements of income within general and administrative expenses. Since our condensed consolidated financial statements are presented in U.S. dollars, we also translate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 Accordingly, increases or decreases in the value of the U.S. dollar against the other currencies will affect our operating revenues, operating income and the value of balance sheet items.</w:t>
      </w:r>
    </w:p>
    <w:p>
      <w:pPr>
        <w:spacing w:after="0" w:line="16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Aside from U.S. dollars, a significant portion of our revenues are denominated in euros and a significant portion of our expenses are denominated in British pound sterling. The following table shows the average foreign currency exchange rates to the U.S. dollar for the three and six months ended June 30, 2022 and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30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r>
      <w:tr>
        <w:trPr>
          <w:trHeight w:val="203"/>
        </w:trPr>
        <w:tc>
          <w:tcPr>
            <w:tcW w:w="5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20" w:type="dxa"/>
            <w:vAlign w:val="bottom"/>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r>
      <w:tr>
        <w:trPr>
          <w:trHeight w:val="23"/>
        </w:trPr>
        <w:tc>
          <w:tcPr>
            <w:tcW w:w="56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56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5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Euros</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7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pound sterling</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3"/>
                <w:szCs w:val="23"/>
                <w:color w:val="auto"/>
              </w:rPr>
            </w:pP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3"/>
                <w:szCs w:val="23"/>
                <w:color w:val="auto"/>
              </w:rPr>
            </w:pPr>
          </w:p>
        </w:tc>
        <w:tc>
          <w:tcPr>
            <w:tcW w:w="80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3"/>
                <w:szCs w:val="23"/>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bl>
    <w:p>
      <w:pPr>
        <w:spacing w:after="0" w:line="252"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shows the change in revenue and operating income caused by fluctuations in foreign currency rates used in translation during the three and six months ended June 30, 2022 and 2021: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40" w:type="dxa"/>
            <w:vAlign w:val="bottom"/>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Impact of Foreign Currency Rate Fluctuations (amounts in thousands)</w:t>
            </w:r>
          </w:p>
        </w:tc>
        <w:tc>
          <w:tcPr>
            <w:tcW w:w="10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70"/>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0" w:type="dxa"/>
            <w:vAlign w:val="bottom"/>
          </w:tcPr>
          <w:p>
            <w:pPr>
              <w:spacing w:after="0"/>
              <w:rPr>
                <w:sz w:val="1"/>
                <w:szCs w:val="1"/>
                <w:color w:val="auto"/>
              </w:rPr>
            </w:pPr>
          </w:p>
        </w:tc>
      </w:tr>
      <w:tr>
        <w:trPr>
          <w:trHeight w:val="234"/>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(decrease) in operating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80" w:type="dxa"/>
            <w:vAlign w:val="bottom"/>
          </w:tcPr>
          <w:p>
            <w:pPr>
              <w:spacing w:after="0"/>
              <w:rPr>
                <w:sz w:val="20"/>
                <w:szCs w:val="20"/>
                <w:color w:val="auto"/>
              </w:rPr>
            </w:pPr>
          </w:p>
        </w:tc>
        <w:tc>
          <w:tcPr>
            <w:tcW w:w="84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to the above, realized and unrealized losses from foreign currency re-measurement of transactions in nonfunctional currencies recognized in the condensed consolidated statements of income within general and administrative expense totaled $1.4 million and $0.1 million during the three months ended June 30, 2022 and 2021, respectively, and realized and unrealized losses totaled $1.7 million and $1.9 million during the six months ended June 30, 2022 and 2021, respectively.</w:t>
      </w:r>
    </w:p>
    <w:p>
      <w:pPr>
        <w:spacing w:after="0" w:line="15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following table shows the impact a hypothetical 10% increase or decrease in the U.S. dollar against all other currencies and a hypothetical 10% increase in only euro or only British pound sterling exchange rates would have on the translation of actual revenue and operating income for the three and six months ended June 30, 2022 and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Hypothetical 10% Change in Value of U.S. Dollar (amounts in thousands)</w:t>
            </w:r>
          </w:p>
        </w:tc>
        <w:tc>
          <w:tcPr>
            <w:tcW w:w="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40" w:type="dxa"/>
            <w:vAlign w:val="bottom"/>
            <w:tcBorders>
              <w:bottom w:val="single" w:sz="8" w:color="CCEEFF"/>
            </w:tcBorders>
            <w:vMerge w:val="continue"/>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All Currencies</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0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8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19,600</w:t>
            </w:r>
          </w:p>
        </w:tc>
        <w:tc>
          <w:tcPr>
            <w:tcW w:w="8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11,700</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Euros</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16,300</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w:t>
            </w: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15,900</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British pound sterling</w:t>
            </w:r>
          </w:p>
        </w:tc>
        <w:tc>
          <w:tcPr>
            <w:tcW w:w="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0" w:type="dxa"/>
            <w:vAlign w:val="bottom"/>
          </w:tcPr>
          <w:p>
            <w:pPr>
              <w:spacing w:after="0"/>
              <w:rPr>
                <w:sz w:val="1"/>
                <w:szCs w:val="1"/>
                <w:color w:val="auto"/>
              </w:rPr>
            </w:pPr>
          </w:p>
        </w:tc>
      </w:tr>
      <w:tr>
        <w:trPr>
          <w:trHeight w:val="904"/>
        </w:trPr>
        <w:tc>
          <w:tcPr>
            <w:tcW w:w="50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derivative risk relating to our foreign currency forward contracts. We enter into foreign currency forward contracts to mitigate our U.S. dollar and British pound sterling versus euro exposure, generally with a duration of not more than twelve months. We do not use derivative instruments for trading or speculative purposes. As of June 30, 2022 and December 31, 2021, the notional amount of our foreign currency forward contracts was $161.9 million and $146.2 million, respectively. Realized and unrealized gains/losses on foreign currency forward contracts totaled a $5.5 million gain and a $0.7 million loss during the three months ended June 30, 2022 and 2021, respectively, and realized and unrealized gains on foreign currency forward contracts totaled $6.2 million and $5.0 million during the six months ended June 30, 2022 and 2021, respectively.</w:t>
      </w:r>
    </w:p>
    <w:p>
      <w:pPr>
        <w:spacing w:after="0" w:line="16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8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have credit risk relating to our receivables, which are primarily receivables from financial institutions, including investment managers and brokers and dealers. As of June 30, 2022 and December 31, 2021, the allowance for credit losses with regard to these receivables totaled $0.1 million and $0.3 million, respectively.</w:t>
      </w:r>
    </w:p>
    <w:p>
      <w:pPr>
        <w:spacing w:after="0" w:line="1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 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13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89" w:lineRule="exact"/>
        <w:rPr>
          <w:sz w:val="20"/>
          <w:szCs w:val="20"/>
          <w:color w:val="auto"/>
        </w:rPr>
      </w:pPr>
    </w:p>
    <w:p>
      <w:pPr>
        <w:ind w:right="20"/>
        <w:spacing w:after="0" w:line="218" w:lineRule="exact"/>
        <w:rPr>
          <w:sz w:val="20"/>
          <w:szCs w:val="20"/>
          <w:color w:val="auto"/>
        </w:rPr>
      </w:pPr>
      <w:r>
        <w:rPr>
          <w:rFonts w:ascii="Times New Roman" w:cs="Times New Roman" w:eastAsia="Times New Roman" w:hAnsi="Times New Roman"/>
          <w:sz w:val="18"/>
          <w:szCs w:val="18"/>
          <w:color w:val="auto"/>
        </w:rPr>
        <w:t>Our management has evaluated, under the supervision of our Chief Executive Officer and Chief Financial Officer, the effectiveness of our disclosure controls and procedures,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of the Exchange Act, as of the end of the period covered by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Based on that evaluation, our Chief Executive Officer and Chief Financial Officer have concluded that our disclosure controls and procedures as of the end of the period covered by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are effective at a reasonable assurance level in ensuring that information required to be disclosed in our Exchange Act reports is (1) recorded, processed, summarized and reported in a timely manner and (2) accumulated and communicated to our management, including our Chief Executive Officer and Chief Financial Officer, as appropriate to allow timely decisions regarding required disclosure. Our management, including our Chief Executive Officer and Chief Financial Officer,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0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during the quarter ended June 30, 2022 that have materially affected, or that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color w:val="auto"/>
        </w:rPr>
        <w:t xml:space="preserve"> to the condensed consolidated financial statements included elsewhere in this Quarterly Report on Form 10-Q, there have been no material changes from the legal proceedings previously disclosed under the heading “Item 3. Legal Proceedings” in Part I of our 2021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principal risks that we believe are material to our business, results of operations and financial condition, from the risk factors previously disclosed in “Item 1A. Risk Factors” in Part I of our 2021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June 30, 2022, we repurchased the following shares of shares of Class A common stock:</w:t>
      </w:r>
    </w:p>
    <w:p>
      <w:pPr>
        <w:spacing w:after="0" w:line="232" w:lineRule="exact"/>
        <w:rPr>
          <w:sz w:val="20"/>
          <w:szCs w:val="20"/>
          <w:color w:val="auto"/>
        </w:rPr>
      </w:pPr>
    </w:p>
    <w:p>
      <w:pPr>
        <w:jc w:val="right"/>
        <w:ind w:right="60"/>
        <w:spacing w:after="0"/>
        <w:tabs>
          <w:tab w:leader="none" w:pos="1220" w:val="left"/>
        </w:tabs>
        <w:rPr>
          <w:sz w:val="20"/>
          <w:szCs w:val="20"/>
          <w:color w:val="auto"/>
        </w:rPr>
      </w:pPr>
      <w:r>
        <w:rPr>
          <w:rFonts w:ascii="Times New Roman" w:cs="Times New Roman" w:eastAsia="Times New Roman" w:hAnsi="Times New Roman"/>
          <w:sz w:val="14"/>
          <w:szCs w:val="14"/>
          <w:b w:val="1"/>
          <w:bCs w:val="1"/>
          <w:color w:val="auto"/>
        </w:rPr>
        <w:t>Total Number of</w:t>
      </w:r>
      <w:r>
        <w:rPr>
          <w:sz w:val="20"/>
          <w:szCs w:val="20"/>
          <w:color w:val="auto"/>
        </w:rPr>
        <w:tab/>
      </w:r>
      <w:r>
        <w:rPr>
          <w:rFonts w:ascii="Times New Roman" w:cs="Times New Roman" w:eastAsia="Times New Roman" w:hAnsi="Times New Roman"/>
          <w:sz w:val="14"/>
          <w:szCs w:val="14"/>
          <w:b w:val="1"/>
          <w:bCs w:val="1"/>
          <w:color w:val="auto"/>
        </w:rPr>
        <w:t>Approximate Dollar</w:t>
      </w:r>
    </w:p>
    <w:p>
      <w:pPr>
        <w:sectPr>
          <w:pgSz w:w="11900" w:h="16838" w:orient="portrait"/>
          <w:cols w:equalWidth="0" w:num="1">
            <w:col w:w="11240"/>
          </w:cols>
          <w:pgMar w:left="320" w:top="121" w:right="339" w:bottom="1440" w:gutter="0" w:footer="0" w:header="0"/>
        </w:sect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 Paid</w:t>
            </w:r>
          </w:p>
        </w:tc>
      </w:tr>
      <w:tr>
        <w:trPr>
          <w:trHeight w:val="190"/>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37"/>
        </w:trPr>
        <w:tc>
          <w:tcPr>
            <w:tcW w:w="5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Purchased as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Shares That</w:t>
            </w:r>
          </w:p>
        </w:tc>
      </w:tr>
      <w:tr>
        <w:trPr>
          <w:trHeight w:val="176"/>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May Yet Be</w:t>
            </w:r>
          </w:p>
        </w:tc>
      </w:tr>
      <w:tr>
        <w:trPr>
          <w:trHeight w:val="162"/>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Announced Plans or</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Under the</w:t>
            </w:r>
          </w:p>
        </w:tc>
      </w:tr>
      <w:tr>
        <w:trPr>
          <w:trHeight w:val="190"/>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9"/>
                <w:szCs w:val="9"/>
                <w:b w:val="1"/>
                <w:bCs w:val="1"/>
                <w:color w:val="auto"/>
              </w:rPr>
              <w:t>(1)</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Plans or Programs </w:t>
            </w:r>
            <w:r>
              <w:rPr>
                <w:rFonts w:ascii="Times New Roman" w:cs="Times New Roman" w:eastAsia="Times New Roman" w:hAnsi="Times New Roman"/>
                <w:sz w:val="9"/>
                <w:szCs w:val="9"/>
                <w:b w:val="1"/>
                <w:bCs w:val="1"/>
                <w:color w:val="auto"/>
              </w:rPr>
              <w:t>(1)</w:t>
            </w:r>
          </w:p>
        </w:tc>
      </w:tr>
      <w:tr>
        <w:trPr>
          <w:trHeight w:val="37"/>
        </w:trPr>
        <w:tc>
          <w:tcPr>
            <w:tcW w:w="1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13"/>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r>
    </w:tbl>
    <w:p>
      <w:pPr>
        <w:spacing w:after="0" w:line="23" w:lineRule="exact"/>
        <w:rPr>
          <w:sz w:val="20"/>
          <w:szCs w:val="20"/>
          <w:color w:val="auto"/>
        </w:rPr>
      </w:pPr>
    </w:p>
    <w:p>
      <w:pPr>
        <w:sectPr>
          <w:pgSz w:w="11900" w:h="16838" w:orient="portrait"/>
          <w:cols w:equalWidth="0" w:num="2">
            <w:col w:w="8360" w:space="80"/>
            <w:col w:w="28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2022 - April 30, 2022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86.99</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103,458</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18,001</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2022 – May 31, 2022</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2022 – June 30, 2022</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18,001</w:t>
            </w: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103,458</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86.99</w:t>
            </w: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103,458</w:t>
            </w: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72" w:lineRule="exact"/>
        <w:rPr>
          <w:sz w:val="20"/>
          <w:szCs w:val="20"/>
          <w:color w:val="auto"/>
        </w:rPr>
      </w:pPr>
    </w:p>
    <w:p>
      <w:pPr>
        <w:ind w:left="340" w:right="260" w:hanging="332"/>
        <w:spacing w:after="0" w:line="265" w:lineRule="auto"/>
        <w:tabs>
          <w:tab w:leader="none" w:pos="364"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4, 2021, we announced that the board of directors authorized a new share repurchase program (the “Share Repurchase Program”), primarily to offset annual dilution from stock-based compensation plans. The Share Repurchase Program authorizes the purchase of up to $150.0 million of the Company’s Class A common stock at the Company’s discretion through the end of fiscal year 2023. The Share Repurchase Program will be effected primarily through regular open-market purchases (which may include repurchase plans designed to comply with Rule 10b5-1). The Share Repurchase Program does not require the Company to acquire a specific number of shares and may be suspended, amended or discontinued at any time. Each share of Class A common stock repurchased pursuant to the Share Repurchase Program was funded with the proceeds, on a dollar-for-dollar basis, from the repurchase by Tradeweb Markets LLC of an LLC Interest from the Company in order to maintain the one-to-one ratio between outstanding shares of the Company’s common stock and LLC Interests owned by the Company.</w:t>
      </w:r>
    </w:p>
    <w:p>
      <w:pPr>
        <w:spacing w:after="0" w:line="15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table above does not reflect shares surrendered to cover the payroll tax withholding obligations upon the exercise of stock options and vesting of performance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restricted stock units and restricted stock units. During the three months ended June 30, 2022, the Company withheld 29,530 shares, of common stock from employee stock option, performance-based restricted stock and restricted stock awards.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220" w:type="dxa"/>
            <w:vAlign w:val="bottom"/>
            <w:gridSpan w:val="6"/>
          </w:tcPr>
          <w:p>
            <w:pPr>
              <w:ind w:left="27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3"/>
        </w:trPr>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331"/>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7"/>
          </w:tcPr>
          <w:p>
            <w:pPr>
              <w:spacing w:after="0" w:line="207"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or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of the Securities Exchange Act of 1934, as</w:t>
            </w:r>
          </w:p>
        </w:tc>
      </w:tr>
      <w:tr>
        <w:trPr>
          <w:trHeight w:val="155"/>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amended, as adopted pursuant to Section 302 of the Sarbanes-Oxley Act of 2002.</w:t>
            </w:r>
          </w:p>
        </w:tc>
        <w:tc>
          <w:tcPr>
            <w:tcW w:w="3060" w:type="dxa"/>
            <w:vAlign w:val="bottom"/>
            <w:tcBorders>
              <w:top w:val="single" w:sz="8" w:color="0000FF"/>
            </w:tcBorders>
            <w:gridSpan w:val="2"/>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385"/>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7"/>
          </w:tcPr>
          <w:p>
            <w:pPr>
              <w:spacing w:after="0" w:line="207" w:lineRule="exact"/>
              <w:rPr>
                <w:sz w:val="20"/>
                <w:szCs w:val="20"/>
                <w:color w:val="auto"/>
              </w:rPr>
            </w:pPr>
            <w:r>
              <w:rPr>
                <w:rFonts w:ascii="Times New Roman" w:cs="Times New Roman" w:eastAsia="Times New Roman" w:hAnsi="Times New Roman"/>
                <w:sz w:val="18"/>
                <w:szCs w:val="18"/>
                <w:color w:val="0000FF"/>
              </w:rPr>
              <w:t>Certification of Chief Financial Officer pursuant to Rule 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or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of the Securities Exchange Act of 1934, as</w:t>
            </w:r>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amended, as adopted pursuant to Section 302 of the Sarbanes-Oxley Act of 2002.</w:t>
            </w:r>
          </w:p>
        </w:tc>
        <w:tc>
          <w:tcPr>
            <w:tcW w:w="3020" w:type="dxa"/>
            <w:vAlign w:val="bottom"/>
            <w:tcBorders>
              <w:top w:val="single" w:sz="8" w:color="0000FF"/>
            </w:tcBorders>
          </w:tcPr>
          <w:p>
            <w:pPr>
              <w:spacing w:after="0"/>
              <w:rPr>
                <w:sz w:val="13"/>
                <w:szCs w:val="13"/>
                <w:color w:val="auto"/>
              </w:rPr>
            </w:pPr>
          </w:p>
        </w:tc>
        <w:tc>
          <w:tcPr>
            <w:tcW w:w="3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385"/>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w:t>
            </w:r>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3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86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385"/>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w:t>
            </w:r>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360" w:type="dxa"/>
            <w:vAlign w:val="bottom"/>
            <w:gridSpan w:val="2"/>
          </w:tcPr>
          <w:p>
            <w:pPr>
              <w:spacing w:after="0"/>
              <w:rPr>
                <w:sz w:val="13"/>
                <w:szCs w:val="13"/>
                <w:color w:val="auto"/>
              </w:rPr>
            </w:pPr>
          </w:p>
        </w:tc>
      </w:tr>
      <w:tr>
        <w:trPr>
          <w:trHeight w:val="20"/>
        </w:trPr>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220" w:type="dxa"/>
            <w:vAlign w:val="bottom"/>
            <w:gridSpan w:val="6"/>
          </w:tcPr>
          <w:p>
            <w:pPr>
              <w:spacing w:after="0" w:line="20" w:lineRule="exact"/>
              <w:rPr>
                <w:sz w:val="1"/>
                <w:szCs w:val="1"/>
                <w:color w:val="auto"/>
              </w:rPr>
            </w:pPr>
          </w:p>
        </w:tc>
      </w:tr>
      <w:tr>
        <w:trPr>
          <w:trHeight w:val="425"/>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92"/>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92"/>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92"/>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91"/>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92"/>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157" w:lineRule="exact"/>
        <w:rPr>
          <w:sz w:val="20"/>
          <w:szCs w:val="20"/>
          <w:color w:val="auto"/>
        </w:rPr>
      </w:pPr>
    </w:p>
    <w:p>
      <w:pPr>
        <w:ind w:left="1620" w:hanging="1594"/>
        <w:spacing w:after="0"/>
        <w:tabs>
          <w:tab w:leader="none" w:pos="16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formatted as Inline XBRL and contained in Exhibit 101.</w:t>
      </w:r>
    </w:p>
    <w:p>
      <w:pPr>
        <w:spacing w:after="0" w:line="27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TRADEWEB MARKETS INC.</w:t>
      </w: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5480" w:val="left"/>
        </w:tabs>
        <w:rPr>
          <w:sz w:val="20"/>
          <w:szCs w:val="20"/>
          <w:color w:val="auto"/>
        </w:rPr>
      </w:pPr>
      <w:r>
        <w:rPr>
          <w:rFonts w:ascii="Times New Roman" w:cs="Times New Roman" w:eastAsia="Times New Roman" w:hAnsi="Times New Roman"/>
          <w:sz w:val="18"/>
          <w:szCs w:val="18"/>
          <w:color w:val="auto"/>
        </w:rPr>
        <w:t>August 3, 2022</w:t>
      </w:r>
      <w:r>
        <w:rPr>
          <w:sz w:val="20"/>
          <w:szCs w:val="20"/>
          <w:color w:val="auto"/>
        </w:rPr>
        <w:tab/>
      </w:r>
      <w:r>
        <w:rPr>
          <w:rFonts w:ascii="Times New Roman" w:cs="Times New Roman" w:eastAsia="Times New Roman" w:hAnsi="Times New Roman"/>
          <w:sz w:val="17"/>
          <w:szCs w:val="17"/>
          <w:color w:val="auto"/>
        </w:rPr>
        <w:t>/s/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43180</wp:posOffset>
            </wp:positionV>
            <wp:extent cx="36347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5500"/>
        <w:spacing w:after="0"/>
        <w:tabs>
          <w:tab w:leader="none" w:pos="5960" w:val="left"/>
        </w:tabs>
        <w:rPr>
          <w:sz w:val="20"/>
          <w:szCs w:val="20"/>
          <w:color w:val="auto"/>
        </w:rPr>
      </w:pPr>
      <w:r>
        <w:rPr>
          <w:rFonts w:ascii="Times New Roman" w:cs="Times New Roman" w:eastAsia="Times New Roman" w:hAnsi="Times New Roman"/>
          <w:sz w:val="18"/>
          <w:szCs w:val="18"/>
          <w:color w:val="auto"/>
        </w:rPr>
        <w:t>By:</w:t>
        <w:tab/>
        <w:t>Lee Olesky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0" w:lineRule="exact"/>
        <w:rPr>
          <w:sz w:val="20"/>
          <w:szCs w:val="20"/>
          <w:color w:val="auto"/>
        </w:rPr>
      </w:pPr>
    </w:p>
    <w:p>
      <w:pPr>
        <w:spacing w:after="0" w:line="331" w:lineRule="exact"/>
        <w:rPr>
          <w:sz w:val="20"/>
          <w:szCs w:val="20"/>
          <w:color w:val="auto"/>
        </w:rPr>
      </w:pPr>
    </w:p>
    <w:p>
      <w:pPr>
        <w:ind w:left="20"/>
        <w:spacing w:after="0"/>
        <w:tabs>
          <w:tab w:leader="none" w:pos="5480" w:val="left"/>
        </w:tabs>
        <w:rPr>
          <w:sz w:val="20"/>
          <w:szCs w:val="20"/>
          <w:color w:val="auto"/>
        </w:rPr>
      </w:pPr>
      <w:r>
        <w:rPr>
          <w:rFonts w:ascii="Times New Roman" w:cs="Times New Roman" w:eastAsia="Times New Roman" w:hAnsi="Times New Roman"/>
          <w:sz w:val="18"/>
          <w:szCs w:val="18"/>
          <w:color w:val="auto"/>
        </w:rPr>
        <w:t>August 3, 2022</w:t>
      </w:r>
      <w:r>
        <w:rPr>
          <w:sz w:val="20"/>
          <w:szCs w:val="20"/>
          <w:color w:val="auto"/>
        </w:rPr>
        <w:tab/>
      </w:r>
      <w:r>
        <w:rPr>
          <w:rFonts w:ascii="Times New Roman" w:cs="Times New Roman" w:eastAsia="Times New Roman" w:hAnsi="Times New Roman"/>
          <w:sz w:val="17"/>
          <w:szCs w:val="17"/>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43180</wp:posOffset>
            </wp:positionV>
            <wp:extent cx="36347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5500"/>
        <w:spacing w:after="0"/>
        <w:tabs>
          <w:tab w:leader="none" w:pos="5960" w:val="left"/>
        </w:tabs>
        <w:rPr>
          <w:sz w:val="20"/>
          <w:szCs w:val="20"/>
          <w:color w:val="auto"/>
        </w:rPr>
      </w:pPr>
      <w:r>
        <w:rPr>
          <w:rFonts w:ascii="Times New Roman" w:cs="Times New Roman" w:eastAsia="Times New Roman" w:hAnsi="Times New Roman"/>
          <w:sz w:val="18"/>
          <w:szCs w:val="18"/>
          <w:color w:val="auto"/>
        </w:rPr>
        <w:t>By:</w:t>
        <w:tab/>
        <w:t>Sara Furber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600"/>
          </w:cols>
          <w:pgMar w:left="320" w:top="121" w:right="97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Lee Olesky, certify that:</w:t>
      </w:r>
    </w:p>
    <w:p>
      <w:pPr>
        <w:spacing w:after="0" w:line="225"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June 30, 2022 of Tradeweb Markets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August 3, 2022</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Lee Olesky</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Lee Olesky</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03"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Sara Furber, certify that:</w:t>
      </w:r>
    </w:p>
    <w:p>
      <w:pPr>
        <w:spacing w:after="0" w:line="225"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June 30, 2022 of Tradeweb Markets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August 3, 2022</w:t>
      </w:r>
      <w:r>
        <w:rPr>
          <w:sz w:val="20"/>
          <w:szCs w:val="20"/>
          <w:color w:val="auto"/>
        </w:rPr>
        <w:tab/>
      </w:r>
      <w:r>
        <w:rPr>
          <w:rFonts w:ascii="Times New Roman" w:cs="Times New Roman" w:eastAsia="Times New Roman" w:hAnsi="Times New Roman"/>
          <w:sz w:val="17"/>
          <w:szCs w:val="17"/>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Sara Furber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03"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Tradeweb Markets Inc. (the “Company”) for the fiscal quarter ended June 30, 2022, as filed with the Securities and Exchange Commission on the date hereof (the “Report”), Lee Olesky, Chief Executive Officer of the Company, hereby certifies, pursuant to 18 U.S.C. Section 1350, as adopted pursuant to Section 906 of the Sarbanes-Oxley Act of 2002, that, to his knowledge:</w:t>
      </w:r>
    </w:p>
    <w:p>
      <w:pPr>
        <w:spacing w:after="0" w:line="176" w:lineRule="exact"/>
        <w:rPr>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August 3, 2022</w:t>
      </w:r>
      <w:r>
        <w:rPr>
          <w:sz w:val="20"/>
          <w:szCs w:val="20"/>
          <w:color w:val="auto"/>
        </w:rPr>
        <w:tab/>
      </w:r>
      <w:r>
        <w:rPr>
          <w:rFonts w:ascii="Times New Roman" w:cs="Times New Roman" w:eastAsia="Times New Roman" w:hAnsi="Times New Roman"/>
          <w:sz w:val="17"/>
          <w:szCs w:val="17"/>
          <w:color w:val="auto"/>
        </w:rPr>
        <w:t>/s/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Lee Olesky</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03"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Tradeweb Markets Inc. (the “Company”) for the fiscal quarter ended June 30, 2022, as filed with the Securities and Exchange Commission on the date hereof (the “Report”), Sara Furber, Chief Financial Officer of the Company, hereby certifies, pursuant to 18 U.S.C. Section 1350, as adopted pursuant to Section 906 of the Sarbanes-Oxley Act of 2002, that, to her knowledge:</w:t>
      </w:r>
    </w:p>
    <w:p>
      <w:pPr>
        <w:spacing w:after="0" w:line="176" w:lineRule="exact"/>
        <w:rPr>
          <w:sz w:val="20"/>
          <w:szCs w:val="20"/>
          <w:color w:val="auto"/>
        </w:rPr>
      </w:pPr>
    </w:p>
    <w:p>
      <w:pPr>
        <w:ind w:left="640" w:hanging="30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August 3, 2022</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Sara Furber</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Sara Furber</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1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
      <w:numFmt w:val="bullet"/>
      <w:start w:val="1"/>
    </w:lvl>
    <w:lvl w:ilvl="1">
      <w:lvlJc w:val="left"/>
      <w:lvlText w:val="%2"/>
      <w:numFmt w:val="decimal"/>
      <w:start w:val="104"/>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2022-08-03T06:17:03Z</dcterms:created>
  <dcterms:modified xsi:type="dcterms:W3CDTF">2022-08-03T06:17:03Z</dcterms:modified>
</cp:coreProperties>
</file>