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0966676.xml.htm"/>
      <w:bookmarkStart w:id="1" w:name="kswkform4_17109666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Friedman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 and Secretary</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03/20/2024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847"/>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103.31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36,194</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November 24,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1,741 unvested RSUs in respect of Class A Common Stock which are scheduled to vest on March 15, 2025, (ii) 6,749 unvested RSUs in respect of Class A Common Stock that are scheduled to vest on January 1, 2025, (iii) 5,031 unvested RSUs in respect of Class A Common Stock which are scheduled to vest in equal installments on March 15, 2025 and March 15, 2026, (iv) 13,682 unvested RSUs in respect of Class A Common Stock which are scheduled to vest on January 1, 2026, and (v) 5,971 unvested RSUs in respect of Class A Common Stock which are scheduled to vest in equal installments on March 15, 2025, March 15, 2026 and March 15, 2027,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1193" TargetMode="External"/><Relationship Id="rId4" Type="http://schemas.openxmlformats.org/officeDocument/2006/relationships/hyperlink" Target="http://www.sec.gov/cgi-bin/browse-edgar?action=getcompany&amp;CIK=000175873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721</Words>
  <Characters>3808</Characters>
  <CharactersWithSpaces>4465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