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18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854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18"/>
        <w:spacing w:after="0"/>
        <w:rPr>
          <w:sz w:val="20"/>
          <w:szCs w:val="20"/>
          <w:color w:val="auto"/>
        </w:rPr>
      </w:pPr>
      <w:r>
        <w:rPr>
          <w:rFonts w:ascii="Arial" w:cs="Arial" w:eastAsia="Arial" w:hAnsi="Arial"/>
          <w:sz w:val="17"/>
          <w:szCs w:val="17"/>
          <w:color w:val="0000FF"/>
        </w:rPr>
        <w:t>Chief Technology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06/15/2021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1"/>
              <w:spacing w:after="0"/>
              <w:rPr>
                <w:sz w:val="20"/>
                <w:szCs w:val="20"/>
                <w:color w:val="auto"/>
              </w:rPr>
            </w:pPr>
            <w:r>
              <w:rPr>
                <w:rFonts w:ascii="Arial" w:cs="Arial" w:eastAsia="Arial" w:hAnsi="Arial"/>
                <w:sz w:val="17"/>
                <w:szCs w:val="17"/>
                <w:color w:val="0000FF"/>
              </w:rPr>
              <w:t>101,618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06/15/2021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84.6072</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2"/>
          </w:tcPr>
          <w:p>
            <w:pPr>
              <w:jc w:val="center"/>
              <w:ind w:right="261"/>
              <w:spacing w:after="0"/>
              <w:rPr>
                <w:sz w:val="20"/>
                <w:szCs w:val="20"/>
                <w:color w:val="auto"/>
              </w:rPr>
            </w:pPr>
            <w:r>
              <w:rPr>
                <w:rFonts w:ascii="Arial" w:cs="Arial" w:eastAsia="Arial" w:hAnsi="Arial"/>
                <w:sz w:val="17"/>
                <w:szCs w:val="17"/>
                <w:color w:val="0000FF"/>
              </w:rPr>
              <w:t>81,618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20,000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06/15/2021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20,000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112,124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4" w:lineRule="exact"/>
        <w:rPr>
          <w:rFonts w:ascii="Arial" w:cs="Arial" w:eastAsia="Arial" w:hAnsi="Arial"/>
          <w:sz w:val="13"/>
          <w:szCs w:val="13"/>
          <w:color w:val="008000"/>
        </w:rPr>
      </w:pPr>
    </w:p>
    <w:p>
      <w:pPr>
        <w:ind w:left="40" w:right="32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35,204 unvested restricted stock units ("RSUs") in respect of issuer's Class A common stock ("Class A Common Stock") which are scheduled to vest on January 1, 2022, (ii) 8,575 unvested RSUs in respect of Class A Common Stock which are scheduled to vest in equal installments on each of March 17, 2022, and March 17, 2023, (iii) 25,726 unvested RSUs in respect of Class A Common Stock which are scheduled to vest on January 1, 2023, and (iv) 10,113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3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$84.50 to $84.97,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06/16/2021</w:t>
            </w:r>
          </w:p>
        </w:tc>
        <w:tc>
          <w:tcPr>
            <w:tcW w:w="0" w:type="dxa"/>
            <w:vAlign w:val="bottom"/>
          </w:tcPr>
          <w:p>
            <w:pPr>
              <w:spacing w:after="0"/>
              <w:rPr>
                <w:sz w:val="1"/>
                <w:szCs w:val="1"/>
                <w:color w:val="auto"/>
              </w:rPr>
            </w:pPr>
          </w:p>
        </w:tc>
      </w:tr>
      <w:tr>
        <w:trPr>
          <w:trHeight w:val="84"/>
        </w:trPr>
        <w:tc>
          <w:tcPr>
            <w:tcW w:w="1600" w:type="dxa"/>
            <w:vAlign w:val="bottom"/>
            <w:vMerge w:val="restart"/>
          </w:tcPr>
          <w:p>
            <w:pPr>
              <w:spacing w:after="0" w:line="187" w:lineRule="exact"/>
              <w:rPr>
                <w:sz w:val="20"/>
                <w:szCs w:val="20"/>
                <w:color w:val="auto"/>
              </w:rPr>
            </w:pPr>
            <w:r>
              <w:rPr>
                <w:rFonts w:ascii="Arial" w:cs="Arial" w:eastAsia="Arial" w:hAnsi="Arial"/>
                <w:sz w:val="17"/>
                <w:szCs w:val="17"/>
                <w:color w:val="0000FF"/>
                <w:w w:val="87"/>
              </w:rPr>
              <w:t>Fact for Justin Peterson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2021-06-16T16:35:51Z</dcterms:created>
  <dcterms:modified xsi:type="dcterms:W3CDTF">2021-06-16T16:35:51Z</dcterms:modified>
</cp:coreProperties>
</file>