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38735</wp:posOffset>
            </wp:positionV>
            <wp:extent cx="5709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58420</wp:posOffset>
            </wp:positionV>
            <wp:extent cx="5709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51435</wp:posOffset>
            </wp:positionV>
            <wp:extent cx="5709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Tradeweb Markets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38735</wp:posOffset>
            </wp:positionV>
            <wp:extent cx="5709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p>
      <w:pPr>
        <w:spacing w:after="0" w:line="340"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001-38860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83-2456358</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520"/>
          </w:cols>
          <w:pgMar w:left="320" w:top="679" w:right="339" w:bottom="1440" w:gutter="0" w:footer="0" w:header="0"/>
          <w:type w:val="continuous"/>
        </w:sectPr>
      </w:pPr>
    </w:p>
    <w:p>
      <w:pPr>
        <w:spacing w:after="0" w:line="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1177 Avenue of the Americas</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67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188595</wp:posOffset>
            </wp:positionV>
            <wp:extent cx="5709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68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par value $0.00001</w:t>
            </w:r>
          </w:p>
        </w:tc>
        <w:tc>
          <w:tcPr>
            <w:tcW w:w="220" w:type="dxa"/>
            <w:vAlign w:val="bottom"/>
          </w:tcPr>
          <w:p>
            <w:pPr>
              <w:spacing w:after="0"/>
              <w:rPr>
                <w:sz w:val="19"/>
                <w:szCs w:val="19"/>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2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On May 19, 2020, Tradeweb Markets Inc. (the “Company”) held its 2020 Annual Meeting of Stockholders. At the 2020 Annual Meeting of Stockholders, stockholders voted on the matters disclosed in the Company’s definitive Proxy Statement on Schedule 14A filed with the Securities and Exchange Commission on April 9, 2020. The final voting results for the matters submitted to a vote of the stockholders were as follows:</w:t>
      </w:r>
    </w:p>
    <w:p>
      <w:pPr>
        <w:spacing w:after="0" w:line="1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Proposal 1:</w:t>
      </w:r>
      <w:r>
        <w:rPr>
          <w:sz w:val="20"/>
          <w:szCs w:val="20"/>
          <w:color w:val="auto"/>
        </w:rPr>
        <w:tab/>
      </w:r>
      <w:r>
        <w:rPr>
          <w:rFonts w:ascii="Arial" w:cs="Arial" w:eastAsia="Arial" w:hAnsi="Arial"/>
          <w:sz w:val="16"/>
          <w:szCs w:val="16"/>
          <w:b w:val="1"/>
          <w:bCs w:val="1"/>
          <w:color w:val="auto"/>
        </w:rPr>
        <w:t>Election of Directors.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Company’s stockholders elected the persons listed below as Class I directors for a three-year term expiring at the Company’s 2023 Annual Meeting of Stockholders or until their respective successors are duly elected and qualified: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ind w:left="1580"/>
              <w:spacing w:after="0"/>
              <w:rPr>
                <w:sz w:val="20"/>
                <w:szCs w:val="20"/>
                <w:color w:val="auto"/>
              </w:rPr>
            </w:pPr>
            <w:r>
              <w:rPr>
                <w:rFonts w:ascii="Arial" w:cs="Arial" w:eastAsia="Arial" w:hAnsi="Arial"/>
                <w:sz w:val="18"/>
                <w:szCs w:val="18"/>
                <w:b w:val="1"/>
                <w:bCs w:val="1"/>
                <w:color w:val="auto"/>
              </w:rPr>
              <w:t>Nominee</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Votes Withheld</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John Finley</w:t>
            </w:r>
          </w:p>
        </w:tc>
        <w:tc>
          <w:tcPr>
            <w:tcW w:w="2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8"/>
              </w:rPr>
              <w:t>1,224,916,378</w:t>
            </w:r>
          </w:p>
        </w:tc>
        <w:tc>
          <w:tcPr>
            <w:tcW w:w="120" w:type="dxa"/>
            <w:vAlign w:val="bottom"/>
            <w:tcBorders>
              <w:bottom w:val="single" w:sz="8" w:color="CFF0FC"/>
            </w:tcBorders>
            <w:shd w:val="clear" w:color="auto" w:fill="CFF0FC"/>
          </w:tcPr>
          <w:p>
            <w:pPr>
              <w:spacing w:after="0"/>
              <w:rPr>
                <w:sz w:val="21"/>
                <w:szCs w:val="21"/>
                <w:color w:val="auto"/>
              </w:rPr>
            </w:pPr>
          </w:p>
        </w:tc>
        <w:tc>
          <w:tcPr>
            <w:tcW w:w="23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0"/>
              </w:rPr>
              <w:t>38,830,418</w:t>
            </w:r>
          </w:p>
        </w:tc>
        <w:tc>
          <w:tcPr>
            <w:tcW w:w="120" w:type="dxa"/>
            <w:vAlign w:val="bottom"/>
            <w:tcBorders>
              <w:bottom w:val="single" w:sz="8" w:color="CFF0FC"/>
            </w:tcBorders>
            <w:shd w:val="clear" w:color="auto" w:fill="CFF0FC"/>
          </w:tcPr>
          <w:p>
            <w:pPr>
              <w:spacing w:after="0"/>
              <w:rPr>
                <w:sz w:val="21"/>
                <w:szCs w:val="21"/>
                <w:color w:val="auto"/>
              </w:rPr>
            </w:pPr>
          </w:p>
        </w:tc>
        <w:tc>
          <w:tcPr>
            <w:tcW w:w="23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9"/>
              </w:rPr>
              <w:t>2,805,214</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Scott Ganeles</w:t>
            </w:r>
          </w:p>
        </w:tc>
        <w:tc>
          <w:tcPr>
            <w:tcW w:w="2380" w:type="dxa"/>
            <w:vAlign w:val="bottom"/>
          </w:tcPr>
          <w:p>
            <w:pPr>
              <w:jc w:val="center"/>
              <w:spacing w:after="0"/>
              <w:rPr>
                <w:sz w:val="20"/>
                <w:szCs w:val="20"/>
                <w:color w:val="auto"/>
              </w:rPr>
            </w:pPr>
            <w:r>
              <w:rPr>
                <w:rFonts w:ascii="Arial" w:cs="Arial" w:eastAsia="Arial" w:hAnsi="Arial"/>
                <w:sz w:val="18"/>
                <w:szCs w:val="18"/>
                <w:color w:val="auto"/>
                <w:w w:val="88"/>
              </w:rPr>
              <w:t>1,229,006,974</w:t>
            </w:r>
          </w:p>
        </w:tc>
        <w:tc>
          <w:tcPr>
            <w:tcW w:w="120" w:type="dxa"/>
            <w:vAlign w:val="bottom"/>
          </w:tcPr>
          <w:p>
            <w:pPr>
              <w:spacing w:after="0"/>
              <w:rPr>
                <w:sz w:val="21"/>
                <w:szCs w:val="21"/>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34,739,822</w:t>
            </w:r>
          </w:p>
        </w:tc>
        <w:tc>
          <w:tcPr>
            <w:tcW w:w="120" w:type="dxa"/>
            <w:vAlign w:val="bottom"/>
          </w:tcPr>
          <w:p>
            <w:pPr>
              <w:spacing w:after="0"/>
              <w:rPr>
                <w:sz w:val="21"/>
                <w:szCs w:val="21"/>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2,805,214</w:t>
            </w: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43"/>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Debra Walton</w:t>
            </w:r>
          </w:p>
        </w:tc>
        <w:tc>
          <w:tcPr>
            <w:tcW w:w="2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1,227,734,185</w:t>
            </w:r>
          </w:p>
        </w:tc>
        <w:tc>
          <w:tcPr>
            <w:tcW w:w="120" w:type="dxa"/>
            <w:vAlign w:val="bottom"/>
            <w:shd w:val="clear" w:color="auto" w:fill="CFF0FC"/>
          </w:tcPr>
          <w:p>
            <w:pPr>
              <w:spacing w:after="0"/>
              <w:rPr>
                <w:sz w:val="21"/>
                <w:szCs w:val="21"/>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36,012,611</w:t>
            </w:r>
          </w:p>
        </w:tc>
        <w:tc>
          <w:tcPr>
            <w:tcW w:w="120" w:type="dxa"/>
            <w:vAlign w:val="bottom"/>
            <w:shd w:val="clear" w:color="auto" w:fill="CFF0FC"/>
          </w:tcPr>
          <w:p>
            <w:pPr>
              <w:spacing w:after="0"/>
              <w:rPr>
                <w:sz w:val="21"/>
                <w:szCs w:val="21"/>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2,805,214</w:t>
            </w:r>
          </w:p>
        </w:tc>
      </w:tr>
      <w:tr>
        <w:trPr>
          <w:trHeight w:val="27"/>
        </w:trPr>
        <w:tc>
          <w:tcPr>
            <w:tcW w:w="38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3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3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34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Proposal 2:</w:t>
      </w:r>
      <w:r>
        <w:rPr>
          <w:sz w:val="20"/>
          <w:szCs w:val="20"/>
          <w:color w:val="auto"/>
        </w:rPr>
        <w:tab/>
      </w:r>
      <w:r>
        <w:rPr>
          <w:rFonts w:ascii="Arial" w:cs="Arial" w:eastAsia="Arial" w:hAnsi="Arial"/>
          <w:sz w:val="16"/>
          <w:szCs w:val="16"/>
          <w:b w:val="1"/>
          <w:bCs w:val="1"/>
          <w:color w:val="auto"/>
        </w:rPr>
        <w:t>Ratification of Independent Registered Public Accounting Firm.</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Company’s stockholders ratified the appointment of Deloitte &amp; Touche LLP as the Company’s independent registered public accounting firm for the fiscal year ending 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Votes For</w:t>
            </w:r>
          </w:p>
        </w:tc>
        <w:tc>
          <w:tcPr>
            <w:tcW w:w="3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Against</w:t>
            </w:r>
          </w:p>
        </w:tc>
        <w:tc>
          <w:tcPr>
            <w:tcW w:w="3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Abstentions</w:t>
            </w:r>
          </w:p>
        </w:tc>
      </w:tr>
      <w:tr>
        <w:trPr>
          <w:trHeight w:val="27"/>
        </w:trPr>
        <w:tc>
          <w:tcPr>
            <w:tcW w:w="37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r>
      <w:tr>
        <w:trPr>
          <w:trHeight w:val="244"/>
        </w:trPr>
        <w:tc>
          <w:tcPr>
            <w:tcW w:w="3700" w:type="dxa"/>
            <w:vAlign w:val="bottom"/>
            <w:tcBorders>
              <w:bottom w:val="single" w:sz="8" w:color="CFF0FC"/>
            </w:tcBorders>
            <w:shd w:val="clear" w:color="auto" w:fill="CFF0FC"/>
          </w:tcPr>
          <w:p>
            <w:pPr>
              <w:jc w:val="right"/>
              <w:ind w:right="1230"/>
              <w:spacing w:after="0"/>
              <w:rPr>
                <w:sz w:val="20"/>
                <w:szCs w:val="20"/>
                <w:color w:val="auto"/>
              </w:rPr>
            </w:pPr>
            <w:r>
              <w:rPr>
                <w:rFonts w:ascii="Arial" w:cs="Arial" w:eastAsia="Arial" w:hAnsi="Arial"/>
                <w:sz w:val="18"/>
                <w:szCs w:val="18"/>
                <w:color w:val="auto"/>
              </w:rPr>
              <w:t>1,266,484,396</w:t>
            </w:r>
          </w:p>
        </w:tc>
        <w:tc>
          <w:tcPr>
            <w:tcW w:w="120" w:type="dxa"/>
            <w:vAlign w:val="bottom"/>
            <w:tcBorders>
              <w:bottom w:val="single" w:sz="8" w:color="CFF0FC"/>
            </w:tcBorders>
            <w:shd w:val="clear" w:color="auto" w:fill="CFF0FC"/>
          </w:tcPr>
          <w:p>
            <w:pPr>
              <w:spacing w:after="0"/>
              <w:rPr>
                <w:sz w:val="21"/>
                <w:szCs w:val="21"/>
                <w:color w:val="auto"/>
              </w:rPr>
            </w:pPr>
          </w:p>
        </w:tc>
        <w:tc>
          <w:tcPr>
            <w:tcW w:w="3700" w:type="dxa"/>
            <w:vAlign w:val="bottom"/>
            <w:tcBorders>
              <w:bottom w:val="single" w:sz="8" w:color="CFF0FC"/>
            </w:tcBorders>
            <w:shd w:val="clear" w:color="auto" w:fill="CFF0FC"/>
          </w:tcPr>
          <w:p>
            <w:pPr>
              <w:jc w:val="right"/>
              <w:ind w:right="1510"/>
              <w:spacing w:after="0"/>
              <w:rPr>
                <w:sz w:val="20"/>
                <w:szCs w:val="20"/>
                <w:color w:val="auto"/>
              </w:rPr>
            </w:pPr>
            <w:r>
              <w:rPr>
                <w:rFonts w:ascii="Arial" w:cs="Arial" w:eastAsia="Arial" w:hAnsi="Arial"/>
                <w:sz w:val="18"/>
                <w:szCs w:val="18"/>
                <w:color w:val="auto"/>
              </w:rPr>
              <w:t>27,898</w:t>
            </w:r>
          </w:p>
        </w:tc>
        <w:tc>
          <w:tcPr>
            <w:tcW w:w="100" w:type="dxa"/>
            <w:vAlign w:val="bottom"/>
            <w:tcBorders>
              <w:bottom w:val="single" w:sz="8" w:color="CFF0FC"/>
            </w:tcBorders>
            <w:shd w:val="clear" w:color="auto" w:fill="CFF0FC"/>
          </w:tcPr>
          <w:p>
            <w:pPr>
              <w:spacing w:after="0"/>
              <w:rPr>
                <w:sz w:val="21"/>
                <w:szCs w:val="21"/>
                <w:color w:val="auto"/>
              </w:rPr>
            </w:pPr>
          </w:p>
        </w:tc>
        <w:tc>
          <w:tcPr>
            <w:tcW w:w="3600" w:type="dxa"/>
            <w:vAlign w:val="bottom"/>
            <w:tcBorders>
              <w:bottom w:val="single" w:sz="8" w:color="CFF0FC"/>
            </w:tcBorders>
            <w:shd w:val="clear" w:color="auto" w:fill="CFF0FC"/>
          </w:tcPr>
          <w:p>
            <w:pPr>
              <w:jc w:val="right"/>
              <w:ind w:right="1470"/>
              <w:spacing w:after="0"/>
              <w:rPr>
                <w:sz w:val="20"/>
                <w:szCs w:val="20"/>
                <w:color w:val="auto"/>
              </w:rPr>
            </w:pPr>
            <w:r>
              <w:rPr>
                <w:rFonts w:ascii="Arial" w:cs="Arial" w:eastAsia="Arial" w:hAnsi="Arial"/>
                <w:sz w:val="18"/>
                <w:szCs w:val="18"/>
                <w:color w:val="auto"/>
              </w:rPr>
              <w:t>39,716</w:t>
            </w:r>
          </w:p>
        </w:tc>
        <w:tc>
          <w:tcPr>
            <w:tcW w:w="20" w:type="dxa"/>
            <w:vAlign w:val="bottom"/>
            <w:tcBorders>
              <w:bottom w:val="single" w:sz="8" w:color="CFF0FC"/>
            </w:tcBorders>
            <w:shd w:val="clear" w:color="auto" w:fill="CFF0FC"/>
          </w:tcPr>
          <w:p>
            <w:pPr>
              <w:spacing w:after="0"/>
              <w:rPr>
                <w:sz w:val="21"/>
                <w:szCs w:val="21"/>
                <w:color w:val="auto"/>
              </w:rPr>
            </w:pPr>
          </w:p>
        </w:tc>
      </w:tr>
      <w:tr>
        <w:trPr>
          <w:trHeight w:val="648"/>
        </w:trPr>
        <w:tc>
          <w:tcPr>
            <w:tcW w:w="3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17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600" w:type="dxa"/>
            <w:vAlign w:val="bottom"/>
            <w:gridSpan w:val="2"/>
          </w:tcPr>
          <w:p>
            <w:pPr>
              <w:ind w:left="2120"/>
              <w:spacing w:after="0"/>
              <w:rPr>
                <w:sz w:val="20"/>
                <w:szCs w:val="20"/>
                <w:color w:val="auto"/>
              </w:rPr>
            </w:pPr>
            <w:r>
              <w:rPr>
                <w:rFonts w:ascii="Arial" w:cs="Arial" w:eastAsia="Arial" w:hAnsi="Arial"/>
                <w:sz w:val="18"/>
                <w:szCs w:val="18"/>
                <w:color w:val="auto"/>
              </w:rPr>
              <w:t>TRADEWEB MARKETS INC.</w:t>
            </w:r>
          </w:p>
        </w:tc>
        <w:tc>
          <w:tcPr>
            <w:tcW w:w="1120" w:type="dxa"/>
            <w:vAlign w:val="bottom"/>
          </w:tcPr>
          <w:p>
            <w:pPr>
              <w:spacing w:after="0"/>
              <w:rPr>
                <w:sz w:val="20"/>
                <w:szCs w:val="20"/>
                <w:color w:val="auto"/>
              </w:rPr>
            </w:pPr>
          </w:p>
        </w:tc>
      </w:tr>
      <w:tr>
        <w:trPr>
          <w:trHeight w:val="648"/>
        </w:trPr>
        <w:tc>
          <w:tcPr>
            <w:tcW w:w="3520" w:type="dxa"/>
            <w:vAlign w:val="bottom"/>
          </w:tcPr>
          <w:p>
            <w:pPr>
              <w:spacing w:after="0"/>
              <w:rPr>
                <w:sz w:val="20"/>
                <w:szCs w:val="20"/>
                <w:color w:val="auto"/>
              </w:rPr>
            </w:pPr>
            <w:r>
              <w:rPr>
                <w:rFonts w:ascii="Arial" w:cs="Arial" w:eastAsia="Arial" w:hAnsi="Arial"/>
                <w:sz w:val="18"/>
                <w:szCs w:val="18"/>
                <w:color w:val="auto"/>
              </w:rPr>
              <w:t>Date: May 26, 2020</w:t>
            </w:r>
          </w:p>
        </w:tc>
        <w:tc>
          <w:tcPr>
            <w:tcW w:w="6600" w:type="dxa"/>
            <w:vAlign w:val="bottom"/>
            <w:gridSpan w:val="2"/>
          </w:tcPr>
          <w:p>
            <w:pPr>
              <w:ind w:left="2120"/>
              <w:spacing w:after="0"/>
              <w:rPr>
                <w:sz w:val="20"/>
                <w:szCs w:val="20"/>
                <w:color w:val="auto"/>
              </w:rPr>
            </w:pPr>
            <w:r>
              <w:rPr>
                <w:rFonts w:ascii="Arial" w:cs="Arial" w:eastAsia="Arial" w:hAnsi="Arial"/>
                <w:sz w:val="18"/>
                <w:szCs w:val="18"/>
                <w:color w:val="auto"/>
              </w:rPr>
              <w:t>By: /s/ Douglas Friedman</w:t>
            </w:r>
          </w:p>
        </w:tc>
        <w:tc>
          <w:tcPr>
            <w:tcW w:w="112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Friedman</w:t>
            </w:r>
          </w:p>
        </w:tc>
        <w:tc>
          <w:tcPr>
            <w:tcW w:w="112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Title:  General Counsel</w:t>
            </w:r>
          </w:p>
        </w:tc>
        <w:tc>
          <w:tcPr>
            <w:tcW w:w="1120" w:type="dxa"/>
            <w:vAlign w:val="bottom"/>
          </w:tcPr>
          <w:p>
            <w:pPr>
              <w:spacing w:after="0"/>
              <w:rPr>
                <w:sz w:val="20"/>
                <w:szCs w:val="20"/>
                <w:color w:val="auto"/>
              </w:rPr>
            </w:pPr>
          </w:p>
        </w:tc>
      </w:tr>
      <w:tr>
        <w:trPr>
          <w:trHeight w:val="864"/>
        </w:trPr>
        <w:tc>
          <w:tcPr>
            <w:tcW w:w="35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w:t>
            </w:r>
          </w:p>
        </w:tc>
        <w:tc>
          <w:tcPr>
            <w:tcW w:w="4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2020-05-26T05:14:28Z</dcterms:created>
  <dcterms:modified xsi:type="dcterms:W3CDTF">2020-05-26T05:14:28Z</dcterms:modified>
</cp:coreProperties>
</file>