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39"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1"/>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39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500" w:type="dxa"/>
            <w:vAlign w:val="bottom"/>
            <w:tcBorders>
              <w:bottom w:val="single" w:sz="8" w:color="auto"/>
            </w:tcBorders>
          </w:tcPr>
          <w:p>
            <w:pPr>
              <w:jc w:val="right"/>
              <w:ind w:right="1548"/>
              <w:spacing w:after="0"/>
              <w:rPr>
                <w:sz w:val="20"/>
                <w:szCs w:val="20"/>
                <w:color w:val="auto"/>
              </w:rPr>
            </w:pPr>
            <w:r>
              <w:rPr>
                <w:rFonts w:ascii="Arial" w:cs="Arial" w:eastAsia="Arial" w:hAnsi="Arial"/>
                <w:sz w:val="14"/>
                <w:szCs w:val="14"/>
                <w:color w:val="auto"/>
              </w:rPr>
              <w:t>Shares Outstanding as of July 21, 2021</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105,310,024</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1,654,825</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28,877,108</w:t>
            </w:r>
          </w:p>
        </w:tc>
      </w:tr>
      <w:tr>
        <w:trPr>
          <w:trHeight w:val="160"/>
        </w:trPr>
        <w:tc>
          <w:tcPr>
            <w:tcW w:w="5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13"/>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1940" w:type="dxa"/>
            <w:vAlign w:val="bottom"/>
            <w:tcBorders>
              <w:bottom w:val="single" w:sz="8" w:color="3051F2"/>
            </w:tcBorders>
            <w:gridSpan w:val="9"/>
          </w:tcPr>
          <w:p>
            <w:pPr>
              <w:spacing w:after="0" w:line="189" w:lineRule="exact"/>
              <w:rPr>
                <w:rFonts w:ascii="Arial" w:cs="Arial" w:eastAsia="Arial" w:hAnsi="Arial"/>
                <w:sz w:val="18"/>
                <w:szCs w:val="18"/>
                <w:color w:val="3051F2"/>
                <w:w w:val="95"/>
              </w:rPr>
            </w:pPr>
            <w:hyperlink w:anchor="page2">
              <w:r>
                <w:rPr>
                  <w:rFonts w:ascii="Arial" w:cs="Arial" w:eastAsia="Arial" w:hAnsi="Arial"/>
                  <w:sz w:val="18"/>
                  <w:szCs w:val="18"/>
                  <w:color w:val="3051F2"/>
                  <w:w w:val="95"/>
                </w:rPr>
                <w:t>INTRODUCTORY NOTE</w:t>
              </w:r>
            </w:hyperlink>
          </w:p>
        </w:tc>
        <w:tc>
          <w:tcPr>
            <w:tcW w:w="8320" w:type="dxa"/>
            <w:vAlign w:val="bottom"/>
            <w:gridSpan w:val="19"/>
          </w:tcPr>
          <w:p>
            <w:pPr>
              <w:spacing w:after="0"/>
              <w:rPr>
                <w:sz w:val="16"/>
                <w:szCs w:val="16"/>
                <w:color w:val="auto"/>
              </w:rPr>
            </w:pPr>
          </w:p>
        </w:tc>
        <w:tc>
          <w:tcPr>
            <w:tcW w:w="960" w:type="dxa"/>
            <w:vAlign w:val="bottom"/>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1"/>
        </w:trPr>
        <w:tc>
          <w:tcPr>
            <w:tcW w:w="20" w:type="dxa"/>
            <w:vAlign w:val="bottom"/>
          </w:tcPr>
          <w:p>
            <w:pPr>
              <w:spacing w:after="0"/>
              <w:rPr>
                <w:sz w:val="24"/>
                <w:szCs w:val="24"/>
                <w:color w:val="auto"/>
              </w:rPr>
            </w:pPr>
          </w:p>
        </w:tc>
        <w:tc>
          <w:tcPr>
            <w:tcW w:w="10260" w:type="dxa"/>
            <w:vAlign w:val="bottom"/>
            <w:gridSpan w:val="28"/>
          </w:tcPr>
          <w:p>
            <w:pPr>
              <w:spacing w:after="0"/>
              <w:rPr>
                <w:rFonts w:ascii="Arial" w:cs="Arial" w:eastAsia="Arial" w:hAnsi="Arial"/>
                <w:sz w:val="18"/>
                <w:szCs w:val="18"/>
                <w:color w:val="3051F2"/>
              </w:rPr>
            </w:pPr>
            <w:hyperlink w:anchor="page4">
              <w:r>
                <w:rPr>
                  <w:rFonts w:ascii="Arial" w:cs="Arial" w:eastAsia="Arial" w:hAnsi="Arial"/>
                  <w:sz w:val="18"/>
                  <w:szCs w:val="18"/>
                  <w:color w:val="3051F2"/>
                </w:rPr>
                <w:t>USE OF NON-GAAP FINANCIAL MEASURES</w:t>
              </w:r>
            </w:hyperlink>
          </w:p>
        </w:tc>
        <w:tc>
          <w:tcPr>
            <w:tcW w:w="9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60" w:type="dxa"/>
            <w:vAlign w:val="bottom"/>
            <w:gridSpan w:val="28"/>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CAUTIONARY NOTE REGARDING FORWARD-LOOKING STATEMENTS</w:t>
              </w:r>
            </w:hyperlink>
          </w:p>
        </w:tc>
        <w:tc>
          <w:tcPr>
            <w:tcW w:w="9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rFonts w:ascii="Arial" w:cs="Arial" w:eastAsia="Arial" w:hAnsi="Arial"/>
                <w:sz w:val="18"/>
                <w:szCs w:val="18"/>
                <w:color w:val="3051F2"/>
              </w:rPr>
            </w:pPr>
            <w:hyperlink w:anchor="page7">
              <w:r>
                <w:rPr>
                  <w:rFonts w:ascii="Arial" w:cs="Arial" w:eastAsia="Arial" w:hAnsi="Arial"/>
                  <w:sz w:val="18"/>
                  <w:szCs w:val="18"/>
                  <w:color w:val="3051F2"/>
                </w:rPr>
                <w:t>PART I — FINANCIAL INFORMATION</w:t>
              </w:r>
            </w:hyperlink>
          </w:p>
        </w:tc>
        <w:tc>
          <w:tcPr>
            <w:tcW w:w="448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rFonts w:ascii="Arial" w:cs="Arial" w:eastAsia="Arial" w:hAnsi="Arial"/>
                <w:sz w:val="18"/>
                <w:szCs w:val="18"/>
                <w:color w:val="3051F2"/>
                <w:w w:val="90"/>
              </w:rPr>
            </w:pPr>
            <w:hyperlink w:anchor="page8">
              <w:r>
                <w:rPr>
                  <w:rFonts w:ascii="Arial" w:cs="Arial" w:eastAsia="Arial" w:hAnsi="Arial"/>
                  <w:sz w:val="18"/>
                  <w:szCs w:val="18"/>
                  <w:color w:val="3051F2"/>
                  <w:w w:val="90"/>
                </w:rPr>
                <w:t>Item 1.</w:t>
              </w:r>
            </w:hyperlink>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1"/>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Financial Statements</w:t>
              </w:r>
            </w:hyperlink>
          </w:p>
        </w:tc>
        <w:tc>
          <w:tcPr>
            <w:tcW w:w="7200" w:type="dxa"/>
            <w:vAlign w:val="bottom"/>
            <w:gridSpan w:val="1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23"/>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 xml:space="preserve">Condensed Consolidated Statements of Financial Condition as of </w:t>
              </w:r>
            </w:hyperlink>
            <w:r>
              <w:rPr>
                <w:rFonts w:ascii="Arial" w:cs="Arial" w:eastAsia="Arial" w:hAnsi="Arial"/>
                <w:sz w:val="18"/>
                <w:szCs w:val="18"/>
                <w:color w:val="3051F2"/>
              </w:rPr>
              <w:t>June 30, 2021 and December 31, 2020</w:t>
            </w: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23"/>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 xml:space="preserve">Condensed Consolidated Statements of Income for the </w:t>
              </w:r>
            </w:hyperlink>
            <w:r>
              <w:rPr>
                <w:rFonts w:ascii="Arial" w:cs="Arial" w:eastAsia="Arial" w:hAnsi="Arial"/>
                <w:sz w:val="18"/>
                <w:szCs w:val="18"/>
                <w:color w:val="3051F2"/>
              </w:rPr>
              <w:t xml:space="preserve">three and six months ended June 30, 2021 </w:t>
            </w:r>
            <w:hyperlink w:anchor="page8">
              <w:r>
                <w:rPr>
                  <w:rFonts w:ascii="Arial" w:cs="Arial" w:eastAsia="Arial" w:hAnsi="Arial"/>
                  <w:sz w:val="18"/>
                  <w:szCs w:val="18"/>
                  <w:color w:val="3051F2"/>
                </w:rPr>
                <w:t xml:space="preserve">and </w:t>
              </w:r>
            </w:hyperlink>
            <w:r>
              <w:rPr>
                <w:rFonts w:ascii="Arial" w:cs="Arial" w:eastAsia="Arial" w:hAnsi="Arial"/>
                <w:sz w:val="18"/>
                <w:szCs w:val="18"/>
                <w:color w:val="3051F2"/>
              </w:rPr>
              <w:t>2020</w:t>
            </w: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tcBorders>
              <w:bottom w:val="single" w:sz="8" w:color="3051F2"/>
            </w:tcBorders>
            <w:gridSpan w:val="22"/>
          </w:tcPr>
          <w:p>
            <w:pPr>
              <w:spacing w:after="0"/>
              <w:rPr>
                <w:rFonts w:ascii="Arial" w:cs="Arial" w:eastAsia="Arial" w:hAnsi="Arial"/>
                <w:sz w:val="18"/>
                <w:szCs w:val="18"/>
                <w:color w:val="3051F2"/>
                <w:w w:val="88"/>
              </w:rPr>
            </w:pPr>
            <w:hyperlink w:anchor="page9">
              <w:r>
                <w:rPr>
                  <w:rFonts w:ascii="Arial" w:cs="Arial" w:eastAsia="Arial" w:hAnsi="Arial"/>
                  <w:sz w:val="18"/>
                  <w:szCs w:val="18"/>
                  <w:color w:val="3051F2"/>
                  <w:w w:val="88"/>
                </w:rPr>
                <w:t xml:space="preserve">Condensed Consolidated Statements of Comprehensive Income for the </w:t>
              </w:r>
            </w:hyperlink>
            <w:r>
              <w:rPr>
                <w:rFonts w:ascii="Arial" w:cs="Arial" w:eastAsia="Arial" w:hAnsi="Arial"/>
                <w:sz w:val="18"/>
                <w:szCs w:val="18"/>
                <w:color w:val="3051F2"/>
                <w:w w:val="88"/>
              </w:rPr>
              <w:t>three and six months ended June 30, 2021 and 2020</w:t>
            </w:r>
          </w:p>
        </w:tc>
        <w:tc>
          <w:tcPr>
            <w:tcW w:w="200" w:type="dxa"/>
            <w:vAlign w:val="bottom"/>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00" w:type="dxa"/>
            <w:vAlign w:val="bottom"/>
            <w:tcBorders>
              <w:bottom w:val="single" w:sz="8" w:color="3051F2"/>
            </w:tcBorders>
            <w:gridSpan w:val="21"/>
          </w:tcPr>
          <w:p>
            <w:pPr>
              <w:spacing w:after="0"/>
              <w:rPr>
                <w:rFonts w:ascii="Arial" w:cs="Arial" w:eastAsia="Arial" w:hAnsi="Arial"/>
                <w:sz w:val="18"/>
                <w:szCs w:val="18"/>
                <w:color w:val="3051F2"/>
                <w:w w:val="89"/>
              </w:rPr>
            </w:pPr>
            <w:hyperlink w:anchor="page10">
              <w:r>
                <w:rPr>
                  <w:rFonts w:ascii="Arial" w:cs="Arial" w:eastAsia="Arial" w:hAnsi="Arial"/>
                  <w:sz w:val="18"/>
                  <w:szCs w:val="18"/>
                  <w:color w:val="3051F2"/>
                  <w:w w:val="89"/>
                </w:rPr>
                <w:t xml:space="preserve">Condensed Consolidated Statements of Changes in Equity for the </w:t>
              </w:r>
            </w:hyperlink>
            <w:r>
              <w:rPr>
                <w:rFonts w:ascii="Arial" w:cs="Arial" w:eastAsia="Arial" w:hAnsi="Arial"/>
                <w:sz w:val="18"/>
                <w:szCs w:val="18"/>
                <w:color w:val="3051F2"/>
                <w:w w:val="89"/>
              </w:rPr>
              <w:t>three and six months ended June 30, 2021 and 2020</w:t>
            </w:r>
          </w:p>
        </w:tc>
        <w:tc>
          <w:tcPr>
            <w:tcW w:w="580" w:type="dxa"/>
            <w:vAlign w:val="bottom"/>
            <w:gridSpan w:val="2"/>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Borders>
              <w:bottom w:val="single" w:sz="8" w:color="3051F2"/>
            </w:tcBorders>
            <w:gridSpan w:val="18"/>
          </w:tcPr>
          <w:p>
            <w:pPr>
              <w:spacing w:after="0"/>
              <w:rPr>
                <w:rFonts w:ascii="Arial" w:cs="Arial" w:eastAsia="Arial" w:hAnsi="Arial"/>
                <w:sz w:val="18"/>
                <w:szCs w:val="18"/>
                <w:color w:val="3051F2"/>
                <w:w w:val="88"/>
              </w:rPr>
            </w:pPr>
            <w:hyperlink w:anchor="page12">
              <w:r>
                <w:rPr>
                  <w:rFonts w:ascii="Arial" w:cs="Arial" w:eastAsia="Arial" w:hAnsi="Arial"/>
                  <w:sz w:val="18"/>
                  <w:szCs w:val="18"/>
                  <w:color w:val="3051F2"/>
                  <w:w w:val="88"/>
                </w:rPr>
                <w:t xml:space="preserve">Condensed Consolidated Statements of Cash Flows for the </w:t>
              </w:r>
            </w:hyperlink>
            <w:r>
              <w:rPr>
                <w:rFonts w:ascii="Arial" w:cs="Arial" w:eastAsia="Arial" w:hAnsi="Arial"/>
                <w:sz w:val="18"/>
                <w:szCs w:val="18"/>
                <w:color w:val="3051F2"/>
                <w:w w:val="88"/>
              </w:rPr>
              <w:t>six months ended June 30, 2021 and 2020</w:t>
            </w:r>
          </w:p>
        </w:tc>
        <w:tc>
          <w:tcPr>
            <w:tcW w:w="1780" w:type="dxa"/>
            <w:vAlign w:val="bottom"/>
            <w:gridSpan w:val="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rFonts w:ascii="Arial" w:cs="Arial" w:eastAsia="Arial" w:hAnsi="Arial"/>
                <w:sz w:val="18"/>
                <w:szCs w:val="18"/>
                <w:color w:val="3051F2"/>
                <w:w w:val="88"/>
              </w:rPr>
            </w:pPr>
            <w:hyperlink w:anchor="page13">
              <w:r>
                <w:rPr>
                  <w:rFonts w:ascii="Arial" w:cs="Arial" w:eastAsia="Arial" w:hAnsi="Arial"/>
                  <w:sz w:val="18"/>
                  <w:szCs w:val="18"/>
                  <w:color w:val="3051F2"/>
                  <w:w w:val="88"/>
                </w:rPr>
                <w:t>Notes to Condensed Consolidated Financial Statements</w:t>
              </w:r>
            </w:hyperlink>
          </w:p>
        </w:tc>
        <w:tc>
          <w:tcPr>
            <w:tcW w:w="5080" w:type="dxa"/>
            <w:vAlign w:val="bottom"/>
            <w:gridSpan w:val="10"/>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36">
              <w:r>
                <w:rPr>
                  <w:rFonts w:ascii="Arial" w:cs="Arial" w:eastAsia="Arial" w:hAnsi="Arial"/>
                  <w:sz w:val="18"/>
                  <w:szCs w:val="18"/>
                  <w:color w:val="3051F2"/>
                  <w:w w:val="90"/>
                </w:rPr>
                <w:t>Item 2.</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4"/>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65">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5"/>
          </w:tcPr>
          <w:p>
            <w:pPr>
              <w:spacing w:after="0"/>
              <w:rPr>
                <w:rFonts w:ascii="Arial" w:cs="Arial" w:eastAsia="Arial" w:hAnsi="Arial"/>
                <w:sz w:val="18"/>
                <w:szCs w:val="18"/>
                <w:color w:val="3051F2"/>
                <w:w w:val="91"/>
              </w:rPr>
            </w:pPr>
            <w:hyperlink w:anchor="page65">
              <w:r>
                <w:rPr>
                  <w:rFonts w:ascii="Arial" w:cs="Arial" w:eastAsia="Arial" w:hAnsi="Arial"/>
                  <w:sz w:val="18"/>
                  <w:szCs w:val="18"/>
                  <w:color w:val="3051F2"/>
                  <w:w w:val="91"/>
                </w:rPr>
                <w:t>Quantitative and Qualitative Disclosures about Market Risk</w:t>
              </w:r>
            </w:hyperlink>
          </w:p>
        </w:tc>
        <w:tc>
          <w:tcPr>
            <w:tcW w:w="2140" w:type="dxa"/>
            <w:vAlign w:val="bottom"/>
            <w:tcBorders>
              <w:top w:val="single" w:sz="8" w:color="3051F2"/>
            </w:tcBorders>
            <w:gridSpan w:val="3"/>
          </w:tcPr>
          <w:p>
            <w:pPr>
              <w:spacing w:after="0"/>
              <w:rPr>
                <w:sz w:val="24"/>
                <w:szCs w:val="24"/>
                <w:color w:val="auto"/>
              </w:rPr>
            </w:pPr>
          </w:p>
        </w:tc>
        <w:tc>
          <w:tcPr>
            <w:tcW w:w="2840" w:type="dxa"/>
            <w:vAlign w:val="bottom"/>
            <w:gridSpan w:val="6"/>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6">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rFonts w:ascii="Arial" w:cs="Arial" w:eastAsia="Arial" w:hAnsi="Arial"/>
                <w:sz w:val="18"/>
                <w:szCs w:val="18"/>
                <w:color w:val="3051F2"/>
                <w:w w:val="88"/>
              </w:rPr>
            </w:pPr>
            <w:hyperlink w:anchor="page66">
              <w:r>
                <w:rPr>
                  <w:rFonts w:ascii="Arial" w:cs="Arial" w:eastAsia="Arial" w:hAnsi="Arial"/>
                  <w:sz w:val="18"/>
                  <w:szCs w:val="18"/>
                  <w:color w:val="3051F2"/>
                  <w:w w:val="88"/>
                </w:rPr>
                <w:t>Controls and Procedures</w:t>
              </w:r>
            </w:hyperlink>
          </w:p>
        </w:tc>
        <w:tc>
          <w:tcPr>
            <w:tcW w:w="7520" w:type="dxa"/>
            <w:vAlign w:val="bottom"/>
            <w:gridSpan w:val="1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rFonts w:ascii="Arial" w:cs="Arial" w:eastAsia="Arial" w:hAnsi="Arial"/>
                <w:sz w:val="18"/>
                <w:szCs w:val="18"/>
                <w:color w:val="3051F2"/>
                <w:w w:val="96"/>
              </w:rPr>
            </w:pPr>
            <w:hyperlink w:anchor="page67">
              <w:r>
                <w:rPr>
                  <w:rFonts w:ascii="Arial" w:cs="Arial" w:eastAsia="Arial" w:hAnsi="Arial"/>
                  <w:sz w:val="18"/>
                  <w:szCs w:val="18"/>
                  <w:color w:val="3051F2"/>
                  <w:w w:val="96"/>
                </w:rPr>
                <w:t>PART II — OTHER INFORMATION</w:t>
              </w:r>
            </w:hyperlink>
          </w:p>
        </w:tc>
        <w:tc>
          <w:tcPr>
            <w:tcW w:w="7500" w:type="dxa"/>
            <w:vAlign w:val="bottom"/>
            <w:gridSpan w:val="14"/>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8">
              <w:r>
                <w:rPr>
                  <w:rFonts w:ascii="Arial" w:cs="Arial" w:eastAsia="Arial" w:hAnsi="Arial"/>
                  <w:sz w:val="18"/>
                  <w:szCs w:val="18"/>
                  <w:color w:val="3051F2"/>
                  <w:w w:val="90"/>
                </w:rPr>
                <w:t>Item 1.</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rFonts w:ascii="Arial" w:cs="Arial" w:eastAsia="Arial" w:hAnsi="Arial"/>
                <w:sz w:val="18"/>
                <w:szCs w:val="18"/>
                <w:color w:val="3051F2"/>
                <w:w w:val="88"/>
              </w:rPr>
            </w:pPr>
            <w:hyperlink w:anchor="page68">
              <w:r>
                <w:rPr>
                  <w:rFonts w:ascii="Arial" w:cs="Arial" w:eastAsia="Arial" w:hAnsi="Arial"/>
                  <w:sz w:val="18"/>
                  <w:szCs w:val="18"/>
                  <w:color w:val="3051F2"/>
                  <w:w w:val="88"/>
                </w:rPr>
                <w:t>Legal Proceedings</w:t>
              </w:r>
            </w:hyperlink>
          </w:p>
        </w:tc>
        <w:tc>
          <w:tcPr>
            <w:tcW w:w="7960" w:type="dxa"/>
            <w:vAlign w:val="bottom"/>
            <w:gridSpan w:val="17"/>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72"/>
        </w:trPr>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3051F2"/>
              </w:rPr>
            </w:pPr>
            <w:hyperlink w:anchor="page68">
              <w:r>
                <w:rPr>
                  <w:rFonts w:ascii="Arial" w:cs="Arial" w:eastAsia="Arial" w:hAnsi="Arial"/>
                  <w:sz w:val="18"/>
                  <w:szCs w:val="18"/>
                  <w:color w:val="3051F2"/>
                </w:rPr>
                <w:t>Item 1A.</w:t>
              </w:r>
            </w:hyperlink>
          </w:p>
        </w:tc>
        <w:tc>
          <w:tcPr>
            <w:tcW w:w="9460" w:type="dxa"/>
            <w:vAlign w:val="bottom"/>
            <w:gridSpan w:val="25"/>
          </w:tcPr>
          <w:p>
            <w:pPr>
              <w:ind w:left="160"/>
              <w:spacing w:after="0"/>
              <w:rPr>
                <w:rFonts w:ascii="Arial" w:cs="Arial" w:eastAsia="Arial" w:hAnsi="Arial"/>
                <w:sz w:val="18"/>
                <w:szCs w:val="18"/>
                <w:color w:val="3051F2"/>
              </w:rPr>
            </w:pPr>
            <w:hyperlink w:anchor="page68">
              <w:r>
                <w:rPr>
                  <w:rFonts w:ascii="Arial" w:cs="Arial" w:eastAsia="Arial" w:hAnsi="Arial"/>
                  <w:sz w:val="18"/>
                  <w:szCs w:val="18"/>
                  <w:color w:val="3051F2"/>
                </w:rPr>
                <w:t>Risk Factors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rFonts w:ascii="Arial" w:cs="Arial" w:eastAsia="Arial" w:hAnsi="Arial"/>
                <w:sz w:val="18"/>
                <w:szCs w:val="18"/>
                <w:color w:val="3051F2"/>
              </w:rPr>
            </w:pPr>
            <w:hyperlink w:anchor="page68">
              <w:r>
                <w:rPr>
                  <w:rFonts w:ascii="Arial" w:cs="Arial" w:eastAsia="Arial" w:hAnsi="Arial"/>
                  <w:sz w:val="18"/>
                  <w:szCs w:val="18"/>
                  <w:color w:val="3051F2"/>
                </w:rPr>
                <w:t>Item 2.</w:t>
              </w:r>
            </w:hyperlink>
          </w:p>
        </w:tc>
        <w:tc>
          <w:tcPr>
            <w:tcW w:w="160" w:type="dxa"/>
            <w:vAlign w:val="bottom"/>
            <w:tcBorders>
              <w:bottom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rFonts w:ascii="Arial" w:cs="Arial" w:eastAsia="Arial" w:hAnsi="Arial"/>
                <w:sz w:val="18"/>
                <w:szCs w:val="18"/>
                <w:color w:val="3051F2"/>
                <w:w w:val="89"/>
              </w:rPr>
            </w:pPr>
            <w:hyperlink w:anchor="page68">
              <w:r>
                <w:rPr>
                  <w:rFonts w:ascii="Arial" w:cs="Arial" w:eastAsia="Arial" w:hAnsi="Arial"/>
                  <w:sz w:val="18"/>
                  <w:szCs w:val="18"/>
                  <w:color w:val="3051F2"/>
                  <w:w w:val="89"/>
                </w:rPr>
                <w:t>Unregistered Sales of Equity Securities and Use of Proceeds</w:t>
              </w:r>
            </w:hyperlink>
          </w:p>
        </w:tc>
        <w:tc>
          <w:tcPr>
            <w:tcW w:w="4940" w:type="dxa"/>
            <w:vAlign w:val="bottom"/>
            <w:gridSpan w:val="8"/>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68">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4"/>
          </w:tcPr>
          <w:p>
            <w:pPr>
              <w:spacing w:after="0"/>
              <w:rPr>
                <w:rFonts w:ascii="Arial" w:cs="Arial" w:eastAsia="Arial" w:hAnsi="Arial"/>
                <w:sz w:val="18"/>
                <w:szCs w:val="18"/>
                <w:color w:val="3051F2"/>
              </w:rPr>
            </w:pPr>
            <w:hyperlink w:anchor="page68">
              <w:r>
                <w:rPr>
                  <w:rFonts w:ascii="Arial" w:cs="Arial" w:eastAsia="Arial" w:hAnsi="Arial"/>
                  <w:sz w:val="18"/>
                  <w:szCs w:val="18"/>
                  <w:color w:val="3051F2"/>
                </w:rPr>
                <w:t>Defaults Upon Senior Securities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68">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rFonts w:ascii="Arial" w:cs="Arial" w:eastAsia="Arial" w:hAnsi="Arial"/>
                <w:sz w:val="18"/>
                <w:szCs w:val="18"/>
                <w:color w:val="3051F2"/>
                <w:w w:val="91"/>
              </w:rPr>
            </w:pPr>
            <w:hyperlink w:anchor="page68">
              <w:r>
                <w:rPr>
                  <w:rFonts w:ascii="Arial" w:cs="Arial" w:eastAsia="Arial" w:hAnsi="Arial"/>
                  <w:sz w:val="18"/>
                  <w:szCs w:val="18"/>
                  <w:color w:val="3051F2"/>
                  <w:w w:val="91"/>
                </w:rPr>
                <w:t>Mine Safety Disclosures</w:t>
              </w:r>
            </w:hyperlink>
          </w:p>
        </w:tc>
        <w:tc>
          <w:tcPr>
            <w:tcW w:w="540" w:type="dxa"/>
            <w:vAlign w:val="bottom"/>
            <w:tcBorders>
              <w:top w:val="single" w:sz="8" w:color="3051F2"/>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8">
              <w:r>
                <w:rPr>
                  <w:rFonts w:ascii="Arial" w:cs="Arial" w:eastAsia="Arial" w:hAnsi="Arial"/>
                  <w:sz w:val="18"/>
                  <w:szCs w:val="18"/>
                  <w:color w:val="3051F2"/>
                  <w:w w:val="90"/>
                </w:rPr>
                <w:t>Item 5.</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rFonts w:ascii="Arial" w:cs="Arial" w:eastAsia="Arial" w:hAnsi="Arial"/>
                <w:sz w:val="18"/>
                <w:szCs w:val="18"/>
                <w:color w:val="3051F2"/>
                <w:w w:val="92"/>
              </w:rPr>
            </w:pPr>
            <w:hyperlink w:anchor="page68">
              <w:r>
                <w:rPr>
                  <w:rFonts w:ascii="Arial" w:cs="Arial" w:eastAsia="Arial" w:hAnsi="Arial"/>
                  <w:sz w:val="18"/>
                  <w:szCs w:val="18"/>
                  <w:color w:val="3051F2"/>
                  <w:w w:val="92"/>
                </w:rPr>
                <w:t>Other Information</w:t>
              </w:r>
            </w:hyperlink>
          </w:p>
        </w:tc>
        <w:tc>
          <w:tcPr>
            <w:tcW w:w="7980" w:type="dxa"/>
            <w:vAlign w:val="bottom"/>
            <w:gridSpan w:val="18"/>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69">
              <w:r>
                <w:rPr>
                  <w:rFonts w:ascii="Arial" w:cs="Arial" w:eastAsia="Arial" w:hAnsi="Arial"/>
                  <w:sz w:val="18"/>
                  <w:szCs w:val="18"/>
                  <w:color w:val="3051F2"/>
                  <w:w w:val="90"/>
                </w:rPr>
                <w:t>Item 6.</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4"/>
          </w:tcPr>
          <w:p>
            <w:pPr>
              <w:spacing w:after="0"/>
              <w:rPr>
                <w:rFonts w:ascii="Arial" w:cs="Arial" w:eastAsia="Arial" w:hAnsi="Arial"/>
                <w:sz w:val="18"/>
                <w:szCs w:val="18"/>
                <w:color w:val="3051F2"/>
              </w:rPr>
            </w:pPr>
            <w:hyperlink w:anchor="page69">
              <w:r>
                <w:rPr>
                  <w:rFonts w:ascii="Arial" w:cs="Arial" w:eastAsia="Arial" w:hAnsi="Arial"/>
                  <w:sz w:val="18"/>
                  <w:szCs w:val="18"/>
                  <w:color w:val="3051F2"/>
                </w:rPr>
                <w:t>Exhibits</w:t>
              </w:r>
            </w:hyperlink>
          </w:p>
        </w:tc>
        <w:tc>
          <w:tcPr>
            <w:tcW w:w="9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2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4"/>
          </w:tcPr>
          <w:p>
            <w:pPr>
              <w:spacing w:after="0"/>
              <w:rPr>
                <w:rFonts w:ascii="Arial" w:cs="Arial" w:eastAsia="Arial" w:hAnsi="Arial"/>
                <w:sz w:val="18"/>
                <w:szCs w:val="18"/>
                <w:color w:val="3051F2"/>
              </w:rPr>
            </w:pPr>
            <w:hyperlink w:anchor="page69">
              <w:r>
                <w:rPr>
                  <w:rFonts w:ascii="Arial" w:cs="Arial" w:eastAsia="Arial" w:hAnsi="Arial"/>
                  <w:sz w:val="18"/>
                  <w:szCs w:val="18"/>
                  <w:color w:val="3051F2"/>
                </w:rPr>
                <w:t>Signatures</w:t>
              </w:r>
            </w:hyperlink>
          </w:p>
        </w:tc>
        <w:tc>
          <w:tcPr>
            <w:tcW w:w="9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1"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7" w:lineRule="exact"/>
        <w:rPr>
          <w:rFonts w:ascii="Arial" w:cs="Arial" w:eastAsia="Arial" w:hAnsi="Arial"/>
          <w:sz w:val="17"/>
          <w:szCs w:val="17"/>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94"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65"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in an all share transaction, which closed on January 29,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“Refinitiv”, prior to the LSEG Transaction, refer to Refinitiv Holdings Limited, and unless otherwise stated or the context otherwise requires, all of its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completion of the Reorganization Transactions, an indirect majority ownership interest in Tradeweb, and was controlled by the Investor Group prior to the LSEG Transaction.</w:t>
      </w:r>
    </w:p>
    <w:p>
      <w:pPr>
        <w:spacing w:after="0" w:line="170" w:lineRule="exact"/>
        <w:rPr>
          <w:sz w:val="20"/>
          <w:szCs w:val="20"/>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234"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investments. Further, our executive incentive compensation is based in part on components of Adjusted EBITDA and Adjusted EBITDA margin.</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84"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23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70"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6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the potential impacts of which are inherently uncertain, are forward-looking statements.</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2020 (the “2020 Form 10-K”), filed with the Securities and Exchange Commission (“SEC”) and in other filings we may make from time to time with the SEC.</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2"/>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681,225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791,280</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37,436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11,671</w:t>
            </w: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$158 and $243 at June 30, 2021 and December 31, 2020, respectively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141,903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105,286</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29,437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168,030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2,782,779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2,694,797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1,231,567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1,182,034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579,562</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83,663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82,460</w:t>
            </w:r>
          </w:p>
        </w:tc>
      </w:tr>
      <w:tr>
        <w:trPr>
          <w:trHeight w:val="20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5,864,890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5,679,850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129,288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23,193</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41,172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42,692</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equity compensation payable</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28,772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34,463</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affiliates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19,425</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425,150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404,332</w:t>
            </w:r>
          </w:p>
        </w:tc>
      </w:tr>
      <w:tr>
        <w:trPr>
          <w:trHeight w:val="17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666,562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660,687</w:t>
            </w:r>
          </w:p>
        </w:tc>
      </w:tr>
      <w:tr>
        <w:trPr>
          <w:trHeight w:val="199"/>
        </w:trPr>
        <w:tc>
          <w:tcPr>
            <w:tcW w:w="8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1"/>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3"/>
              </w:rPr>
              <w:t>Class A common stock, $0.00001 par value; 1,000,000,000 shares authorized; 105,153,208 and 98,075,465 shares issued and outstanding as of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June 30, 2021 and December 31, 2020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2021 and December 31, 2020 respectively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1,654,825 and 3,139,821 shares issued and outstanding as of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June 30, 2021 and December 31, 2020 respectively</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28,877,108 and 30,871,381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2021 and December 31, 2020 respectively</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4,347,884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4,143,094</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195,368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156,041</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4,547,968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4,303,451</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650,360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715,712</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5,198,328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5,019,163</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5,864,890</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5,679,850</w:t>
            </w:r>
          </w:p>
        </w:tc>
      </w:tr>
      <w:tr>
        <w:trPr>
          <w:trHeight w:val="24"/>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205,381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160,261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423,197</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343,578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75,751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69,489</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30,043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29,193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w:t>
            </w:r>
          </w:p>
        </w:tc>
        <w:tc>
          <w:tcPr>
            <w:tcW w:w="0" w:type="dxa"/>
            <w:vAlign w:val="bottom"/>
          </w:tcPr>
          <w:p>
            <w:pPr>
              <w:spacing w:after="0"/>
              <w:rPr>
                <w:sz w:val="1"/>
                <w:szCs w:val="1"/>
                <w:color w:val="auto"/>
              </w:rPr>
            </w:pPr>
          </w:p>
        </w:tc>
      </w:tr>
      <w:tr>
        <w:trPr>
          <w:trHeight w:val="190"/>
        </w:trPr>
        <w:tc>
          <w:tcPr>
            <w:tcW w:w="56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260,840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212,107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534,239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446,713</w:t>
            </w: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98,449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202,071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179,386</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41,867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37,919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82,833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75,095</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22,360</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8,789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12,248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15,863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13,520</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177,048</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156,468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352,120</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313,459</w:t>
            </w:r>
          </w:p>
        </w:tc>
        <w:tc>
          <w:tcPr>
            <w:tcW w:w="0" w:type="dxa"/>
            <w:vAlign w:val="bottom"/>
          </w:tcPr>
          <w:p>
            <w:pPr>
              <w:spacing w:after="0"/>
              <w:rPr>
                <w:sz w:val="1"/>
                <w:szCs w:val="1"/>
                <w:color w:val="auto"/>
              </w:rPr>
            </w:pPr>
          </w:p>
        </w:tc>
      </w:tr>
      <w:tr>
        <w:trPr>
          <w:trHeight w:val="18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83,792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55,639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182,119</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133,254</w:t>
            </w:r>
          </w:p>
        </w:tc>
        <w:tc>
          <w:tcPr>
            <w:tcW w:w="0" w:type="dxa"/>
            <w:vAlign w:val="bottom"/>
          </w:tcPr>
          <w:p>
            <w:pPr>
              <w:spacing w:after="0"/>
              <w:rPr>
                <w:sz w:val="1"/>
                <w:szCs w:val="1"/>
                <w:color w:val="auto"/>
              </w:rPr>
            </w:pPr>
          </w:p>
        </w:tc>
      </w:tr>
      <w:tr>
        <w:trPr>
          <w:trHeight w:val="197"/>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8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83,467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55,353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181,301</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133,667</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(33,503)</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(28,774)</w:t>
            </w: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66,233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42,408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147,798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104,893</w:t>
            </w:r>
          </w:p>
        </w:tc>
        <w:tc>
          <w:tcPr>
            <w:tcW w:w="0" w:type="dxa"/>
            <w:vAlign w:val="bottom"/>
          </w:tcPr>
          <w:p>
            <w:pPr>
              <w:spacing w:after="0"/>
              <w:rPr>
                <w:sz w:val="1"/>
                <w:szCs w:val="1"/>
                <w:color w:val="auto"/>
              </w:rPr>
            </w:pPr>
          </w:p>
        </w:tc>
      </w:tr>
      <w:tr>
        <w:trPr>
          <w:trHeight w:val="19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24,623</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30,469</w:t>
            </w: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55,316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30,496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123,175</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74,424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 average shares outstanding:</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201,749,985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177,649,501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200,414,714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171,942,125</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207,463,960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185,489,824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206,253,756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180,008,891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66,233</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42,408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147,798</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104,893</w:t>
            </w:r>
          </w:p>
        </w:tc>
        <w:tc>
          <w:tcPr>
            <w:tcW w:w="0" w:type="dxa"/>
            <w:vAlign w:val="bottom"/>
          </w:tcPr>
          <w:p>
            <w:pPr>
              <w:spacing w:after="0"/>
              <w:rPr>
                <w:sz w:val="1"/>
                <w:szCs w:val="1"/>
                <w:color w:val="auto"/>
              </w:rPr>
            </w:pPr>
          </w:p>
        </w:tc>
      </w:tr>
      <w:tr>
        <w:trPr>
          <w:trHeight w:val="166"/>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6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Foreign currency translation adjustments, with no tax benefit for each of the three and six</w:t>
            </w: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months ended June 30, 2021 and 2020</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66,936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42,072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148,158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99,773</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10,917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30,469</w:t>
            </w:r>
          </w:p>
        </w:tc>
        <w:tc>
          <w:tcPr>
            <w:tcW w:w="0" w:type="dxa"/>
            <w:vAlign w:val="bottom"/>
          </w:tcPr>
          <w:p>
            <w:pPr>
              <w:spacing w:after="0"/>
              <w:rPr>
                <w:sz w:val="1"/>
                <w:szCs w:val="1"/>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55,927</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30,231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123,489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55,316</w:t>
            </w:r>
          </w:p>
        </w:tc>
        <w:tc>
          <w:tcPr>
            <w:tcW w:w="100" w:type="dxa"/>
            <w:vAlign w:val="bottom"/>
          </w:tcPr>
          <w:p>
            <w:pPr>
              <w:spacing w:after="0"/>
              <w:rPr>
                <w:sz w:val="16"/>
                <w:szCs w:val="16"/>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30,496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123,175</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ind w:left="360"/>
              <w:spacing w:after="0"/>
              <w:rPr>
                <w:sz w:val="20"/>
                <w:szCs w:val="20"/>
                <w:color w:val="auto"/>
              </w:rPr>
            </w:pPr>
            <w:r>
              <w:rPr>
                <w:rFonts w:ascii="Arial" w:cs="Arial" w:eastAsia="Arial" w:hAnsi="Arial"/>
                <w:sz w:val="14"/>
                <w:szCs w:val="14"/>
                <w:color w:val="auto"/>
              </w:rPr>
              <w:t>74,424</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94"/>
              </w:rPr>
              <w:t>(3,817)</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55,927</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30,231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123,489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70,607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10,917</w:t>
            </w:r>
          </w:p>
        </w:tc>
        <w:tc>
          <w:tcPr>
            <w:tcW w:w="100" w:type="dxa"/>
            <w:vAlign w:val="bottom"/>
          </w:tcPr>
          <w:p>
            <w:pPr>
              <w:spacing w:after="0"/>
              <w:rPr>
                <w:sz w:val="16"/>
                <w:szCs w:val="16"/>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11,912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24,623</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ind w:left="360"/>
              <w:spacing w:after="0"/>
              <w:rPr>
                <w:sz w:val="20"/>
                <w:szCs w:val="20"/>
                <w:color w:val="auto"/>
              </w:rPr>
            </w:pPr>
            <w:r>
              <w:rPr>
                <w:rFonts w:ascii="Arial" w:cs="Arial" w:eastAsia="Arial" w:hAnsi="Arial"/>
                <w:sz w:val="14"/>
                <w:szCs w:val="14"/>
                <w:color w:val="auto"/>
              </w:rPr>
              <w:t>30,469</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94"/>
              </w:rPr>
              <w:t>(1,303)</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11,009</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11,841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29,166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84"/>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5"/>
        </w:trPr>
        <w:tc>
          <w:tcPr>
            <w:tcW w:w="20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88"/>
              </w:rPr>
              <w:t>Amount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98,075,465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3,139,821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4,143,094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Pr>
          <w:p>
            <w:pPr>
              <w:jc w:val="right"/>
              <w:spacing w:after="0"/>
              <w:rPr>
                <w:sz w:val="20"/>
                <w:szCs w:val="20"/>
                <w:color w:val="auto"/>
              </w:rPr>
            </w:pPr>
            <w:r>
              <w:rPr>
                <w:rFonts w:ascii="Arial" w:cs="Arial" w:eastAsia="Arial" w:hAnsi="Arial"/>
                <w:sz w:val="9"/>
                <w:szCs w:val="9"/>
                <w:color w:val="auto"/>
              </w:rPr>
              <w:t>3,479,269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(1,484,996)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(1,994,273)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6"/>
              </w:rPr>
              <w:t>Tax receivable agreement liability and deferred taxes</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3,088,545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Deferred taxes arising from issuance of common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80,665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(80,750)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(16,030)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(16,030)</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67,859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81,565</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(343)</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104,643,279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4,307,046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207,870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646,118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5,165,138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80" w:type="dxa"/>
            <w:vAlign w:val="bottom"/>
            <w:vMerge w:val="continue"/>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1,127,573</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3"/>
                <w:szCs w:val="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21,139</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3"/>
                <w:szCs w:val="3"/>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21,139</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Deferred taxes arising from issuance of common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23,281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23,281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(1,969)</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(16,142)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(16,142)</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(617,644)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(51,676)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(51,676)</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Deferred taxes arising from share repurchases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(12,816)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(12,816)</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(7,970)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(7,970)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55,316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66,233</w:t>
            </w:r>
          </w:p>
        </w:tc>
        <w:tc>
          <w:tcPr>
            <w:tcW w:w="0" w:type="dxa"/>
            <w:vAlign w:val="bottom"/>
          </w:tcPr>
          <w:p>
            <w:pPr>
              <w:spacing w:after="0"/>
              <w:rPr>
                <w:sz w:val="1"/>
                <w:szCs w:val="1"/>
                <w:color w:val="auto"/>
              </w:rPr>
            </w:pPr>
          </w:p>
        </w:tc>
      </w:tr>
      <w:tr>
        <w:trPr>
          <w:trHeight w:val="12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611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703</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June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105,153,208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4,347,884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195,368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650,360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5,198,328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1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0"/>
          </w:tcPr>
          <w:p>
            <w:pPr>
              <w:ind w:left="36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66,408,328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8,328,983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50,853,172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3,329,386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1,214,157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7"/>
              </w:rPr>
              <w:t>Activities related to exchanges of LLC Interests, net of</w:t>
            </w:r>
          </w:p>
        </w:tc>
        <w:tc>
          <w:tcPr>
            <w:tcW w:w="600" w:type="dxa"/>
            <w:vAlign w:val="bottom"/>
            <w:vMerge w:val="restart"/>
          </w:tcPr>
          <w:p>
            <w:pPr>
              <w:jc w:val="right"/>
              <w:ind w:right="15"/>
              <w:spacing w:after="0"/>
              <w:rPr>
                <w:sz w:val="20"/>
                <w:szCs w:val="20"/>
                <w:color w:val="auto"/>
              </w:rPr>
            </w:pPr>
            <w:r>
              <w:rPr>
                <w:rFonts w:ascii="Arial" w:cs="Arial" w:eastAsia="Arial" w:hAnsi="Arial"/>
                <w:sz w:val="9"/>
                <w:szCs w:val="9"/>
                <w:color w:val="auto"/>
              </w:rPr>
              <w:t>1,920,941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(939,000)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(981,941)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(335)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offering costs and cancellations</w:t>
            </w: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9"/>
              </w:rPr>
              <w:t>Tax receivable agreement liability and deferred taxes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7"/>
              </w:rPr>
              <w:t>Issuance of common stock from equity incentive plans</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2,341,171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35,422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35,422</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(13,400)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(13,400)</w:t>
            </w:r>
          </w:p>
        </w:tc>
        <w:tc>
          <w:tcPr>
            <w:tcW w:w="0" w:type="dxa"/>
            <w:vAlign w:val="bottom"/>
          </w:tcPr>
          <w:p>
            <w:pPr>
              <w:spacing w:after="0"/>
              <w:rPr>
                <w:sz w:val="1"/>
                <w:szCs w:val="1"/>
                <w:color w:val="auto"/>
              </w:rPr>
            </w:pPr>
          </w:p>
        </w:tc>
      </w:tr>
      <w:tr>
        <w:trPr>
          <w:trHeight w:val="102"/>
        </w:trPr>
        <w:tc>
          <w:tcPr>
            <w:tcW w:w="21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8"/>
              </w:rPr>
              <w:t>Stock-based compensation expense under the PRSU</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2"/>
              </w:rPr>
              <w:t>Stock-based compensation expense under the RSU Plan</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315</w:t>
            </w:r>
          </w:p>
        </w:tc>
        <w:tc>
          <w:tcPr>
            <w:tcW w:w="0" w:type="dxa"/>
            <w:vAlign w:val="bottom"/>
          </w:tcPr>
          <w:p>
            <w:pPr>
              <w:spacing w:after="0"/>
              <w:rPr>
                <w:sz w:val="1"/>
                <w:szCs w:val="1"/>
                <w:color w:val="auto"/>
              </w:rPr>
            </w:pPr>
          </w:p>
        </w:tc>
      </w:tr>
      <w:tr>
        <w:trPr>
          <w:trHeight w:val="102"/>
        </w:trPr>
        <w:tc>
          <w:tcPr>
            <w:tcW w:w="21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7"/>
              </w:rPr>
              <w:t>Stock-based compensation expense under the Option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62,485</w:t>
            </w:r>
          </w:p>
        </w:tc>
        <w:tc>
          <w:tcPr>
            <w:tcW w:w="0" w:type="dxa"/>
            <w:vAlign w:val="bottom"/>
          </w:tcPr>
          <w:p>
            <w:pPr>
              <w:spacing w:after="0"/>
              <w:rPr>
                <w:sz w:val="1"/>
                <w:szCs w:val="1"/>
                <w:color w:val="auto"/>
              </w:rPr>
            </w:pPr>
          </w:p>
        </w:tc>
      </w:tr>
      <w:tr>
        <w:trPr>
          <w:trHeight w:val="12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(3,552)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(4,784)</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2020</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70,670,440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7,389,983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49,871,231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3,426,625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78,361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1,186,039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4,688,848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Activities related to the follow-on offering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1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140" w:type="dxa"/>
            <w:vAlign w:val="bottom"/>
          </w:tcPr>
          <w:p>
            <w:pPr>
              <w:ind w:left="20"/>
              <w:spacing w:after="0" w:line="81" w:lineRule="exact"/>
              <w:rPr>
                <w:sz w:val="20"/>
                <w:szCs w:val="20"/>
                <w:color w:val="auto"/>
              </w:rPr>
            </w:pPr>
            <w:r>
              <w:rPr>
                <w:rFonts w:ascii="Arial" w:cs="Arial" w:eastAsia="Arial" w:hAnsi="Arial"/>
                <w:sz w:val="9"/>
                <w:szCs w:val="9"/>
                <w:color w:val="auto"/>
                <w:w w:val="99"/>
              </w:rPr>
              <w:t>exchanges of LLC Interests, net of offering costs and</w:t>
            </w:r>
          </w:p>
        </w:tc>
        <w:tc>
          <w:tcPr>
            <w:tcW w:w="600" w:type="dxa"/>
            <w:vAlign w:val="bottom"/>
            <w:vMerge w:val="restart"/>
          </w:tcPr>
          <w:p>
            <w:pPr>
              <w:jc w:val="right"/>
              <w:ind w:right="15"/>
              <w:spacing w:after="0"/>
              <w:rPr>
                <w:sz w:val="20"/>
                <w:szCs w:val="20"/>
                <w:color w:val="auto"/>
              </w:rPr>
            </w:pPr>
            <w:r>
              <w:rPr>
                <w:rFonts w:ascii="Arial" w:cs="Arial" w:eastAsia="Arial" w:hAnsi="Arial"/>
                <w:sz w:val="9"/>
                <w:szCs w:val="9"/>
                <w:color w:val="auto"/>
              </w:rPr>
              <w:t>17,747,968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(2,279,992)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(15,467,976)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cancellations</w:t>
            </w: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9"/>
              </w:rPr>
              <w:t>Tax receivable agreement liability and deferred taxes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127,846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127,846</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7"/>
              </w:rPr>
              <w:t>Issuance of common stock from equity incentive plans</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2,223,700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27,197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27,197</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379,623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(379,374)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(3,605)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(3,605)</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PRSU</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Stock-based compensation expense under the RSU Plan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7"/>
              </w:rPr>
              <w:t>Stock-based compensation expense under the Option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30,496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11,912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42,408</w:t>
            </w: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(265)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rPr>
                <w:sz w:val="20"/>
                <w:szCs w:val="20"/>
                <w:color w:val="auto"/>
              </w:rPr>
            </w:pPr>
            <w:r>
              <w:rPr>
                <w:rFonts w:ascii="Arial" w:cs="Arial" w:eastAsia="Arial" w:hAnsi="Arial"/>
                <w:sz w:val="9"/>
                <w:szCs w:val="9"/>
                <w:color w:val="auto"/>
              </w:rPr>
              <w:t>Balance at June 30, 2020</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90,642,108</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5,109,991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34,403,255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3,922,559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(2,693)</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94,374</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814,901</w:t>
            </w:r>
          </w:p>
        </w:tc>
        <w:tc>
          <w:tcPr>
            <w:tcW w:w="100" w:type="dxa"/>
            <w:vAlign w:val="bottom"/>
          </w:tcPr>
          <w:p>
            <w:pPr>
              <w:spacing w:after="0"/>
              <w:rPr>
                <w:sz w:val="11"/>
                <w:szCs w:val="11"/>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9"/>
                <w:szCs w:val="9"/>
                <w:color w:val="auto"/>
              </w:rPr>
              <w:t>4,829,143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147,798</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104,893</w:t>
            </w: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82,833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75,095</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18,317</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28,749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22,208</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(33,182)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(11,162)</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(10,591)</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(46,143)</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6,258</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204,006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164,553</w:t>
            </w:r>
          </w:p>
        </w:tc>
      </w:tr>
      <w:tr>
        <w:trPr>
          <w:trHeight w:val="17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(208,857)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furniture, equipment, software and leasehold improvements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w:t>
            </w: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(14,798)</w:t>
            </w:r>
          </w:p>
        </w:tc>
      </w:tr>
      <w:tr>
        <w:trPr>
          <w:trHeight w:val="186"/>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(234,367)</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(19,180)</w:t>
            </w:r>
          </w:p>
        </w:tc>
      </w:tr>
      <w:tr>
        <w:trPr>
          <w:trHeight w:val="16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repurchases pursuant to the Share Repurchase Program</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67,536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62,619</w:t>
            </w: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Class A common stock in follow-on offering, net of underwriting discounts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626,267</w:t>
            </w:r>
          </w:p>
        </w:tc>
      </w:tr>
      <w:tr>
        <w:trPr>
          <w:trHeight w:val="210"/>
        </w:trPr>
        <w:tc>
          <w:tcPr>
            <w:tcW w:w="8440" w:type="dxa"/>
            <w:vAlign w:val="bottom"/>
          </w:tcPr>
          <w:p>
            <w:pPr>
              <w:ind w:left="140"/>
              <w:spacing w:after="0"/>
              <w:rPr>
                <w:sz w:val="20"/>
                <w:szCs w:val="20"/>
                <w:color w:val="auto"/>
              </w:rPr>
            </w:pPr>
            <w:r>
              <w:rPr>
                <w:rFonts w:ascii="Arial" w:cs="Arial" w:eastAsia="Arial" w:hAnsi="Arial"/>
                <w:sz w:val="14"/>
                <w:szCs w:val="14"/>
                <w:color w:val="auto"/>
              </w:rPr>
              <w:t>Purchase of LLC Interests</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(626,267)</w:t>
            </w:r>
          </w:p>
        </w:tc>
      </w:tr>
      <w:tr>
        <w:trPr>
          <w:trHeight w:val="22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Offering costs from issuance of Class A common stock in follow-on offering</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(27,883)</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distributions to non-controlling interests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w:t>
            </w:r>
          </w:p>
        </w:tc>
      </w:tr>
      <w:tr>
        <w:trPr>
          <w:trHeight w:val="210"/>
        </w:trPr>
        <w:tc>
          <w:tcPr>
            <w:tcW w:w="8440" w:type="dxa"/>
            <w:vAlign w:val="bottom"/>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(71,663)</w:t>
            </w:r>
          </w:p>
        </w:tc>
      </w:tr>
      <w:tr>
        <w:trPr>
          <w:trHeight w:val="195"/>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(4,026)</w:t>
            </w:r>
          </w:p>
        </w:tc>
      </w:tr>
      <w:tr>
        <w:trPr>
          <w:trHeight w:val="190"/>
        </w:trPr>
        <w:tc>
          <w:tcPr>
            <w:tcW w:w="8440" w:type="dxa"/>
            <w:vAlign w:val="bottom"/>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(110,055)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99,178</w:t>
            </w:r>
          </w:p>
        </w:tc>
      </w:tr>
      <w:tr>
        <w:trPr>
          <w:trHeight w:val="20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792,280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461,711</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682,225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560,889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4,970</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Unsettled share repurchases included in other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555</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27,666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132,136</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292,718</w:t>
            </w:r>
          </w:p>
        </w:tc>
      </w:tr>
      <w:tr>
        <w:trPr>
          <w:trHeight w:val="380"/>
        </w:trPr>
        <w:tc>
          <w:tcPr>
            <w:tcW w:w="8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681,225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791,280</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682,225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Note 1</w:t>
              </w:r>
            </w:hyperlink>
          </w:p>
        </w:tc>
        <w:tc>
          <w:tcPr>
            <w:tcW w:w="140" w:type="dxa"/>
            <w:vAlign w:val="bottom"/>
          </w:tcPr>
          <w:p>
            <w:pPr>
              <w:spacing w:after="0"/>
              <w:rPr>
                <w:sz w:val="17"/>
                <w:szCs w:val="17"/>
                <w:color w:val="auto"/>
              </w:rPr>
            </w:pPr>
          </w:p>
        </w:tc>
        <w:tc>
          <w:tcPr>
            <w:tcW w:w="4600" w:type="dxa"/>
            <w:vAlign w:val="bottom"/>
            <w:gridSpan w:val="17"/>
          </w:tcPr>
          <w:p>
            <w:pPr>
              <w:ind w:left="140"/>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Organization</w:t>
              </w:r>
            </w:hyperlink>
          </w:p>
        </w:tc>
        <w:tc>
          <w:tcPr>
            <w:tcW w:w="5900" w:type="dxa"/>
            <w:vAlign w:val="bottom"/>
            <w:gridSpan w:val="2"/>
          </w:tcPr>
          <w:p>
            <w:pPr>
              <w:jc w:val="right"/>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3051F2"/>
              </w:rPr>
            </w:pPr>
            <w:hyperlink w:anchor="page16">
              <w:r>
                <w:rPr>
                  <w:rFonts w:ascii="Arial" w:cs="Arial" w:eastAsia="Arial" w:hAnsi="Arial"/>
                  <w:sz w:val="18"/>
                  <w:szCs w:val="18"/>
                  <w:color w:val="3051F2"/>
                </w:rPr>
                <w:t>Note 2</w:t>
              </w:r>
            </w:hyperlink>
          </w:p>
        </w:tc>
        <w:tc>
          <w:tcPr>
            <w:tcW w:w="140" w:type="dxa"/>
            <w:vAlign w:val="bottom"/>
          </w:tcPr>
          <w:p>
            <w:pPr>
              <w:spacing w:after="0"/>
              <w:rPr>
                <w:sz w:val="21"/>
                <w:szCs w:val="21"/>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16">
              <w:r>
                <w:rPr>
                  <w:rFonts w:ascii="Arial" w:cs="Arial" w:eastAsia="Arial" w:hAnsi="Arial"/>
                  <w:sz w:val="18"/>
                  <w:szCs w:val="18"/>
                  <w:color w:val="3051F2"/>
                </w:rPr>
                <w:t>Significant Accounting Policies</w:t>
              </w:r>
            </w:hyperlink>
          </w:p>
        </w:tc>
        <w:tc>
          <w:tcPr>
            <w:tcW w:w="5900" w:type="dxa"/>
            <w:vAlign w:val="bottom"/>
            <w:gridSpan w:val="2"/>
          </w:tcPr>
          <w:p>
            <w:pPr>
              <w:jc w:val="right"/>
              <w:spacing w:after="0"/>
              <w:rPr>
                <w:rFonts w:ascii="Arial" w:cs="Arial" w:eastAsia="Arial" w:hAnsi="Arial"/>
                <w:sz w:val="18"/>
                <w:szCs w:val="18"/>
                <w:color w:val="3051F2"/>
              </w:rPr>
            </w:pPr>
            <w:hyperlink w:anchor="page16">
              <w:r>
                <w:rPr>
                  <w:rFonts w:ascii="Arial" w:cs="Arial" w:eastAsia="Arial" w:hAnsi="Arial"/>
                  <w:sz w:val="18"/>
                  <w:szCs w:val="18"/>
                  <w:color w:val="3051F2"/>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Note 3</w:t>
              </w:r>
            </w:hyperlink>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22">
              <w:r>
                <w:rPr>
                  <w:rFonts w:ascii="Arial" w:cs="Arial" w:eastAsia="Arial" w:hAnsi="Arial"/>
                  <w:sz w:val="18"/>
                  <w:szCs w:val="18"/>
                  <w:color w:val="3051F2"/>
                </w:rPr>
                <w:t>Restricted Cash</w:t>
              </w:r>
            </w:hyperlink>
          </w:p>
        </w:tc>
        <w:tc>
          <w:tcPr>
            <w:tcW w:w="5900" w:type="dxa"/>
            <w:vAlign w:val="bottom"/>
            <w:gridSpan w:val="2"/>
          </w:tcPr>
          <w:p>
            <w:pPr>
              <w:jc w:val="right"/>
              <w:spacing w:after="0"/>
              <w:rPr>
                <w:rFonts w:ascii="Arial" w:cs="Arial" w:eastAsia="Arial" w:hAnsi="Arial"/>
                <w:sz w:val="18"/>
                <w:szCs w:val="18"/>
                <w:color w:val="3051F2"/>
              </w:rPr>
            </w:pPr>
            <w:hyperlink w:anchor="page22">
              <w:r>
                <w:rPr>
                  <w:rFonts w:ascii="Arial" w:cs="Arial" w:eastAsia="Arial" w:hAnsi="Arial"/>
                  <w:sz w:val="18"/>
                  <w:szCs w:val="18"/>
                  <w:color w:val="3051F2"/>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4</w:t>
            </w:r>
          </w:p>
        </w:tc>
        <w:tc>
          <w:tcPr>
            <w:tcW w:w="220" w:type="dxa"/>
            <w:vAlign w:val="bottom"/>
            <w:gridSpan w:val="2"/>
          </w:tcPr>
          <w:p>
            <w:pPr>
              <w:spacing w:after="0"/>
              <w:rPr>
                <w:sz w:val="20"/>
                <w:szCs w:val="20"/>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22">
              <w:r>
                <w:rPr>
                  <w:rFonts w:ascii="Arial" w:cs="Arial" w:eastAsia="Arial" w:hAnsi="Arial"/>
                  <w:sz w:val="18"/>
                  <w:szCs w:val="18"/>
                  <w:color w:val="3051F2"/>
                </w:rPr>
                <w:t>Acquisitions</w:t>
              </w:r>
            </w:hyperlink>
          </w:p>
        </w:tc>
        <w:tc>
          <w:tcPr>
            <w:tcW w:w="5900" w:type="dxa"/>
            <w:vAlign w:val="bottom"/>
            <w:gridSpan w:val="2"/>
          </w:tcPr>
          <w:p>
            <w:pPr>
              <w:jc w:val="right"/>
              <w:spacing w:after="0"/>
              <w:rPr>
                <w:sz w:val="20"/>
                <w:szCs w:val="20"/>
                <w:color w:val="auto"/>
              </w:rPr>
            </w:pPr>
            <w:r>
              <w:rPr>
                <w:rFonts w:ascii="Arial" w:cs="Arial" w:eastAsia="Arial" w:hAnsi="Arial"/>
                <w:sz w:val="18"/>
                <w:szCs w:val="18"/>
                <w:color w:val="3051F2"/>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23">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5</w:t>
            </w: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rFonts w:ascii="Arial" w:cs="Arial" w:eastAsia="Arial" w:hAnsi="Arial"/>
                <w:sz w:val="18"/>
                <w:szCs w:val="18"/>
                <w:color w:val="3051F2"/>
                <w:w w:val="83"/>
              </w:rPr>
            </w:pPr>
            <w:hyperlink w:anchor="page23">
              <w:r>
                <w:rPr>
                  <w:rFonts w:ascii="Arial" w:cs="Arial" w:eastAsia="Arial" w:hAnsi="Arial"/>
                  <w:sz w:val="18"/>
                  <w:szCs w:val="18"/>
                  <w:color w:val="3051F2"/>
                  <w:w w:val="83"/>
                </w:rPr>
                <w:t>Revenue</w:t>
              </w:r>
            </w:hyperlink>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00" w:type="dxa"/>
            <w:vAlign w:val="bottom"/>
            <w:gridSpan w:val="2"/>
          </w:tcPr>
          <w:p>
            <w:pPr>
              <w:jc w:val="right"/>
              <w:spacing w:after="0"/>
              <w:rPr>
                <w:rFonts w:ascii="Arial" w:cs="Arial" w:eastAsia="Arial" w:hAnsi="Arial"/>
                <w:sz w:val="18"/>
                <w:szCs w:val="18"/>
                <w:color w:val="3051F2"/>
              </w:rPr>
            </w:pPr>
            <w:hyperlink w:anchor="page23">
              <w:r>
                <w:rPr>
                  <w:rFonts w:ascii="Arial" w:cs="Arial" w:eastAsia="Arial" w:hAnsi="Arial"/>
                  <w:sz w:val="18"/>
                  <w:szCs w:val="18"/>
                  <w:color w:val="3051F2"/>
                </w:rPr>
                <w:t>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5">
              <w:r>
                <w:rPr>
                  <w:rFonts w:ascii="Arial" w:cs="Arial" w:eastAsia="Arial" w:hAnsi="Arial"/>
                  <w:sz w:val="18"/>
                  <w:szCs w:val="18"/>
                  <w:color w:val="3051F2"/>
                </w:rPr>
                <w:t>25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5">
              <w:r>
                <w:rPr>
                  <w:rFonts w:ascii="Arial" w:cs="Arial" w:eastAsia="Arial" w:hAnsi="Arial"/>
                  <w:sz w:val="18"/>
                  <w:szCs w:val="18"/>
                  <w:color w:val="3051F2"/>
                </w:rPr>
                <w:t xml:space="preserve">Note </w:t>
              </w:r>
            </w:hyperlink>
            <w:r>
              <w:rPr>
                <w:rFonts w:ascii="Arial" w:cs="Arial" w:eastAsia="Arial" w:hAnsi="Arial"/>
                <w:sz w:val="18"/>
                <w:szCs w:val="18"/>
                <w:color w:val="3051F2"/>
              </w:rPr>
              <w:t>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rFonts w:ascii="Arial" w:cs="Arial" w:eastAsia="Arial" w:hAnsi="Arial"/>
                <w:sz w:val="18"/>
                <w:szCs w:val="18"/>
                <w:color w:val="3051F2"/>
                <w:w w:val="86"/>
              </w:rPr>
            </w:pPr>
            <w:hyperlink w:anchor="page25">
              <w:r>
                <w:rPr>
                  <w:rFonts w:ascii="Arial" w:cs="Arial" w:eastAsia="Arial" w:hAnsi="Arial"/>
                  <w:sz w:val="18"/>
                  <w:szCs w:val="18"/>
                  <w:color w:val="3051F2"/>
                  <w:w w:val="86"/>
                </w:rPr>
                <w:t>Income Taxes</w:t>
              </w:r>
            </w:hyperlink>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5">
              <w:r>
                <w:rPr>
                  <w:rFonts w:ascii="Arial" w:cs="Arial" w:eastAsia="Arial" w:hAnsi="Arial"/>
                  <w:sz w:val="18"/>
                  <w:szCs w:val="18"/>
                  <w:color w:val="3051F2"/>
                </w:rPr>
                <w:t>26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5">
              <w:r>
                <w:rPr>
                  <w:rFonts w:ascii="Arial" w:cs="Arial" w:eastAsia="Arial" w:hAnsi="Arial"/>
                  <w:sz w:val="18"/>
                  <w:szCs w:val="18"/>
                  <w:color w:val="3051F2"/>
                </w:rPr>
                <w:t xml:space="preserve">Note </w:t>
              </w:r>
            </w:hyperlink>
            <w:r>
              <w:rPr>
                <w:rFonts w:ascii="Arial" w:cs="Arial" w:eastAsia="Arial" w:hAnsi="Arial"/>
                <w:sz w:val="18"/>
                <w:szCs w:val="18"/>
                <w:color w:val="3051F2"/>
              </w:rPr>
              <w:t>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25">
              <w:r>
                <w:rPr>
                  <w:rFonts w:ascii="Arial" w:cs="Arial" w:eastAsia="Arial" w:hAnsi="Arial"/>
                  <w:sz w:val="18"/>
                  <w:szCs w:val="18"/>
                  <w:color w:val="3051F2"/>
                  <w:w w:val="89"/>
                </w:rPr>
                <w:t>Tax Receivable Agreement</w:t>
              </w:r>
            </w:hyperlink>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6">
              <w:r>
                <w:rPr>
                  <w:rFonts w:ascii="Arial" w:cs="Arial" w:eastAsia="Arial" w:hAnsi="Arial"/>
                  <w:sz w:val="18"/>
                  <w:szCs w:val="18"/>
                  <w:color w:val="3051F2"/>
                </w:rPr>
                <w:t>26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6">
              <w:r>
                <w:rPr>
                  <w:rFonts w:ascii="Arial" w:cs="Arial" w:eastAsia="Arial" w:hAnsi="Arial"/>
                  <w:sz w:val="18"/>
                  <w:szCs w:val="18"/>
                  <w:color w:val="3051F2"/>
                </w:rPr>
                <w:t xml:space="preserve">Note </w:t>
              </w:r>
            </w:hyperlink>
            <w:r>
              <w:rPr>
                <w:rFonts w:ascii="Arial" w:cs="Arial" w:eastAsia="Arial" w:hAnsi="Arial"/>
                <w:sz w:val="18"/>
                <w:szCs w:val="18"/>
                <w:color w:val="3051F2"/>
              </w:rPr>
              <w:t>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rFonts w:ascii="Arial" w:cs="Arial" w:eastAsia="Arial" w:hAnsi="Arial"/>
                <w:sz w:val="18"/>
                <w:szCs w:val="18"/>
                <w:color w:val="3051F2"/>
                <w:w w:val="92"/>
              </w:rPr>
            </w:pPr>
            <w:hyperlink w:anchor="page26">
              <w:r>
                <w:rPr>
                  <w:rFonts w:ascii="Arial" w:cs="Arial" w:eastAsia="Arial" w:hAnsi="Arial"/>
                  <w:sz w:val="18"/>
                  <w:szCs w:val="18"/>
                  <w:color w:val="3051F2"/>
                  <w:w w:val="92"/>
                </w:rPr>
                <w:t>Non-Controlling Interests</w:t>
              </w:r>
            </w:hyperlink>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7">
              <w:r>
                <w:rPr>
                  <w:rFonts w:ascii="Arial" w:cs="Arial" w:eastAsia="Arial" w:hAnsi="Arial"/>
                  <w:sz w:val="18"/>
                  <w:szCs w:val="18"/>
                  <w:color w:val="3051F2"/>
                </w:rPr>
                <w:t>27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7">
              <w:r>
                <w:rPr>
                  <w:rFonts w:ascii="Arial" w:cs="Arial" w:eastAsia="Arial" w:hAnsi="Arial"/>
                  <w:sz w:val="18"/>
                  <w:szCs w:val="18"/>
                  <w:color w:val="3051F2"/>
                </w:rPr>
                <w:t xml:space="preserve">Note </w:t>
              </w:r>
            </w:hyperlink>
            <w:r>
              <w:rPr>
                <w:rFonts w:ascii="Arial" w:cs="Arial" w:eastAsia="Arial" w:hAnsi="Arial"/>
                <w:sz w:val="18"/>
                <w:szCs w:val="18"/>
                <w:color w:val="3051F2"/>
              </w:rPr>
              <w:t>9</w:t>
            </w:r>
          </w:p>
        </w:tc>
        <w:tc>
          <w:tcPr>
            <w:tcW w:w="140" w:type="dxa"/>
            <w:vAlign w:val="bottom"/>
          </w:tcPr>
          <w:p>
            <w:pPr>
              <w:spacing w:after="0"/>
              <w:rPr>
                <w:sz w:val="18"/>
                <w:szCs w:val="18"/>
                <w:color w:val="auto"/>
              </w:rPr>
            </w:pPr>
          </w:p>
        </w:tc>
        <w:tc>
          <w:tcPr>
            <w:tcW w:w="4280" w:type="dxa"/>
            <w:vAlign w:val="bottom"/>
            <w:tcBorders>
              <w:bottom w:val="single" w:sz="8" w:color="3051F2"/>
            </w:tcBorders>
            <w:gridSpan w:val="15"/>
          </w:tcPr>
          <w:p>
            <w:pPr>
              <w:spacing w:after="0"/>
              <w:rPr>
                <w:rFonts w:ascii="Arial" w:cs="Arial" w:eastAsia="Arial" w:hAnsi="Arial"/>
                <w:sz w:val="18"/>
                <w:szCs w:val="18"/>
                <w:color w:val="3051F2"/>
                <w:w w:val="89"/>
              </w:rPr>
            </w:pPr>
            <w:hyperlink w:anchor="page27">
              <w:r>
                <w:rPr>
                  <w:rFonts w:ascii="Arial" w:cs="Arial" w:eastAsia="Arial" w:hAnsi="Arial"/>
                  <w:sz w:val="18"/>
                  <w:szCs w:val="18"/>
                  <w:color w:val="3051F2"/>
                  <w:w w:val="89"/>
                </w:rPr>
                <w:t>Stockholders' Equity and Stock-Based Compensation Plans</w:t>
              </w:r>
            </w:hyperlink>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8">
              <w:r>
                <w:rPr>
                  <w:rFonts w:ascii="Arial" w:cs="Arial" w:eastAsia="Arial" w:hAnsi="Arial"/>
                  <w:sz w:val="18"/>
                  <w:szCs w:val="18"/>
                  <w:color w:val="3051F2"/>
                </w:rPr>
                <w:t>29</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8">
              <w:r>
                <w:rPr>
                  <w:rFonts w:ascii="Arial" w:cs="Arial" w:eastAsia="Arial" w:hAnsi="Arial"/>
                  <w:sz w:val="18"/>
                  <w:szCs w:val="18"/>
                  <w:color w:val="3051F2"/>
                </w:rPr>
                <w:t xml:space="preserve">Note </w:t>
              </w:r>
            </w:hyperlink>
            <w:r>
              <w:rPr>
                <w:rFonts w:ascii="Arial" w:cs="Arial" w:eastAsia="Arial" w:hAnsi="Arial"/>
                <w:sz w:val="18"/>
                <w:szCs w:val="18"/>
                <w:color w:val="3051F2"/>
              </w:rPr>
              <w:t>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rFonts w:ascii="Arial" w:cs="Arial" w:eastAsia="Arial" w:hAnsi="Arial"/>
                <w:sz w:val="18"/>
                <w:szCs w:val="18"/>
                <w:color w:val="3051F2"/>
                <w:w w:val="87"/>
              </w:rPr>
            </w:pPr>
            <w:hyperlink w:anchor="page28">
              <w:r>
                <w:rPr>
                  <w:rFonts w:ascii="Arial" w:cs="Arial" w:eastAsia="Arial" w:hAnsi="Arial"/>
                  <w:sz w:val="18"/>
                  <w:szCs w:val="18"/>
                  <w:color w:val="3051F2"/>
                  <w:w w:val="87"/>
                </w:rPr>
                <w:t>Related Party Transactions</w:t>
              </w:r>
            </w:hyperlink>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9">
              <w:r>
                <w:rPr>
                  <w:rFonts w:ascii="Arial" w:cs="Arial" w:eastAsia="Arial" w:hAnsi="Arial"/>
                  <w:sz w:val="18"/>
                  <w:szCs w:val="18"/>
                  <w:color w:val="3051F2"/>
                </w:rPr>
                <w:t>30</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9">
              <w:r>
                <w:rPr>
                  <w:rFonts w:ascii="Arial" w:cs="Arial" w:eastAsia="Arial" w:hAnsi="Arial"/>
                  <w:sz w:val="18"/>
                  <w:szCs w:val="18"/>
                  <w:color w:val="3051F2"/>
                </w:rPr>
                <w:t xml:space="preserve">Note </w:t>
              </w:r>
            </w:hyperlink>
            <w:r>
              <w:rPr>
                <w:rFonts w:ascii="Arial" w:cs="Arial" w:eastAsia="Arial" w:hAnsi="Arial"/>
                <w:sz w:val="18"/>
                <w:szCs w:val="18"/>
                <w:color w:val="3051F2"/>
              </w:rPr>
              <w:t>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3"/>
          </w:tcPr>
          <w:p>
            <w:pPr>
              <w:spacing w:after="0"/>
              <w:rPr>
                <w:rFonts w:ascii="Arial" w:cs="Arial" w:eastAsia="Arial" w:hAnsi="Arial"/>
                <w:sz w:val="18"/>
                <w:szCs w:val="18"/>
                <w:color w:val="3051F2"/>
                <w:w w:val="90"/>
              </w:rPr>
            </w:pPr>
            <w:hyperlink w:anchor="page29">
              <w:r>
                <w:rPr>
                  <w:rFonts w:ascii="Arial" w:cs="Arial" w:eastAsia="Arial" w:hAnsi="Arial"/>
                  <w:sz w:val="18"/>
                  <w:szCs w:val="18"/>
                  <w:color w:val="3051F2"/>
                  <w:w w:val="90"/>
                </w:rPr>
                <w:t>Fair Value of Financial Instruments</w:t>
              </w:r>
            </w:hyperlink>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2">
              <w:r>
                <w:rPr>
                  <w:rFonts w:ascii="Arial" w:cs="Arial" w:eastAsia="Arial" w:hAnsi="Arial"/>
                  <w:sz w:val="18"/>
                  <w:szCs w:val="18"/>
                  <w:color w:val="3051F2"/>
                </w:rPr>
                <w:t>32</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2">
              <w:r>
                <w:rPr>
                  <w:rFonts w:ascii="Arial" w:cs="Arial" w:eastAsia="Arial" w:hAnsi="Arial"/>
                  <w:sz w:val="18"/>
                  <w:szCs w:val="18"/>
                  <w:color w:val="3051F2"/>
                </w:rPr>
                <w:t xml:space="preserve">Note </w:t>
              </w:r>
            </w:hyperlink>
            <w:r>
              <w:rPr>
                <w:rFonts w:ascii="Arial" w:cs="Arial" w:eastAsia="Arial" w:hAnsi="Arial"/>
                <w:sz w:val="18"/>
                <w:szCs w:val="18"/>
                <w:color w:val="3051F2"/>
              </w:rPr>
              <w:t>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rFonts w:ascii="Arial" w:cs="Arial" w:eastAsia="Arial" w:hAnsi="Arial"/>
                <w:sz w:val="18"/>
                <w:szCs w:val="18"/>
                <w:color w:val="3051F2"/>
                <w:w w:val="90"/>
              </w:rPr>
            </w:pPr>
            <w:hyperlink w:anchor="page32">
              <w:r>
                <w:rPr>
                  <w:rFonts w:ascii="Arial" w:cs="Arial" w:eastAsia="Arial" w:hAnsi="Arial"/>
                  <w:sz w:val="18"/>
                  <w:szCs w:val="18"/>
                  <w:color w:val="3051F2"/>
                  <w:w w:val="90"/>
                </w:rPr>
                <w:t>Credit Risk</w:t>
              </w:r>
            </w:hyperlink>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3">
              <w:r>
                <w:rPr>
                  <w:rFonts w:ascii="Arial" w:cs="Arial" w:eastAsia="Arial" w:hAnsi="Arial"/>
                  <w:sz w:val="18"/>
                  <w:szCs w:val="18"/>
                  <w:color w:val="3051F2"/>
                </w:rPr>
                <w:t>33</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 xml:space="preserve">Note </w:t>
              </w:r>
            </w:hyperlink>
            <w:r>
              <w:rPr>
                <w:rFonts w:ascii="Arial" w:cs="Arial" w:eastAsia="Arial" w:hAnsi="Arial"/>
                <w:sz w:val="18"/>
                <w:szCs w:val="18"/>
                <w:color w:val="3051F2"/>
              </w:rPr>
              <w:t>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3">
              <w:r>
                <w:rPr>
                  <w:rFonts w:ascii="Arial" w:cs="Arial" w:eastAsia="Arial" w:hAnsi="Arial"/>
                  <w:sz w:val="18"/>
                  <w:szCs w:val="18"/>
                  <w:color w:val="3051F2"/>
                  <w:w w:val="89"/>
                </w:rPr>
                <w:t>Commitments and Contingencies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3">
              <w:r>
                <w:rPr>
                  <w:rFonts w:ascii="Arial" w:cs="Arial" w:eastAsia="Arial" w:hAnsi="Arial"/>
                  <w:sz w:val="18"/>
                  <w:szCs w:val="18"/>
                  <w:color w:val="3051F2"/>
                </w:rPr>
                <w:t>34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 xml:space="preserve">Note </w:t>
              </w:r>
            </w:hyperlink>
            <w:r>
              <w:rPr>
                <w:rFonts w:ascii="Arial" w:cs="Arial" w:eastAsia="Arial" w:hAnsi="Arial"/>
                <w:sz w:val="18"/>
                <w:szCs w:val="18"/>
                <w:color w:val="3051F2"/>
              </w:rPr>
              <w:t>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rFonts w:ascii="Arial" w:cs="Arial" w:eastAsia="Arial" w:hAnsi="Arial"/>
                <w:sz w:val="18"/>
                <w:szCs w:val="18"/>
                <w:color w:val="3051F2"/>
                <w:w w:val="86"/>
              </w:rPr>
            </w:pPr>
            <w:hyperlink w:anchor="page33">
              <w:r>
                <w:rPr>
                  <w:rFonts w:ascii="Arial" w:cs="Arial" w:eastAsia="Arial" w:hAnsi="Arial"/>
                  <w:sz w:val="18"/>
                  <w:szCs w:val="18"/>
                  <w:color w:val="3051F2"/>
                  <w:w w:val="86"/>
                </w:rPr>
                <w:t>Earnings Per Share</w:t>
              </w:r>
            </w:hyperlink>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4">
              <w:r>
                <w:rPr>
                  <w:rFonts w:ascii="Arial" w:cs="Arial" w:eastAsia="Arial" w:hAnsi="Arial"/>
                  <w:sz w:val="18"/>
                  <w:szCs w:val="18"/>
                  <w:color w:val="3051F2"/>
                </w:rPr>
                <w:t>34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 xml:space="preserve">Note </w:t>
              </w:r>
            </w:hyperlink>
            <w:r>
              <w:rPr>
                <w:rFonts w:ascii="Arial" w:cs="Arial" w:eastAsia="Arial" w:hAnsi="Arial"/>
                <w:sz w:val="18"/>
                <w:szCs w:val="18"/>
                <w:color w:val="3051F2"/>
              </w:rPr>
              <w:t>15</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4">
              <w:r>
                <w:rPr>
                  <w:rFonts w:ascii="Arial" w:cs="Arial" w:eastAsia="Arial" w:hAnsi="Arial"/>
                  <w:sz w:val="18"/>
                  <w:szCs w:val="18"/>
                  <w:color w:val="3051F2"/>
                  <w:w w:val="89"/>
                </w:rPr>
                <w:t>Regulatory Capital Requirements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5">
              <w:r>
                <w:rPr>
                  <w:rFonts w:ascii="Arial" w:cs="Arial" w:eastAsia="Arial" w:hAnsi="Arial"/>
                  <w:sz w:val="18"/>
                  <w:szCs w:val="18"/>
                  <w:color w:val="3051F2"/>
                </w:rPr>
                <w:t>35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 xml:space="preserve">Note </w:t>
              </w:r>
            </w:hyperlink>
            <w:r>
              <w:rPr>
                <w:rFonts w:ascii="Arial" w:cs="Arial" w:eastAsia="Arial" w:hAnsi="Arial"/>
                <w:sz w:val="18"/>
                <w:szCs w:val="18"/>
                <w:color w:val="3051F2"/>
              </w:rPr>
              <w:t>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rFonts w:ascii="Arial" w:cs="Arial" w:eastAsia="Arial" w:hAnsi="Arial"/>
                <w:sz w:val="18"/>
                <w:szCs w:val="18"/>
                <w:color w:val="3051F2"/>
                <w:w w:val="89"/>
              </w:rPr>
            </w:pPr>
            <w:hyperlink w:anchor="page35">
              <w:r>
                <w:rPr>
                  <w:rFonts w:ascii="Arial" w:cs="Arial" w:eastAsia="Arial" w:hAnsi="Arial"/>
                  <w:sz w:val="18"/>
                  <w:szCs w:val="18"/>
                  <w:color w:val="3051F2"/>
                  <w:w w:val="89"/>
                </w:rPr>
                <w:t>Business Segment and Geographic Information</w:t>
              </w:r>
            </w:hyperlink>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6">
              <w:r>
                <w:rPr>
                  <w:rFonts w:ascii="Arial" w:cs="Arial" w:eastAsia="Arial" w:hAnsi="Arial"/>
                  <w:sz w:val="18"/>
                  <w:szCs w:val="18"/>
                  <w:color w:val="3051F2"/>
                </w:rPr>
                <w:t>36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Note 17</w:t>
              </w:r>
            </w:hyperlink>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rFonts w:ascii="Arial" w:cs="Arial" w:eastAsia="Arial" w:hAnsi="Arial"/>
                <w:sz w:val="18"/>
                <w:szCs w:val="18"/>
                <w:color w:val="3051F2"/>
                <w:w w:val="85"/>
              </w:rPr>
            </w:pPr>
            <w:hyperlink w:anchor="page36">
              <w:r>
                <w:rPr>
                  <w:rFonts w:ascii="Arial" w:cs="Arial" w:eastAsia="Arial" w:hAnsi="Arial"/>
                  <w:sz w:val="18"/>
                  <w:szCs w:val="18"/>
                  <w:color w:val="3051F2"/>
                  <w:w w:val="85"/>
                </w:rPr>
                <w:t>Subsequent Events</w:t>
              </w:r>
            </w:hyperlink>
          </w:p>
        </w:tc>
        <w:tc>
          <w:tcPr>
            <w:tcW w:w="3100" w:type="dxa"/>
            <w:vAlign w:val="bottom"/>
            <w:gridSpan w:val="10"/>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vMerge w:val="restart"/>
          </w:tcPr>
          <w:p>
            <w:pPr>
              <w:jc w:val="right"/>
              <w:ind w:right="44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subsidiaries, “Refinitiv”) owned an indirect majority ownership interest in the Company (as defined below).</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8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June 30, 2021, Tradeweb Markets Inc. owns 86.9% of TWM LLC and the non-controlling interest holders own the remaining 13.1% of TWM LLC. As of December 31, 2020, Tradeweb Markets Inc. owned 85.1% of TWM LLC and the non-controlling interest holders owned the remaining 14.9% of TWM LLC.</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Execution Access, LLC, (“EA”), acquired in June 2021, a registered broker-dealer under the Securities Exchange Act of 1934 and a member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210"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Execution Services Limited (“TESL”), a Banks, Building Societies and Investment Firm (“BIPRU Firm”) regulated by the FCA in the UK.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 2021, the Company announced that it entered into a definitive agreement to acquire Nasdaq’s U.S. fixed income electronic trading platform. The acquired Nasdaq platform (formerly known as eSpeed) is a fully executable central order limit book (CLOB) for electronic trading in on-the-run (OTR) U.S. government bonds. The $190.0 million, all-cash transaction closed on June 25, 2021 (the “NFI Acquisition”). See Note 4 – Acquisitions for additional details on this acquisition.</w:t>
      </w:r>
    </w:p>
    <w:p>
      <w:pPr>
        <w:spacing w:after="0" w:line="18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7 – Tax Receivable Agreement), also includes those Original LLC Owners, including certain Bank Stockholders, that disposed of all of their LLC Interests for cash in connection with the IPO.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w:t>
      </w:r>
    </w:p>
    <w:p>
      <w:pPr>
        <w:spacing w:after="0" w:line="225" w:lineRule="exact"/>
        <w:rPr>
          <w:sz w:val="20"/>
          <w:szCs w:val="20"/>
          <w:color w:val="auto"/>
        </w:rPr>
      </w:pPr>
    </w:p>
    <w:p>
      <w:pPr>
        <w:ind w:left="660" w:right="3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investors collectively owned 105,153,208 shares of Class A common stock, representing 7.7% of the combined voting power of Tradeweb Markets Inc.’s issued and outstanding common stock and indirectly, through Tradeweb Markets Inc., owned 45.2% of the economic interest in TWM LLC;</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87.9% of the combined voting power of Tradeweb Markets Inc.’s issued and outstanding common stock and directly and indirectly, through Tradeweb Markets Inc., owned 51.6% of the economic interest in TWM LLC; and</w:t>
      </w:r>
    </w:p>
    <w:p>
      <w:pPr>
        <w:spacing w:after="0" w:line="18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Stockholders that continue to own LLC Interests collectively owned 1,654,825 shares of Class C common stock and 5,767,435 shares of Class D common stock, representing 4.3% of the combined voting power of Tradeweb Markets Inc.’s issued and outstanding common stock and directly own 3.2% of the economic interest in TWM LLC. As of June 30, 2021, only Barclays Capital Inc. and Credit Suisse Securities (USA) LLC remained as Bank Stockholders.</w:t>
      </w:r>
    </w:p>
    <w:p>
      <w:pPr>
        <w:spacing w:after="0" w:line="18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stockholders that continue to own LLC Interests also collectively owned 121,344 shares of Class D common stock, representing less than 0.1% of the combined voting power of Tradeweb Markets Inc.’s issued and outstanding common stock and directly own less than 0.1% of the economic interest in TWM LLC.</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addition, the Company’s diluted earnings per share calculation for the three and six months ended June 30, 2021 includes 5,713,975 and 5,839,042 weighted average shares resulting from the dilutive effect of its equity incentive plans. See Note 14 – Earnings Per Share for additional details.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2020.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Certain reclassifications have been made to prior periods' financial information to conform to the current year presentation. This primarily includes an aggregation of transaction fees and commissions into a single revenue category titled “transaction fees and commissions” for all periods presented in condensed consolidated income statements. These reclassifications had no impact on total consolidated revenue or consolidated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Refinitiv Transaction, a majority interest of Refinitiv (formerly the Thomson Reuters Financial &amp; Risk Business) was acquired by BCP on October 1, 2018 from TR. The Refinitiv Transaction was accounted for by Refinitiv in accordance with the acquisition method of accounting pursuant to ASC 805</w:t>
      </w:r>
      <w:r>
        <w:rPr>
          <w:rFonts w:ascii="Arial" w:cs="Arial" w:eastAsia="Arial" w:hAnsi="Arial"/>
          <w:sz w:val="18"/>
          <w:szCs w:val="18"/>
          <w:i w:val="1"/>
          <w:iCs w:val="1"/>
          <w:color w:val="auto"/>
        </w:rPr>
        <w:t>,</w:t>
      </w:r>
      <w:r>
        <w:rPr>
          <w:rFonts w:ascii="Arial" w:cs="Arial" w:eastAsia="Arial" w:hAnsi="Arial"/>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Once determined uncollectible, aged balances are written off as credit loss expense, which is included in general and administrative expenses on the condensed consolidated statements of income. See Note 12 – Credit Risk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7"/>
          <w:szCs w:val="17"/>
          <w:i w:val="1"/>
          <w:iCs w:val="1"/>
          <w:color w:val="auto"/>
        </w:rPr>
        <w:t>Property, Plant and Equipment (</w:t>
      </w:r>
      <w:r>
        <w:rPr>
          <w:rFonts w:ascii="Arial" w:cs="Arial" w:eastAsia="Arial" w:hAnsi="Arial"/>
          <w:sz w:val="17"/>
          <w:szCs w:val="17"/>
          <w:color w:val="auto"/>
        </w:rPr>
        <w:t>“</w:t>
      </w:r>
      <w:r>
        <w:rPr>
          <w:rFonts w:ascii="Arial" w:cs="Arial" w:eastAsia="Arial" w:hAnsi="Arial"/>
          <w:sz w:val="17"/>
          <w:szCs w:val="17"/>
          <w:i w:val="1"/>
          <w:iCs w:val="1"/>
          <w:color w:val="auto"/>
        </w:rPr>
        <w:t>ASC 360</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2021 and December 31, 2020, accumulated depreciation related to furniture, equipment, purchased software and leasehold improvements totaled $46.5 million and $35.4 million, respectively. Depreciation expense for furniture, equipment, purchased software and leasehold improvements was $5.7 million and $4.4 million for the three months ended June 30, 2021 and 2020, respectively, and $11.1 million and $8.7 million for the six months ended June 30,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6"/>
          <w:szCs w:val="16"/>
          <w:i w:val="1"/>
          <w:iCs w:val="1"/>
          <w:color w:val="auto"/>
        </w:rPr>
        <w:t>Intangibles – Goodwill and Other (</w:t>
      </w:r>
      <w:r>
        <w:rPr>
          <w:rFonts w:ascii="Arial" w:cs="Arial" w:eastAsia="Arial" w:hAnsi="Arial"/>
          <w:sz w:val="16"/>
          <w:szCs w:val="16"/>
          <w:color w:val="auto"/>
        </w:rPr>
        <w:t>“</w:t>
      </w:r>
      <w:r>
        <w:rPr>
          <w:rFonts w:ascii="Arial" w:cs="Arial" w:eastAsia="Arial" w:hAnsi="Arial"/>
          <w:sz w:val="16"/>
          <w:szCs w:val="16"/>
          <w:i w:val="1"/>
          <w:iCs w:val="1"/>
          <w:color w:val="auto"/>
        </w:rPr>
        <w:t>ASC 350</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capitalized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indicate that the carrying amounts of the assets may not be fully recoverable, or that their useful lives are shorter than originally expected. Non-capitalized software costs and routine maintenance costs are expensed as incurred.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2021 and December 31, 2020, accumulated amortization related to software development costs totaled $89.4 million and $67.4 million, respectively. Amortization expense for software development costs was $11.3 million and $8.7 million for the three months ended June 30, 2021 and 2020, respectively, and $22.0 million and $16.7 million for the six months ended June 30,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in accordance with ASC 350, goodwill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assessed on October 1, 2020 and no impairment of goodwill was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ranging from seven to thirteen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2021 and December 31, 2020, accumulated amortization related to intangible assets totaled $273.4 million and $223.7 million, respectively. Amortization expense for definite-lived intangible assets was $24.9 million for each of the three months ended June 30, 2021 and 2020, and $49.7 million for each of the six months ended June 30,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29"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The Company has operating leases for corporate offices and data centers with initial lease terms ranging from one to 10 years. A right-of-use asset and a lease liability are recognized for all leases with an initial term in excess of twelve months. Significant assumptions and judgements in calculating the right-of-use assets and lease liability include the determination of the applicable borrowing rate for each lease. The Company includes the term covered by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Accounting Standards Update ("ASU")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method of adoption and elected to take the optional package of practical expedients, which allowed for no reassessment of:</w:t>
      </w:r>
    </w:p>
    <w:p>
      <w:pPr>
        <w:spacing w:after="0" w:line="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Deferred IPO and follow-on offering costs consist of legal, accounting, and other costs directly related to the Company’s efforts to raise capital. In accordance with ASC 505-10-25, </w:t>
      </w:r>
      <w:r>
        <w:rPr>
          <w:rFonts w:ascii="Arial" w:cs="Arial" w:eastAsia="Arial" w:hAnsi="Arial"/>
          <w:sz w:val="16"/>
          <w:szCs w:val="16"/>
          <w:i w:val="1"/>
          <w:iCs w:val="1"/>
          <w:color w:val="auto"/>
        </w:rPr>
        <w:t>Equity</w:t>
      </w:r>
      <w:r>
        <w:rPr>
          <w:rFonts w:ascii="Arial" w:cs="Arial" w:eastAsia="Arial" w:hAnsi="Arial"/>
          <w:sz w:val="16"/>
          <w:szCs w:val="16"/>
          <w:color w:val="auto"/>
        </w:rPr>
        <w:t>, these costs are recognized as a reduction in additional paid-in capital within the condensed consolidated statements of financial condition when the offering is effective. As of both June 30, 2021 and December 31, 2020,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the three and six months ended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Revenues and expenses denominated in foreign currencies are translated at the rate of exchange prevailing at the transaction date. Assets and liabilities denominated in foreign currencies are translated at the rate prevailing at the condensed consolidated statements of financial condition date. Foreign currency re-measurement gains or losses on transactions in nonfunctional currencies are recognized in the condensed consolidated statements of income within general and administrative expenses. The realized and unrealized losses totaled $0.1 million during both the three months ended June 30, 2021 and 2020, respectively, and realized and unrealized gains/losses totaled a $1.9 million loss and a $1.4 million gain during the six months ended June 30, 2021 and 2020, respectively. Gains or losses on translation in the financial statements of a non-U.S. operation, when the functional currency is other than the U.S. dollar, are included as a component of other comprehensive income.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losses on foreign currency forward contracts totaled $0.7 million and $2.4 million during the three months ended June 30, 2021 and 2020, respectively, and realized and unrealized gains/losses on foreign currency forward contracts totaled a $5.0 million gain and a $3.0 million loss during the six months ended June 30, 2021 and 2020, respectively. See Note 11 – Fair Value of Financial Instruments for additional details on the Company's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future.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w:t>
      </w:r>
      <w:r>
        <w:rPr>
          <w:rFonts w:ascii="Arial" w:cs="Arial" w:eastAsia="Arial" w:hAnsi="Arial"/>
          <w:sz w:val="17"/>
          <w:szCs w:val="17"/>
          <w:i w:val="1"/>
          <w:iCs w:val="1"/>
          <w:color w:val="auto"/>
        </w:rPr>
        <w:t>)</w:t>
      </w:r>
      <w:r>
        <w:rPr>
          <w:rFonts w:ascii="Arial" w:cs="Arial" w:eastAsia="Arial" w:hAnsi="Arial"/>
          <w:sz w:val="17"/>
          <w:szCs w:val="17"/>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Changes in the equity instrument's fair value during the requisite service period are recognized as compensation cost over that period.</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Class A common stock on the grant date.</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9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condensed consolidated statements of income over the requisite service period, with an offsetting increase to additional paid-in capital. The non-cash stock-based compensation expense associated with the Special Option Award began being expensed in the second quarter of 2019.</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Class A or Class B common stock, in the post-IPO period, using the treasury stock method, as applicable.</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(long positions) are marked to bid prices, and instruments that the Company has sold, but not yet purchased (short positions) are marked to offer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do not include transaction costs.</w:t>
      </w:r>
    </w:p>
    <w:p>
      <w:pPr>
        <w:spacing w:after="0" w:line="2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37"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48" w:lineRule="exact"/>
        <w:rPr>
          <w:rFonts w:ascii="Arial" w:cs="Arial" w:eastAsia="Arial" w:hAnsi="Arial"/>
          <w:sz w:val="16"/>
          <w:szCs w:val="16"/>
          <w:color w:val="auto"/>
        </w:rPr>
      </w:pPr>
    </w:p>
    <w:p>
      <w:pPr>
        <w:ind w:left="660" w:right="400" w:hanging="328"/>
        <w:spacing w:after="0" w:line="27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both June 30, 2021 and December 31, 2020, cash in the amount of $1.0 million has been segregated in the PAB reserve account exceeding the requirements pursuant to SEC Rule 15c3-3.</w:t>
      </w:r>
    </w:p>
    <w:p>
      <w:pPr>
        <w:spacing w:after="0" w:line="18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June 25, 2021, the Company completed its acquisition of all of the outstanding equity interests of Execution Access, LLC, Kleos Managed Services Holdings, LLC and Kleos Managed Services, L.P., which collectively represented the NFI Acquisition. The all-cash purchase price of $190.0 million is net of cash acquired, net of deposits with clearing organizations acquired and prior to working capital adjustments. Preliminary working capital adjustments resulted in a $0.7 million increase to the purchase price. Working capital adjustments will be finalized within 90 days of closing.</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Execution Access, LLC is a limited liability company organized in the state of Delaware and is a broker-dealer registered with the SEC and FINRA. The platform (formerly known as eSpeed) acquired from Nasdaq is a fully executable central order limit book (CLOB) for electronic trading in on-the-run (OTR) U.S. government bonds.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acquisition was accounted for as a business combination and the Company utilized the assistance of a third-party valuation specialist to determine the fair value of the assets acquired and liabilities assumed at the date of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was allocated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Purchase Price</w:t>
            </w: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Allocation</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87,981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99,236</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242,663</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Less: Deposits with clearing organizations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Preliminary working capital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Purchase price, net of cash and deposits acquired and excluding working capital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190,000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primary areas of the preliminary purchase price allocation that are not yet finalized as of June 30, 2021, relate primarily to the valuation of the identifiable intangible assets and software and final working capital adjustments. The allocation of the purchase price will be finalized upon completion of the analysis of the acquired assets within one year of the date of acquisition.</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acquired software development costs will be amortized over a useful life of one year and the customer relationships will be amortized over a useful life of 13 years. The goodwill recognized in connection with the NFI Acquisition is primarily attributable to the acquisition of an assembled workforce and expected synergies from the integration of the operations of the NFI Acquisition into the Company's operations and its single business segment. All of the goodwill recognized in connection with the NFI Acquisition is expected to be deductible for income tax purposes.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and six months ended June 30, 2021, the Company recognized $3.0 million and $4.7 million, respectively, in transaction costs incurred to effect the NFI Acquisition, which are included as a component of professional fees in the accompanying condensed consolidated statements of income.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NFI Acquisition was not material to the Company's condensed consolidated financial statements and therefore pro forma results of this acquisition have not been presented.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recognized and recorded on a trade-date basis and is generally billed monthly.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has been met.</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 based fees. The breakdown of revenues between fixed and variable revenues for the three and six months ended June 30, 2021 and 2020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2"/>
              </w:rPr>
              <w:t>June 30, 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0"/>
              </w:rPr>
              <w:t>June 30, 2020</w:t>
            </w:r>
          </w:p>
        </w:tc>
        <w:tc>
          <w:tcPr>
            <w:tcW w:w="900" w:type="dxa"/>
            <w:vAlign w:val="bottom"/>
            <w:tcBorders>
              <w:bottom w:val="single" w:sz="8" w:color="auto"/>
            </w:tcBorders>
          </w:tcPr>
          <w:p>
            <w:pPr>
              <w:spacing w:after="0"/>
              <w:rPr>
                <w:sz w:val="16"/>
                <w:szCs w:val="16"/>
                <w:color w:val="auto"/>
              </w:rPr>
            </w:pPr>
          </w:p>
        </w:tc>
      </w:t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Fixed</w:t>
            </w:r>
          </w:p>
        </w:tc>
      </w:tr>
      <w:tr>
        <w:trPr>
          <w:trHeight w:val="25"/>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166,655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124,530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35,731</w:t>
            </w: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49,156</w:t>
            </w:r>
          </w:p>
        </w:tc>
      </w:tr>
      <w:tr>
        <w:trPr>
          <w:trHeight w:val="23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48"/>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167,332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2021 and 2020 include $14.9 million and $14.6 million, respectively, of Refinitiv market data fees.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6"/>
                <w:szCs w:val="16"/>
                <w:color w:val="auto"/>
              </w:rPr>
            </w:pPr>
          </w:p>
        </w:tc>
        <w:tc>
          <w:tcPr>
            <w:tcW w:w="25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2"/>
              </w:rPr>
              <w:t>June 30,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2"/>
              </w:rPr>
              <w:t>June 30, 2020</w:t>
            </w:r>
          </w:p>
        </w:tc>
        <w:tc>
          <w:tcPr>
            <w:tcW w:w="900" w:type="dxa"/>
            <w:vAlign w:val="bottom"/>
            <w:tcBorders>
              <w:bottom w:val="single" w:sz="8" w:color="auto"/>
            </w:tcBorders>
          </w:tcPr>
          <w:p>
            <w:pPr>
              <w:spacing w:after="0"/>
              <w:rPr>
                <w:sz w:val="16"/>
                <w:szCs w:val="16"/>
                <w:color w:val="auto"/>
              </w:rPr>
            </w:pP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Fixed</w:t>
            </w:r>
          </w:p>
        </w:tc>
      </w:tr>
      <w:tr>
        <w:trPr>
          <w:trHeight w:val="25"/>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Transaction fees and commissions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346,322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272,308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71,270</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97,802</w:t>
            </w:r>
          </w:p>
        </w:tc>
      </w:tr>
      <w:tr>
        <w:trPr>
          <w:trHeight w:val="23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2021 and 2020 include $30.0 million and $29.2 million respectively, of Refinitiv market data fees.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59,970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(55,731)</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acquired in connection with the NFI Acquisition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During the six months ended June 30, 2021, the Company recognized $20.0 million in total revenue that was deferred as of December 31, 2020. During the six months ended June 30, 2020, the Company recognized $20.2 million in total revenue that was deferred as of December 31, 2019.</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three months ended June 30, 2021 and 2020 was approximately 20.6% and 23.4%, respectively. The Company’s effective tax rate for the six months ended June 30, 2021 and 2020 was approximately 18.5% and 21.5%, respectively.</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effective tax rate for the three and six months ended June 30,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4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primarily as the Continuing LLC Owners redeem or exchange their LLC Interests for shares of Class A common stock or Class B common stock, as applicable, or the Corporation purchases LLC Interests from the Continuing LLC Owners.</w:t>
      </w:r>
    </w:p>
    <w:p>
      <w:pPr>
        <w:spacing w:after="0" w:line="14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Company's consolidated effective tax rate will vary from period to period depending on redemptions, exchanges or purchases of LLC Interests as described above, changes in the geographic mix of its earnings and changes in tax legislation and tax rates in various jurisdictions.</w:t>
      </w:r>
    </w:p>
    <w:p>
      <w:pPr>
        <w:spacing w:after="0" w:line="1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7 – Tax Receivable Agreement. The tax benefit has been recognized in deferred tax assets on the June 30, 2021 condensed consolidated statement of financial condition.</w:t>
      </w:r>
    </w:p>
    <w:p>
      <w:pPr>
        <w:spacing w:after="0" w:line="15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As of both June 30, 2021 and December 31, 2020, the tax liability related to the Refinitiv Contribution was $2.7 million and is included within accounts</w:t>
      </w:r>
    </w:p>
    <w:p>
      <w:pPr>
        <w:spacing w:after="0" w:line="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payable, accrued expenses and other liabilities on the condensed consolidated statement of financial condition. The Company is indemnified by Refinitiv for tax liabilities that were assumed by the Company as a result of the Refinitiv Contribution. As of both June 30, 2021 and December 31, 2020, $2.7 million is included in other assets on the condensed consolidated statement of financial condition related to this related party indemnification.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mix of the Company’s earnings, tax legislation and tax rates in various jurisdictions, or other factors that may impact the Corporation’s tax savings, are reflected in income before taxes on the condensed consolidated statement of income in the period in which the change occurs. As of June 30, 2021 and December 31, 2020, the Tax Receivable Agreement liability on the condensed consolidated statements of financial condition totaled $425.2 million and $404.3 million, respectively. During the three and six months ended June 30, 2021 and 2020, no Tax Receivable Agreement liability adjustment was reflected in the condensed consolidated statements of income.</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980" w:type="dxa"/>
            <w:vAlign w:val="bottom"/>
            <w:gridSpan w:val="4"/>
          </w:tcPr>
          <w:p>
            <w:pPr>
              <w:ind w:left="1020"/>
              <w:spacing w:after="0"/>
              <w:rPr>
                <w:sz w:val="20"/>
                <w:szCs w:val="20"/>
                <w:color w:val="auto"/>
              </w:rPr>
            </w:pPr>
            <w:r>
              <w:rPr>
                <w:rFonts w:ascii="Arial" w:cs="Arial" w:eastAsia="Arial" w:hAnsi="Arial"/>
                <w:sz w:val="14"/>
                <w:szCs w:val="14"/>
                <w:b w:val="1"/>
                <w:bCs w:val="1"/>
                <w:color w:val="auto"/>
              </w:rPr>
              <w:t>June 30, 2021</w:t>
            </w:r>
          </w:p>
        </w:tc>
        <w:tc>
          <w:tcPr>
            <w:tcW w:w="2900" w:type="dxa"/>
            <w:vAlign w:val="bottom"/>
            <w:gridSpan w:val="3"/>
          </w:tcPr>
          <w:p>
            <w:pPr>
              <w:jc w:val="right"/>
              <w:ind w:right="957"/>
              <w:spacing w:after="0"/>
              <w:rPr>
                <w:sz w:val="20"/>
                <w:szCs w:val="20"/>
                <w:color w:val="auto"/>
              </w:rPr>
            </w:pPr>
            <w:r>
              <w:rPr>
                <w:rFonts w:ascii="Arial" w:cs="Arial" w:eastAsia="Arial" w:hAnsi="Arial"/>
                <w:sz w:val="14"/>
                <w:szCs w:val="14"/>
                <w:b w:val="1"/>
                <w:bCs w:val="1"/>
                <w:color w:val="auto"/>
              </w:rPr>
              <w:t>June 30, 2020</w:t>
            </w:r>
          </w:p>
        </w:tc>
      </w:tr>
      <w:tr>
        <w:trPr>
          <w:trHeight w:val="135"/>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Ownership</w:t>
            </w:r>
          </w:p>
        </w:tc>
      </w:tr>
      <w:tr>
        <w:trPr>
          <w:trHeight w:val="188"/>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202,086,400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187,575,300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30,531,933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39,513,246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232,618,333</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227,088,546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Controlling Interests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8"/>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74,424</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Increase in Tradeweb Markets Inc.'s additional paid-in capital as a result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379,623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85,462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425,059</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of ownership changes in TWM LLC</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425,059</w:t>
            </w:r>
          </w:p>
        </w:tc>
        <w:tc>
          <w:tcPr>
            <w:tcW w:w="0" w:type="dxa"/>
            <w:vAlign w:val="bottom"/>
          </w:tcPr>
          <w:p>
            <w:pPr>
              <w:spacing w:after="0"/>
              <w:rPr>
                <w:sz w:val="1"/>
                <w:szCs w:val="1"/>
                <w:color w:val="auto"/>
              </w:rPr>
            </w:pPr>
          </w:p>
        </w:tc>
      </w:tr>
      <w:tr>
        <w:trPr>
          <w:trHeight w:val="156"/>
        </w:trPr>
        <w:tc>
          <w:tcPr>
            <w:tcW w:w="56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attributable to Tradeweb Markets Inc. and</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60,113</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410,119</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208,637</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499,483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transfers (to) from non-controlling interests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2020 and there have been no changes to those rights and privileges during the three months ended June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Follow-On Offering</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of our executive officers (and the corresponding shares of Class C common stock and/or Class D common stock held by such holders were cancelled) and (ii) 596,418 issued and outstanding shares of Class A common stock from certain of our executive officers (which shares of Class A common stock were cancelled), at a purchase price per interest and share equal to the public offering price of $50.25, less the underwriting discounts and commissions payable thereon.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Stock options have a maximum contractual term of 10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three months ended June 30, 2021, the Company granted 1,315 RSUs at a weighted-average grant-date fair value of $76.00. During the six months ended June 30, 2021, the Company granted 321,175 RSUs and 205,655 PRSUs at a weighted-average grant-date fair value of $74.16 and $74.16, respectively. RSUs and PRSUs each represent promises to issue actual shares of Class A common stock at the end of a vesting period. The RSU awards granted to employees will vest one-third each year over a three-year period, and RSU awards granted to non-employee directors will vest after one year. PRSUs vest at the end of a three-year cliff vesting period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total stock-based compensation expense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150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04"/>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2020</w:t>
            </w: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10,346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February 4, 2021, the Company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second quarter of 2021, the Company began buying back shares pursuant to the Share Repurchase Program and acquired a total of 617,644 shares of Class A common stock, at an average price of $83.67, for purchases totaling $51.7 million during the three and six months ended June 30, 2021. Each share of Class A common stock repurchased pursuant to the Share Repurchase Program was funded with the proceeds, on a dollar-for-dollar basis, from the repurchase by Tradeweb Markets LLC of an LLC Interest from the Company in order to maintain the one-to-one ratio between shares of the Company's common stock and the LLC Interests. Subsequent to their repurchase, the shares of Class A common stock and the LLC Interests were all cancelled and retired. As of June 30, 2021, a total of $98.3 million remained available for repurchase pursuant to the Share Repurchase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2021 and 2020, the Company withheld 98,003 and 923,839 shares, respectively, of common stock from employee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option, PRSU and RSU awards, at an average price per share of $81.32 and $51.60, respectively, and an aggregate value of $8.0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$47.7 million, respectively, based on the price of the Class A common stock on the date the relevant withholding occurred.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2020, the Company withheld 794,850 and 1,438,984 shares, respectively, of common stock from employee stock option, PRSU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RSU awards, at an average price per share of $67.23 and $49.80, respectively, and an aggregate value of $53.4 million and $71.7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 price of the Class A common stock on the date the relevant withholding occurred.</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 parties.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June 30, 2021 and December 31, 2020, the following balances with such affiliates were included in the condensed consolidated statements of financial condition in the following line items: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3"/>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93"/>
              </w:rPr>
              <w:t>Three Months Ended</w:t>
            </w:r>
          </w:p>
        </w:tc>
        <w:tc>
          <w:tcPr>
            <w:tcW w:w="150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95"/>
        </w:trPr>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2020</w:t>
            </w:r>
          </w:p>
        </w:tc>
      </w:tr>
      <w:tr>
        <w:trPr>
          <w:trHeight w:val="218"/>
        </w:trPr>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70"/>
        </w:trPr>
        <w:tc>
          <w:tcPr>
            <w:tcW w:w="14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Subscription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29,193</w:t>
            </w:r>
          </w:p>
        </w:tc>
      </w:tr>
      <w:tr>
        <w:trPr>
          <w:trHeight w:val="270"/>
        </w:trPr>
        <w:tc>
          <w:tcPr>
            <w:tcW w:w="14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189"/>
        </w:trPr>
        <w:tc>
          <w:tcPr>
            <w:tcW w:w="140" w:type="dxa"/>
            <w:vAlign w:val="bottom"/>
          </w:tcPr>
          <w:p>
            <w:pPr>
              <w:spacing w:after="0"/>
              <w:rPr>
                <w:sz w:val="16"/>
                <w:szCs w:val="16"/>
                <w:color w:val="auto"/>
              </w:rPr>
            </w:pPr>
          </w:p>
        </w:tc>
        <w:tc>
          <w:tcPr>
            <w:tcW w:w="54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Shared Services Fees: </w:t>
            </w:r>
            <w:r>
              <w:rPr>
                <w:rFonts w:ascii="Arial" w:cs="Arial" w:eastAsia="Arial" w:hAnsi="Arial"/>
                <w:sz w:val="21"/>
                <w:szCs w:val="21"/>
                <w:color w:val="auto"/>
                <w:vertAlign w:val="superscript"/>
              </w:rPr>
              <w:t>(2)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14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14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76" w:lineRule="exact"/>
        <w:rPr>
          <w:sz w:val="20"/>
          <w:szCs w:val="20"/>
          <w:color w:val="auto"/>
        </w:rPr>
      </w:pPr>
    </w:p>
    <w:p>
      <w:pPr>
        <w:ind w:left="340" w:right="180" w:hanging="332"/>
        <w:spacing w:after="0" w:line="250"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40" w:right="760" w:hanging="332"/>
        <w:spacing w:after="0" w:line="255"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maintains a shared services agreement with Refinitiv. Under the terms of the agreement, Refinitiv provides the Company with certain real estate, payroll, benefits administration and other administrative support.</w:t>
      </w:r>
    </w:p>
    <w:p>
      <w:pPr>
        <w:spacing w:after="0" w:line="19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reimburses affiliates of Refinitiv for expenses paid on behalf of the Company for certain services including salaries, bonuses and various other administrative services. For the three months ended June 30, 2021 and 2020, the Company reimbursed such affiliates approximately $0.5 million and $0.9 million, respectively, for these expenses, and $0.7 million and $1.2 million, respectively, for the six months ended June 30, 2021 and 2020.</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 June 30, 2021 and December 31, 2020, $2.0 million related to these offering costs, is included as a component of the additional paid-in capital balance on the condensed consolidated statements of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have been categorized based upon the fair value hierarchy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As of June 30, 2021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316,335</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316,335</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316,335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319,174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June 30, 2021 and December 31, 2020, the counterparty on each of the foreign currency forward contracts was an affiliate of Refinitiv and therefore the corresponding liabilities on such contracts were included in payable to affiliates on the accompanying condensed consolidated statements of financial condition.</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23"/>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128,006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122,458</w:t>
            </w: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condensed consolidated statements of income are as follows:</w:t>
      </w: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150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04"/>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2020</w:t>
            </w: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financial instruments measured at fair value that are classified within level 3 of the fair value hierarchy.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not measured at fair value on the condensed consolidated statements of financial condition as of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have been categorized based upon the fair value hierarchy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June 30, 2021</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365,890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365,890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365,890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569,423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36,611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36,611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36,611</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250,490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3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measure certain assets and liabilities, such as assets acquired in a business combination, at fair value as of the acquisition date. See Note 4 – Acquisitions for further details regarding these non-recurring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Included in other assets on the condensed consolidated statements of financial condition are equity investments without readily determinable fair values of $21.1 million at both June 30, 2021 and December 31, 2020, respectively. There were no impairments or adjustments to the carrying value of equity investments without readily determinable fair values during the three and six months ended June 30, 2021 and 2020 and no adjustments to the original cost basis have been made to the carrying value over the life of the instruments.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Credit Risk</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6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$25.0 million in equity capital and $10.0 million in excess net capital (as defined in Rule 15c3-1 under the Securities Exchange Act of 1934).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As of both June 30, 2021 and December 31, 2020, the Company maintained an allowance for credit losses with regard to these receivables of $0.2 million. There was no credit loss expense recognized for each of the three and six months ended June 30, 2021 and 2020. For the three months ended June 30, 2021 and 2020, recoveries resulted in a reversal of credit loss expense totaling $42,000 and $28,000, respectively. For the six months ended June 30, 2021 and 2020, recoveries resulted in a reversal of credit loss expense totaling $106,000 and $29,000, respectively.</w:t>
      </w:r>
    </w:p>
    <w:p>
      <w:pPr>
        <w:spacing w:after="0" w:line="16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the accounts receivable aging.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Once determined uncollectible,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been named as a defendant, along with other financial institutions, in antitrust class actions (consolidated into two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served its motion to dismiss on Plaintiffs on June 14, 2021. The Company believes that it has meritorious defenses to the Amended Complaint and intends to continue to vigorously defend its position. The motions to dismiss are scheduled to be fully briefed by the first week of August 2021.</w:t>
      </w:r>
    </w:p>
    <w:p>
      <w:pPr>
        <w:spacing w:after="0" w:line="1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June 30, 2021, there were $0.5 million in letters of credit issued under the Revolving Credit Facility and no drawn amounts outstanding. As of December 31, 2020, there were no letters of credit issued under the Revolving Credit Facility and no drawn amounts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9"/>
          </w:tcPr>
          <w:p>
            <w:pPr>
              <w:jc w:val="right"/>
              <w:ind w:right="11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Numerator:</w:t>
            </w:r>
          </w:p>
        </w:tc>
        <w:tc>
          <w:tcPr>
            <w:tcW w:w="47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55,316</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30,496</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123,175</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74,424</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201,749,985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177,649,501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200,414,714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171,942,125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2,021,234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2,492,567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1,926,771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2,265,494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5,168,379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3,656,412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5,694,964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255,859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106,308</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5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207,463,960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185,489,824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206,253,756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180,008,891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0.60</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16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following table summarizes the weighted-average PRSUs, shares underlying options, RSUs and LLC Interests that were anti-dilutive for the periods indicated. As a result, these shares, which were outstanding, were excluded from the computation of diluted earnings per share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Anti-dilutive Shares:</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Equity-settled PRSUs</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23"/>
                <w:szCs w:val="23"/>
                <w:color w:val="auto"/>
              </w:rPr>
            </w:pP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289,376</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RSUs</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48,132,630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30,871,285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52,888,588</w:t>
            </w:r>
          </w:p>
        </w:tc>
      </w:tr>
    </w:tbl>
    <w:p>
      <w:pPr>
        <w:spacing w:after="0" w:line="2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Regulatory Capital Requirements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Securities Exchange Act of 1934. TEL and TESL are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and December 31, 2020, the regulatory capital requirements and regulatory capital for TWL, DW, TWD, TEL, TWJ, TWEU, TESL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June 30, 2021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TWJ</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TESL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w:t>
            </w: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6"/>
          </w:tcPr>
          <w:p>
            <w:pPr>
              <w:ind w:left="3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214,499</w:t>
            </w:r>
          </w:p>
        </w:tc>
      </w:tr>
      <w:tr>
        <w:trPr>
          <w:trHeight w:val="230"/>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214,411</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DW</w:t>
            </w:r>
          </w:p>
        </w:tc>
        <w:tc>
          <w:tcPr>
            <w:tcW w:w="100" w:type="dxa"/>
            <w:vAlign w:val="bottom"/>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49,254</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June 30, 2021 and December 31, 2020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As of June 30, 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2020</w:t>
            </w: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26"/>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2020</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160,883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129,992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336,207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275,604</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92,008</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42,042</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534,239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446,713</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177,048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352,120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313,459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133,254</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center"/>
              <w:ind w:right="316"/>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163,605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331,341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285,329</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161,384</w:t>
            </w:r>
          </w:p>
        </w:tc>
      </w:tr>
      <w:tr>
        <w:trPr>
          <w:trHeight w:val="223"/>
        </w:trPr>
        <w:tc>
          <w:tcPr>
            <w:tcW w:w="5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534,239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446,713</w:t>
            </w:r>
          </w:p>
        </w:tc>
      </w:tr>
      <w:tr>
        <w:trPr>
          <w:trHeight w:val="21"/>
        </w:trPr>
        <w:tc>
          <w:tcPr>
            <w:tcW w:w="56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6"/>
        </w:trPr>
        <w:tc>
          <w:tcPr>
            <w:tcW w:w="7400" w:type="dxa"/>
            <w:vAlign w:val="bottom"/>
            <w:gridSpan w:val="5"/>
          </w:tcPr>
          <w:p>
            <w:pPr>
              <w:spacing w:after="0"/>
              <w:rPr>
                <w:sz w:val="20"/>
                <w:szCs w:val="20"/>
                <w:color w:val="auto"/>
              </w:rPr>
            </w:pPr>
            <w:r>
              <w:rPr>
                <w:rFonts w:ascii="Arial" w:cs="Arial" w:eastAsia="Arial" w:hAnsi="Arial"/>
                <w:sz w:val="18"/>
                <w:szCs w:val="18"/>
                <w:color w:val="auto"/>
                <w:w w:val="94"/>
              </w:rPr>
              <w:t>The following table provides information on the attribution of long-lived assets by geographic area:</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0"/>
        </w:trPr>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3"/>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gridSpan w:val="4"/>
          </w:tcPr>
          <w:p>
            <w:pPr>
              <w:jc w:val="center"/>
              <w:ind w:right="336"/>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4,219,549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4,091,569</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4,235,789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4,108,113</w:t>
            </w:r>
          </w:p>
        </w:tc>
      </w:tr>
      <w:tr>
        <w:trPr>
          <w:trHeight w:val="21"/>
        </w:trPr>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On July 28, 2021, the board of directors of Tradeweb Markets Inc. declared a cash dividend of $0.08 per share of Class A common stock and Class B common stock for the third quarter of 2021. This dividend will be payable on September 15, 2021 to stockholders of record as of September 1, 2021.</w:t>
      </w:r>
    </w:p>
    <w:p>
      <w:pPr>
        <w:spacing w:after="0" w:line="12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July 27, 2021, Tradeweb Markets Inc., as the sole manager, approved a distribution by TWM LLC to its equityholders, including Tradeweb Markets Inc., in an aggregate amount of $19.0 million, as adjusted by required state and local tax withholdings that will be determined prior to the record date of September 1, 2021, payable on September 13,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NFI Acquisition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25, 2021, the Company completed its acquisition of all of the outstanding equity interests of Execution Access, LLC, Kleos Managed Services Holdings, LLC and Kleos Managed Services, L.P., which collectively represented the “NFI Acquisition”. The all-cash purchase price of $190.0 million is net of cash acquired, net of deposits with clearing organizations acquired and prior to working capital adjustments. The Nasdaq U.S. fixed income electronic trading platform acquired (formerly known as eSpeed) is a fully executable central order limit book (CLOB) for electronic trading in on-the-run (OTR) U.S. government bonds. Execution Access, LLC is a broker-dealer registered with the SEC and FINRA. The three business days of activity from the NFI Acquisition did not have a meaningful contribution to our results of operations for the three months ended June 30, 2021. See Note 4 – Acquisitions to the condensed consolidated financial statements included in this Quarterly Report on Form 10-Q for additional details on this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Our successful transition to remote work, more than a year ago reflected our commitment to keeping employees safe, helping clients succeed and playing a positive role in markets. Now, as we look ahead towards life beyond COVID-19, those same priorities are guiding our plans for a more robust and safe return to the office. Beginning in June 2021, many roles within Tradeweb have transitioned to a hybrid approach in our return to the office plans. Our creative and flexible return to the office plans aim to keep driving our business forward and allow safe collaboration and positive team dynamics.</w:t>
      </w:r>
    </w:p>
    <w:p>
      <w:pPr>
        <w:spacing w:after="0" w:line="19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the COVID-19 pandemic continues to evolve, it may also have the effect of heightening many of the risks described in “Item 1A. Risk Factors” in Part I of our 2020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during the remainder of 2021 include, among other things, economic, political and social conditions, legislative, regulatory or government policy changes, including related to COVID-19. As a result, our business is sensitive to slow trading environments and the continuity of conservative monetary policies of central banks internationally, which tend to lessen volatility.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new administration and regulatory agency appointees. The impact of any reform efforts on us and our operations remains uncertain. For example,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as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 “Quantitative and Qualitative Disclosures About Market Risk— Foreign Currency and Derivative Risk”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revenue is derived primarily from transaction fees, subscription fees, commissions and market data fees. We believe that revenue is the key driver of our operating performance and therefore we utilize it to assess our business on a period by period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pursuant to a shared services agreement. Factors that influence technology and communications expense include trading volumes and our investments in innovation, data strategy and cybersecurity.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the three and six months ended June 30, 2021 and 2020.</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June 30, 2021, we owned 86.9% of TWM LLC and the Continuing LLC Owners owned the remaining 13.1% of TWM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June 30, 2021 and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June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13.2 %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50.6 %</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13.6 %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33.1 %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879"/>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June 30, 2021 and 2020, and the resulting dollar and percentage changes,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928"/>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420" w:type="dxa"/>
            <w:vAlign w:val="bottom"/>
          </w:tcPr>
          <w:p>
            <w:pPr>
              <w:spacing w:after="0"/>
              <w:rPr>
                <w:sz w:val="13"/>
                <w:szCs w:val="13"/>
                <w:color w:val="auto"/>
              </w:rPr>
            </w:pPr>
          </w:p>
        </w:tc>
        <w:tc>
          <w:tcPr>
            <w:tcW w:w="8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205,381</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78.7 %</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160,261</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75.6 %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45,120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49,571</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2,650</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2,275</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2021 and 2020 include $14.9 million and $14.6 million, respectively, of Refinitiv market data fees.</w:t>
      </w:r>
    </w:p>
    <w:p>
      <w:pPr>
        <w:spacing w:after="0" w:line="13" w:lineRule="exact"/>
        <w:rPr>
          <w:rFonts w:ascii="Arial" w:cs="Arial" w:eastAsia="Arial" w:hAnsi="Arial"/>
          <w:sz w:val="14"/>
          <w:szCs w:val="14"/>
          <w:color w:val="auto"/>
        </w:rPr>
      </w:pPr>
    </w:p>
    <w:p>
      <w:pPr>
        <w:ind w:left="340" w:right="140" w:hanging="332"/>
        <w:spacing w:after="0" w:line="246"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driver of the $48.7 million increase in revenue related to a $45.1 million increase in transaction fees and commissions to $205.4 million for the three months ended June 30, 2021 from $160.3 million for the three months ended June 30, 2020, primarily due to increased volumes and fees for U.S. and European corporate bonds, rates derivatives products and U.S. government bonds. The NFI Acquisition, which closed on June 25, 2021, did not have a meaningful contribution to revenue for the three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June 30, 2021 and 2020, and the resulting dollar and percentage changes,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134,003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112,823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18.8 %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79,766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54,237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62,101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50,722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June 30, 2021 and 2020, and the resulting percentage changes,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Volume</w:t>
            </w:r>
          </w:p>
        </w:tc>
        <w:tc>
          <w:tcPr>
            <w:tcW w:w="3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36,557,865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31,796,020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20,348,109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18,717,824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13,078,196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10,441,873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8,811,975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5,767,883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1,140,358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1,120,317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599,774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486,716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633,602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1,007,641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627,197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516,734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396,849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23,332,283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15,309,908</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976,876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62,038,148</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778,380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48,853,443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4060" w:type="dxa"/>
            <w:vAlign w:val="bottom"/>
            <w:vMerge w:val="continue"/>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886,053</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56,270,265</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710,218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44,587,221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25.5 %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24.8 %</w:t>
      </w:r>
    </w:p>
    <w:p>
      <w:pPr>
        <w:spacing w:after="0" w:line="933" w:lineRule="exact"/>
        <w:rPr>
          <w:sz w:val="20"/>
          <w:szCs w:val="20"/>
          <w:color w:val="auto"/>
        </w:rPr>
      </w:pPr>
    </w:p>
    <w:p>
      <w:pPr>
        <w:sectPr>
          <w:pgSz w:w="11900" w:h="16838" w:orient="portrait"/>
          <w:cols w:equalWidth="0" w:num="2">
            <w:col w:w="10340" w:space="340"/>
            <w:col w:w="560"/>
          </w:cols>
          <w:pgMar w:left="320" w:top="125" w:right="339"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three months ended June 30, 2021 and 2020 are summarized below. There are three potential drivers of quarterly fluctuations in our average variable fees per million: (1) volume discounts, (2) the mix and duration of cash and derivatives products traded, and (3) the mix of protocols underpinning cash and derivatives products.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11.7 %</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47.6 %</w:t>
            </w:r>
          </w:p>
        </w:tc>
      </w:tr>
      <w:tr>
        <w:trPr>
          <w:trHeight w:val="230"/>
        </w:trPr>
        <w:tc>
          <w:tcPr>
            <w:tcW w:w="54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138.52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(14.8) %</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 %</w:t>
            </w: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 per Million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r>
      <w:tr>
        <w:trPr>
          <w:trHeight w:val="30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Fees per Million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5.6 %</w:t>
            </w:r>
          </w:p>
        </w:tc>
      </w:tr>
    </w:tbl>
    <w:p>
      <w:pPr>
        <w:spacing w:after="0" w:line="1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$21.2 million or 18.8% to $134.0 million for the three months ended June 30, 2021 compared to $112.8 million for the three months ended June 30, 2020 primarily due to variable transaction fees and commissions earned on higher trading volumes for rates derivatives products and U.S. and European government bonds.</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Average variable fees per million for rates increased due to growth of higher fee long-tenor swaps volumes, which have a higher variable fee capture compared to overall rates.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$23.1 million or 47.1% to $72.2 million for the three months ended June 30, 2021 compared to $49.1 million for the three months ended June 30, 2020 primarily due to variable transaction fees and commissions on higher trading volumes for U.S. and European corporate bonds.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Average variable fees per million for credit increased due to higher growth in volume for fully electronic U.S. High-Grade and U.S. High-Yield cash credit products and European credit products, which have a higher variable fee capture compared to credit derivatives which experienced a decline in trading volume period over period.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$2.0 million or 12.9% to $17.4 million for the three months ended June 30, 2021 compared to $15.4 million for the three months ended June 30, 2020 primarily due to variable transaction fees and commissions on higher trading volumes for European ETFs.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Average variable fees per million for equities decreased due to higher growth in U.S. equity derivative products, which have a lower variable fee capture compared to overall equities products.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$0.8 million or 7.6% to $11.3 million for the three months ended June 30, 2021 compared to $10.5 million for the three months ended June 30, 2020 primarily due to variable transaction fees and commissions on higher trading volumes for repurchase agreements, which set a record in average daily volume for the three months ended June 30, 2021, partially offset by lower trading volumes for certificates of deposit, which have a higher fee per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Average variable fees per million for money markets decreased due to a mix shift to lower fee per million repurchase agreements and away from higher fee certificates of deposit.</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$1.5 million or 8.2% to $20.0 million for the three months ended June 30, 2021 compared to $18.5 million for the three months ended June 30, 2020. The increase was derived from increased third party market data fees, revenue from our APA reporting service and Refinitiv market data fees.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$0.1 million or 2.5%, to $5.9 million for the three months ended June 30, 2021 compared to $5.7 million for the three months ended June 30, 2020 primarily due to increased fees from software development and implementation revenue on behalf of certain clients..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160,883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129,992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23.8 %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$30.9 million or 23.8% to $160.9 million for the three months ended June 30, 2021 from $130.0 million for the three months ended June 30, 2020. The increase was derived primarily from increased volumes for rates derivatives products and U.S. and European corporate bonds.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$18.4 million or 42.6% to $61.7 million for the three months ended June 30, 2021 from $43.3 million for the three months ended June 30, 2020. The increase was derived primarily from increased volumes for U.S. and European corporate bonds and U.S. government bonds.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$2.1 million or 10.3% to $18.3 million for the three months ended June 30, 2021 from $20.4 million for the three months ended June 30, 2020. The decrease was derived primarily from lower volumes from U.S corporate bonds, certificates of deposit and municipals, partially offset by increased fees from structured products.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$1.5 million or 8.2% to $20.0 million for the three months ended June 30, 2021 from $18.5 million for the three months ended June 30, 2020. The increase was derived from increased third party market data fees, revenue from our APA reporting service and Refinitiv market data fees.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three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163,605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23,532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16.8 %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$23.5 million or 16.8% to $163.6 million for the three months ended June 30, 2021 from $140.1 million for the three months ended June 30, 2020 primarily due to higher revenues for U.S. corporate bonds and U.S. government bonds.</w:t>
      </w:r>
    </w:p>
    <w:p>
      <w:pPr>
        <w:spacing w:after="0" w:line="146"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xml:space="preserve"> Revenues from International clients increased by $25.2 million or 35.0% to $97.2 million for the three months ended June 30, 2021 from $72.0 million for the three months ended June 30, 2020 primarily due to higher revenues for rates derivatives products and European corporate bonds. Fluctuations in foreign currency rates for the three months ended June 30, 2021 increased our International total revenue by $4.1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June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16.8 %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56.9 %</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3.1 %</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Expenses related to employee compensation and benefits increased by $9.6 million or 10.8% to $98.4 million for the three months ended June 30, 2021 from $88.9 million for the three months ended June 30, 2020. The increase was primarily due to increases in commissions due to higher revenues from our wholesale client sector, salaries and benefits as a result of increased employee headcount and incentive compensation expenses tied to operating performance.</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Expenses related to depreciation and amortization increased by $3.9 million or 10.4% to $41.9 million for the three months ended June 30, 2021 from $37.9 million for the three months ended June 30, 2020. The increase in depreciation and amortization expense was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w:t>
      </w:r>
    </w:p>
    <w:p>
      <w:pPr>
        <w:spacing w:after="0" w:line="163" w:lineRule="exact"/>
        <w:rPr>
          <w:sz w:val="20"/>
          <w:szCs w:val="20"/>
          <w:color w:val="auto"/>
        </w:rPr>
      </w:pPr>
    </w:p>
    <w:p>
      <w:pPr>
        <w:jc w:val="both"/>
        <w:ind w:right="240"/>
        <w:spacing w:after="0" w:line="276"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$1.9 million or 15.9% to $14.0 million for the three months ended June 30, 2021 from $12.0 million for the three months ended June 30, 2020. The increase was primarily due to an increased investment in our data strategy and cybersecurity and increased clearance and data fees driven primarily by higher trading volumes period over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Expenses related to general and administrative costs increased by $1.3 million or 16.8% to $8.8 million for the three months ended June 30, 2021 from $7.5 million for the three months ended June 30, 2020. The increase was primarily due to higher travel and entertainment expenses, as COVID-19 contributed to a reduction in expenses during 2020, as well as higher insurance, marketing and other administrative expenses during 2021. The increase was partially offset by lower foreign exchange losses during the three months ended June 30, 2021.</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Expenses related to professional fees increased by $3.8 million or 56.9% to $10.4 million for the three months ended June 30, 2021 from $6.6 million for the three months ended June 30, 2020. The increase was primarily due to acquisition transaction costs related to the NFI Acquisition and higher consulting fees.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remained relatively flat at $3.6 million for the three months ended June 30, 2021 as compared to $3.5 million for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remained flat at $0.3 million for the three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Income tax expense increased by $4.3 million to $17.2 million for the three months ended June 30, 2021 from $12.9 million for the three months ended June 30, 2020. The provision for income taxes includes U.S. federal, state, local, and foreign taxes. The effective tax rate for the three months ended June 30, 2021 was approximately 20.6%, compared with 23.4% for the three months ended June 30, 2020. The effective tax rate for the three months ended June 30,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2021 and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six months ended June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534,239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87,526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38,661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12.3 %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48,865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4"/>
              </w:rPr>
              <w:t>(1,231)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(298.1)%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47,634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4"/>
              </w:rPr>
              <w:t>(4,729)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16.4 %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42,905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4"/>
              </w:rPr>
              <w:t>(5,846)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48,751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six months ended June 30, 2021 and 2020, and the resulting dollar and percentage changes,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580" w:type="dxa"/>
            <w:vAlign w:val="bottom"/>
          </w:tcPr>
          <w:p>
            <w:pPr>
              <w:spacing w:after="0"/>
              <w:rPr>
                <w:sz w:val="13"/>
                <w:szCs w:val="13"/>
                <w:color w:val="auto"/>
              </w:rPr>
            </w:pPr>
          </w:p>
        </w:tc>
        <w:tc>
          <w:tcPr>
            <w:tcW w:w="6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423,197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79.2 %</w:t>
            </w:r>
          </w:p>
        </w:tc>
        <w:tc>
          <w:tcPr>
            <w:tcW w:w="8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343,578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76.9 %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79,619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105,794</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4,453</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446,713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2021 and 2020 include $30.0 million and $29.2 million respectively, of Refinitiv market data fees.</w:t>
      </w:r>
    </w:p>
    <w:p>
      <w:pPr>
        <w:spacing w:after="0" w:line="13" w:lineRule="exact"/>
        <w:rPr>
          <w:rFonts w:ascii="Arial" w:cs="Arial" w:eastAsia="Arial" w:hAnsi="Arial"/>
          <w:sz w:val="14"/>
          <w:szCs w:val="14"/>
          <w:color w:val="auto"/>
        </w:rPr>
      </w:pPr>
    </w:p>
    <w:p>
      <w:pPr>
        <w:ind w:left="340" w:right="140" w:hanging="332"/>
        <w:spacing w:after="0" w:line="246"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driver of the $87.5 million increase in revenue related to a $79.6 million increase in transaction fees and commissions to $423.2 million for the six months ended June 30, 2021 from $343.6 million for the six months ended June 30, 2020, primarily due to increased volumes and fees for U.S. and European corporate bonds, rates derivatives products and U.S. government bonds. The NFI Acquisition, which closed on June 25, 2021, did not have a meaningful contribution to revenue for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six months ended June 30, 2021 and 2020, and the resulting dollar and percentage changes,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276,932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238,862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38,070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7.9 %</w:t>
            </w: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534,239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six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169,417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107,515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137,642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101,220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347,674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186,565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$38.1 million or 15.9% to $276.9 million for the six months ended June 30, 2021 compared to $238.9 million for the six months ended June 30, 2020 primarily due to variable transaction fees and commissions earned on higher trading volumes for rates derivatives products and U.S. and European government bonds.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$43.5 million or 42.2% to $146.6 million for the six months ended June 30, 2021 compared to $103.1 million for the six months ended June 30, 2020 primarily due to variable transaction fees and commissions on higher trading volumes for U.S. and European corporate bonds which were partially offset by lower credit derivatives volumes. Credit derivatives experienced an all-time high in volumes during the three months ended March 31, 2020.</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$1.4 million or 4.1% to $36.3 million for the six months ended June 30, 2021 compared to $34.8 million for the six months ended June 30, 2020 due to variable transaction fees and commissions on higher trading volumes for European ETFs which were partially offset by lower trading volumes for wholesale equity products.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$0.4 million or 1.9% to $22.2 million for the six months ended June 30, 2021 compared to $21.7 million for the six months ended June 30, 2020 primarily due to variable transaction fees and commissions on higher trading volumes for repurchase agreements, partially offset by lower trading volumes for certificates of deposit, which have a higher fee per million.</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$2.9 million or 7.9% to $40.0 million for the six months ended June 30, 2021 compared to $37.1 million for the six months ended June 30, 2020. The increase was derived from increased third party market data fees, Refinitiv market data fees and revenue from our APA reporting service.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$1.2 million or 10.9%, to $12.3 million for the six months ended June 30, 2021 compared to $11.1 million for the six months ended June 30, 2020 primarily due to increased fees from software development and implementation revenue on behalf of certain clients.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six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336,207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275,604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60,603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534,239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$60.6 million or 22.0% to $336.2 million for the six months ended June 30, 2021 from $275.6 million for the six months ended June 30, 2020. The increase was derived primarily from increased volumes for U.S. and European corporate bonds and rates derivatives products.</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$29.1 million or 31.6% to $121.1 million for the six months ended June 30, 2021 from $92.0 million for the six months ended June 30, 2020. The increase was derived primarily from increased volumes for U.S. and European corporate bonds and U.S. government bonds.</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u w:val="single" w:color="auto"/>
          <w:color w:val="auto"/>
        </w:rPr>
        <w:t>Retail</w:t>
      </w:r>
      <w:r>
        <w:rPr>
          <w:rFonts w:ascii="Arial" w:cs="Arial" w:eastAsia="Arial" w:hAnsi="Arial"/>
          <w:sz w:val="17"/>
          <w:szCs w:val="17"/>
          <w:color w:val="auto"/>
        </w:rPr>
        <w:t>. Revenues from our retail client sector decreased by $5.1 million or 12.1% to $37.0 million for the six months ended June 30, 2021 from $42.0 million for the six months ended June 30, 2020. The decrease was derived primarily from lower volumes from certificates of deposit, U.S. corporate bonds and municipals, partially offset by increased fees from software development and implementation revenue on behalf of certain clients.</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$2.9 million or 7.9% to $40.0 million for the six months ended June 30, 2021 from $37.1 million for the six months ended June 30, 2020. The increase was derived from increased third party market data fees, Refinitiv market data fees and revenue from our APA reporting service.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six months ended June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331,341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285,329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16.1 %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202,898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534,239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$46.0 million or 16.1% to $331.3 million for the six months ended June 30, 2021 from $285.3 million for the six months ended June 30, 2020 primarily due to higher revenues for U.S. corporate bonds and U.S. government bonds.</w:t>
      </w:r>
    </w:p>
    <w:p>
      <w:pPr>
        <w:spacing w:after="0" w:line="170"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xml:space="preserve"> Revenues from International clients increased by $41.5 million or 25.7% to $202.9 million for the six months ended June 30, 2021 from $161.4 million for the six months ended June 30, 2020 primarily due to higher revenues for rates derivatives products and European corporate bonds. Fluctuations in foreign currency rates for the six months ended June 30, 2021 increased our International total revenue by $7.9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six months ended June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Expenses related to employee compensation and benefits increased by $22.7 million or 12.6% to $202.1 million for the six months ended June 30, 2021 from $179.4 million for the six months ended June 30, 2020. The increase was primarily due to increases in salaries and benefits as a result of increased employee headcount, commissions due to higher revenues from our wholesale client sector and incentive compensation expenses tied to operating performance.</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Expenses related to depreciation and amortization increased by $7.7 million or 10.3% to $82.8 million for the six months ended June 30, 2021 from $75.1 million for the six months ended June 30, 2020. The increase in depreciation and amortization expense was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w:t>
      </w:r>
    </w:p>
    <w:p>
      <w:pPr>
        <w:spacing w:after="0" w:line="1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$5.1 million or 23.0% to $27.5 million for the six months ended June 30, 2021 from $22.4 million for the six months ended June 30, 2020. The increase was primarily due to an increased investment in our data strategy and cybersecurity and increased clearance and data fees driven primarily by higher trading volumes period over period.</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Expenses related to general and administrative costs decreased by $3.6 million or 22.8% to $12.2 million for the six months ended June 30, 2021 from $15.9 million for the six months ended June 30, 2020. The decrease was primarily due to foreign exchange gains during the six months ended June 30, 2021, which reduced the net expense during the period, as compared to losses during the six months ended June 30, 2020 as well as a decrease in travel and entertainment expenses, primarily due to the impact of COVID-19. These decreases were offset by higher insurance, marketing and other administrative expenses during 2021.</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Expenses related to professional fees increased by $6.6 million or 48.6% to $20.1 million for the six months ended June 30, 2021 from $13.5 million for the six months ended June 30, 2020. The increase was primarily due to acquisition transaction costs related to the NFI Acquisition and higher consulting fees.</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remained relatively flat at $7.4 million for the six months ended June 30, 2021 as compared to $7.2 million for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interest income (expense) decreased by $1.2 million to net interest expense of $0.8 million for the six months ended June 30, 2021 from net interest income of $0.4 million for the six months ended June 30, 2020 due to a decrease in interest rates.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Income tax expense increased by $4.7 million to $33.5 million for the six months ended June 30, 2021 from $28.8 million for the six months ended June 30, 2020. The provision for income taxes includes U.S. federal, state, local, and foreign taxes. The effective tax rate for the six months ended June 30, 2021 was approximately 18.5%, compared with 21.5% for the six months ended June 30, 2020. The effective tax rate for the six months ended June 30,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our expected dividend payments, and our share repurchase program.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June 30, 2021 under the Tax Receivable Agreement were $425.2 million, substantially all due to be paid over 15 years. The first payment of the Tax Receivable Agreement was made in January 2021.</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June 30, 2021 and December 31, 2020, we had cash and cash equivalents of approximately $681.2 million and $791.3 million, respectively. All cash and cash equivalents were held in accounts with banks or money market funds such that the funds are immediately available or in fixed term deposits with a maximum maturity of three months.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On July 28, 2021, the board of directors of Tradeweb Markets Inc. declared a cash dividend of $0.08 per share of Class A common stock and Class B common stock for the third quarter of 2021. This dividend will be payable on September 15, 2021 to stockholders of record as of September 1, 2021.</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March and June 2021, Tradeweb Markets Inc. paid quarterly cash dividends to holders of Class A common stock and Class B common stock in an aggregate amount totaling $32.2 million during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July 27, 2021, Tradeweb Markets Inc., as the sole manager, approved a distribution by TWM LLC to its equityholders, including Tradeweb Markets Inc., in an aggregate amount of $19.0 million, as adjusted by required state and local tax withholdings that will be determined prior to the record date of September 1, 2021, payable on September 13, 2021.</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March and June 2021, TWM LLC made a quarterly cash distribution to its equityholders in an aggregate amount totaling $33.8 million during the six months ended June 30, 2021, including distributions to Tradeweb Markets Inc. totaling $29.3 million and distributions to non-controlling interests totaling $4.5 million. The proceeds of the cash distributions were used by Tradeweb Markets Inc. to fund dividend payments, taxes and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During the second quarter of 2021, the Company began buying back shares pursuant to the Share Repurchase Program and acquired a total of 617,644 shares of Class A common stock, at an average price of $83.67, for purchases totaling $51.7 million during the three and six months ended June 30, 2021.</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Share Repurchase Program discussed above, we may also withhold shares to cover the payroll tax withholding obligations upon the exercise of stock options and vesting of restricted stock units.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six months ended June 30, 2021 and 2020, the Company withheld 794,850 and 1,438,984 shares, respectively, of common stock from employee stock option, PRSU and RSU awards, at an average price per share of $67.23 and $49.80, respectively, and an aggregate value of $53.4 million and $71.7 million, respectively, based on the price of the Class A common stock on the date the relevant withholding occurred.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we had no outstanding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8, 2019, TWM LLC entered into the Revolving Credit Facility with a syndicate of banks. The Revolving Credit Facility was subsequently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amended on November 7, 2019. The Revolving Credit Facility provides $500.0 million of borrowing capacity to be used to fund our ongoing working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needs, letters of credit and for general corporate purposes, including potential future acquisitions and expansions. As of June 30, 2021, there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in letters of credit issued under the Revolving Credit Facility and no drawn amounts outstanding. The Revolving Credit Facility will mature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8, 2024.</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 incur additional indebtedness, pay dividends or distributions, make investments and enter into certain other transactions. As of June 30, 2021, we were in compliance with all the covenants set forth in the Revolving Credit Facility.</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 Factors Influencing Our Liquidity and Capital Resources – Indebtedness” in Part II of our 2020 Form 10-K for additional details regarding the terms, restrictions and covenants applicable to our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Conduct Authority in the UK, the Nederlandsche Bank in the Netherlands, the Japanese Financial Services Agency, the Japanese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Association and other foreign regulators, and must maintain financial resources, as defined in the applicable regulations, in excess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resources requirement. As of June 30, 2021 and December 31, 2020, each of our regulated subsidiaries had maintained sufficient net capital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resources to at least satisfy their minimum requirements which in aggregate were $66.1 million and $65.1 million, respectively. We maintain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balances in these subsidiaries in excess of our minimum requirements in order to satisfy working capital needs and to ensure that we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on hand to satisfy margin requirements and credit risk, including the excess capital expectations of our clients.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June 30, 2021 and December 31, 2020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31"/>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791,280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11,671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886,164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23,193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212,359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229,497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680,219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Current assets decreased to $886.2 million as of June 30, 2021 from $909.7 million as of December 31, 2020 primarily due to a decrease in cash and cash equivalents (see “—Cash Flows” below), partially offset by an increase in accounts receivable as a result of increased revenues and earnings and due to an increase in receivables from brokers and dealers and clearing organizations resulting from a higher number of fails to deliver as a result of increased unsettled wholesale platform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 liabilities decreased to $212.4 million as of June 30, 2021 from $229.5 million as of December 31, 2020 primarily due to a decrease in accrued compensation as a result of annual bonus payments which occurred during the six months ended June 30, 2021, partially offset by an increase in payable to brokers and dealers and clearing organizations resulting from a higher number of fails to deliver as a result of increased unsettled wholesale platform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“—Capital Requirements”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for the six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right="2160"/>
        <w:spacing w:after="0" w:line="412" w:lineRule="auto"/>
        <w:rPr>
          <w:sz w:val="20"/>
          <w:szCs w:val="20"/>
          <w:color w:val="auto"/>
        </w:rPr>
      </w:pPr>
      <w:r>
        <w:rPr>
          <w:rFonts w:ascii="Arial" w:cs="Arial" w:eastAsia="Arial" w:hAnsi="Arial"/>
          <w:sz w:val="16"/>
          <w:szCs w:val="16"/>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6"/>
        </w:trPr>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29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204,006</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164,553</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(234,367)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(19,180)</w:t>
            </w:r>
          </w:p>
        </w:tc>
      </w:tr>
      <w:tr>
        <w:trPr>
          <w:trHeight w:val="230"/>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(80,513)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(42,169)</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720" w:space="720"/>
            <w:col w:w="2800"/>
          </w:cols>
          <w:pgMar w:left="320" w:top="125" w:right="339" w:bottom="1440" w:gutter="0" w:footer="0" w:header="0"/>
        </w:sectPr>
      </w:pPr>
    </w:p>
    <w:p>
      <w:pPr>
        <w:spacing w:after="0" w:line="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provided by operating activities for the six months ended June 30, 2021 was $204.0 million, an increase of $39.5 million over the six months ended June 30, 2020, primarily driven by an increase in net income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generally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Net cash used in investing activities was $234.4 million for the six months ended June 30, 2021, which consisted of $208.9 million in total net cash paid related to the NFI Acquisition (net of cash acquired), $17.0 million of capitalized software development costs and $8.5 million of purchases of furniture, equipment, purchased software and leasehold improvements. Net cash used in investing activities was $19.2 million for the six months ended June 30, 2020, which consisted of $14.8 million of capitalized software development costs and $4.4 million of purchases of furniture, equipment, purchased software and leasehold improvements.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cash used in financing activities for the six months ended June 30, 2021 was $80.5 million, and was primarily driven by $51.1 million in share repurchases pursuant to the Share Repurchase Program and $32.2 million in cash dividends to our Class A and Class B common stockholders, partially offset by $14.1 million in net proceeds from stock-based compensation option exercises, net of related stock-based compensation payroll tax payments for options, PRSUs and RSUs. Net cash used in financing activities for the six months ended June 30, 2020 was $42.2 million, and was primarily driven by $27.9 million in cash dividends to our Class A and Class B common stockholders and $9.0 million in net proceeds from stock-based compensation option exercises, net of related stock-based compensation payroll tax payments for options, PRSUs and RSUs.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six months ended June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2020</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9"/>
                <w:szCs w:val="19"/>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(16,967)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(14,798)</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178,496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145,373</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payroll taxes associated with certain option exercises, tax receivable agreement liability adjustments, unrealized gains and losses from outstanding foreign currency forward contracts and gains and losses from the revaluation of foreign denominated cash.</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payroll taxes associated with certain option exercises,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Adjusted EBITDA margin and Adjusted EBIT margin are defined as Adjusted EBITDA and Adjusted EBIT, respectively, divided by revenue for the applicable period.</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discussed below under “— Critical Accounting Policies and Estimates — Stock-Based Compensation,”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2021.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88" w:lineRule="exact"/>
        <w:rPr>
          <w:sz w:val="20"/>
          <w:szCs w:val="20"/>
          <w:color w:val="auto"/>
        </w:rPr>
      </w:pPr>
    </w:p>
    <w:p>
      <w:pPr>
        <w:jc w:val="both"/>
        <w:ind w:right="520"/>
        <w:spacing w:after="0" w:line="30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payroll taxes associated with certain option exercises, tax receivable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7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tax receivable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six months ended June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66,233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147,798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104,893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41,867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37,919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82,833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75,095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17,234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12,945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33,503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28,774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131,898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273,982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220,959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(41,867)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92"/>
              <w:spacing w:after="0" w:line="203" w:lineRule="exact"/>
              <w:rPr>
                <w:sz w:val="20"/>
                <w:szCs w:val="20"/>
                <w:color w:val="auto"/>
              </w:rPr>
            </w:pPr>
            <w:r>
              <w:rPr>
                <w:rFonts w:ascii="Arial" w:cs="Arial" w:eastAsia="Arial" w:hAnsi="Arial"/>
                <w:sz w:val="18"/>
                <w:szCs w:val="18"/>
                <w:color w:val="auto"/>
              </w:rPr>
              <w:t>(37,919)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(82,833)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91"/>
              <w:spacing w:after="0" w:line="203" w:lineRule="exact"/>
              <w:rPr>
                <w:sz w:val="20"/>
                <w:szCs w:val="20"/>
                <w:color w:val="auto"/>
              </w:rPr>
            </w:pPr>
            <w:r>
              <w:rPr>
                <w:rFonts w:ascii="Arial" w:cs="Arial" w:eastAsia="Arial" w:hAnsi="Arial"/>
                <w:sz w:val="18"/>
                <w:szCs w:val="18"/>
                <w:color w:val="auto"/>
              </w:rPr>
              <w:t>(75,095)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 D&amp;A related to acquisitions and the Refinitiv Transaction</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30,240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59,843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120,271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90,521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250,992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199,268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304"/>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3"/>
                <w:szCs w:val="23"/>
                <w:color w:val="auto"/>
                <w:vertAlign w:val="superscript"/>
              </w:rPr>
              <w:t>(6)</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47.0 %</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40" w:right="540" w:hanging="332"/>
        <w:spacing w:after="0" w:line="250"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4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340" w:right="6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440" w:hanging="332"/>
        <w:spacing w:after="0" w:line="255"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intangible asset amortization and increased tangible asset and capitalized software depreciation and amortization resulting from the NFI Acquisition and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4"/>
          <w:szCs w:val="14"/>
          <w:color w:val="auto"/>
        </w:rPr>
      </w:pPr>
    </w:p>
    <w:p>
      <w:pPr>
        <w:ind w:left="340" w:right="20" w:hanging="332"/>
        <w:spacing w:after="0" w:line="268" w:lineRule="auto"/>
        <w:tabs>
          <w:tab w:leader="none" w:pos="332"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the three months ended June 30, 2021, Adjusted EBITDA margin increased compared to the prior year period by 280 basis points, or 297 basis points on a constant currency basis. For the three months ended June 30, 2021, Adjusted EBIT margin increased compared to the prior year period by 343 basis points, or 353 basis points on a constant currency basis. For the six months ended June 30, 2021, Adjusted EBITDA margin increased compared to the prior year period by 182 basis points, or 244 basis points on a constant currency basis. For the six months ended June 30, 2021, Adjusted EBIT margin increased compared to the prior year period by 237 basis points, or 292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six months ended June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195"/>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2020</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123,175</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74,424</w:t>
            </w:r>
          </w:p>
        </w:tc>
      </w:tr>
      <w:tr>
        <w:trPr>
          <w:trHeight w:val="27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30,469</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28,774</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30,240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59,843</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53,404</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119,946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90,235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250,174</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199,681</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(55,038)</w:t>
            </w:r>
          </w:p>
        </w:tc>
        <w:tc>
          <w:tcPr>
            <w:tcW w:w="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195,136</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60" w:hanging="332"/>
        <w:spacing w:after="0" w:line="250"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4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intangible asset amortization and increased tangible asset and capitalized software depreciation and amortization resulting from the NFI Acquisition and the application of pushdown accounting to the Refinitiv Transaction (where all assets were marked to fair value as of the closing date of the Refinitiv Transaction).</w:t>
      </w:r>
    </w:p>
    <w:p>
      <w:pPr>
        <w:ind w:left="340" w:right="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340" w:right="6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12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22.0% applied to Adjusted Net Income before income taxes for each of the three and six months ended June 30, 2021 and 2020.</w:t>
      </w:r>
    </w:p>
    <w:p>
      <w:pPr>
        <w:ind w:left="340" w:right="780" w:hanging="332"/>
        <w:spacing w:after="0" w:line="255"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and six months ended June 30, 2021 and 2020:</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6"/>
                <w:szCs w:val="16"/>
                <w:color w:val="auto"/>
              </w:rPr>
            </w:pPr>
          </w:p>
        </w:tc>
        <w:tc>
          <w:tcPr>
            <w:tcW w:w="198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Six Months Ended</w:t>
            </w:r>
          </w:p>
        </w:tc>
      </w:tr>
      <w:tr>
        <w:trPr>
          <w:trHeight w:val="222"/>
        </w:trPr>
        <w:tc>
          <w:tcPr>
            <w:tcW w:w="5540" w:type="dxa"/>
            <w:vAlign w:val="bottom"/>
          </w:tcPr>
          <w:p>
            <w:pPr>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980" w:type="dxa"/>
            <w:vAlign w:val="bottom"/>
          </w:tcPr>
          <w:p>
            <w:pPr>
              <w:spacing w:after="0"/>
              <w:rPr>
                <w:sz w:val="19"/>
                <w:szCs w:val="19"/>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9"/>
                <w:szCs w:val="19"/>
                <w:color w:val="auto"/>
              </w:rPr>
            </w:pPr>
          </w:p>
        </w:tc>
        <w:tc>
          <w:tcPr>
            <w:tcW w:w="1980" w:type="dxa"/>
            <w:vAlign w:val="bottom"/>
          </w:tcPr>
          <w:p>
            <w:pPr>
              <w:jc w:val="center"/>
              <w:ind w:right="748"/>
              <w:spacing w:after="0"/>
              <w:rPr>
                <w:sz w:val="20"/>
                <w:szCs w:val="20"/>
                <w:color w:val="auto"/>
              </w:rPr>
            </w:pPr>
            <w:r>
              <w:rPr>
                <w:rFonts w:ascii="Arial" w:cs="Arial" w:eastAsia="Arial" w:hAnsi="Arial"/>
                <w:sz w:val="14"/>
                <w:szCs w:val="14"/>
                <w:b w:val="1"/>
                <w:bCs w:val="1"/>
                <w:color w:val="auto"/>
                <w:w w:val="92"/>
              </w:rPr>
              <w:t>June 30,</w:t>
            </w:r>
          </w:p>
        </w:tc>
      </w:tr>
      <w:tr>
        <w:trPr>
          <w:trHeight w:val="199"/>
        </w:trPr>
        <w:tc>
          <w:tcPr>
            <w:tcW w:w="5540" w:type="dxa"/>
            <w:vAlign w:val="bottom"/>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9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8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98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20" w:right="40"/>
        <w:spacing w:after="0" w:line="235" w:lineRule="auto"/>
        <w:rPr>
          <w:sz w:val="20"/>
          <w:szCs w:val="20"/>
          <w:color w:val="auto"/>
        </w:rPr>
      </w:pPr>
      <w:r>
        <w:rPr>
          <w:rFonts w:ascii="Arial" w:cs="Arial" w:eastAsia="Arial" w:hAnsi="Arial"/>
          <w:sz w:val="18"/>
          <w:szCs w:val="18"/>
          <w:color w:val="auto"/>
        </w:rPr>
        <w:t>Diluted weighted average shares of Class A and Class B common stock outstanding</w:t>
      </w:r>
    </w:p>
    <w:p>
      <w:pPr>
        <w:spacing w:after="0" w:line="13" w:lineRule="exact"/>
        <w:rPr>
          <w:sz w:val="20"/>
          <w:szCs w:val="20"/>
          <w:color w:val="auto"/>
        </w:rPr>
      </w:pPr>
    </w:p>
    <w:p>
      <w:pPr>
        <w:ind w:left="20" w:right="220"/>
        <w:spacing w:after="0" w:line="241" w:lineRule="auto"/>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1420" w:val="left"/>
          <w:tab w:leader="none" w:pos="2860" w:val="left"/>
          <w:tab w:leader="none" w:pos="4300" w:val="left"/>
        </w:tabs>
        <w:rPr>
          <w:sz w:val="20"/>
          <w:szCs w:val="20"/>
          <w:color w:val="auto"/>
        </w:rPr>
      </w:pPr>
      <w:r>
        <w:rPr>
          <w:rFonts w:ascii="Arial" w:cs="Arial" w:eastAsia="Arial" w:hAnsi="Arial"/>
          <w:sz w:val="18"/>
          <w:szCs w:val="18"/>
          <w:color w:val="auto"/>
        </w:rPr>
        <w:t>207,463,960</w:t>
      </w:r>
      <w:r>
        <w:rPr>
          <w:sz w:val="20"/>
          <w:szCs w:val="20"/>
          <w:color w:val="auto"/>
        </w:rPr>
        <w:tab/>
      </w:r>
      <w:r>
        <w:rPr>
          <w:rFonts w:ascii="Arial" w:cs="Arial" w:eastAsia="Arial" w:hAnsi="Arial"/>
          <w:sz w:val="18"/>
          <w:szCs w:val="18"/>
          <w:color w:val="auto"/>
        </w:rPr>
        <w:t>185,489,824</w:t>
      </w:r>
      <w:r>
        <w:rPr>
          <w:sz w:val="20"/>
          <w:szCs w:val="20"/>
          <w:color w:val="auto"/>
        </w:rPr>
        <w:tab/>
      </w:r>
      <w:r>
        <w:rPr>
          <w:rFonts w:ascii="Arial" w:cs="Arial" w:eastAsia="Arial" w:hAnsi="Arial"/>
          <w:sz w:val="18"/>
          <w:szCs w:val="18"/>
          <w:color w:val="auto"/>
        </w:rPr>
        <w:t>206,253,756</w:t>
      </w:r>
      <w:r>
        <w:rPr>
          <w:sz w:val="20"/>
          <w:szCs w:val="20"/>
          <w:color w:val="auto"/>
        </w:rPr>
        <w:tab/>
      </w:r>
      <w:r>
        <w:rPr>
          <w:rFonts w:ascii="Arial" w:cs="Arial" w:eastAsia="Arial" w:hAnsi="Arial"/>
          <w:sz w:val="16"/>
          <w:szCs w:val="16"/>
          <w:color w:val="auto"/>
        </w:rPr>
        <w:t>180,008,891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14605</wp:posOffset>
            </wp:positionV>
            <wp:extent cx="71323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9" w:lineRule="exact"/>
        <w:rPr>
          <w:sz w:val="20"/>
          <w:szCs w:val="20"/>
          <w:color w:val="auto"/>
        </w:rPr>
      </w:pPr>
    </w:p>
    <w:p>
      <w:pPr>
        <w:ind w:left="80"/>
        <w:spacing w:after="0"/>
        <w:tabs>
          <w:tab w:leader="none" w:pos="1500" w:val="left"/>
          <w:tab w:leader="none" w:pos="2960" w:val="left"/>
          <w:tab w:leader="none" w:pos="4400" w:val="left"/>
        </w:tabs>
        <w:rPr>
          <w:sz w:val="20"/>
          <w:szCs w:val="20"/>
          <w:color w:val="auto"/>
        </w:rPr>
      </w:pPr>
      <w:r>
        <w:rPr>
          <w:rFonts w:ascii="Arial" w:cs="Arial" w:eastAsia="Arial" w:hAnsi="Arial"/>
          <w:sz w:val="18"/>
          <w:szCs w:val="18"/>
          <w:color w:val="auto"/>
        </w:rPr>
        <w:t>30,531,933</w:t>
      </w:r>
      <w:r>
        <w:rPr>
          <w:sz w:val="20"/>
          <w:szCs w:val="20"/>
          <w:color w:val="auto"/>
        </w:rPr>
        <w:tab/>
      </w:r>
      <w:r>
        <w:rPr>
          <w:rFonts w:ascii="Arial" w:cs="Arial" w:eastAsia="Arial" w:hAnsi="Arial"/>
          <w:sz w:val="18"/>
          <w:szCs w:val="18"/>
          <w:color w:val="auto"/>
        </w:rPr>
        <w:t>48,132,630</w:t>
      </w:r>
      <w:r>
        <w:rPr>
          <w:sz w:val="20"/>
          <w:szCs w:val="20"/>
          <w:color w:val="auto"/>
        </w:rPr>
        <w:tab/>
      </w:r>
      <w:r>
        <w:rPr>
          <w:rFonts w:ascii="Arial" w:cs="Arial" w:eastAsia="Arial" w:hAnsi="Arial"/>
          <w:sz w:val="18"/>
          <w:szCs w:val="18"/>
          <w:color w:val="auto"/>
        </w:rPr>
        <w:t>30,871,285</w:t>
      </w:r>
      <w:r>
        <w:rPr>
          <w:sz w:val="20"/>
          <w:szCs w:val="20"/>
          <w:color w:val="auto"/>
        </w:rPr>
        <w:tab/>
      </w:r>
      <w:r>
        <w:rPr>
          <w:rFonts w:ascii="Arial" w:cs="Arial" w:eastAsia="Arial" w:hAnsi="Arial"/>
          <w:sz w:val="15"/>
          <w:szCs w:val="15"/>
          <w:color w:val="auto"/>
        </w:rPr>
        <w:t>52,888,588</w:t>
      </w:r>
    </w:p>
    <w:p>
      <w:pPr>
        <w:spacing w:after="0" w:line="24" w:lineRule="exact"/>
        <w:rPr>
          <w:sz w:val="20"/>
          <w:szCs w:val="20"/>
          <w:color w:val="auto"/>
        </w:rPr>
      </w:pPr>
    </w:p>
    <w:p>
      <w:pPr>
        <w:sectPr>
          <w:pgSz w:w="11900" w:h="16838" w:orient="portrait"/>
          <w:cols w:equalWidth="0" w:num="2">
            <w:col w:w="5220" w:space="720"/>
            <w:col w:w="53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237,995,893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233,622,454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237,125,041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232,897,479</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60" w:type="dxa"/>
            <w:vAlign w:val="bottom"/>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480" w:hanging="332"/>
        <w:spacing w:after="0" w:line="273"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business combination purchase price allocations, pushdown accounting, intangible assets, goodwill, software development costs, revenue recognition, stock-based compensation, current and deferred income taxes and the Tax Receivable Agreement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most critical accounting estimate associated with the June 2021 NFI Acquisition was the valuation of the acquired definite-lived intangible customer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relationship asset, which was valued at approximately $99.2 million as of the date of the acquisition. The majority of the residual total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net of cash acquired, net of deposits with clearing organizations acquired and prior to working capital adjustments, was primarily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goodwill, which was valued at approximately $88.0 million as of the date of acquisition. We utilized the assistance of a third-party valuation specialist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determine the fair value of the assets acquired and liabilities assumed at the date of acquisition.</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valuation of the customer relationships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 The customer relationships will be amortized over a useful life of 13 years. Any changes in the discount rate used for valuing the customer relationships or the estimated useful life used for amortization purposes could have a material impact on our condensed consolidated statements of financial condition and condensed consolidated statement of income. Any increases or decreases in the allocation of purchase price to customer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relationships, which is an amortizable asset,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 of income over the life of the asset. Any changes in the estimated useful life of the customer relationships would also impact timing of the reduction of the net balance of intangible assets, net of accumulated amortization on our consolidated statements of financial condition and the timing of the recognition of amortization expense on our condensed consolidated statement of income. The primary areas of the preliminary purchase price allocation that are not yet finalized as of June 30, 2021, relate primarily to the valuation of the identifiable intangible assets and software and final working capital adjustments. The allocation of the purchase price will be finalized upon completion of the analysis of the acquired assets within one year of the date of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and pushdown accounting was applied to Refinitiv to record the fair value of the assets and liabilities of Refinitiv as of October 1, 2018, the date of the Refinitiv Transaction. We,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by us, the excess of our fair value above the fair value accounting basis of our net assets and liabilities as of October 1, 2018 was recorded as goodwill. The adjusted valuations primarily affected the values of the Company's long-lived and indefinite-lived intangible assets, including software development costs.</w:t>
      </w:r>
    </w:p>
    <w:p>
      <w:pPr>
        <w:spacing w:after="0" w:line="19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fair value of assets acquired and liabilities assumed was determined based on assumptions that reasonable market participants would use in the principal (or most advantageous) market for the asset or liability. In determining the fair value of the assets acquired and the liabilities assumed, we considered a report of a third-party valuation expert. Management is responsible for these internal and third-party valuations and appraisals.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amortize our intangible assets with a finite life over their estimated useful lives ranging from seven to thirteen years and test intangible assets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our Class A common stock and Class B common stock and our ownership percentage in TWM LLC. We calculate such loss as the difference between the estimated fair value of goodwill and its carrying value. If future events or results differ adversely from the estimates and assumptions made at acquisition or as part of subsequent impairment tests, we may record increased impairment charges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Software development costs capitalized as part of the NFI Acquisitionare amortized over one year. Costs capitalized as part of the Refinitiv Transaction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8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are required to make significant judgements for the Refinitiv market data fees. Significant judgements used in accounting for this contract include:</w:t>
      </w:r>
    </w:p>
    <w:p>
      <w:pPr>
        <w:spacing w:after="0" w:line="23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and members’ capital in our condensed consolidated financial statements included elsewhere in this Quarterly Report on Form 10-Q.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condensed consolidated statements of income. For grants made during the post-IPO period, the fair value of the equity instruments is determined based on the price of our Class A common stock on the grant date. For grants made during the pre-IPO period, the fair value of the equity instruments was determined in accordance with the American Institute of Certified Public Accountants Practice Aid, Valuation of Privately Held Company Securities Issued as Compensation. Factors that were considered in determining the fair value include forecasted future cash flows, the weighted average cost of capital, and the performance multiples of comparable companies.</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IPO, we awarded options to management and other employees (collectively, the “Special Option Award”) under the Amended and Restated Tradeweb Markets Inc. Option Plan (the "Option Plan"). In accounting for the options issued under the Option Plan, including the Special Option Award as well as post-IPO options, we measure and recognize compensation expense for all awards based on their estimated fair values measured as of the grant date. Costs related to these options are recognized as an expense in our condensed consolidated statements of income over the requisite service period, with an offsetting increase to additional paid-in capital.</w:t>
      </w:r>
    </w:p>
    <w:p>
      <w:pPr>
        <w:spacing w:after="0" w:line="18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record valuation allowances when we believe that it is more likely than not that the Company will not be able to realize its deferred tax assets in the future.</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w:t>
      </w:r>
    </w:p>
    <w:p>
      <w:pPr>
        <w:spacing w:after="0" w:line="16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and six months ended June 30,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hanging="194"/>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11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980" w:type="dxa"/>
            <w:vAlign w:val="bottom"/>
          </w:tcPr>
          <w:p>
            <w:pPr>
              <w:spacing w:after="0"/>
              <w:rPr>
                <w:sz w:val="16"/>
                <w:szCs w:val="16"/>
                <w:color w:val="auto"/>
              </w:rPr>
            </w:pPr>
          </w:p>
        </w:tc>
        <w:tc>
          <w:tcPr>
            <w:tcW w:w="18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6"/>
                <w:szCs w:val="16"/>
                <w:color w:val="auto"/>
              </w:rPr>
            </w:pPr>
          </w:p>
        </w:tc>
        <w:tc>
          <w:tcPr>
            <w:tcW w:w="1780" w:type="dxa"/>
            <w:vAlign w:val="bottom"/>
            <w:gridSpan w:val="3"/>
          </w:tcPr>
          <w:p>
            <w:pPr>
              <w:jc w:val="center"/>
              <w:ind w:right="908"/>
              <w:spacing w:after="0"/>
              <w:rPr>
                <w:sz w:val="20"/>
                <w:szCs w:val="20"/>
                <w:color w:val="auto"/>
              </w:rPr>
            </w:pPr>
            <w:r>
              <w:rPr>
                <w:rFonts w:ascii="Arial" w:cs="Arial" w:eastAsia="Arial" w:hAnsi="Arial"/>
                <w:sz w:val="14"/>
                <w:szCs w:val="14"/>
                <w:b w:val="1"/>
                <w:bCs w:val="1"/>
                <w:color w:val="auto"/>
                <w:w w:val="92"/>
              </w:rPr>
              <w:t>June 30,</w:t>
            </w:r>
          </w:p>
        </w:tc>
      </w:tr>
      <w:tr>
        <w:trPr>
          <w:trHeight w:val="187"/>
        </w:trPr>
        <w:tc>
          <w:tcPr>
            <w:tcW w:w="980" w:type="dxa"/>
            <w:vAlign w:val="bottom"/>
            <w:tcBorders>
              <w:top w:val="single" w:sz="8" w:color="auto"/>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51"/>
        </w:trPr>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29%</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30%</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29%</w:t>
            </w:r>
          </w:p>
        </w:tc>
      </w:tr>
      <w:tr>
        <w:trPr>
          <w:trHeight w:val="270"/>
        </w:trPr>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16%</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3"/>
                <w:szCs w:val="23"/>
                <w:color w:val="auto"/>
              </w:rPr>
            </w:pPr>
          </w:p>
        </w:tc>
        <w:tc>
          <w:tcPr>
            <w:tcW w:w="980" w:type="dxa"/>
            <w:vAlign w:val="bottom"/>
          </w:tcPr>
          <w:p>
            <w:pPr>
              <w:jc w:val="center"/>
              <w:ind w:left="259"/>
              <w:spacing w:after="0"/>
              <w:rPr>
                <w:sz w:val="20"/>
                <w:szCs w:val="20"/>
                <w:color w:val="auto"/>
              </w:rPr>
            </w:pPr>
            <w:r>
              <w:rPr>
                <w:rFonts w:ascii="Arial" w:cs="Arial" w:eastAsia="Arial" w:hAnsi="Arial"/>
                <w:sz w:val="18"/>
                <w:szCs w:val="18"/>
                <w:color w:val="auto"/>
                <w:w w:val="88"/>
              </w:rPr>
              <w:t>15%</w:t>
            </w:r>
          </w:p>
        </w:tc>
        <w:tc>
          <w:tcPr>
            <w:tcW w:w="1780" w:type="dxa"/>
            <w:vAlign w:val="bottom"/>
            <w:gridSpan w:val="3"/>
          </w:tcPr>
          <w:p>
            <w:pPr>
              <w:jc w:val="center"/>
              <w:ind w:left="356"/>
              <w:spacing w:after="0"/>
              <w:rPr>
                <w:sz w:val="20"/>
                <w:szCs w:val="20"/>
                <w:color w:val="auto"/>
              </w:rPr>
            </w:pPr>
            <w:r>
              <w:rPr>
                <w:rFonts w:ascii="Arial" w:cs="Arial" w:eastAsia="Arial" w:hAnsi="Arial"/>
                <w:sz w:val="18"/>
                <w:szCs w:val="18"/>
                <w:color w:val="auto"/>
                <w:w w:val="94"/>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-342265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5300" w:space="320"/>
            <w:col w:w="5620"/>
          </w:cols>
          <w:pgMar w:left="320" w:top="125"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our condensed consolidated financial statements are presented in U.S. dollars, we must translate revenues and expenses, as well as assets and liabilities, into U.S. dollars. Accordingly, increases or decreases in the value of the U.S. dollar against the other currencies will affect our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other comprehensive income.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during the three and six months ended June 30,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6"/>
                <w:szCs w:val="16"/>
                <w:color w:val="auto"/>
              </w:rPr>
            </w:pPr>
          </w:p>
        </w:tc>
      </w:tr>
      <w:tr>
        <w:trPr>
          <w:trHeight w:val="222"/>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19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2020</w:t>
            </w:r>
          </w:p>
        </w:tc>
      </w:tr>
      <w:tr>
        <w:trPr>
          <w:trHeight w:val="27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2,100</w:t>
            </w:r>
          </w:p>
        </w:tc>
        <w:tc>
          <w:tcPr>
            <w:tcW w:w="10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4,300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revenue and operating income for the three and six months ended June 30, 2021 and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17,700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11,700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9,400</w:t>
            </w: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June 30, 2021 and December 31, 2020, the notional amount of our foreign currency forward contracts was $128.0 million and $122.5 million, respectively.</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credit risk relating to our receivables, which are primarily receivables from financial institutions, including investment managers and brokers and dealers. As of both June 30, 2021 and December 31, 2020, we have an allowance for credit losses of $0.2 million with regard to these receivables.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June 30, 2021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6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Except as set forth in </w:t>
      </w:r>
      <w:hyperlink w:anchor="page33">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condensed consolidated financial statements included in this Quarterly Report on Form 10-Q, there have been no material changes from the legal proceedings previously disclosed under the heading “Item 3. Legal Proceedings” in Part I of our 2020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2020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2021, we repurchased the following shares of shares of Class A common stock: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Purchased as</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Value of Shares That</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May Yet Be</w:t>
            </w:r>
          </w:p>
        </w:tc>
      </w:tr>
      <w:tr>
        <w:trPr>
          <w:trHeight w:val="159"/>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1"/>
              </w:rPr>
              <w:t>Average Price Paid</w:t>
            </w: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Announced Plans or</w:t>
            </w:r>
          </w:p>
        </w:tc>
        <w:tc>
          <w:tcPr>
            <w:tcW w:w="80" w:type="dxa"/>
            <w:vAlign w:val="bottom"/>
          </w:tcPr>
          <w:p>
            <w:pPr>
              <w:spacing w:after="0"/>
              <w:rPr>
                <w:sz w:val="13"/>
                <w:szCs w:val="13"/>
                <w:color w:val="auto"/>
              </w:rPr>
            </w:pPr>
          </w:p>
        </w:tc>
        <w:tc>
          <w:tcPr>
            <w:tcW w:w="13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w w:val="92"/>
              </w:rPr>
              <w:t>Purchased Under the</w:t>
            </w:r>
          </w:p>
        </w:tc>
      </w:tr>
      <w:tr>
        <w:trPr>
          <w:trHeight w:val="215"/>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 xml:space="preserve">Plans or Programs </w:t>
            </w:r>
            <w:r>
              <w:rPr>
                <w:rFonts w:ascii="Arial" w:cs="Arial" w:eastAsia="Arial" w:hAnsi="Arial"/>
                <w:sz w:val="18"/>
                <w:szCs w:val="18"/>
                <w:b w:val="1"/>
                <w:bCs w:val="1"/>
                <w:color w:val="auto"/>
                <w:w w:val="90"/>
                <w:vertAlign w:val="superscript"/>
              </w:rPr>
              <w:t>(1)</w:t>
            </w:r>
          </w:p>
        </w:tc>
      </w:tr>
      <w:tr>
        <w:trPr>
          <w:trHeight w:val="217"/>
        </w:trPr>
        <w:tc>
          <w:tcPr>
            <w:tcW w:w="5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r>
      <w:tr>
        <w:trPr>
          <w:trHeight w:val="23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May 1, 2021 – May 31,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617,644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98,324</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right="40" w:hanging="252"/>
        <w:spacing w:after="0" w:line="271" w:lineRule="auto"/>
        <w:tabs>
          <w:tab w:leader="none" w:pos="2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February 4, 2021, we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shares of the Company's common stock and the LLC Interests.</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restricted stock units. During the three months ended June 30, 2021, the Company withheld 98,003 shares, of common stock from employee stock option, PRSU and RSU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6"/>
                <w:szCs w:val="16"/>
                <w:color w:val="auto"/>
              </w:rPr>
            </w:pPr>
          </w:p>
        </w:tc>
      </w:tr>
      <w:tr>
        <w:trPr>
          <w:trHeight w:val="337"/>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8"/>
              </w:rPr>
            </w:pPr>
            <w:hyperlink w:anchor="page71">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amended, as adopted pursuant to Section 302 of the Sarbanes-Oxley Act of 2002.</w:t>
              </w:r>
            </w:hyperlink>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 of Chief Executive Officer pursuant to 18 U.S.C. Section 1350, as adopted pursuant to Section 906 of the Sarbanes-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Oxley Act of 2002.</w:t>
              </w:r>
            </w:hyperlink>
          </w:p>
        </w:tc>
        <w:tc>
          <w:tcPr>
            <w:tcW w:w="3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4"/>
              </w:rPr>
            </w:pPr>
            <w:hyperlink w:anchor="page74">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Oxley Act of 2002.</w:t>
              </w:r>
            </w:hyperlink>
          </w:p>
        </w:tc>
        <w:tc>
          <w:tcPr>
            <w:tcW w:w="38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1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1"/>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297"/>
        </w:trPr>
        <w:tc>
          <w:tcPr>
            <w:tcW w:w="16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0"/>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Arial" w:cs="Arial" w:eastAsia="Arial" w:hAnsi="Arial"/>
                <w:sz w:val="18"/>
                <w:szCs w:val="18"/>
                <w:color w:val="auto"/>
              </w:rPr>
              <w:t>69</w:t>
            </w: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Robert Warshaw</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00"/>
          </w:cols>
          <w:pgMar w:left="320" w:top="125" w:right="9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July 30,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Warshaw,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5"/>
          <w:szCs w:val="15"/>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Warshaw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2021,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2021,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July 30,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Warshaw</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Warshaw</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decimal"/>
      <w:start w:val="2"/>
    </w:lvl>
    <w:lvl w:ilvl="1">
      <w:lvlJc w:val="left"/>
      <w:lvlText w:val="•"/>
      <w:numFmt w:val="bullet"/>
      <w:start w:val="1"/>
    </w:lvl>
  </w:abstractNum>
  <w:abstractNum w:abstractNumId="13">
    <w:nsid w:val="8EDBDAB"/>
    <w:multiLevelType w:val="hybridMultilevel"/>
    <w:lvl w:ilvl="0">
      <w:lvlJc w:val="left"/>
      <w:lvlText w:val="%1."/>
      <w:numFmt w:val="decimal"/>
      <w:start w:val="4"/>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2021-07-30T15:45:25Z</dcterms:created>
  <dcterms:modified xsi:type="dcterms:W3CDTF">2021-07-30T15:45:25Z</dcterms:modified>
</cp:coreProperties>
</file>