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1,786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57,401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September 13,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6,229 unvested restricted stock units ("RSUs") in respect of the issuer's Class A common stock ("Class A Common Stock") that are scheduled to vest on March 15, 2026, (ii) 33,881 unvested RSUs in respect of Class A Common Stock that are scheduled to vest on January 1, 2026, (iii) 7,431 unvested RSUs in respect of Class A Common Stock that are scheduled to vest in equal installments on March 15, 2026 and March 15, 2027, and (iv) 9,860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04/09/2025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3180"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2025-04-09T15:12:47Z</dcterms:created>
  <dcterms:modified xsi:type="dcterms:W3CDTF">2025-04-09T15:12:47Z</dcterms:modified>
</cp:coreProperties>
</file>