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Admin. and Risk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1,632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34,277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34,285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1,697 unvested RSUs in respect of Class A Common Stock which are scheduled to vest on March 15, 2024, (iii) 10,180 unvested RSUs in respect of Class A Common Stock which are scheduled to vest on January 1, 2024, (iv) 2,985 unvested RSUs in respect of Class A Common Stock which are scheduled to vest in equal installments on March 15, 2024 and March 15, 2025, (v) 5,785 unvested RSUs in respect of Class A Common Stock that are scheduled to vest on January 1, 2025, and (vi) 5,822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03/20/2023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2023-03-20T18:08:58Z</dcterms:created>
  <dcterms:modified xsi:type="dcterms:W3CDTF">2023-03-20T18:08:58Z</dcterms:modified>
</cp:coreProperties>
</file>