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4200" w:right="1720" w:hanging="4174"/>
        <w:spacing w:after="0" w:line="391" w:lineRule="auto"/>
        <w:tabs>
          <w:tab w:leader="none" w:pos="36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Arial" w:cs="Arial" w:eastAsia="Arial" w:hAnsi="Arial"/>
          <w:sz w:val="29"/>
          <w:szCs w:val="29"/>
          <w:b w:val="1"/>
          <w:bCs w:val="1"/>
          <w:color w:val="auto"/>
        </w:rPr>
        <w:t>TRADEWEB MARKETS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126"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880" w:type="dxa"/>
            <w:vAlign w:val="bottom"/>
          </w:tcPr>
          <w:p>
            <w:pPr>
              <w:jc w:val="right"/>
              <w:ind w:right="790"/>
              <w:spacing w:after="0"/>
              <w:rPr>
                <w:sz w:val="20"/>
                <w:szCs w:val="20"/>
                <w:color w:val="auto"/>
              </w:rPr>
            </w:pPr>
            <w:r>
              <w:rPr>
                <w:rFonts w:ascii="Arial" w:cs="Arial" w:eastAsia="Arial" w:hAnsi="Arial"/>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(State of other jurisdiction of incorporation or organization)</w:t>
            </w:r>
          </w:p>
        </w:tc>
        <w:tc>
          <w:tcPr>
            <w:tcW w:w="4880" w:type="dxa"/>
            <w:vAlign w:val="bottom"/>
          </w:tcPr>
          <w:p>
            <w:pPr>
              <w:jc w:val="center"/>
              <w:ind w:left="217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1177 Avenue of the Americas</w:t>
            </w:r>
          </w:p>
        </w:tc>
        <w:tc>
          <w:tcPr>
            <w:tcW w:w="4880" w:type="dxa"/>
            <w:vAlign w:val="bottom"/>
          </w:tcPr>
          <w:p>
            <w:pPr>
              <w:spacing w:after="0"/>
              <w:rPr>
                <w:sz w:val="24"/>
                <w:szCs w:val="24"/>
                <w:color w:val="auto"/>
              </w:rPr>
            </w:pPr>
          </w:p>
        </w:tc>
      </w:tr>
      <w:tr>
        <w:trPr>
          <w:trHeight w:val="261"/>
        </w:trPr>
        <w:tc>
          <w:tcPr>
            <w:tcW w:w="44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New York, New York</w:t>
            </w:r>
          </w:p>
        </w:tc>
        <w:tc>
          <w:tcPr>
            <w:tcW w:w="4880" w:type="dxa"/>
            <w:vAlign w:val="bottom"/>
          </w:tcPr>
          <w:p>
            <w:pPr>
              <w:jc w:val="right"/>
              <w:ind w:right="990"/>
              <w:spacing w:after="0"/>
              <w:rPr>
                <w:sz w:val="20"/>
                <w:szCs w:val="20"/>
                <w:color w:val="auto"/>
              </w:rPr>
            </w:pPr>
            <w:r>
              <w:rPr>
                <w:rFonts w:ascii="Arial" w:cs="Arial" w:eastAsia="Arial" w:hAnsi="Arial"/>
                <w:sz w:val="18"/>
                <w:szCs w:val="18"/>
                <w:b w:val="1"/>
                <w:bCs w:val="1"/>
                <w:color w:val="auto"/>
              </w:rPr>
              <w:t>10036</w:t>
            </w:r>
          </w:p>
        </w:tc>
      </w:tr>
      <w:tr>
        <w:trPr>
          <w:trHeight w:val="243"/>
        </w:trPr>
        <w:tc>
          <w:tcPr>
            <w:tcW w:w="440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488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Arial" w:cs="Arial" w:eastAsia="Arial" w:hAnsi="Arial"/>
                <w:sz w:val="18"/>
                <w:szCs w:val="18"/>
                <w:b w:val="1"/>
                <w:bCs w:val="1"/>
                <w:color w:val="auto"/>
                <w:w w:val="97"/>
              </w:rPr>
              <w:t>(646) 430-6000</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24"/>
        </w:trPr>
        <w:tc>
          <w:tcPr>
            <w:tcW w:w="3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Title of each class</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39"/>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4"/>
        </w:trPr>
        <w:tc>
          <w:tcPr>
            <w:tcW w:w="3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Class A common stock, par value $0.00001</w:t>
            </w:r>
          </w:p>
        </w:tc>
        <w:tc>
          <w:tcPr>
            <w:tcW w:w="3840" w:type="dxa"/>
            <w:vAlign w:val="bottom"/>
            <w:gridSpan w:val="2"/>
          </w:tcPr>
          <w:p>
            <w:pPr>
              <w:jc w:val="center"/>
              <w:ind w:right="260"/>
              <w:spacing w:after="0"/>
              <w:rPr>
                <w:sz w:val="20"/>
                <w:szCs w:val="20"/>
                <w:color w:val="auto"/>
              </w:rPr>
            </w:pPr>
            <w:r>
              <w:rPr>
                <w:rFonts w:ascii="Arial" w:cs="Arial" w:eastAsia="Arial" w:hAnsi="Arial"/>
                <w:sz w:val="14"/>
                <w:szCs w:val="14"/>
                <w:color w:val="auto"/>
              </w:rPr>
              <w:t>TW</w:t>
            </w:r>
          </w:p>
        </w:tc>
        <w:tc>
          <w:tcPr>
            <w:tcW w:w="356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196" w:lineRule="exact"/>
        <w:rPr>
          <w:sz w:val="24"/>
          <w:szCs w:val="24"/>
          <w:color w:val="auto"/>
        </w:rPr>
      </w:pPr>
    </w:p>
    <w:p>
      <w:pPr>
        <w:ind w:right="220"/>
        <w:spacing w:after="0" w:line="21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4"/>
          <w:szCs w:val="14"/>
          <w:color w:val="auto"/>
        </w:rPr>
        <w:t xml:space="preserve">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10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70" w:lineRule="exact"/>
        <w:rPr>
          <w:sz w:val="24"/>
          <w:szCs w:val="24"/>
          <w:color w:val="auto"/>
        </w:rPr>
      </w:pPr>
    </w:p>
    <w:p>
      <w:pPr>
        <w:ind w:right="4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sectPr>
      </w:pPr>
    </w:p>
    <w:p>
      <w:pPr>
        <w:spacing w:after="0" w:line="106" w:lineRule="exact"/>
        <w:rPr>
          <w:sz w:val="24"/>
          <w:szCs w:val="24"/>
          <w:color w:val="auto"/>
        </w:rPr>
      </w:pPr>
    </w:p>
    <w:p>
      <w:pPr>
        <w:ind w:left="20" w:right="760"/>
        <w:spacing w:after="0" w:line="420" w:lineRule="auto"/>
        <w:rPr>
          <w:sz w:val="20"/>
          <w:szCs w:val="20"/>
          <w:color w:val="auto"/>
        </w:rPr>
      </w:pPr>
      <w:r>
        <w:rPr>
          <w:rFonts w:ascii="Arial" w:cs="Arial" w:eastAsia="Arial" w:hAnsi="Arial"/>
          <w:sz w:val="13"/>
          <w:szCs w:val="13"/>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4"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33" w:right="339" w:bottom="1440" w:gutter="0" w:footer="0" w:header="0"/>
          <w:type w:val="continuous"/>
        </w:sectPr>
      </w:pPr>
    </w:p>
    <w:p>
      <w:pPr>
        <w:ind w:right="560"/>
        <w:spacing w:after="0" w:line="208"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4"/>
          <w:szCs w:val="14"/>
          <w:color w:val="auto"/>
        </w:rPr>
        <w:t xml:space="preserve"> Yes </w:t>
      </w:r>
      <w:r>
        <w:rPr>
          <w:rFonts w:ascii="MS PGothic" w:cs="MS PGothic" w:eastAsia="MS PGothic" w:hAnsi="MS PGothic"/>
          <w:sz w:val="17"/>
          <w:szCs w:val="17"/>
          <w:color w:val="auto"/>
        </w:rPr>
        <w:t>☒</w:t>
      </w:r>
      <w:r>
        <w:rPr>
          <w:rFonts w:ascii="Arial" w:cs="Arial" w:eastAsia="Arial" w:hAnsi="Arial"/>
          <w:sz w:val="14"/>
          <w:szCs w:val="14"/>
          <w:color w:val="auto"/>
        </w:rPr>
        <w:t xml:space="preserve"> No</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740" w:type="dxa"/>
            <w:vAlign w:val="bottom"/>
            <w:gridSpan w:val="2"/>
          </w:tcPr>
          <w:p>
            <w:pPr>
              <w:ind w:left="2320"/>
              <w:spacing w:after="0"/>
              <w:rPr>
                <w:sz w:val="20"/>
                <w:szCs w:val="20"/>
                <w:color w:val="auto"/>
              </w:rPr>
            </w:pPr>
            <w:r>
              <w:rPr>
                <w:rFonts w:ascii="Arial" w:cs="Arial" w:eastAsia="Arial" w:hAnsi="Arial"/>
                <w:sz w:val="14"/>
                <w:szCs w:val="14"/>
                <w:color w:val="auto"/>
              </w:rPr>
              <w:t>Class of Stock</w:t>
            </w:r>
          </w:p>
        </w:tc>
        <w:tc>
          <w:tcPr>
            <w:tcW w:w="5500" w:type="dxa"/>
            <w:vAlign w:val="bottom"/>
          </w:tcPr>
          <w:p>
            <w:pPr>
              <w:jc w:val="right"/>
              <w:ind w:right="1448"/>
              <w:spacing w:after="0"/>
              <w:rPr>
                <w:sz w:val="20"/>
                <w:szCs w:val="20"/>
                <w:color w:val="auto"/>
              </w:rPr>
            </w:pPr>
            <w:r>
              <w:rPr>
                <w:rFonts w:ascii="Arial" w:cs="Arial" w:eastAsia="Arial" w:hAnsi="Arial"/>
                <w:sz w:val="14"/>
                <w:szCs w:val="14"/>
                <w:color w:val="auto"/>
              </w:rPr>
              <w:t>Shares Outstanding as of October 20, 2022</w:t>
            </w:r>
          </w:p>
        </w:tc>
      </w:tr>
      <w:tr>
        <w:trPr>
          <w:trHeight w:val="25"/>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4"/>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111,077,443</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3,251,177</w:t>
            </w: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Arial" w:cs="Arial" w:eastAsia="Arial" w:hAnsi="Arial"/>
                <w:sz w:val="14"/>
                <w:szCs w:val="14"/>
                <w:color w:val="auto"/>
              </w:rPr>
              <w:t>23,096,704</w:t>
            </w:r>
          </w:p>
        </w:tc>
      </w:tr>
      <w:tr>
        <w:trPr>
          <w:trHeight w:val="188"/>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940" w:type="dxa"/>
            <w:vAlign w:val="bottom"/>
            <w:gridSpan w:val="10"/>
            <w:vMerge w:val="restart"/>
          </w:tcPr>
          <w:p>
            <w:pPr>
              <w:spacing w:after="0"/>
              <w:rPr>
                <w:sz w:val="20"/>
                <w:szCs w:val="20"/>
                <w:color w:val="auto"/>
              </w:rPr>
            </w:pPr>
            <w:r>
              <w:rPr>
                <w:rFonts w:ascii="Arial" w:cs="Arial" w:eastAsia="Arial" w:hAnsi="Arial"/>
                <w:sz w:val="18"/>
                <w:szCs w:val="18"/>
                <w:color w:val="3051F2"/>
                <w:w w:val="95"/>
              </w:rPr>
              <w:t>INTRODUCTORY NOTE</w:t>
            </w:r>
          </w:p>
        </w:tc>
        <w:tc>
          <w:tcPr>
            <w:tcW w:w="8300" w:type="dxa"/>
            <w:vAlign w:val="bottom"/>
            <w:gridSpan w:val="19"/>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10"/>
            <w:vMerge w:val="continue"/>
          </w:tcPr>
          <w:p>
            <w:pPr>
              <w:spacing w:after="0"/>
              <w:rPr>
                <w:sz w:val="15"/>
                <w:szCs w:val="15"/>
                <w:color w:val="auto"/>
              </w:rPr>
            </w:pPr>
          </w:p>
        </w:tc>
        <w:tc>
          <w:tcPr>
            <w:tcW w:w="8300" w:type="dxa"/>
            <w:vAlign w:val="bottom"/>
            <w:gridSpan w:val="19"/>
            <w:vMerge w:val="continue"/>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240" w:type="dxa"/>
            <w:vAlign w:val="bottom"/>
            <w:gridSpan w:val="29"/>
          </w:tcPr>
          <w:p>
            <w:pPr>
              <w:spacing w:after="0"/>
              <w:rPr>
                <w:sz w:val="20"/>
                <w:szCs w:val="20"/>
                <w:color w:val="auto"/>
              </w:rPr>
            </w:pPr>
            <w:r>
              <w:rPr>
                <w:rFonts w:ascii="Arial" w:cs="Arial" w:eastAsia="Arial" w:hAnsi="Arial"/>
                <w:sz w:val="18"/>
                <w:szCs w:val="18"/>
                <w:color w:val="3051F2"/>
              </w:rPr>
              <w:t>USE OF NON-GAAP FINANCIAL MEASURES</w:t>
            </w:r>
          </w:p>
        </w:tc>
        <w:tc>
          <w:tcPr>
            <w:tcW w:w="98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32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40" w:type="dxa"/>
            <w:vAlign w:val="bottom"/>
            <w:shd w:val="clear" w:color="auto" w:fill="3051F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240" w:type="dxa"/>
            <w:vAlign w:val="bottom"/>
            <w:gridSpan w:val="29"/>
          </w:tcPr>
          <w:p>
            <w:pPr>
              <w:spacing w:after="0"/>
              <w:rPr>
                <w:sz w:val="20"/>
                <w:szCs w:val="20"/>
                <w:color w:val="auto"/>
              </w:rPr>
            </w:pPr>
            <w:r>
              <w:rPr>
                <w:rFonts w:ascii="Arial" w:cs="Arial" w:eastAsia="Arial" w:hAnsi="Arial"/>
                <w:sz w:val="18"/>
                <w:szCs w:val="18"/>
                <w:color w:val="3051F2"/>
              </w:rPr>
              <w:t>CAUTIONARY NOTE REGARDING FORWARD-LOOKING STATEMENTS</w:t>
            </w:r>
          </w:p>
        </w:tc>
        <w:tc>
          <w:tcPr>
            <w:tcW w:w="98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2"/>
          </w:tcPr>
          <w:p>
            <w:pPr>
              <w:spacing w:after="0"/>
              <w:rPr>
                <w:sz w:val="20"/>
                <w:szCs w:val="20"/>
                <w:color w:val="auto"/>
              </w:rPr>
            </w:pPr>
            <w:r>
              <w:rPr>
                <w:rFonts w:ascii="Arial" w:cs="Arial" w:eastAsia="Arial" w:hAnsi="Arial"/>
                <w:sz w:val="18"/>
                <w:szCs w:val="18"/>
                <w:color w:val="3051F2"/>
              </w:rPr>
              <w:t>PART I — FINANCIAL INFORMATION</w:t>
            </w:r>
          </w:p>
        </w:tc>
        <w:tc>
          <w:tcPr>
            <w:tcW w:w="4460" w:type="dxa"/>
            <w:vAlign w:val="bottom"/>
            <w:gridSpan w:val="7"/>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Arial" w:cs="Arial" w:eastAsia="Arial" w:hAnsi="Arial"/>
                <w:sz w:val="18"/>
                <w:szCs w:val="18"/>
                <w:color w:val="3051F2"/>
                <w:w w:val="90"/>
              </w:rPr>
              <w:t>Item 1.</w:t>
            </w:r>
          </w:p>
        </w:tc>
        <w:tc>
          <w:tcPr>
            <w:tcW w:w="280" w:type="dxa"/>
            <w:vAlign w:val="bottom"/>
            <w:tcBorders>
              <w:top w:val="single" w:sz="8" w:color="3051F2"/>
            </w:tcBorders>
            <w:gridSpan w:val="2"/>
          </w:tcPr>
          <w:p>
            <w:pPr>
              <w:spacing w:after="0"/>
              <w:rPr>
                <w:sz w:val="24"/>
                <w:szCs w:val="24"/>
                <w:color w:val="auto"/>
              </w:rPr>
            </w:pPr>
          </w:p>
        </w:tc>
        <w:tc>
          <w:tcPr>
            <w:tcW w:w="160" w:type="dxa"/>
            <w:vAlign w:val="bottom"/>
            <w:tcBorders>
              <w:top w:val="single" w:sz="8" w:color="3051F2"/>
            </w:tcBorders>
          </w:tcPr>
          <w:p>
            <w:pPr>
              <w:spacing w:after="0"/>
              <w:rPr>
                <w:sz w:val="24"/>
                <w:szCs w:val="24"/>
                <w:color w:val="auto"/>
              </w:rPr>
            </w:pPr>
          </w:p>
        </w:tc>
        <w:tc>
          <w:tcPr>
            <w:tcW w:w="2100" w:type="dxa"/>
            <w:vAlign w:val="bottom"/>
            <w:tcBorders>
              <w:top w:val="single" w:sz="8" w:color="3051F2"/>
            </w:tcBorders>
            <w:gridSpan w:val="12"/>
          </w:tcPr>
          <w:p>
            <w:pPr>
              <w:spacing w:after="0"/>
              <w:rPr>
                <w:sz w:val="20"/>
                <w:szCs w:val="20"/>
                <w:color w:val="auto"/>
              </w:rPr>
            </w:pPr>
            <w:r>
              <w:rPr>
                <w:rFonts w:ascii="Arial" w:cs="Arial" w:eastAsia="Arial" w:hAnsi="Arial"/>
                <w:sz w:val="18"/>
                <w:szCs w:val="18"/>
                <w:color w:val="3051F2"/>
              </w:rPr>
              <w:t>Financial Statements</w:t>
            </w:r>
          </w:p>
        </w:tc>
        <w:tc>
          <w:tcPr>
            <w:tcW w:w="718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3051F2"/>
              </w:rPr>
              <w:t>Condensed Consolidated Statements of Financial Condition as of September 30, 2022 and December 31, 2021</w:t>
            </w:r>
          </w:p>
        </w:tc>
        <w:tc>
          <w:tcPr>
            <w:tcW w:w="9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52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1"/>
          </w:tcPr>
          <w:p>
            <w:pPr>
              <w:spacing w:after="0"/>
              <w:rPr>
                <w:sz w:val="20"/>
                <w:szCs w:val="20"/>
                <w:color w:val="auto"/>
              </w:rPr>
            </w:pPr>
            <w:r>
              <w:rPr>
                <w:rFonts w:ascii="Arial" w:cs="Arial" w:eastAsia="Arial" w:hAnsi="Arial"/>
                <w:sz w:val="18"/>
                <w:szCs w:val="18"/>
                <w:color w:val="3051F2"/>
                <w:w w:val="88"/>
              </w:rPr>
              <w:t>Condensed Consolidated Statements of Income for the three and nine months ended September 30, 2022 and 2021</w:t>
            </w:r>
          </w:p>
        </w:tc>
        <w:tc>
          <w:tcPr>
            <w:tcW w:w="82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60" w:type="dxa"/>
            <w:vAlign w:val="bottom"/>
            <w:gridSpan w:val="24"/>
          </w:tcPr>
          <w:p>
            <w:pPr>
              <w:spacing w:after="0"/>
              <w:rPr>
                <w:sz w:val="20"/>
                <w:szCs w:val="20"/>
                <w:color w:val="auto"/>
              </w:rPr>
            </w:pPr>
            <w:r>
              <w:rPr>
                <w:rFonts w:ascii="Arial" w:cs="Arial" w:eastAsia="Arial" w:hAnsi="Arial"/>
                <w:sz w:val="18"/>
                <w:szCs w:val="18"/>
                <w:color w:val="3051F2"/>
                <w:w w:val="89"/>
              </w:rPr>
              <w:t>Condensed Consolidated Statements of Comprehensive Income for the three and nine months ended September 30, 2022 and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360" w:type="dxa"/>
            <w:vAlign w:val="bottom"/>
            <w:tcBorders>
              <w:top w:val="single" w:sz="8" w:color="3051F2"/>
              <w:bottom w:val="single" w:sz="8" w:color="3051F2"/>
            </w:tcBorders>
          </w:tcPr>
          <w:p>
            <w:pPr>
              <w:spacing w:after="0" w:line="169" w:lineRule="exact"/>
              <w:rPr>
                <w:sz w:val="20"/>
                <w:szCs w:val="20"/>
                <w:color w:val="auto"/>
              </w:rPr>
            </w:pPr>
            <w:r>
              <w:rPr>
                <w:rFonts w:ascii="Arial" w:cs="Arial" w:eastAsia="Arial" w:hAnsi="Arial"/>
                <w:sz w:val="18"/>
                <w:szCs w:val="18"/>
                <w:color w:val="3051F2"/>
                <w:w w:val="84"/>
              </w:rPr>
              <w:t>2021</w:t>
            </w:r>
          </w:p>
        </w:tc>
        <w:tc>
          <w:tcPr>
            <w:tcW w:w="2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140" w:type="dxa"/>
            <w:vAlign w:val="bottom"/>
            <w:tcBorders>
              <w:top w:val="single" w:sz="8" w:color="3051F2"/>
            </w:tcBorders>
          </w:tcPr>
          <w:p>
            <w:pPr>
              <w:spacing w:after="0"/>
              <w:rPr>
                <w:sz w:val="14"/>
                <w:szCs w:val="14"/>
                <w:color w:val="auto"/>
              </w:rPr>
            </w:pPr>
          </w:p>
        </w:tc>
        <w:tc>
          <w:tcPr>
            <w:tcW w:w="8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20" w:type="dxa"/>
            <w:vAlign w:val="bottom"/>
            <w:tcBorders>
              <w:top w:val="single" w:sz="8" w:color="3051F2"/>
            </w:tcBorders>
          </w:tcPr>
          <w:p>
            <w:pPr>
              <w:spacing w:after="0"/>
              <w:rPr>
                <w:sz w:val="14"/>
                <w:szCs w:val="14"/>
                <w:color w:val="auto"/>
              </w:rPr>
            </w:pPr>
          </w:p>
        </w:tc>
        <w:tc>
          <w:tcPr>
            <w:tcW w:w="160" w:type="dxa"/>
            <w:vAlign w:val="bottom"/>
            <w:tcBorders>
              <w:top w:val="single" w:sz="8" w:color="3051F2"/>
            </w:tcBorders>
          </w:tcPr>
          <w:p>
            <w:pPr>
              <w:spacing w:after="0"/>
              <w:rPr>
                <w:sz w:val="14"/>
                <w:szCs w:val="14"/>
                <w:color w:val="auto"/>
              </w:rPr>
            </w:pPr>
          </w:p>
        </w:tc>
        <w:tc>
          <w:tcPr>
            <w:tcW w:w="280" w:type="dxa"/>
            <w:vAlign w:val="bottom"/>
            <w:tcBorders>
              <w:top w:val="single" w:sz="8" w:color="3051F2"/>
            </w:tcBorders>
          </w:tcPr>
          <w:p>
            <w:pPr>
              <w:spacing w:after="0"/>
              <w:rPr>
                <w:sz w:val="14"/>
                <w:szCs w:val="14"/>
                <w:color w:val="auto"/>
              </w:rPr>
            </w:pPr>
          </w:p>
        </w:tc>
        <w:tc>
          <w:tcPr>
            <w:tcW w:w="20" w:type="dxa"/>
            <w:vAlign w:val="bottom"/>
            <w:tcBorders>
              <w:top w:val="single" w:sz="8" w:color="3051F2"/>
            </w:tcBorders>
          </w:tcPr>
          <w:p>
            <w:pPr>
              <w:spacing w:after="0"/>
              <w:rPr>
                <w:sz w:val="14"/>
                <w:szCs w:val="14"/>
                <w:color w:val="auto"/>
              </w:rPr>
            </w:pPr>
          </w:p>
        </w:tc>
        <w:tc>
          <w:tcPr>
            <w:tcW w:w="300" w:type="dxa"/>
            <w:vAlign w:val="bottom"/>
            <w:tcBorders>
              <w:top w:val="single" w:sz="8" w:color="3051F2"/>
            </w:tcBorders>
          </w:tcPr>
          <w:p>
            <w:pPr>
              <w:spacing w:after="0"/>
              <w:rPr>
                <w:sz w:val="14"/>
                <w:szCs w:val="14"/>
                <w:color w:val="auto"/>
              </w:rPr>
            </w:pPr>
          </w:p>
        </w:tc>
        <w:tc>
          <w:tcPr>
            <w:tcW w:w="220" w:type="dxa"/>
            <w:vAlign w:val="bottom"/>
            <w:tcBorders>
              <w:top w:val="single" w:sz="8" w:color="3051F2"/>
            </w:tcBorders>
          </w:tcPr>
          <w:p>
            <w:pPr>
              <w:spacing w:after="0"/>
              <w:rPr>
                <w:sz w:val="14"/>
                <w:szCs w:val="14"/>
                <w:color w:val="auto"/>
              </w:rPr>
            </w:pPr>
          </w:p>
        </w:tc>
        <w:tc>
          <w:tcPr>
            <w:tcW w:w="340" w:type="dxa"/>
            <w:vAlign w:val="bottom"/>
            <w:tcBorders>
              <w:top w:val="single" w:sz="8" w:color="3051F2"/>
            </w:tcBorders>
          </w:tcPr>
          <w:p>
            <w:pPr>
              <w:spacing w:after="0"/>
              <w:rPr>
                <w:sz w:val="14"/>
                <w:szCs w:val="14"/>
                <w:color w:val="auto"/>
              </w:rPr>
            </w:pPr>
          </w:p>
        </w:tc>
        <w:tc>
          <w:tcPr>
            <w:tcW w:w="1560" w:type="dxa"/>
            <w:vAlign w:val="bottom"/>
            <w:tcBorders>
              <w:top w:val="single" w:sz="8" w:color="3051F2"/>
            </w:tcBorders>
          </w:tcPr>
          <w:p>
            <w:pPr>
              <w:spacing w:after="0"/>
              <w:rPr>
                <w:sz w:val="14"/>
                <w:szCs w:val="14"/>
                <w:color w:val="auto"/>
              </w:rPr>
            </w:pPr>
          </w:p>
        </w:tc>
        <w:tc>
          <w:tcPr>
            <w:tcW w:w="100" w:type="dxa"/>
            <w:vAlign w:val="bottom"/>
            <w:tcBorders>
              <w:top w:val="single" w:sz="8" w:color="3051F2"/>
            </w:tcBorders>
          </w:tcPr>
          <w:p>
            <w:pPr>
              <w:spacing w:after="0"/>
              <w:rPr>
                <w:sz w:val="14"/>
                <w:szCs w:val="14"/>
                <w:color w:val="auto"/>
              </w:rPr>
            </w:pPr>
          </w:p>
        </w:tc>
        <w:tc>
          <w:tcPr>
            <w:tcW w:w="40" w:type="dxa"/>
            <w:vAlign w:val="bottom"/>
            <w:tcBorders>
              <w:top w:val="single" w:sz="8" w:color="3051F2"/>
            </w:tcBorders>
          </w:tcPr>
          <w:p>
            <w:pPr>
              <w:spacing w:after="0"/>
              <w:rPr>
                <w:sz w:val="14"/>
                <w:szCs w:val="14"/>
                <w:color w:val="auto"/>
              </w:rPr>
            </w:pPr>
          </w:p>
        </w:tc>
        <w:tc>
          <w:tcPr>
            <w:tcW w:w="460" w:type="dxa"/>
            <w:vAlign w:val="bottom"/>
            <w:tcBorders>
              <w:top w:val="single" w:sz="8" w:color="3051F2"/>
            </w:tcBorders>
          </w:tcPr>
          <w:p>
            <w:pPr>
              <w:spacing w:after="0"/>
              <w:rPr>
                <w:sz w:val="14"/>
                <w:szCs w:val="14"/>
                <w:color w:val="auto"/>
              </w:rPr>
            </w:pPr>
          </w:p>
        </w:tc>
        <w:tc>
          <w:tcPr>
            <w:tcW w:w="1640" w:type="dxa"/>
            <w:vAlign w:val="bottom"/>
            <w:tcBorders>
              <w:top w:val="single" w:sz="8" w:color="3051F2"/>
            </w:tcBorders>
          </w:tcPr>
          <w:p>
            <w:pPr>
              <w:spacing w:after="0"/>
              <w:rPr>
                <w:sz w:val="14"/>
                <w:szCs w:val="14"/>
                <w:color w:val="auto"/>
              </w:rPr>
            </w:pPr>
          </w:p>
        </w:tc>
        <w:tc>
          <w:tcPr>
            <w:tcW w:w="1600" w:type="dxa"/>
            <w:vAlign w:val="bottom"/>
            <w:tcBorders>
              <w:top w:val="single" w:sz="8" w:color="3051F2"/>
            </w:tcBorders>
          </w:tcPr>
          <w:p>
            <w:pPr>
              <w:spacing w:after="0"/>
              <w:rPr>
                <w:sz w:val="14"/>
                <w:szCs w:val="14"/>
                <w:color w:val="auto"/>
              </w:rPr>
            </w:pPr>
          </w:p>
        </w:tc>
        <w:tc>
          <w:tcPr>
            <w:tcW w:w="100" w:type="dxa"/>
            <w:vAlign w:val="bottom"/>
            <w:tcBorders>
              <w:top w:val="single" w:sz="8" w:color="3051F2"/>
            </w:tcBorders>
          </w:tcPr>
          <w:p>
            <w:pPr>
              <w:spacing w:after="0"/>
              <w:rPr>
                <w:sz w:val="14"/>
                <w:szCs w:val="14"/>
                <w:color w:val="auto"/>
              </w:rPr>
            </w:pPr>
          </w:p>
        </w:tc>
        <w:tc>
          <w:tcPr>
            <w:tcW w:w="300" w:type="dxa"/>
            <w:vAlign w:val="bottom"/>
            <w:tcBorders>
              <w:top w:val="single" w:sz="8" w:color="3051F2"/>
            </w:tcBorders>
          </w:tcPr>
          <w:p>
            <w:pPr>
              <w:spacing w:after="0"/>
              <w:rPr>
                <w:sz w:val="14"/>
                <w:szCs w:val="14"/>
                <w:color w:val="auto"/>
              </w:rPr>
            </w:pPr>
          </w:p>
        </w:tc>
        <w:tc>
          <w:tcPr>
            <w:tcW w:w="760" w:type="dxa"/>
            <w:vAlign w:val="bottom"/>
            <w:tcBorders>
              <w:top w:val="single" w:sz="8" w:color="3051F2"/>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3051F2"/>
            </w:tcBorders>
            <w:gridSpan w:val="23"/>
          </w:tcPr>
          <w:p>
            <w:pPr>
              <w:spacing w:after="0"/>
              <w:rPr>
                <w:sz w:val="20"/>
                <w:szCs w:val="20"/>
                <w:color w:val="auto"/>
              </w:rPr>
            </w:pPr>
            <w:r>
              <w:rPr>
                <w:rFonts w:ascii="Arial" w:cs="Arial" w:eastAsia="Arial" w:hAnsi="Arial"/>
                <w:sz w:val="18"/>
                <w:szCs w:val="18"/>
                <w:color w:val="3051F2"/>
                <w:w w:val="89"/>
              </w:rPr>
              <w:t>Condensed Consolidated Statements of Changes in Equity for the three and nine months ended September 30, 2022 and 2021</w:t>
            </w: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bottom w:val="single" w:sz="8" w:color="3051F2"/>
            </w:tcBorders>
            <w:gridSpan w:val="19"/>
          </w:tcPr>
          <w:p>
            <w:pPr>
              <w:spacing w:after="0"/>
              <w:rPr>
                <w:sz w:val="20"/>
                <w:szCs w:val="20"/>
                <w:color w:val="auto"/>
              </w:rPr>
            </w:pPr>
            <w:r>
              <w:rPr>
                <w:rFonts w:ascii="Arial" w:cs="Arial" w:eastAsia="Arial" w:hAnsi="Arial"/>
                <w:sz w:val="18"/>
                <w:szCs w:val="18"/>
                <w:color w:val="3051F2"/>
                <w:w w:val="88"/>
              </w:rPr>
              <w:t>Condensed Consolidated Statements of Cash Flows for the nine months ended September 30, 2022 and 2021</w:t>
            </w:r>
          </w:p>
        </w:tc>
        <w:tc>
          <w:tcPr>
            <w:tcW w:w="122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88"/>
              </w:rPr>
              <w:t>Notes to Condensed Consolidated Financial Statements</w:t>
            </w:r>
          </w:p>
        </w:tc>
        <w:tc>
          <w:tcPr>
            <w:tcW w:w="506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2.</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Management’s Discussion and Analysis of Financial Condition and Results of Operations</w:t>
            </w:r>
          </w:p>
        </w:tc>
        <w:tc>
          <w:tcPr>
            <w:tcW w:w="980" w:type="dxa"/>
            <w:vAlign w:val="bottom"/>
          </w:tcPr>
          <w:p>
            <w:pPr>
              <w:jc w:val="right"/>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Item 3.</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3051F2"/>
              <w:bottom w:val="single" w:sz="8" w:color="3051F2"/>
            </w:tcBorders>
            <w:gridSpan w:val="16"/>
          </w:tcPr>
          <w:p>
            <w:pPr>
              <w:spacing w:after="0"/>
              <w:rPr>
                <w:sz w:val="20"/>
                <w:szCs w:val="20"/>
                <w:color w:val="auto"/>
              </w:rPr>
            </w:pPr>
            <w:r>
              <w:rPr>
                <w:rFonts w:ascii="Arial" w:cs="Arial" w:eastAsia="Arial" w:hAnsi="Arial"/>
                <w:sz w:val="18"/>
                <w:szCs w:val="18"/>
                <w:color w:val="3051F2"/>
                <w:w w:val="91"/>
              </w:rPr>
              <w:t>Quantitative and Qualitative Disclosures about Market Risk</w:t>
            </w:r>
          </w:p>
        </w:tc>
        <w:tc>
          <w:tcPr>
            <w:tcW w:w="2140" w:type="dxa"/>
            <w:vAlign w:val="bottom"/>
            <w:tcBorders>
              <w:top w:val="single" w:sz="8" w:color="3051F2"/>
            </w:tcBorders>
            <w:gridSpan w:val="3"/>
          </w:tcPr>
          <w:p>
            <w:pPr>
              <w:spacing w:after="0"/>
              <w:rPr>
                <w:sz w:val="24"/>
                <w:szCs w:val="24"/>
                <w:color w:val="auto"/>
              </w:rPr>
            </w:pPr>
          </w:p>
        </w:tc>
        <w:tc>
          <w:tcPr>
            <w:tcW w:w="28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8"/>
              </w:rPr>
              <w:t>Controls and Procedures</w:t>
            </w:r>
          </w:p>
        </w:tc>
        <w:tc>
          <w:tcPr>
            <w:tcW w:w="750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69</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76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96"/>
              </w:rPr>
              <w:t>PART II — OTHER INFORMATION</w:t>
            </w:r>
          </w:p>
        </w:tc>
        <w:tc>
          <w:tcPr>
            <w:tcW w:w="748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1.</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88"/>
              </w:rPr>
              <w:t>Legal Proceedings</w:t>
            </w:r>
          </w:p>
        </w:tc>
        <w:tc>
          <w:tcPr>
            <w:tcW w:w="7940" w:type="dxa"/>
            <w:vAlign w:val="bottom"/>
            <w:gridSpan w:val="1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3051F2"/>
              </w:rPr>
              <w:t>Item 1A.</w:t>
            </w:r>
          </w:p>
        </w:tc>
        <w:tc>
          <w:tcPr>
            <w:tcW w:w="9440" w:type="dxa"/>
            <w:vAlign w:val="bottom"/>
            <w:gridSpan w:val="26"/>
          </w:tcPr>
          <w:p>
            <w:pPr>
              <w:ind w:left="160"/>
              <w:spacing w:after="0"/>
              <w:rPr>
                <w:sz w:val="20"/>
                <w:szCs w:val="20"/>
                <w:color w:val="auto"/>
              </w:rPr>
            </w:pPr>
            <w:r>
              <w:rPr>
                <w:rFonts w:ascii="Arial" w:cs="Arial" w:eastAsia="Arial" w:hAnsi="Arial"/>
                <w:sz w:val="18"/>
                <w:szCs w:val="18"/>
                <w:color w:val="3051F2"/>
              </w:rPr>
              <w:t>Risk Factors</w:t>
            </w: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rPr>
              <w:t>Item 2.</w:t>
            </w:r>
          </w:p>
        </w:tc>
        <w:tc>
          <w:tcPr>
            <w:tcW w:w="160" w:type="dxa"/>
            <w:vAlign w:val="bottom"/>
            <w:tcBorders>
              <w:bottom w:val="single" w:sz="8" w:color="3051F2"/>
            </w:tcBorders>
          </w:tcPr>
          <w:p>
            <w:pPr>
              <w:spacing w:after="0"/>
              <w:rPr>
                <w:sz w:val="24"/>
                <w:szCs w:val="24"/>
                <w:color w:val="auto"/>
              </w:rPr>
            </w:pPr>
          </w:p>
        </w:tc>
        <w:tc>
          <w:tcPr>
            <w:tcW w:w="160" w:type="dxa"/>
            <w:vAlign w:val="bottom"/>
          </w:tcPr>
          <w:p>
            <w:pPr>
              <w:spacing w:after="0"/>
              <w:rPr>
                <w:sz w:val="24"/>
                <w:szCs w:val="24"/>
                <w:color w:val="auto"/>
              </w:rPr>
            </w:pPr>
          </w:p>
        </w:tc>
        <w:tc>
          <w:tcPr>
            <w:tcW w:w="4360" w:type="dxa"/>
            <w:vAlign w:val="bottom"/>
            <w:tcBorders>
              <w:bottom w:val="single" w:sz="8" w:color="3051F2"/>
            </w:tcBorders>
            <w:gridSpan w:val="17"/>
          </w:tcPr>
          <w:p>
            <w:pPr>
              <w:spacing w:after="0"/>
              <w:rPr>
                <w:sz w:val="20"/>
                <w:szCs w:val="20"/>
                <w:color w:val="auto"/>
              </w:rPr>
            </w:pPr>
            <w:r>
              <w:rPr>
                <w:rFonts w:ascii="Arial" w:cs="Arial" w:eastAsia="Arial" w:hAnsi="Arial"/>
                <w:sz w:val="18"/>
                <w:szCs w:val="18"/>
                <w:color w:val="3051F2"/>
                <w:w w:val="89"/>
              </w:rPr>
              <w:t>Unregistered Sales of Equity Securities and Use of Proceeds</w:t>
            </w:r>
          </w:p>
        </w:tc>
        <w:tc>
          <w:tcPr>
            <w:tcW w:w="492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3.</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Defaults Upon Senior Securities</w:t>
            </w: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Item 4.</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10"/>
          </w:tcPr>
          <w:p>
            <w:pPr>
              <w:spacing w:after="0"/>
              <w:rPr>
                <w:sz w:val="20"/>
                <w:szCs w:val="20"/>
                <w:color w:val="auto"/>
              </w:rPr>
            </w:pPr>
            <w:r>
              <w:rPr>
                <w:rFonts w:ascii="Arial" w:cs="Arial" w:eastAsia="Arial" w:hAnsi="Arial"/>
                <w:sz w:val="18"/>
                <w:szCs w:val="18"/>
                <w:color w:val="3051F2"/>
                <w:w w:val="91"/>
              </w:rPr>
              <w:t>Mine Safety Disclosures</w:t>
            </w:r>
          </w:p>
        </w:tc>
        <w:tc>
          <w:tcPr>
            <w:tcW w:w="540" w:type="dxa"/>
            <w:vAlign w:val="bottom"/>
            <w:tcBorders>
              <w:top w:val="single" w:sz="8" w:color="3051F2"/>
            </w:tcBorders>
            <w:gridSpan w:val="3"/>
          </w:tcPr>
          <w:p>
            <w:pPr>
              <w:spacing w:after="0"/>
              <w:rPr>
                <w:sz w:val="24"/>
                <w:szCs w:val="24"/>
                <w:color w:val="auto"/>
              </w:rPr>
            </w:pPr>
          </w:p>
        </w:tc>
        <w:tc>
          <w:tcPr>
            <w:tcW w:w="696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Arial" w:cs="Arial" w:eastAsia="Arial" w:hAnsi="Arial"/>
                <w:sz w:val="18"/>
                <w:szCs w:val="18"/>
                <w:color w:val="3051F2"/>
                <w:w w:val="90"/>
              </w:rPr>
              <w:t>Item 5.</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92"/>
              </w:rPr>
              <w:t>Other Information</w:t>
            </w:r>
          </w:p>
        </w:tc>
        <w:tc>
          <w:tcPr>
            <w:tcW w:w="7960" w:type="dxa"/>
            <w:vAlign w:val="bottom"/>
            <w:gridSpan w:val="1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3051F2"/>
                <w:w w:val="90"/>
              </w:rPr>
              <w:t>Item 6.</w:t>
            </w:r>
          </w:p>
        </w:tc>
        <w:tc>
          <w:tcPr>
            <w:tcW w:w="2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Exhibits</w:t>
            </w:r>
          </w:p>
        </w:tc>
        <w:tc>
          <w:tcPr>
            <w:tcW w:w="980" w:type="dxa"/>
            <w:vAlign w:val="bottom"/>
          </w:tcPr>
          <w:p>
            <w:pPr>
              <w:jc w:val="right"/>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1"/>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25"/>
          </w:tcPr>
          <w:p>
            <w:pPr>
              <w:spacing w:after="0"/>
              <w:rPr>
                <w:sz w:val="20"/>
                <w:szCs w:val="20"/>
                <w:color w:val="auto"/>
              </w:rPr>
            </w:pPr>
            <w:r>
              <w:rPr>
                <w:rFonts w:ascii="Arial" w:cs="Arial" w:eastAsia="Arial" w:hAnsi="Arial"/>
                <w:sz w:val="18"/>
                <w:szCs w:val="18"/>
                <w:color w:val="3051F2"/>
              </w:rPr>
              <w:t>Signatures</w:t>
            </w:r>
          </w:p>
        </w:tc>
        <w:tc>
          <w:tcPr>
            <w:tcW w:w="980" w:type="dxa"/>
            <w:vAlign w:val="bottom"/>
          </w:tcPr>
          <w:p>
            <w:pPr>
              <w:jc w:val="right"/>
              <w:spacing w:after="0"/>
              <w:rPr>
                <w:sz w:val="20"/>
                <w:szCs w:val="20"/>
                <w:color w:val="auto"/>
              </w:rPr>
            </w:pPr>
            <w:r>
              <w:rPr>
                <w:rFonts w:ascii="Arial" w:cs="Arial" w:eastAsia="Arial" w:hAnsi="Arial"/>
                <w:sz w:val="18"/>
                <w:szCs w:val="18"/>
                <w:color w:val="0000FF"/>
              </w:rPr>
              <w:t>72</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3051F2"/>
            </w:tcBorders>
            <w:gridSpan w:val="4"/>
          </w:tcPr>
          <w:p>
            <w:pPr>
              <w:spacing w:after="0"/>
              <w:rPr>
                <w:sz w:val="24"/>
                <w:szCs w:val="24"/>
                <w:color w:val="auto"/>
              </w:rPr>
            </w:pPr>
          </w:p>
        </w:tc>
        <w:tc>
          <w:tcPr>
            <w:tcW w:w="40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TWM LLC and all of its subsidiaries and any predecessor entities.</w:t>
      </w:r>
    </w:p>
    <w:p>
      <w:pPr>
        <w:spacing w:after="0" w:line="130" w:lineRule="exact"/>
        <w:rPr>
          <w:rFonts w:ascii="Arial" w:cs="Arial" w:eastAsia="Arial" w:hAnsi="Arial"/>
          <w:sz w:val="17"/>
          <w:szCs w:val="17"/>
          <w:color w:val="auto"/>
        </w:rPr>
      </w:pPr>
    </w:p>
    <w:p>
      <w:pPr>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 Stockholders” refer collectively to entities affiliated with the following clients: Barclays Capital Inc., BofA Securities, Inc. (a subsidiary of Bank of America Corporation), Citigroup Global Markets Inc., Credit Suisse Securities (USA) LLC, Deutsche Bank Securities Inc., Goldman Sachs &amp; Co. LLC, J.P. Morgan Securities LLC, Morgan Stanley &amp; Co. LLC, RBS Securities Inc., UBS Securities LLC and Wells Fargo Securities, LLC, which, prior to the completion of the IPO, collectively held a 46% ownership interest in Tradeweb. As of September 30, 2022, there were no LLC Interests (as defined below) held by Bank Stockholders.</w:t>
      </w:r>
    </w:p>
    <w:p>
      <w:pPr>
        <w:spacing w:after="0" w:line="147"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“Continuing LLC Owners” refer collectively to (i) those Original LLC Owners (as defined below), including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51" w:lineRule="exact"/>
        <w:rPr>
          <w:rFonts w:ascii="Arial" w:cs="Arial" w:eastAsia="Arial" w:hAnsi="Arial"/>
          <w:sz w:val="17"/>
          <w:szCs w:val="17"/>
          <w:color w:val="auto"/>
        </w:rPr>
      </w:pPr>
    </w:p>
    <w:p>
      <w:pPr>
        <w:ind w:left="660" w:right="36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“Investor Group” refer to certain investment funds affiliated with The Blackstone Group Inc. (f/k/a The Blackstone Group L.P.), an affiliate of Canada Pension Plan Investment Board, an affiliate of GIC Special Investments Pte. Ltd. and certain co-investors, which prior to the LSEG Transaction (as defined below) collectively held indirectly a 55% ownership interest in Refinitiv (as defined below).</w:t>
      </w:r>
    </w:p>
    <w:p>
      <w:pPr>
        <w:spacing w:after="0" w:line="124" w:lineRule="exact"/>
        <w:rPr>
          <w:rFonts w:ascii="Arial" w:cs="Arial" w:eastAsia="Arial" w:hAnsi="Arial"/>
          <w:sz w:val="17"/>
          <w:szCs w:val="17"/>
          <w:color w:val="auto"/>
        </w:rPr>
      </w:pPr>
    </w:p>
    <w:p>
      <w:pPr>
        <w:ind w:left="660" w:right="44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 to the single class of common membership interests of TWM LLC. LLC Interests, other than those held by Tradeweb Markets Inc., are redeemable or exchangeable in accordance with the TWM LLC Agreement for shares of Class A common stock or Class B common stock, as the case may be, on a one-for-one basis.</w:t>
      </w:r>
    </w:p>
    <w:p>
      <w:pPr>
        <w:spacing w:after="0" w:line="14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“LSEG Transaction” refer to the acquisition of the Refinitiv business by London Stock Exchange Group plc (“LSEG”), in an all share transaction, which closed on January 29, 2021.</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“Original LLC Owners” refer to the owners of TWM LLC prior to the Reorganization Transactions.</w:t>
      </w:r>
    </w:p>
    <w:p>
      <w:pPr>
        <w:spacing w:after="0" w:line="184"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“Thomson Reuters” or “TR” refer to Thomson Reuters Corporation, which prior to the LSEG Transaction indirectly held a 45% ownership interest in Refinitiv.</w:t>
      </w:r>
    </w:p>
    <w:p>
      <w:pPr>
        <w:spacing w:after="0" w:line="13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USE OF NON-GAAP FINANCIAL MEASURES</w:t>
      </w:r>
    </w:p>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Quarterly Report on Form 10-Q contains “non-GAAP financial measures,” which are financial measures that are not calculated and presented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(“SEC”) has adopted rules to regulate the use in filings with the SEC and in other public disclosures of non-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GAAP financial measures. These rules govern the manner in which non-GAAP financial measures are publicly presented and require, among other things:</w:t>
      </w:r>
    </w:p>
    <w:p>
      <w:pPr>
        <w:spacing w:after="0" w:line="193" w:lineRule="exact"/>
        <w:rPr>
          <w:sz w:val="20"/>
          <w:szCs w:val="20"/>
          <w:color w:val="auto"/>
        </w:rPr>
      </w:pPr>
    </w:p>
    <w:p>
      <w:pPr>
        <w:ind w:left="660" w:right="3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presentation with equal or greater prominence of the most comparable financial measure or measures calculated and presented in accordance with GAAP;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Specifically, we make use of the non-GAAP financial measures “Free Cash Flow,” “Adjusted EBITDA,” “Adjusted EBITDA margin,” “Adjusted EBIT,” “Adjusted EBIT margin,” “Adjusted Net Income” and “Adjusted Diluted EPS” in evaluating our past results and future prospects. For the definition of Free Cash Flow and a reconciliation to cash flow from operating activities, its most directly comparable financial measure presented in accordance with GAAP, see Part I, Item 2. – “Management’s Discussion and Analysis of Financial Condition and Results of Operations—Non</w:t>
      </w:r>
      <w:r>
        <w:rPr>
          <w:rFonts w:ascii="Arial" w:cs="Arial" w:eastAsia="Arial" w:hAnsi="Arial"/>
          <w:sz w:val="16"/>
          <w:szCs w:val="16"/>
          <w:b w:val="1"/>
          <w:bCs w:val="1"/>
          <w:color w:val="auto"/>
        </w:rPr>
        <w:t>-</w:t>
      </w:r>
      <w:r>
        <w:rPr>
          <w:rFonts w:ascii="Arial" w:cs="Arial" w:eastAsia="Arial" w:hAnsi="Arial"/>
          <w:sz w:val="16"/>
          <w:szCs w:val="16"/>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Adjusted EBITDA margin and Adjusted EBIT margin are defined as Adjusted EBITDA and Adjusted EBIT, respectively, divided by revenue for the applicable period.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expenditures for capitalized software development costs and furniture, equipment and leasehold improvements.</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Free Cash Flow, Adjusted EBITDA, Adjusted EBIT, Adjusted Net Income and Adjusted Diluted EPS have limitations as analytical tools, and you should not consider such measures either in isolation or as substitutes for analyzing our results as reported under GAAP. Some of these limitations include the following:</w:t>
      </w:r>
    </w:p>
    <w:p>
      <w:pPr>
        <w:spacing w:after="0" w:line="157" w:lineRule="exact"/>
        <w:rPr>
          <w:sz w:val="20"/>
          <w:szCs w:val="20"/>
          <w:color w:val="auto"/>
        </w:rPr>
      </w:pPr>
    </w:p>
    <w:p>
      <w:pPr>
        <w:ind w:left="660" w:right="4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and Adjusted Diluted EPS do not reflect changes in our working capital needs;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any interest expense, or the amounts necessary to service interest or principal payments on any debt obligations;</w:t>
      </w:r>
    </w:p>
    <w:p>
      <w:pPr>
        <w:spacing w:after="0" w:line="143"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 do not reflect income tax expense, which in post-IPO periods is a necessary element of our costs and ability to operate;</w:t>
      </w:r>
    </w:p>
    <w:p>
      <w:pPr>
        <w:spacing w:after="0" w:line="129"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24" w:lineRule="exact"/>
        <w:rPr>
          <w:rFonts w:ascii="Arial" w:cs="Arial" w:eastAsia="Arial" w:hAnsi="Arial"/>
          <w:sz w:val="17"/>
          <w:szCs w:val="17"/>
          <w:color w:val="auto"/>
        </w:rPr>
      </w:pPr>
    </w:p>
    <w:p>
      <w:pPr>
        <w:ind w:left="660" w:right="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post-IPO periods, Adjusted EBITDA, Adjusted EBIT, Adjusted Net Income and Adjusted Diluted EPS do not reflect the noncash component of certain employee compensation expense or payroll taxes associated with certain option exercises;</w:t>
      </w:r>
    </w:p>
    <w:p>
      <w:pPr>
        <w:spacing w:after="0" w:line="143"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and Adjusted Diluted EPS do not reflect the impact of earnings or charges resulting from matters we consider not to be indicative, on a recurring basis, of our ongoing operations; and</w:t>
      </w:r>
    </w:p>
    <w:p>
      <w:pPr>
        <w:spacing w:after="0" w:line="129"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companies in our industry may calculate Free Cash Flow, Adjusted EBITDA, Adjusted EBIT, Adjusted Net Income and Adjusted Diluted EPS or similarly titled measures differently than we do, limiting their usefulness as comparative measures.</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compensate for these limitations by relying primarily on our GAAP results and using Free Cash Flow, Adjusted EBITDA, Adjusted EBIT, Adjusted Net Income and Adjusted Diluted EPS only as supplemental information.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any potential tax savings we may realize as a result of our organizational structure, our dividend policy and our expectations, beliefs, plans, strategies, objectives, prospects or assumptions regarding future events, our performance or otherwise, contained in this Quarterly Report on Form 10-Q are forward-looking statements. In addition, statements contained in this Quarterly Report on Form 10-Q relating to the COVID-19 pandemic (including any variants of COVID-19), the potential impacts of which are inherently uncertain, are forward-looking statements.</w:t>
      </w:r>
    </w:p>
    <w:p>
      <w:pPr>
        <w:spacing w:after="0" w:line="14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share price.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Some of the factors that could cause actual results to differ materially from those expressed or implied by the forward-looking statements include:</w:t>
      </w:r>
    </w:p>
    <w:p>
      <w:pPr>
        <w:spacing w:after="0" w:line="21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political, social and market conditions and the impact of these changes on trading volumes;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compete successfully;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adapt our business effectively to keep pace with industry changes;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concentration in the financial services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dealer clients that, in some cases, are also stockholders;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third parties for certain market data and certain key functions;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implement our business strategies profitably;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 or to realize benefits from any strategic alliances, partnerships or joint ventures;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and grow the capacity of our trading platforms, systems and infrastructure;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defects, errors, failures or delays with our platforms or solutions;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systems failures, interruptions, delays in services, cybersecurity incidents, catastrophic events and any resulting interruptions;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extensive regulation of our industry;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retain the services of certain members of our management;</w:t>
      </w:r>
    </w:p>
    <w:p>
      <w:pPr>
        <w:spacing w:after="0" w:line="184"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on operating our business and incurring additional indebtedness as a result of covenant restrictions under our $500.0 million senior secured revolving credit facility (the “Revolving Credit Facility”) with Citibank, N.A., as administrative agent and collateral agent, and the other lenders party thereto, and certain Refinitiv indebtedness;</w:t>
      </w:r>
    </w:p>
    <w:p>
      <w:pPr>
        <w:spacing w:after="0" w:line="15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realize any benefit from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Refinitiv’s, and indirectly LSEG’s, control of us and our status as a controlled company; and</w:t>
      </w:r>
    </w:p>
    <w:p>
      <w:pPr>
        <w:spacing w:after="0" w:line="198"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 of our Annual Report on Form 10-K for the year ended December 31, 2021 (the “2021 Form 10-K”), filed with the Securities and Exchange Commission (“SEC”) and in other filings we may make from time to time with the SEC.</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Given these risks and uncertainties, you are cautioned not to place undue reliance on such forward-looking statements. The forward-looking statements contained in this Quarterly Report on Form 10-Q are not guarantees of future performance and our actual results of operations, financial condition or liquidity, and the development of the industry and markets in which we operate, may differ materially from the forward-looking statements contained in this Quarterly Report on Form 10-Q. In addition, even if our results of operations, financial condition or liquidity, and events in the industry and markets in which we operate, are consistent with the forward-looking statements contained in this Quarterly Report on Form 10-Q, they may not be predictive of results or developments in future periods.</w:t>
      </w:r>
    </w:p>
    <w:p>
      <w:pPr>
        <w:spacing w:after="0" w:line="15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Twitter.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Tradeweb Markets Inc.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Financial Condition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26"/>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1,110,227</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972,048</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brokers and dealers and clearing organizations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25,214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20,523</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Accounts receivable, net of allowance for credit losses of $176 and $273 at September 30, 2022 and December 31, 2021,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150,201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129,937</w:t>
            </w:r>
          </w:p>
        </w:tc>
      </w:tr>
      <w:tr>
        <w:trPr>
          <w:trHeight w:val="26"/>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equipment, purchased software and leasehold improvements, net of accumulated depreciation and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33,433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31,060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20,496</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 development costs, net of accumulated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144,687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156,203</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2,780,259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2,780,259</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 of accumulated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1,099,617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1,180,016</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Receivable from affiliates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3,313</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676,709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618,970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79,902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76,355</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6,136,601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95"/>
        </w:trPr>
        <w:tc>
          <w:tcPr>
            <w:tcW w:w="8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10"/>
        </w:trPr>
        <w:tc>
          <w:tcPr>
            <w:tcW w:w="8440" w:type="dxa"/>
            <w:vAlign w:val="bottom"/>
            <w:tcBorders>
              <w:bottom w:val="single" w:sz="8" w:color="CCEEFF"/>
            </w:tcBorders>
            <w:shd w:val="clear" w:color="auto" w:fill="CCEEFF"/>
          </w:tcPr>
          <w:p>
            <w:pPr>
              <w:ind w:left="352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 to brokers and dealers and clearing organizations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123,531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154,824</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28,568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24,930</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37,375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38,832</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28,668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24,331</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Payable to affiliates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4,860</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liability</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19,881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21,011</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Tax receivable agreement liability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439,348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412,449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683,034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681,237</w:t>
            </w:r>
          </w:p>
        </w:tc>
      </w:tr>
      <w:tr>
        <w:trPr>
          <w:trHeight w:val="129"/>
        </w:trPr>
        <w:tc>
          <w:tcPr>
            <w:tcW w:w="8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r>
      <w:tr>
        <w:trPr>
          <w:trHeight w:val="25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48"/>
        </w:trPr>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Preferred stock, $0.00001 par value; 250,000,000 shares authorized; none issued or outstanding</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Class A common stock, $0.00001 par value; 1,000,000,000 shares authorized; 111,244,559 and 106,286,821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2022 and December 31, 2021,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B common stock, $0.00001 par value; 450,000,000 shares authorized; 96,933,192 and 96,933,192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2022 and December 31, 2021,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Class C common stock, $0.00001 par value; 350,000,000 shares authorized; 3,251,177 and 1,654,825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30, 2022 and December 31, 2021,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w w:val="95"/>
              </w:rPr>
              <w:t>Class D common stock, $0.00001 par value; 300,000,000 shares authorized; 23,096,704 and 28,873,139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8440" w:type="dxa"/>
            <w:vAlign w:val="bottom"/>
          </w:tcPr>
          <w:p>
            <w:pPr>
              <w:ind w:left="20"/>
              <w:spacing w:after="0"/>
              <w:rPr>
                <w:sz w:val="20"/>
                <w:szCs w:val="20"/>
                <w:color w:val="auto"/>
              </w:rPr>
            </w:pPr>
            <w:r>
              <w:rPr>
                <w:rFonts w:ascii="Arial" w:cs="Arial" w:eastAsia="Arial" w:hAnsi="Arial"/>
                <w:sz w:val="14"/>
                <w:szCs w:val="14"/>
                <w:color w:val="auto"/>
              </w:rPr>
              <w:t>September 30, 2022 and December 31, 2021,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4,542,160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4,401,366</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(21,601)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1,604</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242,623</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color w:val="auto"/>
              </w:rPr>
              <w:t>Total stockholders’ equity attributable to Tradeweb Markets Inc.</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4,868,890</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4,645,595</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584,677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663,348</w:t>
            </w:r>
          </w:p>
        </w:tc>
      </w:tr>
      <w:tr>
        <w:trPr>
          <w:trHeight w:val="176"/>
        </w:trPr>
        <w:tc>
          <w:tcPr>
            <w:tcW w:w="8440" w:type="dxa"/>
            <w:vAlign w:val="bottom"/>
          </w:tcPr>
          <w:p>
            <w:pPr>
              <w:ind w:left="1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5,453,567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5,308,943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6,136,601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5,990,180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228,015</w:t>
            </w:r>
          </w:p>
        </w:tc>
        <w:tc>
          <w:tcPr>
            <w:tcW w:w="8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206,316</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717,489</w:t>
            </w:r>
          </w:p>
        </w:tc>
        <w:tc>
          <w:tcPr>
            <w:tcW w:w="8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629,513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 fees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41,342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41,390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124,337</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117,141</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Refinitiv market data fees</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15,002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46,354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45,045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7,559</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7,865</w:t>
            </w:r>
          </w:p>
        </w:tc>
        <w:tc>
          <w:tcPr>
            <w:tcW w:w="0" w:type="dxa"/>
            <w:vAlign w:val="bottom"/>
          </w:tcPr>
          <w:p>
            <w:pPr>
              <w:spacing w:after="0"/>
              <w:rPr>
                <w:sz w:val="1"/>
                <w:szCs w:val="1"/>
                <w:color w:val="auto"/>
              </w:rPr>
            </w:pPr>
          </w:p>
        </w:tc>
      </w:tr>
      <w:tr>
        <w:trPr>
          <w:trHeight w:val="184"/>
        </w:trPr>
        <w:tc>
          <w:tcPr>
            <w:tcW w:w="5600" w:type="dxa"/>
            <w:vAlign w:val="bottom"/>
          </w:tcPr>
          <w:p>
            <w:pPr>
              <w:ind w:left="2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287,115</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265,325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895,739</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799,564</w:t>
            </w:r>
          </w:p>
        </w:tc>
        <w:tc>
          <w:tcPr>
            <w:tcW w:w="0" w:type="dxa"/>
            <w:vAlign w:val="bottom"/>
          </w:tcPr>
          <w:p>
            <w:pPr>
              <w:spacing w:after="0"/>
              <w:rPr>
                <w:sz w:val="1"/>
                <w:szCs w:val="1"/>
                <w:color w:val="auto"/>
              </w:rPr>
            </w:pPr>
          </w:p>
        </w:tc>
      </w:tr>
      <w:tr>
        <w:trPr>
          <w:trHeight w:val="26"/>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102,720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98,036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330,601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300,107</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44,778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133,998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127,656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Technology and communications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16,816</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48,626</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42,248</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6,892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9,561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24,806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21,809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9,400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8,897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25,832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28,993</w:t>
            </w: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Occupancy</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3,699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10,857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11,104</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184,305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179,797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574,720</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531,917</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102,810</w:t>
            </w:r>
          </w:p>
        </w:tc>
        <w:tc>
          <w:tcPr>
            <w:tcW w:w="8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85,528</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321,019</w:t>
            </w:r>
          </w:p>
        </w:tc>
        <w:tc>
          <w:tcPr>
            <w:tcW w:w="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267,647</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interest income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3,413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106,223</w:t>
            </w:r>
          </w:p>
        </w:tc>
        <w:tc>
          <w:tcPr>
            <w:tcW w:w="8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85,167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324,526</w:t>
            </w:r>
          </w:p>
        </w:tc>
        <w:tc>
          <w:tcPr>
            <w:tcW w:w="80" w:type="dxa"/>
            <w:vAlign w:val="bottom"/>
            <w:tcBorders>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266,468</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(24,657)</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(19,862)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(63,915)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(53,365)</w:t>
            </w:r>
          </w:p>
        </w:tc>
        <w:tc>
          <w:tcPr>
            <w:tcW w:w="0" w:type="dxa"/>
            <w:vAlign w:val="bottom"/>
          </w:tcPr>
          <w:p>
            <w:pPr>
              <w:spacing w:after="0"/>
              <w:rPr>
                <w:sz w:val="1"/>
                <w:szCs w:val="1"/>
                <w:color w:val="auto"/>
              </w:rPr>
            </w:pPr>
          </w:p>
        </w:tc>
      </w:tr>
      <w:tr>
        <w:trPr>
          <w:trHeight w:val="188"/>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81,566</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65,305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260,611</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213,103</w:t>
            </w:r>
          </w:p>
        </w:tc>
        <w:tc>
          <w:tcPr>
            <w:tcW w:w="0" w:type="dxa"/>
            <w:vAlign w:val="bottom"/>
          </w:tcPr>
          <w:p>
            <w:pPr>
              <w:spacing w:after="0"/>
              <w:rPr>
                <w:sz w:val="1"/>
                <w:szCs w:val="1"/>
                <w:color w:val="auto"/>
              </w:rPr>
            </w:pPr>
          </w:p>
        </w:tc>
      </w:tr>
      <w:tr>
        <w:trPr>
          <w:trHeight w:val="21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40,219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35,165</w:t>
            </w:r>
          </w:p>
        </w:tc>
        <w:tc>
          <w:tcPr>
            <w:tcW w:w="0" w:type="dxa"/>
            <w:vAlign w:val="bottom"/>
          </w:tcPr>
          <w:p>
            <w:pPr>
              <w:spacing w:after="0"/>
              <w:rPr>
                <w:sz w:val="1"/>
                <w:szCs w:val="1"/>
                <w:color w:val="auto"/>
              </w:rPr>
            </w:pPr>
          </w:p>
        </w:tc>
      </w:tr>
      <w:tr>
        <w:trPr>
          <w:trHeight w:val="189"/>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69,083</w:t>
            </w:r>
          </w:p>
        </w:tc>
        <w:tc>
          <w:tcPr>
            <w:tcW w:w="8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54,763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220,392</w:t>
            </w:r>
          </w:p>
        </w:tc>
        <w:tc>
          <w:tcPr>
            <w:tcW w:w="8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177,938</w:t>
            </w:r>
          </w:p>
        </w:tc>
        <w:tc>
          <w:tcPr>
            <w:tcW w:w="0" w:type="dxa"/>
            <w:vAlign w:val="bottom"/>
          </w:tcPr>
          <w:p>
            <w:pPr>
              <w:spacing w:after="0"/>
              <w:rPr>
                <w:sz w:val="1"/>
                <w:szCs w:val="1"/>
                <w:color w:val="auto"/>
              </w:rPr>
            </w:pPr>
          </w:p>
        </w:tc>
      </w:tr>
      <w:tr>
        <w:trPr>
          <w:trHeight w:val="21"/>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tcPr>
          <w:p>
            <w:pPr>
              <w:ind w:left="20"/>
              <w:spacing w:after="0"/>
              <w:rPr>
                <w:sz w:val="20"/>
                <w:szCs w:val="20"/>
                <w:color w:val="auto"/>
              </w:rPr>
            </w:pPr>
            <w:r>
              <w:rPr>
                <w:rFonts w:ascii="Arial" w:cs="Arial" w:eastAsia="Arial" w:hAnsi="Arial"/>
                <w:sz w:val="14"/>
                <w:szCs w:val="14"/>
                <w:color w:val="auto"/>
                <w:w w:val="94"/>
              </w:rPr>
              <w:t>Earnings per share attributable to Tradeweb Markets Inc. Class A and B common stockholders: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0.33</w:t>
            </w:r>
          </w:p>
        </w:tc>
        <w:tc>
          <w:tcPr>
            <w:tcW w:w="80" w:type="dxa"/>
            <w:vAlign w:val="bottom"/>
          </w:tcPr>
          <w:p>
            <w:pPr>
              <w:spacing w:after="0"/>
              <w:rPr>
                <w:sz w:val="13"/>
                <w:szCs w:val="13"/>
                <w:color w:val="auto"/>
              </w:rPr>
            </w:pPr>
          </w:p>
        </w:tc>
        <w:tc>
          <w:tcPr>
            <w:tcW w:w="460" w:type="dxa"/>
            <w:vAlign w:val="bottom"/>
          </w:tcPr>
          <w:p>
            <w:pPr>
              <w:jc w:val="right"/>
              <w:ind w:right="288"/>
              <w:spacing w:after="0" w:line="156"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0.26</w:t>
            </w:r>
          </w:p>
        </w:tc>
        <w:tc>
          <w:tcPr>
            <w:tcW w:w="100" w:type="dxa"/>
            <w:vAlign w:val="bottom"/>
          </w:tcPr>
          <w:p>
            <w:pPr>
              <w:spacing w:after="0"/>
              <w:rPr>
                <w:sz w:val="13"/>
                <w:szCs w:val="13"/>
                <w:color w:val="auto"/>
              </w:rPr>
            </w:pPr>
          </w:p>
        </w:tc>
        <w:tc>
          <w:tcPr>
            <w:tcW w:w="300" w:type="dxa"/>
            <w:vAlign w:val="bottom"/>
          </w:tcPr>
          <w:p>
            <w:pPr>
              <w:jc w:val="right"/>
              <w:ind w:right="148"/>
              <w:spacing w:after="0" w:line="156"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6"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3"/>
                <w:szCs w:val="13"/>
                <w:color w:val="auto"/>
              </w:rPr>
            </w:pPr>
          </w:p>
        </w:tc>
        <w:tc>
          <w:tcPr>
            <w:tcW w:w="480" w:type="dxa"/>
            <w:vAlign w:val="bottom"/>
          </w:tcPr>
          <w:p>
            <w:pPr>
              <w:jc w:val="right"/>
              <w:ind w:right="308"/>
              <w:spacing w:after="0" w:line="156"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6" w:lineRule="exact"/>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0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Weighted average shares outstanding:</w:t>
            </w: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6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205,721,162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202,238,122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204,767,261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201,029,196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208,329,469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208,197,439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207,748,037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206,908,330</w:t>
            </w:r>
          </w:p>
        </w:tc>
        <w:tc>
          <w:tcPr>
            <w:tcW w:w="0" w:type="dxa"/>
            <w:vAlign w:val="bottom"/>
          </w:tcPr>
          <w:p>
            <w:pPr>
              <w:spacing w:after="0"/>
              <w:rPr>
                <w:sz w:val="1"/>
                <w:szCs w:val="1"/>
                <w:color w:val="auto"/>
              </w:rPr>
            </w:pPr>
          </w:p>
        </w:tc>
      </w:tr>
      <w:tr>
        <w:trPr>
          <w:trHeight w:val="20"/>
        </w:trPr>
        <w:tc>
          <w:tcPr>
            <w:tcW w:w="56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81,566</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65,305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98"/>
              </w:rPr>
              <w:t>260,611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213,103</w:t>
            </w: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7"/>
              </w:rPr>
              <w:t>Foreign currency translation adjustments, with no tax benefit for each of the three and nine</w:t>
            </w:r>
          </w:p>
        </w:tc>
        <w:tc>
          <w:tcPr>
            <w:tcW w:w="8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(12,406)</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ind w:left="520"/>
              <w:spacing w:after="0"/>
              <w:rPr>
                <w:sz w:val="20"/>
                <w:szCs w:val="20"/>
                <w:color w:val="auto"/>
              </w:rPr>
            </w:pPr>
            <w:r>
              <w:rPr>
                <w:rFonts w:ascii="Arial" w:cs="Arial" w:eastAsia="Arial" w:hAnsi="Arial"/>
                <w:sz w:val="14"/>
                <w:szCs w:val="14"/>
                <w:color w:val="auto"/>
                <w:w w:val="91"/>
              </w:rPr>
              <w:t>(26,181)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months ended September 30, 2022 and 2021</w:t>
            </w:r>
          </w:p>
        </w:tc>
        <w:tc>
          <w:tcPr>
            <w:tcW w:w="8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(12,406)</w:t>
            </w: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w w:val="91"/>
              </w:rPr>
              <w:t>(26,181)</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69,160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62,503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ind w:left="500"/>
              <w:spacing w:after="0"/>
              <w:rPr>
                <w:sz w:val="20"/>
                <w:szCs w:val="20"/>
                <w:color w:val="auto"/>
              </w:rPr>
            </w:pPr>
            <w:r>
              <w:rPr>
                <w:rFonts w:ascii="Arial" w:cs="Arial" w:eastAsia="Arial" w:hAnsi="Arial"/>
                <w:sz w:val="14"/>
                <w:szCs w:val="14"/>
                <w:color w:val="auto"/>
                <w:w w:val="98"/>
              </w:rPr>
              <w:t>234,430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210,661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8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10,542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w w:val="97"/>
              </w:rPr>
              <w:t>40,219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35,165</w:t>
            </w:r>
          </w:p>
        </w:tc>
        <w:tc>
          <w:tcPr>
            <w:tcW w:w="0" w:type="dxa"/>
            <w:vAlign w:val="bottom"/>
          </w:tcPr>
          <w:p>
            <w:pPr>
              <w:spacing w:after="0"/>
              <w:rPr>
                <w:sz w:val="1"/>
                <w:szCs w:val="1"/>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Less: Foreign currency translation adjustments attributable to non-controlling interests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ind w:left="580"/>
              <w:spacing w:after="0"/>
              <w:rPr>
                <w:sz w:val="20"/>
                <w:szCs w:val="20"/>
                <w:color w:val="auto"/>
              </w:rPr>
            </w:pPr>
            <w:r>
              <w:rPr>
                <w:rFonts w:ascii="Arial" w:cs="Arial" w:eastAsia="Arial" w:hAnsi="Arial"/>
                <w:sz w:val="14"/>
                <w:szCs w:val="14"/>
                <w:color w:val="auto"/>
                <w:w w:val="94"/>
              </w:rPr>
              <w:t>(3,288)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58,198</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52,328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w w:val="98"/>
              </w:rPr>
              <w:t>197,499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175,817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Tradeweb Markets Inc.</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69,083</w:t>
            </w:r>
          </w:p>
        </w:tc>
        <w:tc>
          <w:tcPr>
            <w:tcW w:w="100" w:type="dxa"/>
            <w:vAlign w:val="bottom"/>
          </w:tcPr>
          <w:p>
            <w:pPr>
              <w:spacing w:after="0"/>
              <w:rPr>
                <w:sz w:val="15"/>
                <w:szCs w:val="15"/>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54,763</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220,392</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177,938</w:t>
            </w:r>
          </w:p>
        </w:tc>
      </w:tr>
      <w:tr>
        <w:trPr>
          <w:trHeight w:val="20"/>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 attributable to Tradeweb Markets Inc.</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(10,885)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(2,435)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(22,893)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Tradeweb Markets Inc.</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58,198</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52,328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197,499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175,817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 Non-controlling interests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tcPr>
          <w:p>
            <w:pPr>
              <w:spacing w:after="0"/>
              <w:rPr>
                <w:sz w:val="15"/>
                <w:szCs w:val="15"/>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10,542</w:t>
            </w:r>
          </w:p>
        </w:tc>
        <w:tc>
          <w:tcPr>
            <w:tcW w:w="10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40,219</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35,165</w:t>
            </w:r>
          </w:p>
        </w:tc>
      </w:tr>
      <w:tr>
        <w:trPr>
          <w:trHeight w:val="20"/>
        </w:trPr>
        <w:tc>
          <w:tcPr>
            <w:tcW w:w="5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82"/>
        </w:trPr>
        <w:tc>
          <w:tcPr>
            <w:tcW w:w="562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 attributable to non-controlling interests</w:t>
            </w: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attributable to non-controlling interests</w:t>
            </w:r>
          </w:p>
        </w:tc>
        <w:tc>
          <w:tcPr>
            <w:tcW w:w="80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10,962</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10,175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36,931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80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55"/>
              <w:spacing w:after="0" w:line="95" w:lineRule="exact"/>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75"/>
              <w:spacing w:after="0" w:line="95" w:lineRule="exact"/>
              <w:rPr>
                <w:sz w:val="20"/>
                <w:szCs w:val="20"/>
                <w:color w:val="auto"/>
              </w:rPr>
            </w:pPr>
            <w:r>
              <w:rPr>
                <w:rFonts w:ascii="Arial" w:cs="Arial" w:eastAsia="Arial" w:hAnsi="Arial"/>
                <w:sz w:val="9"/>
                <w:szCs w:val="9"/>
                <w:b w:val="1"/>
                <w:bCs w:val="1"/>
                <w:color w:val="auto"/>
                <w:w w:val="84"/>
              </w:rPr>
              <w:t>Class 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8"/>
                <w:szCs w:val="8"/>
                <w:color w:val="auto"/>
              </w:rPr>
            </w:pPr>
          </w:p>
        </w:tc>
        <w:tc>
          <w:tcPr>
            <w:tcW w:w="680" w:type="dxa"/>
            <w:vAlign w:val="bottom"/>
            <w:gridSpan w:val="2"/>
          </w:tcPr>
          <w:p>
            <w:pPr>
              <w:ind w:left="6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8"/>
                <w:szCs w:val="8"/>
                <w:color w:val="auto"/>
              </w:rPr>
            </w:pPr>
          </w:p>
        </w:tc>
        <w:tc>
          <w:tcPr>
            <w:tcW w:w="580" w:type="dxa"/>
            <w:vAlign w:val="bottom"/>
          </w:tcPr>
          <w:p>
            <w:pPr>
              <w:jc w:val="right"/>
              <w:ind w:right="215"/>
              <w:spacing w:after="0" w:line="95"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rPr>
                <w:sz w:val="20"/>
                <w:szCs w:val="20"/>
                <w:color w:val="auto"/>
              </w:rPr>
            </w:pPr>
            <w:r>
              <w:rPr>
                <w:rFonts w:ascii="Arial" w:cs="Arial" w:eastAsia="Arial" w:hAnsi="Arial"/>
                <w:sz w:val="9"/>
                <w:szCs w:val="9"/>
                <w:color w:val="auto"/>
              </w:rPr>
              <w:t>Balance at December 31, 2021</w:t>
            </w:r>
          </w:p>
        </w:tc>
        <w:tc>
          <w:tcPr>
            <w:tcW w:w="640" w:type="dxa"/>
            <w:vAlign w:val="bottom"/>
          </w:tcPr>
          <w:p>
            <w:pPr>
              <w:jc w:val="right"/>
              <w:spacing w:after="0"/>
              <w:rPr>
                <w:sz w:val="20"/>
                <w:szCs w:val="20"/>
                <w:color w:val="auto"/>
              </w:rPr>
            </w:pPr>
            <w:r>
              <w:rPr>
                <w:rFonts w:ascii="Arial" w:cs="Arial" w:eastAsia="Arial" w:hAnsi="Arial"/>
                <w:sz w:val="9"/>
                <w:szCs w:val="9"/>
                <w:color w:val="auto"/>
              </w:rPr>
              <w:t>106,286,821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jc w:val="right"/>
              <w:spacing w:after="0"/>
              <w:rPr>
                <w:sz w:val="20"/>
                <w:szCs w:val="20"/>
                <w:color w:val="auto"/>
              </w:rPr>
            </w:pPr>
            <w:r>
              <w:rPr>
                <w:rFonts w:ascii="Arial" w:cs="Arial" w:eastAsia="Arial" w:hAnsi="Arial"/>
                <w:sz w:val="9"/>
                <w:szCs w:val="9"/>
                <w:color w:val="auto"/>
              </w:rPr>
              <w:t>28,873,139</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4,401,366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9"/>
                <w:szCs w:val="9"/>
                <w:color w:val="auto"/>
              </w:rPr>
              <w:t>1,604</w:t>
            </w:r>
          </w:p>
        </w:tc>
        <w:tc>
          <w:tcPr>
            <w:tcW w:w="100" w:type="dxa"/>
            <w:vAlign w:val="bottom"/>
          </w:tcPr>
          <w:p>
            <w:pPr>
              <w:spacing w:after="0"/>
              <w:rPr>
                <w:sz w:val="12"/>
                <w:szCs w:val="12"/>
                <w:color w:val="auto"/>
              </w:rPr>
            </w:pPr>
          </w:p>
        </w:tc>
        <w:tc>
          <w:tcPr>
            <w:tcW w:w="120" w:type="dxa"/>
            <w:vAlign w:val="bottom"/>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rPr>
                <w:sz w:val="20"/>
                <w:szCs w:val="20"/>
                <w:color w:val="auto"/>
              </w:rPr>
            </w:pPr>
            <w:r>
              <w:rPr>
                <w:rFonts w:ascii="Arial" w:cs="Arial" w:eastAsia="Arial" w:hAnsi="Arial"/>
                <w:sz w:val="9"/>
                <w:szCs w:val="9"/>
                <w:color w:val="auto"/>
              </w:rPr>
              <w:t>242,623</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9"/>
                <w:szCs w:val="9"/>
                <w:color w:val="auto"/>
              </w:rPr>
              <w:t>663,348</w:t>
            </w:r>
          </w:p>
        </w:tc>
        <w:tc>
          <w:tcPr>
            <w:tcW w:w="100" w:type="dxa"/>
            <w:vAlign w:val="bottom"/>
          </w:tcPr>
          <w:p>
            <w:pPr>
              <w:spacing w:after="0"/>
              <w:rPr>
                <w:sz w:val="12"/>
                <w:szCs w:val="12"/>
                <w:color w:val="auto"/>
              </w:rPr>
            </w:pPr>
          </w:p>
        </w:tc>
        <w:tc>
          <w:tcPr>
            <w:tcW w:w="140" w:type="dxa"/>
            <w:vAlign w:val="bottom"/>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9"/>
                <w:szCs w:val="9"/>
                <w:color w:val="auto"/>
              </w:rPr>
              <w:t>5,308,943</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552,606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(552,606)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1,068,080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692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692</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(559,428)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(47,323)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(47,323)</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38,676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38,676</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30,005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(30,005)</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(2,178)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(2,178)</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(16,350)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(16,350)</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6,351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6,351</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6,102</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6,102</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1,229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1,229</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(95,758)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(95,758)</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82,965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14,480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97,445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(3,568)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(530)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(4,098)</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Arial" w:cs="Arial" w:eastAsia="Arial" w:hAnsi="Arial"/>
                <w:sz w:val="9"/>
                <w:szCs w:val="9"/>
                <w:color w:val="auto"/>
              </w:rPr>
              <w:t>Balance at March 31,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107,348,079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28,320,533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4,388,663</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(1,964)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261,915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645,115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5,293,731</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3,700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(3,700)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367,374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6,924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6,924</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(103,458)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7,449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7,449</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1,300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(2,568)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(2,568)</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(16,360)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(16,360)</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11,140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11,140</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9,459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9,459</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288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288</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(2,218)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(2,218)</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68,344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13,256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81,600</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(8,440)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(9,677)</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Arial" w:cs="Arial" w:eastAsia="Arial" w:hAnsi="Arial"/>
                <w:sz w:val="9"/>
                <w:szCs w:val="9"/>
                <w:color w:val="auto"/>
              </w:rPr>
              <w:t>Balance at June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107,615,695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28,316,833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4,420,405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(10,404)</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304,899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655,866</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5,370,768</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3,623,777</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1,596,352</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(5,220,129)</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134,896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2,059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2,059</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(129,809)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(9,000)</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27,740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27,740</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79,606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(312)</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(79,294)</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(2,857)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(2,857)</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(16,653)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(16,653)</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7,061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7,061</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7,270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7,270</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291</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(2,272)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(2,272)</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69,083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12,483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81,566</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(10,885)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(1,521)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(12,406)</w:t>
            </w:r>
          </w:p>
        </w:tc>
        <w:tc>
          <w:tcPr>
            <w:tcW w:w="0" w:type="dxa"/>
            <w:vAlign w:val="bottom"/>
          </w:tcPr>
          <w:p>
            <w:pPr>
              <w:spacing w:after="0"/>
              <w:rPr>
                <w:sz w:val="1"/>
                <w:szCs w:val="1"/>
                <w:color w:val="auto"/>
              </w:rPr>
            </w:pPr>
          </w:p>
        </w:tc>
      </w:tr>
      <w:tr>
        <w:trPr>
          <w:trHeight w:val="142"/>
        </w:trPr>
        <w:tc>
          <w:tcPr>
            <w:tcW w:w="2080" w:type="dxa"/>
            <w:vAlign w:val="bottom"/>
          </w:tcPr>
          <w:p>
            <w:pPr>
              <w:ind w:left="20"/>
              <w:spacing w:after="0"/>
              <w:rPr>
                <w:sz w:val="20"/>
                <w:szCs w:val="20"/>
                <w:color w:val="auto"/>
              </w:rPr>
            </w:pPr>
            <w:r>
              <w:rPr>
                <w:rFonts w:ascii="Arial" w:cs="Arial" w:eastAsia="Arial" w:hAnsi="Arial"/>
                <w:sz w:val="9"/>
                <w:szCs w:val="9"/>
                <w:color w:val="auto"/>
              </w:rPr>
              <w:t>Balance at September 30, 2022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111,244,559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3,251,177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23,096,704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4,542,160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(21,601)</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348,329</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584,677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5,453,567</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Equity – (Continued)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40" w:type="dxa"/>
            <w:vAlign w:val="bottom"/>
            <w:gridSpan w:val="10"/>
          </w:tcPr>
          <w:p>
            <w:pPr>
              <w:ind w:left="340"/>
              <w:spacing w:after="0"/>
              <w:rPr>
                <w:sz w:val="20"/>
                <w:szCs w:val="20"/>
                <w:color w:val="auto"/>
              </w:rPr>
            </w:pPr>
            <w:r>
              <w:rPr>
                <w:rFonts w:ascii="Arial" w:cs="Arial" w:eastAsia="Arial" w:hAnsi="Arial"/>
                <w:sz w:val="9"/>
                <w:szCs w:val="9"/>
                <w:b w:val="1"/>
                <w:bCs w:val="1"/>
                <w:color w:val="auto"/>
              </w:rPr>
              <w:t>Tradeweb Markets Inc. Stockholders’ Equity</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180"/>
              <w:spacing w:after="0" w:line="88" w:lineRule="exact"/>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9"/>
              </w:rPr>
              <w:t>Other</w:t>
            </w: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7"/>
              </w:rPr>
              <w:t>Non-</w:t>
            </w: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80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right"/>
              <w:spacing w:after="0" w:line="95" w:lineRule="exact"/>
              <w:rPr>
                <w:sz w:val="20"/>
                <w:szCs w:val="20"/>
                <w:color w:val="auto"/>
              </w:rPr>
            </w:pPr>
            <w:r>
              <w:rPr>
                <w:rFonts w:ascii="Arial" w:cs="Arial" w:eastAsia="Arial" w:hAnsi="Arial"/>
                <w:sz w:val="9"/>
                <w:szCs w:val="9"/>
                <w:b w:val="1"/>
                <w:bCs w:val="1"/>
                <w:color w:val="auto"/>
              </w:rPr>
              <w:t>Class B</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55"/>
              <w:spacing w:after="0" w:line="95" w:lineRule="exact"/>
              <w:rPr>
                <w:sz w:val="20"/>
                <w:szCs w:val="20"/>
                <w:color w:val="auto"/>
              </w:rPr>
            </w:pPr>
            <w:r>
              <w:rPr>
                <w:rFonts w:ascii="Arial" w:cs="Arial" w:eastAsia="Arial" w:hAnsi="Arial"/>
                <w:sz w:val="9"/>
                <w:szCs w:val="9"/>
                <w:b w:val="1"/>
                <w:bCs w:val="1"/>
                <w:color w:val="auto"/>
                <w:w w:val="90"/>
              </w:rPr>
              <w:t>Class C</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3"/>
          </w:tcPr>
          <w:p>
            <w:pPr>
              <w:jc w:val="center"/>
              <w:ind w:left="375"/>
              <w:spacing w:after="0" w:line="95" w:lineRule="exact"/>
              <w:rPr>
                <w:sz w:val="20"/>
                <w:szCs w:val="20"/>
                <w:color w:val="auto"/>
              </w:rPr>
            </w:pPr>
            <w:r>
              <w:rPr>
                <w:rFonts w:ascii="Arial" w:cs="Arial" w:eastAsia="Arial" w:hAnsi="Arial"/>
                <w:sz w:val="9"/>
                <w:szCs w:val="9"/>
                <w:b w:val="1"/>
                <w:bCs w:val="1"/>
                <w:color w:val="auto"/>
                <w:w w:val="84"/>
              </w:rPr>
              <w:t>Class 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93"/>
              </w:rPr>
              <w:t>Paid-In</w:t>
            </w:r>
          </w:p>
        </w:tc>
        <w:tc>
          <w:tcPr>
            <w:tcW w:w="100" w:type="dxa"/>
            <w:vAlign w:val="bottom"/>
          </w:tcPr>
          <w:p>
            <w:pPr>
              <w:spacing w:after="0"/>
              <w:rPr>
                <w:sz w:val="8"/>
                <w:szCs w:val="8"/>
                <w:color w:val="auto"/>
              </w:rPr>
            </w:pPr>
          </w:p>
        </w:tc>
        <w:tc>
          <w:tcPr>
            <w:tcW w:w="820" w:type="dxa"/>
            <w:vAlign w:val="bottom"/>
            <w:gridSpan w:val="2"/>
          </w:tcPr>
          <w:p>
            <w:pPr>
              <w:jc w:val="center"/>
              <w:ind w:right="180"/>
              <w:spacing w:after="0" w:line="95"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8"/>
                <w:szCs w:val="8"/>
                <w:color w:val="auto"/>
              </w:rPr>
            </w:pPr>
          </w:p>
        </w:tc>
        <w:tc>
          <w:tcPr>
            <w:tcW w:w="680" w:type="dxa"/>
            <w:vAlign w:val="bottom"/>
            <w:gridSpan w:val="2"/>
          </w:tcPr>
          <w:p>
            <w:pPr>
              <w:ind w:left="60"/>
              <w:spacing w:after="0" w:line="95"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8"/>
                <w:szCs w:val="8"/>
                <w:color w:val="auto"/>
              </w:rPr>
            </w:pPr>
          </w:p>
        </w:tc>
        <w:tc>
          <w:tcPr>
            <w:tcW w:w="720" w:type="dxa"/>
            <w:vAlign w:val="bottom"/>
            <w:gridSpan w:val="2"/>
          </w:tcPr>
          <w:p>
            <w:pPr>
              <w:jc w:val="center"/>
              <w:ind w:right="200"/>
              <w:spacing w:after="0" w:line="95" w:lineRule="exact"/>
              <w:rPr>
                <w:sz w:val="20"/>
                <w:szCs w:val="20"/>
                <w:color w:val="auto"/>
              </w:rPr>
            </w:pPr>
            <w:r>
              <w:rPr>
                <w:rFonts w:ascii="Arial" w:cs="Arial" w:eastAsia="Arial" w:hAnsi="Arial"/>
                <w:sz w:val="9"/>
                <w:szCs w:val="9"/>
                <w:b w:val="1"/>
                <w:bCs w:val="1"/>
                <w:color w:val="auto"/>
                <w:w w:val="91"/>
              </w:rPr>
              <w:t>Controlling</w:t>
            </w:r>
          </w:p>
        </w:tc>
        <w:tc>
          <w:tcPr>
            <w:tcW w:w="140" w:type="dxa"/>
            <w:vAlign w:val="bottom"/>
          </w:tcPr>
          <w:p>
            <w:pPr>
              <w:spacing w:after="0"/>
              <w:rPr>
                <w:sz w:val="8"/>
                <w:szCs w:val="8"/>
                <w:color w:val="auto"/>
              </w:rPr>
            </w:pPr>
          </w:p>
        </w:tc>
        <w:tc>
          <w:tcPr>
            <w:tcW w:w="580" w:type="dxa"/>
            <w:vAlign w:val="bottom"/>
          </w:tcPr>
          <w:p>
            <w:pPr>
              <w:jc w:val="right"/>
              <w:ind w:right="215"/>
              <w:spacing w:after="0" w:line="95" w:lineRule="exact"/>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Common Stock</w:t>
            </w:r>
          </w:p>
        </w:tc>
        <w:tc>
          <w:tcPr>
            <w:tcW w:w="80" w:type="dxa"/>
            <w:vAlign w:val="bottom"/>
          </w:tcPr>
          <w:p>
            <w:pPr>
              <w:spacing w:after="0"/>
              <w:rPr>
                <w:sz w:val="11"/>
                <w:szCs w:val="11"/>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87"/>
              </w:rPr>
              <w:t>Common Stock</w:t>
            </w:r>
          </w:p>
        </w:tc>
        <w:tc>
          <w:tcPr>
            <w:tcW w:w="80" w:type="dxa"/>
            <w:vAlign w:val="bottom"/>
          </w:tcPr>
          <w:p>
            <w:pPr>
              <w:spacing w:after="0"/>
              <w:rPr>
                <w:sz w:val="11"/>
                <w:szCs w:val="1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9"/>
                <w:szCs w:val="9"/>
                <w:b w:val="1"/>
                <w:bCs w:val="1"/>
                <w:color w:val="auto"/>
                <w:w w:val="90"/>
              </w:rPr>
              <w:t>Common Stock</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93"/>
              </w:rPr>
              <w:t>Capital</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5"/>
              <w:spacing w:after="0"/>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9"/>
                <w:szCs w:val="9"/>
                <w:b w:val="1"/>
                <w:bCs w:val="1"/>
                <w:color w:val="auto"/>
              </w:rPr>
              <w:t>Earnings</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0"/>
              </w:rPr>
              <w:t>Interests</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2"/>
          </w:tcPr>
          <w:p>
            <w:pPr>
              <w:ind w:left="200"/>
              <w:spacing w:after="0"/>
              <w:rPr>
                <w:sz w:val="20"/>
                <w:szCs w:val="20"/>
                <w:color w:val="auto"/>
              </w:rPr>
            </w:pPr>
            <w:r>
              <w:rPr>
                <w:rFonts w:ascii="Arial" w:cs="Arial" w:eastAsia="Arial" w:hAnsi="Arial"/>
                <w:sz w:val="9"/>
                <w:szCs w:val="9"/>
                <w:b w:val="1"/>
                <w:bCs w:val="1"/>
                <w:color w:val="auto"/>
              </w:rPr>
              <w:t>Shares</w:t>
            </w:r>
          </w:p>
        </w:tc>
        <w:tc>
          <w:tcPr>
            <w:tcW w:w="6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2"/>
          </w:tcPr>
          <w:p>
            <w:pPr>
              <w:ind w:left="180"/>
              <w:spacing w:after="0"/>
              <w:rPr>
                <w:sz w:val="20"/>
                <w:szCs w:val="20"/>
                <w:color w:val="auto"/>
              </w:rPr>
            </w:pPr>
            <w:r>
              <w:rPr>
                <w:rFonts w:ascii="Arial" w:cs="Arial" w:eastAsia="Arial" w:hAnsi="Arial"/>
                <w:sz w:val="9"/>
                <w:szCs w:val="9"/>
                <w:b w:val="1"/>
                <w:bCs w:val="1"/>
                <w:color w:val="auto"/>
              </w:rPr>
              <w:t>Shares</w:t>
            </w:r>
          </w:p>
        </w:tc>
        <w:tc>
          <w:tcPr>
            <w:tcW w:w="80" w:type="dxa"/>
            <w:vAlign w:val="bottom"/>
          </w:tcPr>
          <w:p>
            <w:pPr>
              <w:spacing w:after="0"/>
              <w:rPr>
                <w:sz w:val="10"/>
                <w:szCs w:val="10"/>
                <w:color w:val="auto"/>
              </w:rPr>
            </w:pPr>
          </w:p>
        </w:tc>
        <w:tc>
          <w:tcPr>
            <w:tcW w:w="500" w:type="dxa"/>
            <w:vAlign w:val="bottom"/>
            <w:gridSpan w:val="2"/>
          </w:tcPr>
          <w:p>
            <w:pPr>
              <w:ind w:left="2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Balance at December 31, 2020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98,075,465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3,139,821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30,871,381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4,143,094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4,314</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156,041</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715,712</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5,019,163</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Activities related to exchanges of LLC Interests</w:t>
            </w:r>
          </w:p>
        </w:tc>
        <w:tc>
          <w:tcPr>
            <w:tcW w:w="640" w:type="dxa"/>
            <w:vAlign w:val="bottom"/>
          </w:tcPr>
          <w:p>
            <w:pPr>
              <w:jc w:val="right"/>
              <w:spacing w:after="0"/>
              <w:rPr>
                <w:sz w:val="20"/>
                <w:szCs w:val="20"/>
                <w:color w:val="auto"/>
              </w:rPr>
            </w:pPr>
            <w:r>
              <w:rPr>
                <w:rFonts w:ascii="Arial" w:cs="Arial" w:eastAsia="Arial" w:hAnsi="Arial"/>
                <w:sz w:val="9"/>
                <w:szCs w:val="9"/>
                <w:color w:val="auto"/>
              </w:rPr>
              <w:t>3,479,269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(1,484,996)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620" w:type="dxa"/>
            <w:vAlign w:val="bottom"/>
          </w:tcPr>
          <w:p>
            <w:pPr>
              <w:ind w:left="180"/>
              <w:spacing w:after="0"/>
              <w:rPr>
                <w:sz w:val="20"/>
                <w:szCs w:val="20"/>
                <w:color w:val="auto"/>
              </w:rPr>
            </w:pPr>
            <w:r>
              <w:rPr>
                <w:rFonts w:ascii="Arial" w:cs="Arial" w:eastAsia="Arial" w:hAnsi="Arial"/>
                <w:sz w:val="9"/>
                <w:szCs w:val="9"/>
                <w:color w:val="auto"/>
                <w:w w:val="91"/>
              </w:rPr>
              <w:t>(1,994,273)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shd w:val="clear" w:color="auto" w:fill="CCEEFF"/>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71,594</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71,594</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3,088,545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46,397</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80,665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(80,750)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(2,504)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(2,504)</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(16,030)</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(16,030)</w:t>
            </w: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5,997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5,997</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2,523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2,523</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2,240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2,240</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(45,464)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(45,464)</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67,859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13,706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81,565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(297)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(343)</w:t>
            </w:r>
          </w:p>
        </w:tc>
        <w:tc>
          <w:tcPr>
            <w:tcW w:w="0" w:type="dxa"/>
            <w:vAlign w:val="bottom"/>
          </w:tcPr>
          <w:p>
            <w:pPr>
              <w:spacing w:after="0"/>
              <w:rPr>
                <w:sz w:val="1"/>
                <w:szCs w:val="1"/>
                <w:color w:val="auto"/>
              </w:rPr>
            </w:pPr>
          </w:p>
        </w:tc>
      </w:tr>
      <w:tr>
        <w:trPr>
          <w:trHeight w:val="141"/>
        </w:trPr>
        <w:tc>
          <w:tcPr>
            <w:tcW w:w="2080" w:type="dxa"/>
            <w:vAlign w:val="bottom"/>
          </w:tcPr>
          <w:p>
            <w:pPr>
              <w:ind w:left="20"/>
              <w:spacing w:after="0"/>
              <w:rPr>
                <w:sz w:val="20"/>
                <w:szCs w:val="20"/>
                <w:color w:val="auto"/>
              </w:rPr>
            </w:pPr>
            <w:r>
              <w:rPr>
                <w:rFonts w:ascii="Arial" w:cs="Arial" w:eastAsia="Arial" w:hAnsi="Arial"/>
                <w:sz w:val="9"/>
                <w:szCs w:val="9"/>
                <w:color w:val="auto"/>
              </w:rPr>
              <w:t>Balance at March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104,643,279</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4,307,046</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4,102</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207,870</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646,118</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rPr>
              <w:t>5,165,138</w:t>
            </w:r>
          </w:p>
        </w:tc>
        <w:tc>
          <w:tcPr>
            <w:tcW w:w="0" w:type="dxa"/>
            <w:vAlign w:val="bottom"/>
          </w:tcPr>
          <w:p>
            <w:pPr>
              <w:spacing w:after="0"/>
              <w:rPr>
                <w:sz w:val="1"/>
                <w:szCs w:val="1"/>
                <w:color w:val="auto"/>
              </w:rPr>
            </w:pP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80" w:type="dxa"/>
            <w:vAlign w:val="bottom"/>
            <w:shd w:val="clear" w:color="auto" w:fill="CCEEFF"/>
          </w:tcPr>
          <w:p>
            <w:pPr>
              <w:ind w:left="20"/>
              <w:spacing w:after="0" w:line="62" w:lineRule="exact"/>
              <w:rPr>
                <w:sz w:val="20"/>
                <w:szCs w:val="20"/>
                <w:color w:val="auto"/>
              </w:rPr>
            </w:pPr>
            <w:r>
              <w:rPr>
                <w:rFonts w:ascii="Arial" w:cs="Arial" w:eastAsia="Arial" w:hAnsi="Arial"/>
                <w:sz w:val="7"/>
                <w:szCs w:val="7"/>
                <w:color w:val="auto"/>
              </w:rPr>
              <w:t>Issuance of common stock from equity incentive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1,127,573</w:t>
            </w: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5"/>
                <w:szCs w:val="5"/>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5"/>
                <w:szCs w:val="5"/>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5"/>
                <w:szCs w:val="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21,139</w:t>
            </w: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5"/>
                <w:szCs w:val="5"/>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5"/>
                <w:szCs w:val="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5"/>
                <w:szCs w:val="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21,139</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10,465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10,465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4,797</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(4,798)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(1,969)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(1,969)</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(16,142)</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(16,142)</w:t>
            </w: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(617,644)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9"/>
                <w:szCs w:val="9"/>
                <w:color w:val="auto"/>
              </w:rPr>
              <w:t>(51,676)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(51,676)</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Program</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7,826</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3,815</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766</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(7,970)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(7,970)</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55,316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10,917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66,233</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9"/>
                <w:szCs w:val="9"/>
                <w:color w:val="auto"/>
              </w:rPr>
              <w:t>611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92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703</w:t>
            </w:r>
          </w:p>
        </w:tc>
        <w:tc>
          <w:tcPr>
            <w:tcW w:w="0" w:type="dxa"/>
            <w:vAlign w:val="bottom"/>
          </w:tcPr>
          <w:p>
            <w:pPr>
              <w:spacing w:after="0"/>
              <w:rPr>
                <w:sz w:val="1"/>
                <w:szCs w:val="1"/>
                <w:color w:val="auto"/>
              </w:rPr>
            </w:pPr>
          </w:p>
        </w:tc>
      </w:tr>
      <w:tr>
        <w:trPr>
          <w:trHeight w:val="28"/>
        </w:trPr>
        <w:tc>
          <w:tcPr>
            <w:tcW w:w="20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80" w:type="dxa"/>
            <w:vAlign w:val="bottom"/>
            <w:tcBorders>
              <w:bottom w:val="single" w:sz="8" w:color="CCEEFF"/>
            </w:tcBorders>
            <w:shd w:val="clear" w:color="auto" w:fill="CCEEFF"/>
          </w:tcPr>
          <w:p>
            <w:pPr>
              <w:ind w:left="20"/>
              <w:spacing w:after="0" w:line="101" w:lineRule="exact"/>
              <w:rPr>
                <w:sz w:val="20"/>
                <w:szCs w:val="20"/>
                <w:color w:val="auto"/>
              </w:rPr>
            </w:pPr>
            <w:r>
              <w:rPr>
                <w:rFonts w:ascii="Arial" w:cs="Arial" w:eastAsia="Arial" w:hAnsi="Arial"/>
                <w:sz w:val="9"/>
                <w:szCs w:val="9"/>
                <w:color w:val="auto"/>
              </w:rPr>
              <w:t>Balance at June 30, 2021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105,153,208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4,347,884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4,714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195,368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650,360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5,198,328</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line="82" w:lineRule="exact"/>
              <w:rPr>
                <w:sz w:val="20"/>
                <w:szCs w:val="20"/>
                <w:color w:val="auto"/>
              </w:rPr>
            </w:pPr>
            <w:r>
              <w:rPr>
                <w:rFonts w:ascii="Arial" w:cs="Arial" w:eastAsia="Arial" w:hAnsi="Arial"/>
                <w:sz w:val="9"/>
                <w:szCs w:val="9"/>
                <w:color w:val="auto"/>
              </w:rPr>
              <w:t>Issuance of common stock from equity incentive</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80" w:type="dxa"/>
            <w:vAlign w:val="bottom"/>
            <w:vMerge w:val="continue"/>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248,026</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3"/>
                <w:szCs w:val="3"/>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3"/>
                <w:szCs w:val="3"/>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4,441</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3"/>
                <w:szCs w:val="3"/>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3"/>
                <w:szCs w:val="3"/>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3"/>
                <w:szCs w:val="3"/>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4,441</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plans</w:t>
            </w: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6"/>
              </w:rPr>
              <w:t>Tax receivable agreement liability and deferred taxes</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80" w:type="dxa"/>
            <w:vAlign w:val="bottom"/>
            <w:shd w:val="clear" w:color="auto" w:fill="CCEEFF"/>
          </w:tcPr>
          <w:p>
            <w:pPr>
              <w:ind w:left="20"/>
              <w:spacing w:after="0" w:line="88" w:lineRule="exact"/>
              <w:rPr>
                <w:sz w:val="20"/>
                <w:szCs w:val="20"/>
                <w:color w:val="auto"/>
              </w:rPr>
            </w:pPr>
            <w:r>
              <w:rPr>
                <w:rFonts w:ascii="Arial" w:cs="Arial" w:eastAsia="Arial" w:hAnsi="Arial"/>
                <w:sz w:val="9"/>
                <w:szCs w:val="9"/>
                <w:color w:val="auto"/>
                <w:w w:val="99"/>
              </w:rPr>
              <w:t>arising from LLC Interest ownership exchanges and</w:t>
            </w: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the issuance of common stock from equity incentive</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1,481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1,481</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Adjustments to non-controlling interests</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Distributions to non-controlling interests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(2,494)</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(2,494)</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Dividends ($0.08 per share)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(16,184)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(16,184)</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4"/>
              </w:rPr>
              <w:t>Share repurchases pursuant to the Share Repurchase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(140,169)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(12,000)</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Program</w:t>
            </w: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PRSU</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8,220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8,220</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8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auto"/>
                <w:w w:val="98"/>
              </w:rPr>
              <w:t>Stock-based compensation expense under the RSU</w:t>
            </w: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vMerge w:val="restart"/>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4,401</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4,401</w:t>
            </w:r>
          </w:p>
        </w:tc>
        <w:tc>
          <w:tcPr>
            <w:tcW w:w="0" w:type="dxa"/>
            <w:vAlign w:val="bottom"/>
          </w:tcPr>
          <w:p>
            <w:pPr>
              <w:spacing w:after="0"/>
              <w:rPr>
                <w:sz w:val="1"/>
                <w:szCs w:val="1"/>
                <w:color w:val="auto"/>
              </w:rPr>
            </w:pPr>
          </w:p>
        </w:tc>
      </w:tr>
      <w:tr>
        <w:trPr>
          <w:trHeight w:val="11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Plan</w:t>
            </w: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gridSpan w:val="2"/>
            <w:vMerge w:val="continue"/>
            <w:shd w:val="clear" w:color="auto" w:fill="CCEEFF"/>
          </w:tcPr>
          <w:p>
            <w:pPr>
              <w:spacing w:after="0"/>
              <w:rPr>
                <w:sz w:val="10"/>
                <w:szCs w:val="10"/>
                <w:color w:val="auto"/>
              </w:rPr>
            </w:pPr>
          </w:p>
        </w:tc>
        <w:tc>
          <w:tcPr>
            <w:tcW w:w="700" w:type="dxa"/>
            <w:vAlign w:val="bottom"/>
            <w:tcBorders>
              <w:bottom w:val="single" w:sz="8" w:color="CCEEFF"/>
            </w:tcBorders>
            <w:gridSpan w:val="2"/>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80" w:type="dxa"/>
            <w:vAlign w:val="bottom"/>
          </w:tcPr>
          <w:p>
            <w:pPr>
              <w:ind w:left="20"/>
              <w:spacing w:after="0" w:line="95" w:lineRule="exact"/>
              <w:rPr>
                <w:sz w:val="20"/>
                <w:szCs w:val="20"/>
                <w:color w:val="auto"/>
              </w:rPr>
            </w:pPr>
            <w:r>
              <w:rPr>
                <w:rFonts w:ascii="Arial" w:cs="Arial" w:eastAsia="Arial" w:hAnsi="Arial"/>
                <w:sz w:val="9"/>
                <w:szCs w:val="9"/>
                <w:color w:val="auto"/>
                <w:w w:val="95"/>
              </w:rPr>
              <w:t>Stock-based compensation expense under the Option</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80" w:type="dxa"/>
            <w:vAlign w:val="bottom"/>
            <w:gridSpan w:val="2"/>
            <w:vMerge w:val="restart"/>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9"/>
                <w:szCs w:val="9"/>
                <w:color w:val="auto"/>
              </w:rPr>
              <w:t>1,155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9"/>
                <w:szCs w:val="9"/>
                <w:color w:val="auto"/>
              </w:rPr>
              <w:t>1,155</w:t>
            </w:r>
          </w:p>
        </w:tc>
        <w:tc>
          <w:tcPr>
            <w:tcW w:w="0" w:type="dxa"/>
            <w:vAlign w:val="bottom"/>
          </w:tcPr>
          <w:p>
            <w:pPr>
              <w:spacing w:after="0"/>
              <w:rPr>
                <w:sz w:val="1"/>
                <w:szCs w:val="1"/>
                <w:color w:val="auto"/>
              </w:rPr>
            </w:pPr>
          </w:p>
        </w:tc>
      </w:tr>
      <w:tr>
        <w:trPr>
          <w:trHeight w:val="114"/>
        </w:trPr>
        <w:tc>
          <w:tcPr>
            <w:tcW w:w="2080" w:type="dxa"/>
            <w:vAlign w:val="bottom"/>
          </w:tcPr>
          <w:p>
            <w:pPr>
              <w:ind w:left="20"/>
              <w:spacing w:after="0"/>
              <w:rPr>
                <w:sz w:val="20"/>
                <w:szCs w:val="20"/>
                <w:color w:val="auto"/>
              </w:rPr>
            </w:pPr>
            <w:r>
              <w:rPr>
                <w:rFonts w:ascii="Arial" w:cs="Arial" w:eastAsia="Arial" w:hAnsi="Arial"/>
                <w:sz w:val="9"/>
                <w:szCs w:val="9"/>
                <w:color w:val="auto"/>
              </w:rPr>
              <w:t>Plan</w:t>
            </w: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Payroll taxes paid for stock-based compensation</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(3,139)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(3,139)</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Net income</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9"/>
                <w:szCs w:val="9"/>
                <w:color w:val="auto"/>
              </w:rPr>
              <w:t>54,763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10,542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65,305</w:t>
            </w:r>
          </w:p>
        </w:tc>
        <w:tc>
          <w:tcPr>
            <w:tcW w:w="0" w:type="dxa"/>
            <w:vAlign w:val="bottom"/>
          </w:tcPr>
          <w:p>
            <w:pPr>
              <w:spacing w:after="0"/>
              <w:rPr>
                <w:sz w:val="1"/>
                <w:szCs w:val="1"/>
                <w:color w:val="auto"/>
              </w:rPr>
            </w:pPr>
          </w:p>
        </w:tc>
      </w:tr>
      <w:tr>
        <w:trPr>
          <w:trHeight w:val="28"/>
        </w:trPr>
        <w:tc>
          <w:tcPr>
            <w:tcW w:w="2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Foreign currency translation adjustments</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(2,435)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(367)</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(2,802)</w:t>
            </w:r>
          </w:p>
        </w:tc>
        <w:tc>
          <w:tcPr>
            <w:tcW w:w="0" w:type="dxa"/>
            <w:vAlign w:val="bottom"/>
          </w:tcPr>
          <w:p>
            <w:pPr>
              <w:spacing w:after="0"/>
              <w:rPr>
                <w:sz w:val="1"/>
                <w:szCs w:val="1"/>
                <w:color w:val="auto"/>
              </w:rPr>
            </w:pPr>
          </w:p>
        </w:tc>
      </w:tr>
      <w:tr>
        <w:trPr>
          <w:trHeight w:val="120"/>
        </w:trPr>
        <w:tc>
          <w:tcPr>
            <w:tcW w:w="2080" w:type="dxa"/>
            <w:vAlign w:val="bottom"/>
          </w:tcPr>
          <w:p>
            <w:pPr>
              <w:ind w:left="20"/>
              <w:spacing w:after="0"/>
              <w:rPr>
                <w:sz w:val="20"/>
                <w:szCs w:val="20"/>
                <w:color w:val="auto"/>
              </w:rPr>
            </w:pPr>
            <w:r>
              <w:rPr>
                <w:rFonts w:ascii="Arial" w:cs="Arial" w:eastAsia="Arial" w:hAnsi="Arial"/>
                <w:sz w:val="9"/>
                <w:szCs w:val="9"/>
                <w:color w:val="auto"/>
              </w:rPr>
              <w:t>Other - See Note 9</w:t>
            </w:r>
          </w:p>
        </w:tc>
        <w:tc>
          <w:tcPr>
            <w:tcW w:w="72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480" w:type="dxa"/>
            <w:vAlign w:val="bottom"/>
            <w:gridSpan w:val="2"/>
          </w:tcPr>
          <w:p>
            <w:pPr>
              <w:ind w:left="260"/>
              <w:spacing w:after="0"/>
              <w:rPr>
                <w:sz w:val="20"/>
                <w:szCs w:val="20"/>
                <w:color w:val="auto"/>
              </w:rPr>
            </w:pPr>
            <w:r>
              <w:rPr>
                <w:rFonts w:ascii="Arial" w:cs="Arial" w:eastAsia="Arial" w:hAnsi="Arial"/>
                <w:sz w:val="9"/>
                <w:szCs w:val="9"/>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10"/>
                <w:szCs w:val="10"/>
                <w:color w:val="auto"/>
              </w:rPr>
            </w:pPr>
          </w:p>
        </w:tc>
        <w:tc>
          <w:tcPr>
            <w:tcW w:w="500" w:type="dxa"/>
            <w:vAlign w:val="bottom"/>
            <w:gridSpan w:val="2"/>
          </w:tcPr>
          <w:p>
            <w:pPr>
              <w:ind w:left="28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9"/>
                <w:szCs w:val="9"/>
                <w:color w:val="auto"/>
              </w:rPr>
              <w:t>1,617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1,617</w:t>
            </w:r>
          </w:p>
        </w:tc>
        <w:tc>
          <w:tcPr>
            <w:tcW w:w="0" w:type="dxa"/>
            <w:vAlign w:val="bottom"/>
          </w:tcPr>
          <w:p>
            <w:pPr>
              <w:spacing w:after="0"/>
              <w:rPr>
                <w:sz w:val="1"/>
                <w:szCs w:val="1"/>
                <w:color w:val="auto"/>
              </w:rPr>
            </w:pPr>
          </w:p>
        </w:tc>
      </w:tr>
      <w:tr>
        <w:trPr>
          <w:trHeight w:val="28"/>
        </w:trPr>
        <w:tc>
          <w:tcPr>
            <w:tcW w:w="20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ind w:left="20"/>
              <w:spacing w:after="0"/>
              <w:rPr>
                <w:sz w:val="20"/>
                <w:szCs w:val="20"/>
                <w:color w:val="auto"/>
              </w:rPr>
            </w:pPr>
            <w:r>
              <w:rPr>
                <w:rFonts w:ascii="Arial" w:cs="Arial" w:eastAsia="Arial" w:hAnsi="Arial"/>
                <w:sz w:val="9"/>
                <w:szCs w:val="9"/>
                <w:color w:val="auto"/>
              </w:rPr>
              <w:t>Balance at September 30, 2021</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105,261,065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96,933,192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1,654,825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9"/>
                <w:szCs w:val="9"/>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28,877,108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4,366,044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9"/>
                <w:szCs w:val="9"/>
                <w:color w:val="auto"/>
              </w:rPr>
              <w:t>2,279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9"/>
                <w:szCs w:val="9"/>
                <w:color w:val="auto"/>
              </w:rPr>
              <w:t>221,947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9"/>
                <w:szCs w:val="9"/>
                <w:color w:val="auto"/>
              </w:rPr>
              <w:t>658,057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9"/>
                <w:szCs w:val="9"/>
                <w:color w:val="auto"/>
              </w:rPr>
              <w:t>5,248,329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79"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3" w:lineRule="exact"/>
        <w:rPr>
          <w:sz w:val="20"/>
          <w:szCs w:val="20"/>
          <w:color w:val="auto"/>
        </w:rPr>
      </w:pPr>
    </w:p>
    <w:p>
      <w:pPr>
        <w:jc w:val="center"/>
        <w:ind w:left="112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left="112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4"/>
          </w:tcPr>
          <w:p>
            <w:pPr>
              <w:jc w:val="right"/>
              <w:ind w:right="888"/>
              <w:spacing w:after="0"/>
              <w:rPr>
                <w:sz w:val="20"/>
                <w:szCs w:val="20"/>
                <w:color w:val="auto"/>
              </w:rPr>
            </w:pPr>
            <w:r>
              <w:rPr>
                <w:rFonts w:ascii="Arial" w:cs="Arial" w:eastAsia="Arial" w:hAnsi="Arial"/>
                <w:sz w:val="14"/>
                <w:szCs w:val="14"/>
                <w:b w:val="1"/>
                <w:bCs w:val="1"/>
                <w:color w:val="auto"/>
              </w:rPr>
              <w:t>September 30,</w:t>
            </w:r>
          </w:p>
        </w:tc>
      </w:tr>
      <w:tr>
        <w:trPr>
          <w:trHeight w:val="26"/>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9"/>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260,611</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213,103</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133,998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127,656</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49,432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36,943</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Deferred taxes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49,078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47,080</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assets: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Receivable from/payable to brokers and dealers and clearing organizations, net</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Deposits with clearing organizations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5,413</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(29,938)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(25,837)</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 from/payable to affiliates, net</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(5,335)</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4,754</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Increase (decrease) in operating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(26,155)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(17,366)</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5,996</w:t>
            </w:r>
          </w:p>
        </w:tc>
      </w:tr>
      <w:tr>
        <w:trPr>
          <w:trHeight w:val="182"/>
        </w:trPr>
        <w:tc>
          <w:tcPr>
            <w:tcW w:w="844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(4,130)</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3"/>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Employee equity compensation payable</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r>
      <w:tr>
        <w:trPr>
          <w:trHeight w:val="184"/>
        </w:trPr>
        <w:tc>
          <w:tcPr>
            <w:tcW w:w="8440" w:type="dxa"/>
            <w:vAlign w:val="bottom"/>
          </w:tcPr>
          <w:p>
            <w:pPr>
              <w:ind w:left="36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424,822</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386,370</w:t>
            </w:r>
          </w:p>
        </w:tc>
      </w:tr>
      <w:tr>
        <w:trPr>
          <w:trHeight w:val="26"/>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(208,857)</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 of furniture, equipment, software and leasehold improvements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(17,959)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(9,714)</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Capitalized software development costs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(27,470)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(25,813)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(244,384)</w:t>
            </w:r>
          </w:p>
        </w:tc>
      </w:tr>
      <w:tr>
        <w:trPr>
          <w:trHeight w:val="17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18"/>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Share repurchases pursuant to the Share Repurchase Program</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(65,323)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(63,676)</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Proceeds from stock-based compensation exercises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71,977</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(49,363)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(48,356)</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(6,967)</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Payroll taxes paid for stock-based compensation</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(100,248)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(56,573)</w:t>
            </w: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Payments on tax receivable agreement liability</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(110,444)</w:t>
            </w:r>
          </w:p>
        </w:tc>
      </w:tr>
      <w:tr>
        <w:trPr>
          <w:trHeight w:val="184"/>
        </w:trPr>
        <w:tc>
          <w:tcPr>
            <w:tcW w:w="8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(19,357)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(917)</w:t>
            </w:r>
          </w:p>
        </w:tc>
      </w:tr>
      <w:tr>
        <w:trPr>
          <w:trHeight w:val="25"/>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138,179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30,625</w:t>
            </w:r>
          </w:p>
        </w:tc>
      </w:tr>
      <w:tr>
        <w:trPr>
          <w:trHeight w:val="190"/>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9"/>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792,280</w:t>
            </w:r>
          </w:p>
        </w:tc>
      </w:tr>
      <w:tr>
        <w:trPr>
          <w:trHeight w:val="176"/>
        </w:trPr>
        <w:tc>
          <w:tcPr>
            <w:tcW w:w="844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1,111,227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822,905</w:t>
            </w: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taxes paid, net of (refunds)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10,992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1,104</w:t>
            </w:r>
          </w:p>
        </w:tc>
      </w:tr>
      <w:tr>
        <w:trPr>
          <w:trHeight w:val="194"/>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equipment, software and leasehold improvement additions included in 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440" w:type="dxa"/>
            <w:vAlign w:val="bottom"/>
          </w:tcPr>
          <w:p>
            <w:pPr>
              <w:ind w:left="20"/>
              <w:spacing w:after="0"/>
              <w:rPr>
                <w:sz w:val="20"/>
                <w:szCs w:val="20"/>
                <w:color w:val="auto"/>
              </w:rPr>
            </w:pPr>
            <w:r>
              <w:rPr>
                <w:rFonts w:ascii="Arial" w:cs="Arial" w:eastAsia="Arial" w:hAnsi="Arial"/>
                <w:sz w:val="14"/>
                <w:szCs w:val="14"/>
                <w:color w:val="auto"/>
              </w:rPr>
              <w:t>Other - See Note 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1,617</w:t>
            </w:r>
          </w:p>
        </w:tc>
      </w:tr>
      <w:tr>
        <w:trPr>
          <w:trHeight w:val="25"/>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Items arising from LLC Interest ownership changes: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r>
      <w:tr>
        <w:trPr>
          <w:trHeight w:val="182"/>
        </w:trPr>
        <w:tc>
          <w:tcPr>
            <w:tcW w:w="8440" w:type="dxa"/>
            <w:vAlign w:val="bottom"/>
          </w:tcPr>
          <w:p>
            <w:pPr>
              <w:ind w:left="140"/>
              <w:spacing w:after="0"/>
              <w:rPr>
                <w:sz w:val="20"/>
                <w:szCs w:val="20"/>
                <w:color w:val="auto"/>
              </w:rPr>
            </w:pPr>
            <w:r>
              <w:rPr>
                <w:rFonts w:ascii="Arial" w:cs="Arial" w:eastAsia="Arial" w:hAnsi="Arial"/>
                <w:sz w:val="14"/>
                <w:szCs w:val="14"/>
                <w:color w:val="auto"/>
              </w:rPr>
              <w:t>Establishment of liabilities under tax receivable agreement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35,894</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27,666</w:t>
            </w:r>
          </w:p>
        </w:tc>
      </w:tr>
      <w:tr>
        <w:trPr>
          <w:trHeight w:val="20"/>
        </w:trPr>
        <w:tc>
          <w:tcPr>
            <w:tcW w:w="8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3"/>
        </w:trPr>
        <w:tc>
          <w:tcPr>
            <w:tcW w:w="8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109,759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111,206</w:t>
            </w:r>
          </w:p>
        </w:tc>
      </w:tr>
      <w:tr>
        <w:trPr>
          <w:trHeight w:val="393"/>
        </w:trPr>
        <w:tc>
          <w:tcPr>
            <w:tcW w:w="8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8"/>
              </w:rPr>
              <w:t>December 31,</w:t>
            </w: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as shown on the statements of financial condition:</w:t>
            </w: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25"/>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6"/>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1,110,227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972,048</w:t>
            </w:r>
          </w:p>
        </w:tc>
      </w:tr>
      <w:tr>
        <w:trPr>
          <w:trHeight w:val="182"/>
        </w:trPr>
        <w:tc>
          <w:tcPr>
            <w:tcW w:w="84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1"/>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shown in the statement of cash flows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1,111,227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973,048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gridSpan w:val="2"/>
          </w:tcPr>
          <w:p>
            <w:pPr>
              <w:spacing w:after="0" w:line="196" w:lineRule="exact"/>
              <w:rPr>
                <w:sz w:val="20"/>
                <w:szCs w:val="20"/>
                <w:color w:val="auto"/>
              </w:rPr>
            </w:pPr>
            <w:r>
              <w:rPr>
                <w:rFonts w:ascii="Arial" w:cs="Arial" w:eastAsia="Arial" w:hAnsi="Arial"/>
                <w:sz w:val="18"/>
                <w:szCs w:val="18"/>
                <w:color w:val="3051F2"/>
              </w:rPr>
              <w:t>Note 1</w:t>
            </w:r>
          </w:p>
        </w:tc>
        <w:tc>
          <w:tcPr>
            <w:tcW w:w="4760" w:type="dxa"/>
            <w:vAlign w:val="bottom"/>
            <w:gridSpan w:val="18"/>
          </w:tcPr>
          <w:p>
            <w:pPr>
              <w:ind w:left="280"/>
              <w:spacing w:after="0" w:line="196" w:lineRule="exact"/>
              <w:rPr>
                <w:sz w:val="20"/>
                <w:szCs w:val="20"/>
                <w:color w:val="auto"/>
              </w:rPr>
            </w:pPr>
            <w:r>
              <w:rPr>
                <w:rFonts w:ascii="Arial" w:cs="Arial" w:eastAsia="Arial" w:hAnsi="Arial"/>
                <w:sz w:val="18"/>
                <w:szCs w:val="18"/>
                <w:color w:val="3051F2"/>
              </w:rPr>
              <w:t>Organization</w:t>
            </w:r>
          </w:p>
        </w:tc>
        <w:tc>
          <w:tcPr>
            <w:tcW w:w="5880" w:type="dxa"/>
            <w:vAlign w:val="bottom"/>
            <w:gridSpan w:val="2"/>
          </w:tcPr>
          <w:p>
            <w:pPr>
              <w:jc w:val="right"/>
              <w:spacing w:after="0" w:line="196" w:lineRule="exact"/>
              <w:rPr>
                <w:sz w:val="20"/>
                <w:szCs w:val="20"/>
                <w:color w:val="auto"/>
              </w:rPr>
            </w:pPr>
            <w:r>
              <w:rPr>
                <w:rFonts w:ascii="Arial" w:cs="Arial" w:eastAsia="Arial" w:hAnsi="Arial"/>
                <w:sz w:val="18"/>
                <w:szCs w:val="18"/>
                <w:color w:val="3051F2"/>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2</w:t>
            </w:r>
          </w:p>
        </w:tc>
        <w:tc>
          <w:tcPr>
            <w:tcW w:w="4760" w:type="dxa"/>
            <w:vAlign w:val="bottom"/>
            <w:gridSpan w:val="18"/>
          </w:tcPr>
          <w:p>
            <w:pPr>
              <w:ind w:left="280"/>
              <w:spacing w:after="0"/>
              <w:rPr>
                <w:sz w:val="20"/>
                <w:szCs w:val="20"/>
                <w:color w:val="auto"/>
              </w:rPr>
            </w:pPr>
            <w:r>
              <w:rPr>
                <w:rFonts w:ascii="Arial" w:cs="Arial" w:eastAsia="Arial" w:hAnsi="Arial"/>
                <w:sz w:val="18"/>
                <w:szCs w:val="18"/>
                <w:color w:val="3051F2"/>
              </w:rPr>
              <w:t>Significant Accounting Policies</w:t>
            </w: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8"/>
                <w:szCs w:val="18"/>
                <w:color w:val="3051F2"/>
                <w:w w:val="90"/>
              </w:rPr>
              <w:t>Note 3</w:t>
            </w:r>
          </w:p>
        </w:tc>
        <w:tc>
          <w:tcPr>
            <w:tcW w:w="80" w:type="dxa"/>
            <w:vAlign w:val="bottom"/>
          </w:tcPr>
          <w:p>
            <w:pPr>
              <w:spacing w:after="0"/>
              <w:rPr>
                <w:sz w:val="21"/>
                <w:szCs w:val="21"/>
                <w:color w:val="auto"/>
              </w:rPr>
            </w:pPr>
          </w:p>
        </w:tc>
        <w:tc>
          <w:tcPr>
            <w:tcW w:w="4760" w:type="dxa"/>
            <w:vAlign w:val="bottom"/>
            <w:gridSpan w:val="18"/>
          </w:tcPr>
          <w:p>
            <w:pPr>
              <w:ind w:left="280"/>
              <w:spacing w:after="0"/>
              <w:rPr>
                <w:sz w:val="20"/>
                <w:szCs w:val="20"/>
                <w:color w:val="auto"/>
              </w:rPr>
            </w:pPr>
            <w:r>
              <w:rPr>
                <w:rFonts w:ascii="Arial" w:cs="Arial" w:eastAsia="Arial" w:hAnsi="Arial"/>
                <w:sz w:val="18"/>
                <w:szCs w:val="18"/>
                <w:color w:val="3051F2"/>
              </w:rPr>
              <w:t>Restricted Cash</w:t>
            </w: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90"/>
              </w:rPr>
              <w:t>Note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Arial" w:cs="Arial" w:eastAsia="Arial" w:hAnsi="Arial"/>
                <w:sz w:val="18"/>
                <w:szCs w:val="18"/>
                <w:color w:val="3051F2"/>
                <w:w w:val="83"/>
              </w:rPr>
              <w:t>Revenue</w:t>
            </w:r>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right"/>
              <w:spacing w:after="0"/>
              <w:rPr>
                <w:sz w:val="20"/>
                <w:szCs w:val="20"/>
                <w:color w:val="auto"/>
              </w:rPr>
            </w:pPr>
            <w:r>
              <w:rPr>
                <w:rFonts w:ascii="Arial" w:cs="Arial" w:eastAsia="Arial" w:hAnsi="Arial"/>
                <w:sz w:val="18"/>
                <w:szCs w:val="18"/>
                <w:color w:val="3051F2"/>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Arial" w:cs="Arial" w:eastAsia="Arial" w:hAnsi="Arial"/>
                <w:sz w:val="18"/>
                <w:szCs w:val="18"/>
                <w:color w:val="3051F2"/>
                <w:w w:val="8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Arial" w:cs="Arial" w:eastAsia="Arial" w:hAnsi="Arial"/>
                <w:sz w:val="18"/>
                <w:szCs w:val="18"/>
                <w:color w:val="3051F2"/>
                <w:w w:val="89"/>
              </w:rPr>
              <w:t>Tax Receivable Agreement</w:t>
            </w:r>
          </w:p>
        </w:tc>
        <w:tc>
          <w:tcPr>
            <w:tcW w:w="4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Arial" w:cs="Arial" w:eastAsia="Arial" w:hAnsi="Arial"/>
                <w:sz w:val="18"/>
                <w:szCs w:val="18"/>
                <w:color w:val="3051F2"/>
                <w:w w:val="92"/>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6"/>
          </w:tcPr>
          <w:p>
            <w:pPr>
              <w:spacing w:after="0"/>
              <w:rPr>
                <w:sz w:val="20"/>
                <w:szCs w:val="20"/>
                <w:color w:val="auto"/>
              </w:rPr>
            </w:pPr>
            <w:r>
              <w:rPr>
                <w:rFonts w:ascii="Arial" w:cs="Arial" w:eastAsia="Arial" w:hAnsi="Arial"/>
                <w:sz w:val="18"/>
                <w:szCs w:val="18"/>
                <w:color w:val="3051F2"/>
                <w:w w:val="8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rPr>
              <w:t>Note 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Arial" w:cs="Arial" w:eastAsia="Arial" w:hAnsi="Arial"/>
                <w:sz w:val="18"/>
                <w:szCs w:val="18"/>
                <w:color w:val="3051F2"/>
                <w:w w:val="87"/>
              </w:rPr>
              <w:t>Related Party Transactions</w:t>
            </w: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29</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10</w:t>
            </w:r>
          </w:p>
        </w:tc>
        <w:tc>
          <w:tcPr>
            <w:tcW w:w="280" w:type="dxa"/>
            <w:vAlign w:val="bottom"/>
          </w:tcPr>
          <w:p>
            <w:pPr>
              <w:spacing w:after="0"/>
              <w:rPr>
                <w:sz w:val="18"/>
                <w:szCs w:val="18"/>
                <w:color w:val="auto"/>
              </w:rPr>
            </w:pPr>
          </w:p>
        </w:tc>
        <w:tc>
          <w:tcPr>
            <w:tcW w:w="2540" w:type="dxa"/>
            <w:vAlign w:val="bottom"/>
            <w:tcBorders>
              <w:bottom w:val="single" w:sz="8" w:color="3051F2"/>
            </w:tcBorders>
            <w:gridSpan w:val="14"/>
          </w:tcPr>
          <w:p>
            <w:pPr>
              <w:spacing w:after="0"/>
              <w:rPr>
                <w:sz w:val="20"/>
                <w:szCs w:val="20"/>
                <w:color w:val="auto"/>
              </w:rPr>
            </w:pPr>
            <w:r>
              <w:rPr>
                <w:rFonts w:ascii="Arial" w:cs="Arial" w:eastAsia="Arial" w:hAnsi="Arial"/>
                <w:sz w:val="18"/>
                <w:szCs w:val="18"/>
                <w:color w:val="3051F2"/>
                <w:w w:val="90"/>
              </w:rPr>
              <w:t>Fair Value of Financial Instruments</w:t>
            </w:r>
          </w:p>
        </w:tc>
        <w:tc>
          <w:tcPr>
            <w:tcW w:w="8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Arial" w:cs="Arial" w:eastAsia="Arial" w:hAnsi="Arial"/>
                <w:sz w:val="18"/>
                <w:szCs w:val="18"/>
                <w:color w:val="3051F2"/>
                <w:w w:val="90"/>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Arial" w:cs="Arial" w:eastAsia="Arial" w:hAnsi="Arial"/>
                <w:sz w:val="18"/>
                <w:szCs w:val="18"/>
                <w:color w:val="3051F2"/>
                <w:w w:val="89"/>
              </w:rPr>
              <w:t>Commitments and Contingencies</w:t>
            </w:r>
          </w:p>
        </w:tc>
        <w:tc>
          <w:tcPr>
            <w:tcW w:w="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34</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Arial" w:cs="Arial" w:eastAsia="Arial" w:hAnsi="Arial"/>
                <w:sz w:val="18"/>
                <w:szCs w:val="18"/>
                <w:color w:val="3051F2"/>
                <w:w w:val="86"/>
              </w:rPr>
              <w:t>Earnings Per Share</w:t>
            </w:r>
          </w:p>
        </w:tc>
        <w:tc>
          <w:tcPr>
            <w:tcW w:w="104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14</w:t>
            </w:r>
          </w:p>
        </w:tc>
        <w:tc>
          <w:tcPr>
            <w:tcW w:w="280" w:type="dxa"/>
            <w:vAlign w:val="bottom"/>
          </w:tcPr>
          <w:p>
            <w:pPr>
              <w:spacing w:after="0"/>
              <w:rPr>
                <w:sz w:val="18"/>
                <w:szCs w:val="18"/>
                <w:color w:val="auto"/>
              </w:rPr>
            </w:pPr>
          </w:p>
        </w:tc>
        <w:tc>
          <w:tcPr>
            <w:tcW w:w="2420" w:type="dxa"/>
            <w:vAlign w:val="bottom"/>
            <w:tcBorders>
              <w:bottom w:val="single" w:sz="8" w:color="3051F2"/>
            </w:tcBorders>
            <w:gridSpan w:val="13"/>
          </w:tcPr>
          <w:p>
            <w:pPr>
              <w:spacing w:after="0"/>
              <w:rPr>
                <w:sz w:val="20"/>
                <w:szCs w:val="20"/>
                <w:color w:val="auto"/>
              </w:rPr>
            </w:pPr>
            <w:r>
              <w:rPr>
                <w:rFonts w:ascii="Arial" w:cs="Arial" w:eastAsia="Arial" w:hAnsi="Arial"/>
                <w:sz w:val="18"/>
                <w:szCs w:val="18"/>
                <w:color w:val="3051F2"/>
                <w:w w:val="90"/>
              </w:rPr>
              <w:t>Regulatory Capital Requirements</w:t>
            </w: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5"/>
          </w:tcPr>
          <w:p>
            <w:pPr>
              <w:spacing w:after="0"/>
              <w:rPr>
                <w:sz w:val="20"/>
                <w:szCs w:val="20"/>
                <w:color w:val="auto"/>
              </w:rPr>
            </w:pPr>
            <w:r>
              <w:rPr>
                <w:rFonts w:ascii="Arial" w:cs="Arial" w:eastAsia="Arial" w:hAnsi="Arial"/>
                <w:sz w:val="18"/>
                <w:szCs w:val="18"/>
                <w:color w:val="3051F2"/>
                <w:w w:val="89"/>
              </w:rPr>
              <w:t>Business Segment and Geographic Information</w:t>
            </w:r>
          </w:p>
        </w:tc>
        <w:tc>
          <w:tcPr>
            <w:tcW w:w="108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80" w:type="dxa"/>
            <w:vAlign w:val="bottom"/>
            <w:gridSpan w:val="2"/>
            <w:vMerge w:val="restart"/>
          </w:tcPr>
          <w:p>
            <w:pPr>
              <w:jc w:val="right"/>
              <w:spacing w:after="0"/>
              <w:rPr>
                <w:sz w:val="20"/>
                <w:szCs w:val="20"/>
                <w:color w:val="auto"/>
              </w:rPr>
            </w:pPr>
            <w:r>
              <w:rPr>
                <w:rFonts w:ascii="Arial" w:cs="Arial" w:eastAsia="Arial" w:hAnsi="Arial"/>
                <w:sz w:val="18"/>
                <w:szCs w:val="18"/>
                <w:color w:val="3051F2"/>
              </w:rPr>
              <w:t>37</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3051F2"/>
                <w:w w:val="88"/>
              </w:rPr>
              <w:t>Note 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Arial" w:cs="Arial" w:eastAsia="Arial" w:hAnsi="Arial"/>
                <w:sz w:val="18"/>
                <w:szCs w:val="18"/>
                <w:color w:val="3051F2"/>
                <w:w w:val="85"/>
              </w:rPr>
              <w:t>Subsequent Events</w:t>
            </w:r>
          </w:p>
        </w:tc>
        <w:tc>
          <w:tcPr>
            <w:tcW w:w="3120" w:type="dxa"/>
            <w:vAlign w:val="bottom"/>
            <w:gridSpan w:val="11"/>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Holdings Limited (unless otherwise stated or the context otherwise requires, together with all of its direct and indirect subsidiaries, “Refinitiv”) owned an indirect majority ownership interest in the Company (as defined below).</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January 29, 2021, London Stock Exchange Group plc (“LSEG”) completed its acquisition of Refinitiv from a consortium, including certain investment funds affiliated with The Blackstone Group Inc. (f/k/a The Blackstone Group L.P.) (“Blackstone”) as well as Thomson Reuters Corporation (“TR”), in an all share transaction (the “LSEG Transaction”).</w:t>
      </w:r>
    </w:p>
    <w:p>
      <w:pPr>
        <w:spacing w:after="0" w:line="14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Corporation is a holding company whose principal asset is LLC Interests (as defined below) of TWM LLC. As the sole manager of TWM LLC,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operates and controls all of the business and affairs of TWM LLC and, through TWM LLC and its subsidiaries, conducts the Corporation’s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business. As a result of this control, and because the Corporation has a substantial financial interest in TWM LLC, the Corporation consolidates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of TWM LLC and reports a non-controlling interest in the Corporation’s condensed consolidated financial statements.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2022, Tradeweb Markets Inc. owns 88.8% of TWM LLC and the non-controlling interest holders own the remaining 11.2% of TWM LLC.</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 of December 31, 2021, Tradeweb Markets Inc. owned 86.9% of TWM LLC and the non-controlling interest holders owned the remaining 13.1%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TWM LLC.</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a leader in building and operating electronic marketplaces for a global network of clients across the institutional, wholesale and retail client sectors. The Company’s principal subsidiaries include:</w:t>
      </w:r>
    </w:p>
    <w:p>
      <w:pPr>
        <w:spacing w:after="0" w:line="130" w:lineRule="exact"/>
        <w:rPr>
          <w:sz w:val="20"/>
          <w:szCs w:val="20"/>
          <w:color w:val="auto"/>
        </w:rPr>
      </w:pPr>
    </w:p>
    <w:p>
      <w:pPr>
        <w:ind w:left="660" w:right="1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LLC (“TWL”), a registered broker-dealer under the Securities Exchange Act of 1934, as amended (the “Exchange Act”), a member of the Financial Industry Regulatory Authority (“FINRA”), a registered independent introducing broker with the Commodities Future Trading Commission (“CFTC”) and a member of the National Futures Association (“NFA”).</w:t>
      </w:r>
    </w:p>
    <w:p>
      <w:pPr>
        <w:spacing w:after="0" w:line="15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Dealerweb Inc. (“DW”) (formerly known as Hilliard Farber &amp; Co., Inc.), a registered broker-dealer under the Exchange Act and a member of FINRA. DW is also registered as an introducing broker with the CFTC and a member of the NFA.</w:t>
      </w:r>
    </w:p>
    <w:p>
      <w:pPr>
        <w:spacing w:after="0" w:line="129"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Direct LLC (“TWD”) (formerly known as BondDesk Trading LLC), a registered broker-dealer under the Exchange Act and a member of FINRA.</w:t>
      </w:r>
    </w:p>
    <w:p>
      <w:pPr>
        <w:spacing w:after="0" w:line="129"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Execution Access, LLC (“EA”), acquired in June 2021 in connection with the NFI Acquisition (as defined below), a registered broker-dealer under the Exchange Act and a member of FINRA.</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Europe Limited (“TEL”), a Multilateral Trading Facility regulated by the Financial Conduct Authority (the “FCA”) in the UK, which maintains branches in Asia which are regulated by certain Asian securities regulators.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 SEF LLC (“TW SEF”), a Swap Execution Facility (“SEF”) regulated by the CFTC.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DW SEF LLC (“DW SEF”), a SEF regulated by the CFTC.</w:t>
      </w:r>
    </w:p>
    <w:p>
      <w:pPr>
        <w:spacing w:after="0" w:line="18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Tradeweb Japan K.K. (“TWJ”), a security house regulated by the Japanese Financial Services Agency (“JFSA”) and the Japan Securities Dealers Association (“JSDA”).</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EU B.V. (“TWEU”), a Trading Venue and Approved Publication Arrangement regulated by the Netherlands Authority for the Financial Markets (“AFM”).</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Execution Services Limited (“TESL”), an Investment Firm (“BIPRU Firm”) regulated by the FCA in the UK.</w:t>
      </w:r>
    </w:p>
    <w:p>
      <w:pPr>
        <w:spacing w:after="0" w:line="184" w:lineRule="exact"/>
        <w:rPr>
          <w:rFonts w:ascii="Arial" w:cs="Arial" w:eastAsia="Arial" w:hAnsi="Arial"/>
          <w:sz w:val="18"/>
          <w:szCs w:val="18"/>
          <w:color w:val="auto"/>
        </w:rPr>
      </w:pPr>
    </w:p>
    <w:p>
      <w:pPr>
        <w:ind w:left="660" w:right="3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Commercial Information Consulting (Shanghai) Co., Ltd. a wholly-owned foreign enterprise (WOFE) for the purpose of providing consulting and marketing activities in China. The offshore electronic trading platform is recognized by the People’s Bank of China for the provision of Bond Connect and CIBM Direct.</w:t>
      </w:r>
    </w:p>
    <w:p>
      <w:pPr>
        <w:spacing w:after="0" w:line="143"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Tradeweb Execution Services B.V. (“TESBV”), a European Union investment firm with permission to trade on a matched principal basis, authorized and regulated by the AFM.</w:t>
      </w:r>
    </w:p>
    <w:p>
      <w:pPr>
        <w:spacing w:after="0" w:line="143"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June 2021, the Company acquired Nasdaq’s U.S. fixed income electronic trading platform, formerly known as eSpeed (the “NFI Acquisition”), which was a fully executable central order limit book (CLOB) for electronic trading in on-the-run (OTR) U.S. government bonds.</w:t>
      </w:r>
    </w:p>
    <w:p>
      <w:pPr>
        <w:spacing w:after="0" w:line="10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1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w:t>
      </w:r>
    </w:p>
    <w:p>
      <w:pPr>
        <w:spacing w:after="0" w:line="185" w:lineRule="exact"/>
        <w:rPr>
          <w:sz w:val="20"/>
          <w:szCs w:val="20"/>
          <w:color w:val="auto"/>
        </w:rPr>
      </w:pPr>
    </w:p>
    <w:p>
      <w:pPr>
        <w:ind w:left="660" w:right="3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investors collectively owned 111,244,559 shares of Class A common stock, representing 8.5% of the combined voting power of Tradeweb Markets Inc.’s issued and outstanding common stock and indirectly, through Tradeweb Markets Inc., owned 47.4% of the economic interest in TWM LLC;</w:t>
      </w:r>
    </w:p>
    <w:p>
      <w:pPr>
        <w:spacing w:after="0" w:line="15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Refinitiv collectively owned 96,933,192 shares of Class B common stock and 22,988,329 shares of Class D common stock, representing 91.2% of the combined voting power of Tradeweb Markets Inc.’s issued and outstanding common stock and directly and indirectly, through Tradeweb Markets Inc., owned 51.1% of the economic interest in TWM LLC; and</w:t>
      </w:r>
    </w:p>
    <w:p>
      <w:pPr>
        <w:spacing w:after="0" w:line="143"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stockholders that continued to own LLC Interests also collectively owned 3,251,177 shares of Class C common stock and 108,375 shares of Class D common stock, representing 0.3% of the combined voting power of Tradeweb Markets Inc.’s issued and outstanding common stock. Collectively, these stockholders directly owned 1.4% of the economic interest in TWM LLC.</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for the three and nine months ended September 30, 2022, the Company’s basic and diluted earnings per share calculation is impacted by 246,238 and 121,115, respectively, of weighted average shares resulting from unvested restricted stock units and unsettled vested performance</w:t>
      </w:r>
      <w:r>
        <w:rPr>
          <w:rFonts w:ascii="Arial" w:cs="Arial" w:eastAsia="Arial" w:hAnsi="Arial"/>
          <w:sz w:val="18"/>
          <w:szCs w:val="18"/>
          <w:b w:val="1"/>
          <w:bCs w:val="1"/>
          <w:color w:val="auto"/>
        </w:rPr>
        <w:t>-</w:t>
      </w:r>
      <w:r>
        <w:rPr>
          <w:rFonts w:ascii="Arial" w:cs="Arial" w:eastAsia="Arial" w:hAnsi="Arial"/>
          <w:sz w:val="18"/>
          <w:szCs w:val="18"/>
          <w:color w:val="auto"/>
        </w:rPr>
        <w:t>based restricted stock units that were considered participating securities for purposes of calculating earnings per share in accordance with the two</w:t>
      </w:r>
      <w:r>
        <w:rPr>
          <w:rFonts w:ascii="Arial" w:cs="Arial" w:eastAsia="Arial" w:hAnsi="Arial"/>
          <w:sz w:val="18"/>
          <w:szCs w:val="18"/>
          <w:b w:val="1"/>
          <w:bCs w:val="1"/>
          <w:color w:val="auto"/>
        </w:rPr>
        <w:t>-</w:t>
      </w:r>
      <w:r>
        <w:rPr>
          <w:rFonts w:ascii="Arial" w:cs="Arial" w:eastAsia="Arial" w:hAnsi="Arial"/>
          <w:sz w:val="18"/>
          <w:szCs w:val="18"/>
          <w:color w:val="auto"/>
        </w:rPr>
        <w:t>class method, and for the three and nine months ended September 30, 2022 the Company’s diluted earnings per share calculation also includes 2,608,307 and 2,980,776, respectively, of weighted average shares resulting from the dilutive effect of its equity incentive plans. See Note 13 – Earnings Per Share for additional details.</w:t>
      </w:r>
    </w:p>
    <w:p>
      <w:pPr>
        <w:spacing w:after="0" w:line="1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the Continuing LLC Owners.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These condensed consolidated financial statements are unaudited and should be read in conjunction with the audited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Company’s Annual Report on Form 10-K for the year ended December 31, 2021. The consolidated financial information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has been derived from audited financial statements not included herein. These unaudited condensed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been prepared in accordance with accounting principles generally accepted in the United States of America (“GAAP”) and the rules and regulations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U.S. Securities and Exchange Commission (“SEC”) with respect to interim financial reporting and Form 10-Q. In accordance with such rules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regulations, certain disclosures that are normally included in annual financial statements have been omitted. These unaudited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reflect all normal and recurring adjustments that are, in the opinion of management, necessary for a fair statement of the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presented. Operating results for interim periods are not necessarily indicative of the results that may be expected for the full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8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Business combinations are accounted for under the purchase method of accounting pursuant to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(“ASC 805”). The total cost of an acquisition is allocated to the underlying net assets based on their respective estimated fair values. The</w:t>
      </w:r>
      <w:r>
        <w:rPr>
          <w:rFonts w:ascii="Arial" w:cs="Arial" w:eastAsia="Arial" w:hAnsi="Arial"/>
          <w:sz w:val="16"/>
          <w:szCs w:val="16"/>
          <w:i w:val="1"/>
          <w:iCs w:val="1"/>
          <w:color w:val="auto"/>
        </w:rPr>
        <w:t xml:space="preserve"> </w:t>
      </w:r>
      <w:r>
        <w:rPr>
          <w:rFonts w:ascii="Arial" w:cs="Arial" w:eastAsia="Arial" w:hAnsi="Arial"/>
          <w:sz w:val="16"/>
          <w:szCs w:val="16"/>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Transaction costs incurred to effect a business combination are expensed as incurred and are included as a component of professional fees in the condensed consolidated statements of income. During the three and nine months ended September 30, 2021, the Company incurred a total of $0.1 million and $4.8 million, respectively, in transaction costs related to the NFI Acquisition. No material transaction costs were incurred during the three and nine months ended September 30, 2022.</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Pushdown Accounting</w:t>
      </w:r>
    </w:p>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Arial" w:cs="Arial" w:eastAsia="Arial" w:hAnsi="Arial"/>
          <w:sz w:val="17"/>
          <w:szCs w:val="17"/>
          <w:i w:val="1"/>
          <w:iCs w:val="1"/>
          <w:color w:val="auto"/>
        </w:rPr>
        <w:t>,</w:t>
      </w:r>
      <w:r>
        <w:rPr>
          <w:rFonts w:ascii="Arial" w:cs="Arial" w:eastAsia="Arial" w:hAnsi="Arial"/>
          <w:sz w:val="17"/>
          <w:szCs w:val="17"/>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Cash and cash equivalents consists of cash and highly liquid investments (such as short-term money market instruments) with original maturities at the time of purchase of three months or less.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4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Additions to the allowance for credit losses are charged to credit loss expense, which is included in general and administrative expenses in the condensed consolidated statements of income. Aged balances that are determined to be uncollectible are written off against the allowance for credit losses. See Note 11 – Credit Risk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Receivable from and payable to brokers and dealers and clearing organizations consists of proceeds from transactions executed on the Company’s wholesale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 with Clearing Organizations</w:t>
      </w:r>
    </w:p>
    <w:p>
      <w:pPr>
        <w:spacing w:after="0" w:line="202" w:lineRule="exact"/>
        <w:rPr>
          <w:sz w:val="20"/>
          <w:szCs w:val="20"/>
          <w:color w:val="auto"/>
        </w:rPr>
      </w:pPr>
    </w:p>
    <w:p>
      <w:pPr>
        <w:ind w:right="5580"/>
        <w:spacing w:after="0" w:line="510" w:lineRule="auto"/>
        <w:rPr>
          <w:sz w:val="20"/>
          <w:szCs w:val="20"/>
          <w:color w:val="auto"/>
        </w:rPr>
      </w:pPr>
      <w:r>
        <w:rPr>
          <w:rFonts w:ascii="Arial" w:cs="Arial" w:eastAsia="Arial" w:hAnsi="Arial"/>
          <w:sz w:val="16"/>
          <w:szCs w:val="16"/>
          <w:color w:val="auto"/>
        </w:rPr>
        <w:t xml:space="preserve">Deposits with clearing organizations are comprised of cash deposits. </w:t>
      </w:r>
      <w:r>
        <w:rPr>
          <w:rFonts w:ascii="Arial" w:cs="Arial" w:eastAsia="Arial" w:hAnsi="Arial"/>
          <w:sz w:val="16"/>
          <w:szCs w:val="16"/>
          <w:b w:val="1"/>
          <w:bCs w:val="1"/>
          <w:color w:val="auto"/>
        </w:rPr>
        <w:t>Furniture, Equipment, Purchased Software and Leasehold Improvements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13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As of September 30, 2022 and December 31, 2021, accumulated depreciation related to furniture, equipment, purchased software and leasehold improvements totaled $67.4 million and $56.0 million, respectively. Depreciation expense for furniture, equipment, purchased software and leasehold improvements was $5.0 million and $5.7 million for the three months ended September 30, 2022 and 2021, respectively, and $14.6 million and $16.8 million for the nine months ended September 30, 2022 and 2021,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NFI Acquisition are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December 31, 2021, accumulated amortization related to software development costs totaled $153.5 million and</w:t>
      </w:r>
    </w:p>
    <w:p>
      <w:pPr>
        <w:spacing w:after="0" w:line="3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$114.5 million, respectively. Amortization expense for software development costs was $13.0 million and $12.4 million for the three months ended September 30, 2022 and 2021, respectively, and $39.0 million and $34.4 million for the nine months ended September 30, 2022 and 2021,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2"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NFI Acquisition. Goodwill is not amortized, but is tested for impairment annually on October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Goodwill was last tested for impairment on October 1, 2021 and no impairment of goodwill was identified.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Intangible assets with a finite life are amortized over the estimated lives, ranging from seven to thirteen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of September 30, 2022 and December 31, 2021, accumulated amortization related to intangible assets totaled $407.4 million and $327.0 million, respectively. Amortization expense for definite-lived intangible assets was $26.8 million and $26.8 million for the three months ended September 30, 2022 and 2021, respectively, and $80.4 million and $76.5 million for the nine months ended September 30, 2022 and 2021,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 Without Readily Determinable Fair Values</w:t>
      </w:r>
    </w:p>
    <w:p>
      <w:pPr>
        <w:spacing w:after="0" w:line="202"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color w:val="auto"/>
        </w:rPr>
        <w:t>Equity Investments without a readily determinable fair value are measured at cost, less impairment, plus or minus observable price changes (in orderly transactions) of an identical or similar investment of the same issuer. If the Company determines that the equity investment is impaired on the basis of a qualitative assessment, the Company will recognize an impairment loss equal to the amount by which the investment’s carrying amount exceeds its fair value. Equity investments are included as a component of other assets on the condensed consolidated statements of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Sold Under Agreements to Repurchase</w:t>
      </w:r>
    </w:p>
    <w:p>
      <w:pPr>
        <w:spacing w:after="0" w:line="189"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From time to time, the Company sells securities under agreements to repurchase in order to facilitate the clearance of securities. Securities sold under agreements to 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consolidated statements of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IPO and Follow-On Offering Costs</w:t>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Deferred IPO and follow-on offering costs consist of legal, accounting and other costs directly related to the Company’s efforts to raise capital. These costs are recognized as a reduction in additional paid-in capital within the condensed consolidated statements of financial condition when the offering is effective. As of both September 30, 2022 and December 31, 2021, $15.9 million of deferred costs related to the IPO and $5.2 million of deferred costs related to follow-on offerings were included as a component of the additional paid-in capital balance in the condensed consolidated statements of financial condition. No offering costs were incurred during each of the three and nine months ended September 30, 2022 and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Company’s classification of revenues in the condensed consolidated statements of income represents revenues from contracts with customers disaggregated by type of revenue. See Note 4 – Revenue for additional details regarding revenue types and the Company’s policies regarding revenue recognition.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of Foreign Currency and Foreign Currency Forward Contracts</w:t>
      </w:r>
    </w:p>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losses totaled $0.6 million and $0.5 million during the three months ended September 30, 2022 and 2021, respectively, and $2.3 million and $2.5 million during the nine months ended September 30, 2022 and 2021,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14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enters into foreign currency forward contracts to mitigate its U.S. dollar and British pound sterling versus euro exposure, generally with a duration of less than 12 months. The Company’s foreign currency forward contracts are not designated as hedges for accounting purposes and changes in the fair value of these contracts during the period are recognized in the condensed consolidated statements of income within general and administrative expenses. The Company does not use derivative instruments for trading or speculative purposes. Realized and unrealized gains on foreign currency forward contracts totaled $6.8 million and $1.3 million during the three months ended September 30, 2022 and 2021, respectively, and $12.9 million and</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$6.2 million during the nine months ended September 30, 2022 and 2021, respectively. See Note 10 – Fair Value of Financial Instruments for additional details on the Company’s derivative instruments.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percent likely to be realized upon ultimate settlement with the related tax authority.</w:t>
      </w:r>
    </w:p>
    <w:p>
      <w:pPr>
        <w:spacing w:after="0" w:line="16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elected to treat taxes due on future U.S. inclusions in taxable income under the global intangible low-taxed income (“GILTI”) provision of the Tax Cuts and Jobs Act as a current period expense when incurred.</w:t>
      </w:r>
    </w:p>
    <w:p>
      <w:pPr>
        <w:spacing w:after="0" w:line="13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The Company is currently evaluating the impacts, if any, of the provisions of the IRA to the Company’s financial position, results of operations and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 Forfeitures of stock-based compensation awards are recognized as they occur.</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grants made during the post-IPO period, the fair value of the equity instruments is determined based on the price of the Class A common stock on the grant date.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Prior to the IPO, the Company awarded options to management and other employees (collectively, the “Special Option Award”) under the Amended and Restated Tradeweb Markets Inc. Option Plan (the “Option Plan”). The significant assumptions used to estimate the fair value as of grant date of the options awarded prior to the IPO did not reflect changes that would have occurred to these assumptions as a result of the IPO. The non-cash stock-based compensation expense associated with the Special Option Award began being expensed in the second quarter of 2019.</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uses the Black-Scholes pricing model to value some of its option awards. Determining the appropriate fair value model and calculating the fair value of the option awards requires the input of highly subjective assumptions, including the expected life of the option awards and the stock price volatility.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and diluted earnings per share are computed in accordance with the two-class method as unvested restricted stock units and unsettled vested performance-based restricted stock units issued to certain retired executives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shareholders.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13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dilutive effect of stock options and other stock</w:t>
      </w:r>
      <w:r>
        <w:rPr>
          <w:rFonts w:ascii="Arial" w:cs="Arial" w:eastAsia="Arial" w:hAnsi="Arial"/>
          <w:sz w:val="16"/>
          <w:szCs w:val="16"/>
          <w:b w:val="1"/>
          <w:bCs w:val="1"/>
          <w:color w:val="auto"/>
        </w:rPr>
        <w:t>-</w:t>
      </w:r>
      <w:r>
        <w:rPr>
          <w:rFonts w:ascii="Arial" w:cs="Arial" w:eastAsia="Arial" w:hAnsi="Arial"/>
          <w:sz w:val="16"/>
          <w:szCs w:val="16"/>
          <w:color w:val="auto"/>
        </w:rPr>
        <w:t>based payment awards is calculated using the treasury stock method, which assumes the proceeds from the exercise of these instruments are used to purchase common shares at the average market price for the period. The dilutive effect of LLC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2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Shares of Class C and Class D common stock do not have economic rights in Tradeweb Markets Inc. and, therefore, are not included in the calculation of basic earnings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a financial instrument is the amount that would be received to sell an asset or paid to transfer a liability in an orderly transaction between market participants at the measurement date (the exit price). Instruments that the Company owns (long positions) are marked to bid prices, and instruments that the Company has sold, but not yet purchased (short positions) are marked to offer prices. Fair value measurements do not include transaction costs.</w:t>
      </w:r>
    </w:p>
    <w:p>
      <w:pPr>
        <w:spacing w:after="0" w:line="10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 xml:space="preserve">The fair value hierarchy under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w:t>
      </w:r>
      <w:r>
        <w:rPr>
          <w:rFonts w:ascii="Arial" w:cs="Arial" w:eastAsia="Arial" w:hAnsi="Arial"/>
          <w:sz w:val="16"/>
          <w:szCs w:val="16"/>
          <w:i w:val="1"/>
          <w:iCs w:val="1"/>
          <w:color w:val="auto"/>
        </w:rPr>
        <w:t>,</w:t>
      </w:r>
      <w:r>
        <w:rPr>
          <w:rFonts w:ascii="Arial" w:cs="Arial" w:eastAsia="Arial" w:hAnsi="Arial"/>
          <w:sz w:val="16"/>
          <w:szCs w:val="16"/>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financial instrument’s level within the fair value hierarchy is based on the lowest level of any input that is significant to the fair value measurement.</w:t>
      </w:r>
    </w:p>
    <w:p>
      <w:pPr>
        <w:spacing w:after="0" w:line="1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Unadjusted quoted prices in active markets that are accessible at the measurement date for identical, unrestricted assets or liabilities;</w:t>
      </w:r>
    </w:p>
    <w:p>
      <w:pPr>
        <w:spacing w:after="0" w:line="221"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in markets that are not considered to be active or financial instruments for which all significant inputs are observable, either directly or indirectly;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June 2022, the Financial Accounting Standards Board (“FASB”) issued Accounting Standards Update (“ASU”) 2022-03,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820): Fair Value Measurement of Equity Securities Subject to Contractual Sale Restrictions </w:t>
      </w:r>
      <w:r>
        <w:rPr>
          <w:rFonts w:ascii="Arial" w:cs="Arial" w:eastAsia="Arial" w:hAnsi="Arial"/>
          <w:sz w:val="16"/>
          <w:szCs w:val="16"/>
          <w:color w:val="auto"/>
        </w:rPr>
        <w:t>(“ASU 2022-03”), which clarifies that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 on the sale of an equity security is not considered part of the unit of account of the equity security and, therefore, is not considered in measuring fair value and that an entity cannot, as a separate unit of account, recognize and measure a contractual sale restriction. ASU 2022-03 also requires the disclosure of the fair value, as reflected in the statement of financial condition, of equity securities subject to contractual sale restrictions and the nature and the disclosure of the remaining duration of those restrictions. ASU 2022-03 is effective for the Company beginning on January 1, 2024 and early adoption is permitted for both interim and annual financial statements that have not yet been issued. The ASU is to be applied prospectively, with any adjustments from the adoption recognized in earnings on the date of adoption. As of September 30, 2022, the Company has not yet adopted ASU 2022-03 and does not expect that the adoption of this ASU will have a material impact on the Company’s consolidated financial statements.</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Restricted Cash</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September 30, 2022 and December 31, 2021, cash in the amount of $1.0 million has been segregated in the PAB reserve account, exceeding the requirements pursuant to SEC Rule 15c3-3.</w:t>
      </w:r>
    </w:p>
    <w:p>
      <w:pPr>
        <w:spacing w:after="0" w:line="1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of trades thereon. The stand-ready connection to the electronic marketplaces is considered a single performance obligation satisfied over time as the client simultaneously receives and consumes the benefit from the Company’s performance as access is provided (that is, the performance obligation constitutes a series of services that are substantially the same in nature and are provided over time using the same measure of progress). For its services, the Company earns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 Fees received by the Company which are not yet earned are included in deferred revenue on the condensed consolidated statements of financial condition until the revenue recognition criteria have been met. The Company also earns transaction fees and/or commissions from transactions executed on the Company’s electronic marketplaces. The Company earns commission revenue from its electronic and voice brokerage services on a riskless principal basis. Riskless principal revenues are derived on matched principal transactions where revenues are earned on the spread between the buy and sell price of the transacted product. Transaction fees and commissions are generated both on a variable and fixed price basis and vary by geographic region, product type and trade size. Fixed monthly transaction fees or commissions, or monthly transaction fees or commission minimums, are earned on a monthly basis in the period the stand-ready trading services are provided and are generally billed monthly. For variable transaction fees or commissions, the Company charges its clients amounts calculated based on the mix of products traded and the volume of transactions executed. Variable transaction fee or commission revenue is recognized and recorded on a trade-date basis when the individual trade occurs and is generally billed when the trade settles or is billed monthly. Variable discounts or rebates on transaction fees or commissions are earned and applied monthly or quarterly, resolved within the same reporting period and recorded as a reduction to revenue in the period the relevant trades occur.</w:t>
      </w:r>
    </w:p>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earns fees from Refinitiv relating to the sale of market data to Refinitiv, which redistributes that data. Included in these fees, which are billed quarterly, are real-time market data fees which are recognized monthly on a straight-line basis, as Refinitiv receives and consumes the benefit evenly over the contract period as the data is provided. Also included in these fees are fees for historical data sets which are recognized when the historical data set is provided to Refinitiv. Significant judgments used in accounting for this contract include the following determinations:</w:t>
      </w:r>
    </w:p>
    <w:p>
      <w:pPr>
        <w:spacing w:after="0" w:line="13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32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the Company’s market data and pricing information for historical data sets provided by other companies.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Some revenues earned by the Company have fixed fee components, such as monthly minimums or fixed monthly fees, and variable components, such as transaction</w:t>
      </w:r>
      <w:r>
        <w:rPr>
          <w:rFonts w:ascii="Arial" w:cs="Arial" w:eastAsia="Arial" w:hAnsi="Arial"/>
          <w:sz w:val="18"/>
          <w:szCs w:val="18"/>
          <w:b w:val="1"/>
          <w:bCs w:val="1"/>
          <w:color w:val="auto"/>
        </w:rPr>
        <w:t>-</w:t>
      </w:r>
      <w:r>
        <w:rPr>
          <w:rFonts w:ascii="Arial" w:cs="Arial" w:eastAsia="Arial" w:hAnsi="Arial"/>
          <w:sz w:val="18"/>
          <w:szCs w:val="18"/>
          <w:color w:val="auto"/>
        </w:rPr>
        <w:t>based fees. The breakdown of revenues between fixed and variable revenues for the three and nine months ended September 30, 2022 and 2021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7"/>
                <w:szCs w:val="17"/>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September 30, 2021</w:t>
            </w:r>
          </w:p>
        </w:tc>
      </w:tr>
      <w:tr>
        <w:trPr>
          <w:trHeight w:val="26"/>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6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192,191</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35,824</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167,437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38,879</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15,002</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97,262</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r>
      <w:tr>
        <w:trPr>
          <w:trHeight w:val="467"/>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24"/>
                <w:szCs w:val="24"/>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Nine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7"/>
                <w:szCs w:val="17"/>
                <w:color w:val="auto"/>
              </w:rPr>
            </w:pPr>
          </w:p>
        </w:tc>
        <w:tc>
          <w:tcPr>
            <w:tcW w:w="2520" w:type="dxa"/>
            <w:vAlign w:val="bottom"/>
            <w:gridSpan w:val="5"/>
          </w:tcPr>
          <w:p>
            <w:pPr>
              <w:jc w:val="center"/>
              <w:ind w:right="173"/>
              <w:spacing w:after="0"/>
              <w:rPr>
                <w:sz w:val="20"/>
                <w:szCs w:val="20"/>
                <w:color w:val="auto"/>
              </w:rPr>
            </w:pPr>
            <w:r>
              <w:rPr>
                <w:rFonts w:ascii="Arial" w:cs="Arial" w:eastAsia="Arial" w:hAnsi="Arial"/>
                <w:sz w:val="14"/>
                <w:szCs w:val="14"/>
                <w:b w:val="1"/>
                <w:bCs w:val="1"/>
                <w:color w:val="auto"/>
                <w:w w:val="93"/>
              </w:rPr>
              <w:t>September 30, 2021</w:t>
            </w:r>
          </w:p>
        </w:tc>
      </w:tr>
      <w:tr>
        <w:trPr>
          <w:trHeight w:val="26"/>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558"/>
              <w:spacing w:after="0"/>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4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3"/>
          </w:tcPr>
          <w:p>
            <w:pPr>
              <w:ind w:left="140"/>
              <w:spacing w:after="0"/>
              <w:rPr>
                <w:sz w:val="20"/>
                <w:szCs w:val="20"/>
                <w:color w:val="auto"/>
              </w:rPr>
            </w:pPr>
            <w:r>
              <w:rPr>
                <w:rFonts w:ascii="Arial" w:cs="Arial" w:eastAsia="Arial" w:hAnsi="Arial"/>
                <w:sz w:val="14"/>
                <w:szCs w:val="14"/>
                <w:b w:val="1"/>
                <w:bCs w:val="1"/>
                <w:color w:val="auto"/>
              </w:rPr>
              <w:t>Variable</w:t>
            </w:r>
          </w:p>
        </w:tc>
        <w:tc>
          <w:tcPr>
            <w:tcW w:w="440" w:type="dxa"/>
            <w:vAlign w:val="bottom"/>
          </w:tcPr>
          <w:p>
            <w:pPr>
              <w:spacing w:after="0"/>
              <w:rPr>
                <w:sz w:val="19"/>
                <w:szCs w:val="19"/>
                <w:color w:val="auto"/>
              </w:rPr>
            </w:pPr>
          </w:p>
        </w:tc>
        <w:tc>
          <w:tcPr>
            <w:tcW w:w="900" w:type="dxa"/>
            <w:vAlign w:val="bottom"/>
          </w:tcPr>
          <w:p>
            <w:pPr>
              <w:jc w:val="right"/>
              <w:ind w:right="413"/>
              <w:spacing w:after="0"/>
              <w:rPr>
                <w:sz w:val="20"/>
                <w:szCs w:val="20"/>
                <w:color w:val="auto"/>
              </w:rPr>
            </w:pPr>
            <w:r>
              <w:rPr>
                <w:rFonts w:ascii="Arial" w:cs="Arial" w:eastAsia="Arial" w:hAnsi="Arial"/>
                <w:sz w:val="14"/>
                <w:szCs w:val="14"/>
                <w:b w:val="1"/>
                <w:bCs w:val="1"/>
                <w:color w:val="auto"/>
              </w:rPr>
              <w:t>Fixed</w:t>
            </w:r>
          </w:p>
        </w:tc>
      </w:tr>
      <w:tr>
        <w:trPr>
          <w:trHeight w:val="39"/>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Transaction fees and commissions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607,126</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110,363</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513,759</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115,754</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115,774</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Refinitiv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45,045</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609,233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515,737</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283,827</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records deferred revenue when cash payments are received or due in advance of services to be performed. The revenue recognized and the remaining deferred revenue balances are shown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5"/>
              <w:spacing w:after="0"/>
              <w:rPr>
                <w:sz w:val="20"/>
                <w:szCs w:val="20"/>
                <w:color w:val="auto"/>
              </w:rPr>
            </w:pPr>
            <w:r>
              <w:rPr>
                <w:rFonts w:ascii="Arial" w:cs="Arial" w:eastAsia="Arial" w:hAnsi="Arial"/>
                <w:sz w:val="14"/>
                <w:szCs w:val="14"/>
                <w:b w:val="1"/>
                <w:bCs w:val="1"/>
                <w:color w:val="auto"/>
              </w:rPr>
              <w:t>Amount</w:t>
            </w:r>
          </w:p>
        </w:tc>
      </w:tr>
      <w:tr>
        <w:trPr>
          <w:trHeight w:val="39"/>
        </w:trPr>
        <w:tc>
          <w:tcPr>
            <w:tcW w:w="98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5"/>
        </w:trPr>
        <w:tc>
          <w:tcPr>
            <w:tcW w:w="9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4"/>
                <w:szCs w:val="14"/>
                <w:b w:val="1"/>
                <w:bCs w:val="1"/>
                <w:color w:val="auto"/>
                <w:w w:val="95"/>
              </w:rPr>
              <w:t>(in thousands)</w:t>
            </w:r>
          </w:p>
        </w:tc>
      </w:tr>
      <w:tr>
        <w:trPr>
          <w:trHeight w:val="39"/>
        </w:trPr>
        <w:tc>
          <w:tcPr>
            <w:tcW w:w="9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9"/>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balance -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New billings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91,062</w:t>
            </w:r>
          </w:p>
        </w:tc>
      </w:tr>
      <w:tr>
        <w:trPr>
          <w:trHeight w:val="230"/>
        </w:trPr>
        <w:tc>
          <w:tcPr>
            <w:tcW w:w="9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(87,234)</w:t>
            </w:r>
          </w:p>
        </w:tc>
      </w:tr>
      <w:tr>
        <w:trPr>
          <w:trHeight w:val="230"/>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balance - September 30,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28,568</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2022, the Company recognized $23.1 million in total revenue that was deferred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2021, the Company recognized $22.7 million in total revenue that was deferred as of December 31,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Corporation is subject to U.S. federal, state and local income taxes with respect to its taxable income, including its allocable share of any taxable income of TWM LLC, and is taxed at prevailing corporate tax rates. The Company’s actual effective tax rate will be impacted by the Corporation’s ownership share of TWM LLC, which is expected to continue to increase over time as the Continuing LLC Owners redeem or exchange their LLC Interests for shares of Class A common stock or Class B common stock, as applicable, or the Corporation purchases LLC Interests from the Continuing LLC Owners. The Company’s consolidated effective tax rate will also vary from period to period depending on changes in the mix of earnings, tax legislation and tax rates in various jurisdictions. The Company’s provision for income taxes includes U.S. federal, state, local and foreign taxes.</w:t>
      </w:r>
    </w:p>
    <w:p>
      <w:pPr>
        <w:spacing w:after="0" w:line="11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Company’s effective tax rate for the three months ended September 30, 2022 and 2021 was approximately 23.2% and 23.3%, respectively. The effective tax rate for the three months ended September 30, 2022 and 2021 differed from the U.S. federal statutory rate of 21.0% primarily due to the effect of state, local and foreign taxes and the return-to-provision adjustments, partially offset by non-controlling interests and the tax impact of the issuance of common stock from equity incentive plans.</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effective tax rate for the nine months ended September 30, 2022 and 2021 was approximately 19.7% and 20.0%, respectively. The effective tax rate for the nine months ended September 30, 2022 and 2021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expects to obtain an increase in its share of the tax basis of the assets of TWM LLC when LLC Interests are redeemed or exchanged by the Continuing LLC Owners and in connection with certain other qualifying transactions. This increase in tax basis may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on the condensed consolidated statement of financial condition.</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connection with the completion of the Reorganization Transactions, the Corporation received 96,933,192 LLC Interests and Refinitiv received 96,933,192 shares of Class B common stock (“Refinitiv Contribution”). As a result of the Refinitiv Contribution, the Company assumed the tax liabilities of the contributed entity. The contributed entity is under audit by the State of New Jersey for the tax years 2012 through 2015 and is appealing a tax assessment from an audit by the State of New Jersey for the tax years 2008 through 2011. As of both September 30, 2022 and December 31, 2021, the tax liability related to the Refinitiv Contribution was $2.7 million and is included within accounts payable, accrued expenses and other liabilities on the condensed consolidated statement of financial condition. The Company is indemnified by Refinitiv for these tax liabilities that were assumed by the Company as a result of the Refinitiv Contribution. As of both September 30, 2022 and December 31, 2021, $2.7 million is included in other assets on the condensed consolidated statements of financial condition related to this related party indemnification.</w:t>
      </w:r>
    </w:p>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Tax Receivable Agreement</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made within 150 days after the filing of the tax return based on the actual tax savings realized by the Corporation. The first payment of the Tax Receivable Agreement was made in January 2021. Substantially all payments due under the Tax Receivable Agreement are payable over the fifteen years following the purchase of LLC Interests from Continuing LLC Owners or redemption or exchanges by Continuing LLC Owners of LLC Interests.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Corporation accounts for the income tax effects resulting from taxable redemptions or exchanges of LLC Interests by the Continuing LLC Owners for shares of Class A common stock or Class B common stock or cash, as the case may be, and purchases by the Corporation of LLC Interests from the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on the condensed consolidated statement of income in the period in which the change occurs. As of September 30, 2022 and December 31, 2021, the tax receivable agreement liability on the condensed consolidated statements of financial condition totaled $439.3 million and $412.4 million, respectively. During each of the three and nine months ended September 30, 2022 and 2021, no tax receivable agreement liability adjustment was recognized in the condensed consolidated statements of income.</w:t>
      </w:r>
    </w:p>
    <w:p>
      <w:pPr>
        <w:spacing w:after="0" w:line="1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Non-Controlling Interests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on the condensed consolidated statements of financial condition represents the economic interests of TWM LLC held by the holders of LLC Interests other than Tradeweb Markets Inc. Income or loss is attributed to the non-controlling interests based on the relative ownership percentages of LLC Interests held during the period by Tradeweb Markets Inc. and the other holders of LLC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Tradeweb Markets LLC: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Arial" w:cs="Arial" w:eastAsia="Arial" w:hAnsi="Arial"/>
                <w:sz w:val="14"/>
                <w:szCs w:val="14"/>
                <w:b w:val="1"/>
                <w:bCs w:val="1"/>
                <w:color w:val="auto"/>
              </w:rPr>
              <w:t>September 30, 2022</w:t>
            </w:r>
          </w:p>
        </w:tc>
        <w:tc>
          <w:tcPr>
            <w:tcW w:w="2900" w:type="dxa"/>
            <w:vAlign w:val="bottom"/>
            <w:gridSpan w:val="3"/>
          </w:tcPr>
          <w:p>
            <w:pPr>
              <w:jc w:val="right"/>
              <w:ind w:right="757"/>
              <w:spacing w:after="0"/>
              <w:rPr>
                <w:sz w:val="20"/>
                <w:szCs w:val="20"/>
                <w:color w:val="auto"/>
              </w:rPr>
            </w:pPr>
            <w:r>
              <w:rPr>
                <w:rFonts w:ascii="Arial" w:cs="Arial" w:eastAsia="Arial" w:hAnsi="Arial"/>
                <w:sz w:val="14"/>
                <w:szCs w:val="14"/>
                <w:b w:val="1"/>
                <w:bCs w:val="1"/>
                <w:color w:val="auto"/>
              </w:rPr>
              <w:t>September 30, 2021</w:t>
            </w:r>
          </w:p>
        </w:tc>
      </w:tr>
      <w:tr>
        <w:trPr>
          <w:trHeight w:val="26"/>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3"/>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60" w:type="dxa"/>
            <w:vAlign w:val="bottom"/>
            <w:tcBorders>
              <w:top w:val="single" w:sz="8" w:color="auto"/>
            </w:tcBorders>
          </w:tcPr>
          <w:p>
            <w:pPr>
              <w:jc w:val="right"/>
              <w:ind w:right="297"/>
              <w:spacing w:after="0" w:line="133" w:lineRule="exact"/>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LLC</w:t>
            </w:r>
          </w:p>
        </w:tc>
        <w:tc>
          <w:tcPr>
            <w:tcW w:w="1480" w:type="dxa"/>
            <w:vAlign w:val="bottom"/>
            <w:tcBorders>
              <w:top w:val="single" w:sz="8" w:color="auto"/>
            </w:tcBorders>
          </w:tcPr>
          <w:p>
            <w:pPr>
              <w:jc w:val="right"/>
              <w:ind w:right="317"/>
              <w:spacing w:after="0" w:line="133" w:lineRule="exact"/>
              <w:rPr>
                <w:sz w:val="20"/>
                <w:szCs w:val="20"/>
                <w:color w:val="auto"/>
              </w:rPr>
            </w:pPr>
            <w:r>
              <w:rPr>
                <w:rFonts w:ascii="Arial" w:cs="Arial" w:eastAsia="Arial" w:hAnsi="Arial"/>
                <w:sz w:val="14"/>
                <w:szCs w:val="14"/>
                <w:b w:val="1"/>
                <w:bCs w:val="1"/>
                <w:color w:val="auto"/>
              </w:rPr>
              <w:t>Ownership</w:t>
            </w:r>
          </w:p>
        </w:tc>
      </w:tr>
      <w:tr>
        <w:trPr>
          <w:trHeight w:val="192"/>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Interests</w:t>
            </w:r>
          </w:p>
        </w:tc>
        <w:tc>
          <w:tcPr>
            <w:tcW w:w="146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1480" w:type="dxa"/>
            <w:vAlign w:val="bottom"/>
          </w:tcPr>
          <w:p>
            <w:pPr>
              <w:jc w:val="right"/>
              <w:ind w:right="577"/>
              <w:spacing w:after="0"/>
              <w:rPr>
                <w:sz w:val="20"/>
                <w:szCs w:val="20"/>
                <w:color w:val="auto"/>
              </w:rPr>
            </w:pPr>
            <w:r>
              <w:rPr>
                <w:rFonts w:ascii="Arial" w:cs="Arial" w:eastAsia="Arial" w:hAnsi="Arial"/>
                <w:sz w:val="14"/>
                <w:szCs w:val="14"/>
                <w:b w:val="1"/>
                <w:bCs w:val="1"/>
                <w:color w:val="auto"/>
              </w:rPr>
              <w:t>%</w:t>
            </w:r>
          </w:p>
        </w:tc>
      </w:tr>
      <w:tr>
        <w:trPr>
          <w:trHeight w:val="22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208,177,751</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202,194,257</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26,347,881</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30,531,933</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234,525,632</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232,726,190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LLC Interests held by the Continuing LLC Owners are redeemable in accordance with the TWM LLC Agreement at the election of the members for shares of Class A common stock or Class B common stock, on a one-for-one basis or, at the Company’s option, a cash payment in accordance with the terms of the TWM LLC Agreement.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on Tradeweb Market Inc.’s equity due to changes in the Corporation’s ownership interest in TWM LLC:</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Income Attributable to Tradeweb Markets Inc. and Transfers (to) from the Non-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Controlling Interests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Increase/(decrease) in Tradeweb Markets Inc.’s additional paid-in capital</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a result of ownership changes in TWM LLC</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transfers (to) from non-controlling interests</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79,606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85,446</w:t>
            </w: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attributable to Tradeweb Markets Inc. and</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148,689</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54,747</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328,703</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263,384</w:t>
            </w:r>
          </w:p>
        </w:tc>
        <w:tc>
          <w:tcPr>
            <w:tcW w:w="0" w:type="dxa"/>
            <w:vAlign w:val="bottom"/>
          </w:tcPr>
          <w:p>
            <w:pPr>
              <w:spacing w:after="0"/>
              <w:rPr>
                <w:sz w:val="1"/>
                <w:szCs w:val="1"/>
                <w:color w:val="auto"/>
              </w:rPr>
            </w:pPr>
          </w:p>
        </w:tc>
      </w:tr>
      <w:tr>
        <w:trPr>
          <w:trHeight w:val="23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(to) from non-controlling interests</w:t>
            </w:r>
          </w:p>
        </w:tc>
        <w:tc>
          <w:tcPr>
            <w:tcW w:w="40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52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 and Stock-Based Compensation Plans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rights and privileges of the Company’s stockholders’ equity and LLC Interests are described in the audited consolidated financial statements included in the Company’s Annual Report on Form 10-K for the year ended December 31, 2021 and there have been no changes to those rights and privileges during the nine months ended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Plans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performance-based restricted stock units (“PRSUs”), stock options, restricted stock units (“RSUs”) and dividend equivalent rights. The awards may have performance-based and/or time-based vesting conditions. RSUs and PRSUs each represent promises to issue actual shares of Class A common stock at the end of a vesting period. Stock options have a maximum contractual term of 10 years.</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16, 2022, the Company announced that Mr. Olesky will retire as Chief Executive Officer (“CEO”) of the Company, effective December 31, 2022. On February 11, 2022, the board of directors elected the Company’s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4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the beginning of Mr. Olesky’s six month notice period under the Company’s 2019 Omnibus Equity Incentive Plan, there was approximately $6.7 million in total unamortized stock-based compensation associated with equity awards previously granted to Mr. Olesky plus $5.0 million in unamortized stock-based compensation awards granted to Mr. Olesky during 2022 that were accelerated and amortized into expense over a revised estimated service period that ended on August 11, 2022, the date that such six month notice period ended.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Total amortization amounts disclosed are based on a 100% multiplier achieved for the 2022 PRSUs and are subject to adjustment, up or down, in an amount up to $2.1 million, based on the final performance multiplier achieved for the year ending December 31, 2022. During the three and nine months ended September 30, 2022, the Company incurred a total of $2.0 million and $9.4 million, respectively, in CEO Retirement Accelerated Stock-Based Compensation Expense and related payroll taxes.</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three months ended September 30, 2022, the Company granted 2,836 RSUs at a weighted-average grant-date fair value of $70.52. No PRSUs were granted during the three months ended September 30, 2022. During the nine months ended September 30, 2022, the Company granted 399,390 RSUs and 249,292 PRSUs at a weighted-average grant-date fair value of $83.71 and $83.74, respectively. RSU awards granted to employees will generally vest one-third each year over a three-year period, and RSU awards granted to non-employee directors will vest after one year. 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in the grant year. The performance modifier can vary between 0% (minimum) and 200% (maximum) of the target (100%) award amount.</w:t>
      </w:r>
    </w:p>
    <w:p>
      <w:pPr>
        <w:spacing w:after="0" w:line="1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Company’s total stock-based compensation expense, including expense associated with the CEO Retirement Accelerated Stock-Based Compensation Expense,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7"/>
                <w:szCs w:val="17"/>
                <w:color w:val="auto"/>
              </w:rPr>
            </w:pPr>
          </w:p>
        </w:tc>
      </w:tr>
      <w:tr>
        <w:trPr>
          <w:trHeight w:val="25"/>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8"/>
        </w:trPr>
        <w:tc>
          <w:tcPr>
            <w:tcW w:w="4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5"/>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1"/>
        </w:trPr>
        <w:tc>
          <w:tcPr>
            <w:tcW w:w="4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13,776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49,432</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w:t>
            </w:r>
          </w:p>
        </w:tc>
      </w:tr>
      <w:tr>
        <w:trPr>
          <w:trHeight w:val="905"/>
        </w:trPr>
        <w:tc>
          <w:tcPr>
            <w:tcW w:w="4240" w:type="dxa"/>
            <w:vAlign w:val="bottom"/>
          </w:tcPr>
          <w:p>
            <w:pPr>
              <w:spacing w:after="0"/>
              <w:rPr>
                <w:sz w:val="24"/>
                <w:szCs w:val="24"/>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February 4, 2021, the Company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the Company’s Class A common stock. The Share Repurchase Program does not require the Company to acquire a specific number of shares and may be suspended, amended or discontinued at any time. For shares repurchased pursuant to the Share Repurchase Program, the excess of the repurchase price paid over the par value of the Class A common stock will be recorded as a reduction to retained earnings.</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began purchasing shares pursuant to the Share Repurchase Program during the second quarter of 2021. During the three months ended September 30, 2022 and 2021, the Company acquired a total of 129,809 and 140,169 shares of Class A common stock, at an average price of $69.33 and $85.61, for purchases totaling $9.0 million and $12.0 million, respectively. During the nine months ended September 30, 2022 and 2021, the Company acquired a total of 792,695 and 757,813 shares of Class A common stock, at an average price of $82.41 and $84.03, for purchases totaling $65.3 million and $63.7 million, respectively.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 Subsequent to their repurchase, the shares of Class A common stock and the LLC Interests were all cancelled and retired. As of September 30, 2022, a total of $9.0 million remained available for repurchase pursuant to the Share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 Repurchases</w:t>
      </w:r>
    </w:p>
    <w:p>
      <w:pPr>
        <w:spacing w:after="0" w:line="198"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During the three months ended September 30, 2022 and 2021, the Company withheld 33,348 and 36,888 shares, respectively, of common stock from employee stock option, PRSU and RSU awards, at an average price per share of $68.13 and $85.10, respectively, and an aggregate value of $2.3 million and $3.1 million, respectively, based on the price of the Class A common stock on the date the relevant withholding occurred. During the nine months ended September 30, 2022 and 2021, the Company withheld 1,048,837 and 831,738 shares, respectively, of common stock from employee stock option, PRSU and RSU awards, at an average price per share of $95.59 and $68.02, respectively, and an aggregate value of $100.3 million and $56.6 million, respectively, based on the price of the Class A common stock on the date the relevant withholding occurred.</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shares are withheld in order for the Company to cover the payroll tax withholding obligations upon the exercise of stock options and settlement of RSUs and PRSUs and such shares were not withheld in connection with the Share Repurchase Program discussed above.</w:t>
      </w:r>
    </w:p>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Related Party Transactions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transactions with its affiliates from time to time which are considered to be related party transactions.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2022 and December 31, 2021, the following balances with such affiliates were included in the condensed consolidated statements of financial condition in the following line items: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December 31,</w:t>
            </w:r>
          </w:p>
        </w:tc>
      </w:tr>
      <w:tr>
        <w:trPr>
          <w:trHeight w:val="202"/>
        </w:trPr>
        <w:tc>
          <w:tcPr>
            <w:tcW w:w="48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5"/>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48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48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Receivable from affiliates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r>
      <w:tr>
        <w:trPr>
          <w:trHeight w:val="270"/>
        </w:trPr>
        <w:tc>
          <w:tcPr>
            <w:tcW w:w="4820" w:type="dxa"/>
            <w:vAlign w:val="bottom"/>
          </w:tcPr>
          <w:p>
            <w:pPr>
              <w:ind w:left="20"/>
              <w:spacing w:after="0"/>
              <w:rPr>
                <w:sz w:val="20"/>
                <w:szCs w:val="20"/>
                <w:color w:val="auto"/>
              </w:rPr>
            </w:pPr>
            <w:r>
              <w:rPr>
                <w:rFonts w:ascii="Arial" w:cs="Arial" w:eastAsia="Arial" w:hAnsi="Arial"/>
                <w:sz w:val="18"/>
                <w:szCs w:val="18"/>
                <w:color w:val="auto"/>
              </w:rPr>
              <w:t>Accounts payable, accrued expenses and other liabilities</w:t>
            </w:r>
          </w:p>
        </w:tc>
        <w:tc>
          <w:tcPr>
            <w:tcW w:w="3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7,767</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Payable to affiliates</w:t>
            </w:r>
          </w:p>
        </w:tc>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r>
      <w:tr>
        <w:trPr>
          <w:trHeight w:val="904"/>
        </w:trPr>
        <w:tc>
          <w:tcPr>
            <w:tcW w:w="4820" w:type="dxa"/>
            <w:vAlign w:val="bottom"/>
          </w:tcPr>
          <w:p>
            <w:pPr>
              <w:spacing w:after="0"/>
              <w:rPr>
                <w:sz w:val="24"/>
                <w:szCs w:val="24"/>
                <w:color w:val="auto"/>
              </w:rPr>
            </w:pPr>
          </w:p>
        </w:tc>
        <w:tc>
          <w:tcPr>
            <w:tcW w:w="3620" w:type="dxa"/>
            <w:vAlign w:val="bottom"/>
          </w:tcPr>
          <w:p>
            <w:pPr>
              <w:jc w:val="right"/>
              <w:ind w:right="263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balances with such affiliates were included in the condensed consolidated statements of income in the following line items: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jc w:val="center"/>
              <w:ind w:right="352"/>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Subscription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998</w:t>
            </w:r>
          </w:p>
        </w:tc>
      </w:tr>
      <w:tr>
        <w:trPr>
          <w:trHeight w:val="229"/>
        </w:trPr>
        <w:tc>
          <w:tcPr>
            <w:tcW w:w="5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Refinitiv market data fees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45,045</w:t>
            </w:r>
          </w:p>
        </w:tc>
      </w:tr>
      <w:tr>
        <w:trPr>
          <w:trHeight w:val="270"/>
        </w:trPr>
        <w:tc>
          <w:tcPr>
            <w:tcW w:w="5620" w:type="dxa"/>
            <w:vAlign w:val="bottom"/>
          </w:tcPr>
          <w:p>
            <w:pPr>
              <w:ind w:left="140"/>
              <w:spacing w:after="0"/>
              <w:rPr>
                <w:sz w:val="20"/>
                <w:szCs w:val="20"/>
                <w:color w:val="auto"/>
              </w:rPr>
            </w:pPr>
            <w:r>
              <w:rPr>
                <w:rFonts w:ascii="Arial" w:cs="Arial" w:eastAsia="Arial" w:hAnsi="Arial"/>
                <w:sz w:val="18"/>
                <w:szCs w:val="18"/>
                <w:color w:val="auto"/>
              </w:rPr>
              <w:t>Other fees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56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62" w:lineRule="exact"/>
        <w:rPr>
          <w:sz w:val="20"/>
          <w:szCs w:val="20"/>
          <w:color w:val="auto"/>
        </w:rPr>
      </w:pPr>
    </w:p>
    <w:p>
      <w:pPr>
        <w:ind w:left="340" w:right="180" w:hanging="332"/>
        <w:spacing w:after="0" w:line="266"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 market data license agreement with Refinitiv. Under the agreement, the Company delivers to Refinitiv certain market data feeds which Refinitiv redistributes to its customers. The Company earns license fees and royalties for these feeds.</w:t>
      </w: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Company maintains agreements with Refinitiv to provide the Company with certain real estate, payroll, benefits administration and other administrative services.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and nine months ended September 30, 2021, $1.6 million of previously accrued expenses payable to affiliates of Refinitiv were waived and the liabilities were reversed through an increase to additional paid-in capital.</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engaged Blackstone Advisory Partners L.P., an affiliate of Blackstone, to provide certain financial consulting services in connection with the IPO, the October 2019 follow-on offering and the April 2020 follow-on offering for fees of $1.0 million, $0.5 million, and $0.5 million, respectively, which fees, with respect to the October 2019 follow-on offering and the April 2020 follow-on offering, were reimbursed by the underwriters. As of both September 30, 2022 and December 31, 2021, $2.0 million related to these offering costs is included as a component of the additional paid-in capital balance on the condensed consolidated statements of financial condition.</w:t>
      </w:r>
    </w:p>
    <w:p>
      <w:pPr>
        <w:spacing w:after="0" w:line="15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of Financial Instruments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Measured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instruments measured at fair value on the condensed consolidated statements of financial condition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have been categorized based upon the fair value hierarchy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Identical</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Assets</w:t>
            </w: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1"/>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September 30, 2022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856,757</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856,757</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Total assets measured at fair value</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856,757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9,209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865,966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 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548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654,553</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Receivable from affiliates </w:t>
            </w:r>
            <w:r>
              <w:rPr>
                <w:rFonts w:ascii="Arial" w:cs="Arial" w:eastAsia="Arial" w:hAnsi="Arial"/>
                <w:sz w:val="18"/>
                <w:szCs w:val="18"/>
                <w:b w:val="1"/>
                <w:bCs w:val="1"/>
                <w:color w:val="auto"/>
              </w:rPr>
              <w:t>–</w:t>
            </w:r>
            <w:r>
              <w:rPr>
                <w:rFonts w:ascii="Arial" w:cs="Arial" w:eastAsia="Arial" w:hAnsi="Arial"/>
                <w:sz w:val="18"/>
                <w:szCs w:val="18"/>
                <w:color w:val="auto"/>
              </w:rPr>
              <w:t xml:space="preserve"> Foreign currency forward contracts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654,553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657,572</w:t>
            </w: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54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Company’s money market funds are classified within level 1 of the fair value hierarchy because they are valued using quoted market prices in active markets. There were no financial instruments measured at fair value in a liability position as of September 30, 2022 and December 31, 2021.</w:t>
      </w:r>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valuation for the Company’s foreign currency forward contracts is primarily based on the difference between the exchange rate associated with the forward contract and the exchange rate at the current period end. Foreign currency forward contracts are categorized as Level 2 in the fair value hierarchy. The Company enters into foreign currency forward contracts to mitigate its U.S. dollar and British pound sterling versus euro exposure, generally with a duration of less than 12 months. As of September 30, 2022 and December 31, 2021, the counterparty on each of the foreign currency forward contracts was an affiliate of Refinitiv and therefore the corresponding receivables on such contracts were included in receivable from affiliates on the accompanying condensed consolidated statements of financial condition.</w:t>
      </w:r>
    </w:p>
    <w:p>
      <w:pPr>
        <w:spacing w:after="0" w:line="1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aggregate U.S. dollar equivalent notional amount of the Company’s foreign currency forward contracts not designated as hedges for accounting purposes: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r>
      <w:tr>
        <w:trPr>
          <w:trHeight w:val="26"/>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1"/>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 – Gross notional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151,341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146,202</w:t>
            </w:r>
          </w:p>
        </w:tc>
      </w:tr>
    </w:tbl>
    <w:p>
      <w:pPr>
        <w:spacing w:after="0" w:line="25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Company’s foreign currency forward contracts are not designated as hedges for accounting purposes and changes in the fair value of these contracts during the period are recognized in the condensed consolidated statements of income within general and administrative expenses.</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realized and unrealized gains (losses) on foreign currency forward contracts recorded within general and administrative expenses in the condensed consolidated statements of income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23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7"/>
                <w:szCs w:val="17"/>
                <w:color w:val="auto"/>
              </w:rPr>
            </w:pPr>
          </w:p>
        </w:tc>
      </w:tr>
      <w:tr>
        <w:trPr>
          <w:trHeight w:val="25"/>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218"/>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9"/>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Foreign currency forward contracts not designated in accounting hedge</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12,937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r>
      <w:tr>
        <w:trPr>
          <w:trHeight w:val="905"/>
        </w:trPr>
        <w:tc>
          <w:tcPr>
            <w:tcW w:w="534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financial instruments not measured at fair value on the condensed consolidated statements of financial condition as of September 30, 2022 and December 31, 2021 have been categorized based upon the fair value hierarchy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w:t>
            </w:r>
          </w:p>
        </w:tc>
        <w:tc>
          <w:tcPr>
            <w:tcW w:w="1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39"/>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As of September 30, 2022</w:t>
            </w: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16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254,470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254,470</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25,214</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150,201</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433,151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As of December 31, 2021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Cash and 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318,495</w:t>
            </w:r>
          </w:p>
        </w:tc>
        <w:tc>
          <w:tcPr>
            <w:tcW w:w="0" w:type="dxa"/>
            <w:vAlign w:val="bottom"/>
          </w:tcPr>
          <w:p>
            <w:pPr>
              <w:spacing w:after="0"/>
              <w:rPr>
                <w:sz w:val="1"/>
                <w:szCs w:val="1"/>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20,523</w:t>
            </w: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5"/>
              </w:rPr>
              <w:t xml:space="preserve">Other assets </w:t>
            </w:r>
            <w:r>
              <w:rPr>
                <w:rFonts w:ascii="Arial" w:cs="Arial" w:eastAsia="Arial" w:hAnsi="Arial"/>
                <w:sz w:val="18"/>
                <w:szCs w:val="18"/>
                <w:b w:val="1"/>
                <w:bCs w:val="1"/>
                <w:color w:val="auto"/>
                <w:w w:val="95"/>
              </w:rPr>
              <w:t>–</w:t>
            </w:r>
            <w:r>
              <w:rPr>
                <w:rFonts w:ascii="Arial" w:cs="Arial" w:eastAsia="Arial" w:hAnsi="Arial"/>
                <w:sz w:val="18"/>
                <w:szCs w:val="18"/>
                <w:color w:val="auto"/>
                <w:w w:val="95"/>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organizations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on the condensed consolidated statements of financial condition, are classified within level 3 of the fair value hierarchy because the valuation requires assumptions that are both significant and unobservable.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Without Readily Determinable Fair Values</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Included in other assets on the condensed consolidated statements of financial condition are equity investments without readily determinable fair values of $21.0 million and $21.1 million as of September 30, 2022 and December 31, 2021, respectively. There were no impairments or adjustments to the carrying value of equity investments without readily determinable fair values during each of the three and nine months ended September 30, 2022 and 2021 and no adjustments to the original cost basis recorded to the consolidated statements of operations have been made to the carrying value over the life of the instruments.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26"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0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Careful analysis of the financial condition of the Company’s counterparties is also performed.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Account balances are pooled based on the following risk characteristics:</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Geographic location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Transaction fee type (billing type)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entity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Write-Offs</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Once determined uncollectible, aged balances are written off against the allowance for credit losses. This determination is based on careful analysis of individual receivables and aging schedules, which are disaggregated based on the risk characteristics described above. Based on current policy, this generally occurs when the receivable is 360 days past due.</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September 30, 2022 and December 31, 2021, the Company maintained an allowance for credit losses with regard to these receivables of $0.2 million and $0.3 million, respectively. Credit loss expense was $60,000 and $110,000 for the three months ended September 30, 2022 and 2021, respectively, and $34,000 and $4,000, for the nine months ended September 30, 2022 and 2021 respectively.</w:t>
      </w:r>
    </w:p>
    <w:p>
      <w:pPr>
        <w:spacing w:after="0" w:line="1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normal course of business, the Company enters into user agreements with its dealers which provide the dealers with indemnification from third parties in the event that the electronic marketplaces of the Company infringe upon the intellectual property or other proprietary right of a third party. The Company’s exposure under these user agreements is unknown as this would involve estimating future claims against the Company which have not yet occurred. However, based on its experience, the Company expects the risk of a material loss to be remote.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has been named as a defendant, along with other financial institutions, in two consolidated antitrust class actions relating to trading practices in United States Treasury securities auctions. The cases were dismissed in March 2021, with the Court granting the Plaintiffs leave to further amend the complaint by no later than May 14, 2021. The plaintiffs filed an amended complaint on or about May 14, 2021, and the Company moved to dismiss the amended complaint on June 14, 2021. By order dated March 31, 2022, the Court granted the Company’s motion and dismissed all of the claims against it in the amended complaint. The Court also denied the plaintiffs’ request for leave to file a further amended complaint. On April 28, 2022, the Plaintiffs filed a Notice of Appeal of the decision and filed their opening brief on the appeal in the United States Court of Appeals for the Second Circuit on August 18, 2022. The Company plans to file its brief in response during the fourth quarter of 2022. The Company intends to vigorously defend the District Court’s decision on appeal and assert its meritorious defenses to the allegations.</w:t>
      </w:r>
    </w:p>
    <w:p>
      <w:pPr>
        <w:spacing w:after="0" w:line="15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Additionally, the Company was dismissed from a class action relating to an interest rate swaps matter in 2017, but that matter continues against the remaining defendant financial institutions.</w:t>
      </w:r>
    </w:p>
    <w:p>
      <w:pPr>
        <w:spacing w:after="0" w:line="13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including the matters described above, and therefore does not have any contingency reserves established for any of these matters.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April 8, 2019, the Company entered into a five year, $500.0 million senior secured revolving credit facility (“Credit Facility”) with a syndicate of banks. The Credit Facility was subsequently amended on November 7, 2019. The Credit Facility provides additional borrowing capacity to be used to fund ongoing working capital needs, letters of credit and for general corporate purposes, including potential future acquisitions and expansions.</w:t>
      </w:r>
    </w:p>
    <w:p>
      <w:pPr>
        <w:spacing w:after="0" w:line="1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terms of the credit agreement that governs the Credit Facility, borrowings under the Credit Facility bear interest at a rate equal to, at the Company’s option, either (a) a base rate equal to the greatest of (i) the administrative agent’s prime rate, (ii) the federal funds effective rate plus ½ of 1.0% and (iii) one month LIBOR plus 1.0%, in each case plus 0.75%, or (b) LIBOR plus 1.75%, subject to a 0.00% floor. The credit agreement also includes a commitment fee of 0.25% for available but unborrowed amounts and other administrative fees that are payable quarterly. The Credit Facility is available until April 2024, provided the Company is in compliance with all covenants. Financial covenant requirements include maintaining minimum ratios related to interest coverage and leverage.</w:t>
      </w:r>
    </w:p>
    <w:p>
      <w:pPr>
        <w:spacing w:after="0" w:line="1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2022 and December 31, 2021, there were $0.5 million in letters of credit issued under the Revolving Credit Facility and no borrowings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operating leases for corporate offices and data centers with initial lease terms ranging from one to ten years. The following table presents the future minimum lease payments and the maturity of lease liabilities as of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39"/>
        </w:trPr>
        <w:tc>
          <w:tcPr>
            <w:tcW w:w="37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39"/>
        </w:trPr>
        <w:tc>
          <w:tcPr>
            <w:tcW w:w="3780" w:type="dxa"/>
            <w:vAlign w:val="bottom"/>
          </w:tcPr>
          <w:p>
            <w:pPr>
              <w:spacing w:after="0"/>
              <w:rPr>
                <w:sz w:val="3"/>
                <w:szCs w:val="3"/>
                <w:color w:val="auto"/>
              </w:rPr>
            </w:pPr>
          </w:p>
        </w:tc>
        <w:tc>
          <w:tcPr>
            <w:tcW w:w="6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6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2023</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2025</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30,148</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6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jc w:val="right"/>
              <w:ind w:right="407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Earnings Per Share</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the calculations of basic and diluted earnings per outstanding share of Class A and Class B common stock for Tradeweb Markets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7"/>
                <w:szCs w:val="17"/>
                <w:color w:val="auto"/>
              </w:rPr>
            </w:pPr>
          </w:p>
        </w:tc>
        <w:tc>
          <w:tcPr>
            <w:tcW w:w="25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54,763</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220,392</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177,938</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5"/>
              </w:rPr>
              <w:t>Less: Distributed and undistributed earnings allocated to unvested RSUs</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Arial" w:cs="Arial" w:eastAsia="Arial" w:hAnsi="Arial"/>
                <w:sz w:val="18"/>
                <w:szCs w:val="18"/>
                <w:color w:val="auto"/>
              </w:rPr>
              <w:t xml:space="preserve">and unsettled vested PRSUs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Arial" w:cs="Arial" w:eastAsia="Arial" w:hAnsi="Arial"/>
                <w:sz w:val="18"/>
                <w:szCs w:val="18"/>
                <w:color w:val="auto"/>
              </w:rPr>
              <w:t>Net income attributable to outstanding shares of Class A and Class B</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69,001</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54,763</w:t>
            </w:r>
          </w:p>
        </w:tc>
        <w:tc>
          <w:tcPr>
            <w:tcW w:w="8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220,281</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177,938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common stock - Basic and Diluted</w:t>
            </w:r>
          </w:p>
        </w:tc>
        <w:tc>
          <w:tcPr>
            <w:tcW w:w="2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205,721,162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202,238,122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204,767,261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201,029,196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Arial" w:cs="Arial" w:eastAsia="Arial" w:hAnsi="Arial"/>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2,146,473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796,090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3,516,893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1,940,970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3,609,906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Dilutive effect of RSUs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243,716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269,223</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5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rPr>
              <w:t>Weighted average shares of Class A and Class B common stock</w:t>
            </w:r>
          </w:p>
        </w:tc>
        <w:tc>
          <w:tcPr>
            <w:tcW w:w="2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208,329,469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208,197,439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207,748,037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206,908,330</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 Diluted</w:t>
            </w:r>
          </w:p>
        </w:tc>
        <w:tc>
          <w:tcPr>
            <w:tcW w:w="2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 - Diluted</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2"/>
        <w:spacing w:after="0" w:line="267"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During the three and nine months ended September 30, 2022, there was a total of 246,238 and 121,115, respectively, weighted average unvested RSUs and unsettled vested PRSUs that were considered a participating security for purposes of calculating earnings per share in accordance with the two-class method. There were none during the three and nine months ended September 30, 2021.</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LLC Interests held by the Continuing LLC Owners are redeemable in accordance with the TWM LLC Agreement, at the election of such holders, for shares of Class A or Class B common stock of Tradeweb Markets Inc. The potential dilutive effect of LLC Interests are evaluated under the if-converted method. The potential dilutive effect of PRSUs, shares underlying options and RSUs are evaluated under the treasury stock method.</w:t>
      </w:r>
    </w:p>
    <w:p>
      <w:pPr>
        <w:spacing w:after="0" w:line="13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The following table summarizes the PRSUs, shares underlying options, RSUs and weighted-average LLC Interests that were anti-dilutive for the periods indicated. As a result, these shares, which were outstanding, were excluded from the computation of diluted earnings per share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8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center"/>
              <w:ind w:left="838"/>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Pr>
          <w:p>
            <w:pPr>
              <w:spacing w:after="0"/>
              <w:rPr>
                <w:sz w:val="17"/>
                <w:szCs w:val="17"/>
                <w:color w:val="auto"/>
              </w:rPr>
            </w:pPr>
          </w:p>
        </w:tc>
      </w:tr>
      <w:tr>
        <w:trPr>
          <w:trHeight w:val="25"/>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324,467</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CCEEFF"/>
            </w:tcBorders>
            <w:gridSpan w:val="3"/>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RSUs</w:t>
            </w:r>
          </w:p>
        </w:tc>
        <w:tc>
          <w:tcPr>
            <w:tcW w:w="1340" w:type="dxa"/>
            <w:vAlign w:val="bottom"/>
          </w:tcPr>
          <w:p>
            <w:pPr>
              <w:jc w:val="right"/>
              <w:spacing w:after="0"/>
              <w:rPr>
                <w:sz w:val="20"/>
                <w:szCs w:val="20"/>
                <w:color w:val="auto"/>
              </w:rPr>
            </w:pPr>
            <w:r>
              <w:rPr>
                <w:rFonts w:ascii="Arial" w:cs="Arial" w:eastAsia="Arial" w:hAnsi="Arial"/>
                <w:sz w:val="18"/>
                <w:szCs w:val="18"/>
                <w:color w:val="auto"/>
              </w:rPr>
              <w:t>321,920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38,761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Interests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28,750,603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30,531,933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29,667,383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30,756,925</w:t>
            </w:r>
          </w:p>
        </w:tc>
      </w:tr>
    </w:tbl>
    <w:p>
      <w:pPr>
        <w:spacing w:after="0" w:line="25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Regulatory Capital Requirements</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TWL, DW, TWD and EA are subject to the Uniform Net Capital Rule 15c3-1 under the Exchange Act. TEL and TESL are subject to certain financial resource requirements with the FCA in the UK, TWJ is subject to certain financial resource requirements with the FCA in Japan and TWEU and TESBV are subject to certain finance resource requirements with the AFM in the Netherlands.</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September 30, 2022 and December 31, 2021, the regulatory capital requirements and regulatory capital for TWL, DW, TWD, TEL, TWJ, TWEU, TESL, EA and TESBV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6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September 30, 2022</w:t>
            </w:r>
          </w:p>
        </w:tc>
        <w:tc>
          <w:tcPr>
            <w:tcW w:w="180" w:type="dxa"/>
            <w:vAlign w:val="bottom"/>
          </w:tcPr>
          <w:p>
            <w:pPr>
              <w:spacing w:after="0"/>
              <w:rPr>
                <w:sz w:val="17"/>
                <w:szCs w:val="17"/>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TWL</w:t>
            </w:r>
          </w:p>
        </w:tc>
        <w:tc>
          <w:tcPr>
            <w:tcW w:w="200" w:type="dxa"/>
            <w:vAlign w:val="bottom"/>
          </w:tcPr>
          <w:p>
            <w:pPr>
              <w:spacing w:after="0"/>
              <w:rPr>
                <w:sz w:val="17"/>
                <w:szCs w:val="17"/>
                <w:color w:val="auto"/>
              </w:rPr>
            </w:pPr>
          </w:p>
        </w:tc>
        <w:tc>
          <w:tcPr>
            <w:tcW w:w="780" w:type="dxa"/>
            <w:vAlign w:val="bottom"/>
            <w:gridSpan w:val="3"/>
          </w:tcPr>
          <w:p>
            <w:pPr>
              <w:ind w:left="120"/>
              <w:spacing w:after="0"/>
              <w:rPr>
                <w:sz w:val="20"/>
                <w:szCs w:val="20"/>
                <w:color w:val="auto"/>
              </w:rPr>
            </w:pPr>
            <w:r>
              <w:rPr>
                <w:rFonts w:ascii="Arial" w:cs="Arial" w:eastAsia="Arial" w:hAnsi="Arial"/>
                <w:sz w:val="14"/>
                <w:szCs w:val="14"/>
                <w:b w:val="1"/>
                <w:bCs w:val="1"/>
                <w:color w:val="auto"/>
              </w:rPr>
              <w:t>DW</w:t>
            </w:r>
          </w:p>
        </w:tc>
        <w:tc>
          <w:tcPr>
            <w:tcW w:w="1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TWD</w:t>
            </w:r>
          </w:p>
        </w:tc>
        <w:tc>
          <w:tcPr>
            <w:tcW w:w="220" w:type="dxa"/>
            <w:vAlign w:val="bottom"/>
          </w:tcPr>
          <w:p>
            <w:pPr>
              <w:spacing w:after="0"/>
              <w:rPr>
                <w:sz w:val="17"/>
                <w:szCs w:val="17"/>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TEL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TWJ</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TWEU</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TESL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EA</w:t>
            </w:r>
          </w:p>
        </w:tc>
        <w:tc>
          <w:tcPr>
            <w:tcW w:w="160" w:type="dxa"/>
            <w:vAlign w:val="bottom"/>
          </w:tcPr>
          <w:p>
            <w:pPr>
              <w:spacing w:after="0"/>
              <w:rPr>
                <w:sz w:val="17"/>
                <w:szCs w:val="17"/>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TESBV</w:t>
            </w:r>
          </w:p>
        </w:tc>
      </w:tr>
      <w:tr>
        <w:trPr>
          <w:trHeight w:val="25"/>
        </w:trPr>
        <w:tc>
          <w:tcPr>
            <w:tcW w:w="2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1"/>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8"/>
          </w:tcPr>
          <w:p>
            <w:pPr>
              <w:ind w:left="3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188"/>
        </w:trPr>
        <w:tc>
          <w:tcPr>
            <w:tcW w:w="24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Regulatory Capital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246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Requirement</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48"/>
        </w:trPr>
        <w:tc>
          <w:tcPr>
            <w:tcW w:w="24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60,930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153,851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246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Pr>
          <w:p>
            <w:pPr>
              <w:spacing w:after="0"/>
              <w:rPr>
                <w:sz w:val="24"/>
                <w:szCs w:val="24"/>
                <w:color w:val="auto"/>
              </w:rPr>
            </w:pP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TWL</w:t>
            </w:r>
          </w:p>
        </w:tc>
        <w:tc>
          <w:tcPr>
            <w:tcW w:w="20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DW</w:t>
            </w:r>
          </w:p>
        </w:tc>
        <w:tc>
          <w:tcPr>
            <w:tcW w:w="18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TWD</w:t>
            </w:r>
          </w:p>
        </w:tc>
        <w:tc>
          <w:tcPr>
            <w:tcW w:w="2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TEL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TWJ</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TWEU</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TESL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EA</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
        </w:trPr>
        <w:tc>
          <w:tcPr>
            <w:tcW w:w="2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1"/>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8"/>
          </w:tcPr>
          <w:p>
            <w:pPr>
              <w:ind w:left="30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6"/>
        </w:trPr>
        <w:tc>
          <w:tcPr>
            <w:tcW w:w="2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24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Regulatory Capital</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212,572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88"/>
        </w:trPr>
        <w:tc>
          <w:tcPr>
            <w:tcW w:w="2460" w:type="dxa"/>
            <w:vAlign w:val="bottom"/>
            <w:gridSpan w:val="4"/>
          </w:tcPr>
          <w:p>
            <w:pPr>
              <w:ind w:left="20"/>
              <w:spacing w:after="0" w:line="189" w:lineRule="exact"/>
              <w:rPr>
                <w:sz w:val="20"/>
                <w:szCs w:val="20"/>
                <w:color w:val="auto"/>
              </w:rPr>
            </w:pPr>
            <w:r>
              <w:rPr>
                <w:rFonts w:ascii="Arial" w:cs="Arial" w:eastAsia="Arial" w:hAnsi="Arial"/>
                <w:sz w:val="18"/>
                <w:szCs w:val="18"/>
                <w:color w:val="auto"/>
              </w:rPr>
              <w:t>Regulatory Capital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2460" w:type="dxa"/>
            <w:vAlign w:val="bottom"/>
            <w:gridSpan w:val="4"/>
          </w:tcPr>
          <w:p>
            <w:pPr>
              <w:ind w:left="20"/>
              <w:spacing w:after="0"/>
              <w:rPr>
                <w:sz w:val="20"/>
                <w:szCs w:val="20"/>
                <w:color w:val="auto"/>
              </w:rPr>
            </w:pPr>
            <w:r>
              <w:rPr>
                <w:rFonts w:ascii="Arial" w:cs="Arial" w:eastAsia="Arial" w:hAnsi="Arial"/>
                <w:sz w:val="18"/>
                <w:szCs w:val="18"/>
                <w:color w:val="auto"/>
              </w:rPr>
              <w:t>Requirement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8"/>
        </w:trPr>
        <w:tc>
          <w:tcPr>
            <w:tcW w:w="24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Excess Regulatory Capital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212,494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SEFs, TW SEF and DW SEF are required to maintain adequate financial resources and liquid financial assets in accordance with CFTC regulations. The required and maintained financial resources and liquid financial assets at September 30, 2022 and December 31, 2021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ind w:left="360"/>
              <w:spacing w:after="0"/>
              <w:rPr>
                <w:sz w:val="20"/>
                <w:szCs w:val="20"/>
                <w:color w:val="auto"/>
              </w:rPr>
            </w:pPr>
            <w:r>
              <w:rPr>
                <w:rFonts w:ascii="Arial" w:cs="Arial" w:eastAsia="Arial" w:hAnsi="Arial"/>
                <w:sz w:val="14"/>
                <w:szCs w:val="14"/>
                <w:b w:val="1"/>
                <w:bCs w:val="1"/>
                <w:color w:val="auto"/>
              </w:rPr>
              <w:t>As of September 30, 2022</w:t>
            </w:r>
          </w:p>
        </w:tc>
        <w:tc>
          <w:tcPr>
            <w:tcW w:w="380" w:type="dxa"/>
            <w:vAlign w:val="bottom"/>
          </w:tcPr>
          <w:p>
            <w:pPr>
              <w:spacing w:after="0"/>
              <w:rPr>
                <w:sz w:val="16"/>
                <w:szCs w:val="16"/>
                <w:color w:val="auto"/>
              </w:rPr>
            </w:pPr>
          </w:p>
        </w:tc>
        <w:tc>
          <w:tcPr>
            <w:tcW w:w="23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As of December 31, 2021</w:t>
            </w:r>
          </w:p>
        </w:tc>
      </w:tr>
      <w:tr>
        <w:trPr>
          <w:trHeight w:val="25"/>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3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DW SEF</w:t>
            </w:r>
          </w:p>
        </w:tc>
        <w:tc>
          <w:tcPr>
            <w:tcW w:w="38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TW SEF</w:t>
            </w:r>
          </w:p>
        </w:tc>
        <w:tc>
          <w:tcPr>
            <w:tcW w:w="260" w:type="dxa"/>
            <w:vAlign w:val="bottom"/>
          </w:tcPr>
          <w:p>
            <w:pPr>
              <w:spacing w:after="0"/>
              <w:rPr>
                <w:sz w:val="16"/>
                <w:szCs w:val="16"/>
                <w:color w:val="auto"/>
              </w:rPr>
            </w:pPr>
          </w:p>
        </w:tc>
        <w:tc>
          <w:tcPr>
            <w:tcW w:w="1080" w:type="dxa"/>
            <w:vAlign w:val="bottom"/>
          </w:tcPr>
          <w:p>
            <w:pPr>
              <w:jc w:val="right"/>
              <w:ind w:right="313"/>
              <w:spacing w:after="0"/>
              <w:rPr>
                <w:sz w:val="20"/>
                <w:szCs w:val="20"/>
                <w:color w:val="auto"/>
              </w:rPr>
            </w:pPr>
            <w:r>
              <w:rPr>
                <w:rFonts w:ascii="Arial" w:cs="Arial" w:eastAsia="Arial" w:hAnsi="Arial"/>
                <w:sz w:val="14"/>
                <w:szCs w:val="14"/>
                <w:b w:val="1"/>
                <w:bCs w:val="1"/>
                <w:color w:val="auto"/>
              </w:rPr>
              <w:t>DW SEF</w:t>
            </w:r>
          </w:p>
        </w:tc>
      </w:tr>
      <w:tr>
        <w:trPr>
          <w:trHeight w:val="39"/>
        </w:trPr>
        <w:tc>
          <w:tcPr>
            <w:tcW w:w="3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1"/>
        </w:trPr>
        <w:tc>
          <w:tcPr>
            <w:tcW w:w="3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Resources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Financial Resources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Financial Resources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Liquid Financial Assets</w:t>
            </w:r>
          </w:p>
        </w:tc>
        <w:tc>
          <w:tcPr>
            <w:tcW w:w="1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10,014</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Required Liquid Financial Assets</w:t>
            </w:r>
          </w:p>
        </w:tc>
        <w:tc>
          <w:tcPr>
            <w:tcW w:w="16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Liquid Financial Assets</w:t>
            </w:r>
          </w:p>
        </w:tc>
        <w:tc>
          <w:tcPr>
            <w:tcW w:w="1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3980" w:type="dxa"/>
            <w:vAlign w:val="bottom"/>
          </w:tcPr>
          <w:p>
            <w:pPr>
              <w:spacing w:after="0"/>
              <w:rPr>
                <w:sz w:val="24"/>
                <w:szCs w:val="2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Business Segment and Geographic Information</w:t>
      </w:r>
    </w:p>
    <w:p>
      <w:pPr>
        <w:spacing w:after="0" w:line="20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operates electronic marketplaces for the trading of products across the rates, credit, equities and money markets asset classes and provides related pre-trade and post-trade services. The Company’s operations constitute a single business segment because of the integrated nature of these marketplaces and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revenue by client sector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3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18"/>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Institutional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172,814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163,587</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551,322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499,794</w:t>
            </w: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75,267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53,359</w:t>
            </w: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 Data</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799,564</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574,720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531,917</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267,647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operates in the U.S. and internationally, primarily in the Europe and Asia regions. Revenues are attributed to geographic area based on the jurisdiction where the underlying transactions take place. The results by geographic region are not meaningful in understanding the Company’s business. Long-lived assets are attributed to the geographic area based on the location of the particular subsidiary.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revenue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r>
      <w:tr>
        <w:trPr>
          <w:trHeight w:val="202"/>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5"/>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185,097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166,268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565,540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497,609</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301,955</w:t>
            </w:r>
          </w:p>
        </w:tc>
      </w:tr>
      <w:tr>
        <w:trPr>
          <w:trHeight w:val="223"/>
        </w:trPr>
        <w:tc>
          <w:tcPr>
            <w:tcW w:w="56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attribution of long-lived assets by geographic area: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87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5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U.S.</w:t>
            </w:r>
          </w:p>
        </w:tc>
        <w:tc>
          <w:tcPr>
            <w:tcW w:w="5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4,070,913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4,152,186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5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15,848</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5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4,083,599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4,168,034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000" w:type="dxa"/>
            <w:vAlign w:val="bottom"/>
            <w:vMerge w:val="restart"/>
          </w:tcPr>
          <w:p>
            <w:pPr>
              <w:jc w:val="right"/>
              <w:ind w:right="2630"/>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20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October 27, 2022, the board of directors of Tradeweb Markets Inc. declared a cash dividend of $0.08 per share of Class A common stock and Class B common stock for the fourth quarter of 2022. This dividend will be payable on December 15, 2022 to stockholders of record as of December 1, 2022.</w:t>
      </w:r>
    </w:p>
    <w:p>
      <w:pPr>
        <w:spacing w:after="0" w:line="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27, 2022, Tradeweb Markets Inc., as the sole manager, approved a distribution by TWM LLC to its equityholders, including Tradeweb Markets Inc., in an aggregate amount of $29.3 million, as adjusted by required state and local tax withholdings that will be determined prior to the record date of December 1, 2022, payable on December 13, 2022.</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60"/>
        <w:spacing w:after="0" w:line="219" w:lineRule="exact"/>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the section titled “Item 1A. Risk Factors” in Part I of the 2021 Form 10-K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leader in building and operating electronic marketplaces for our global network of clients across the financial ecosystem. Our network is comprised of clients across the institutional, wholesale and retail client sectors, including many of the largest global asset managers, hedge funds, insurance companies, central banks, banks and dealers, proprietary trading firms and retail brokerage and financial advisory firms, as well as regional dealers. Our marketplaces facilitate trading across a range of asset classes, including rates, credit, equities and money markets. We are a global company serving clients in over 65 countries with offices in North America, Europe and Asia. We believe our proprietary technology and culture of collaborative innovation allow us to adapt our offerings to enter new markets, create new platforms and solutions and adjust to regulations quickly and efficiently. We support our clients by providing solutions across the trade lifecycle, including pre-trade, execution, post-trade and data.</w:t>
      </w:r>
    </w:p>
    <w:p>
      <w:pPr>
        <w:spacing w:after="0" w:line="150"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Our institutional client sector serves institutional investors in over 45 markets across over 25 currencies, and in over 65 countries around the globe. We connect institutional investors with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0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our wholesale client sector, we provide a broad range of electronic, voice and hybrid platforms to more than 300 dealers and financial institutions with more than 100 actively trading on our electronic or hybrid markets with our Dealerweb platform. This platform was launched in 2008 following the acquisition of inter-dealer broker Hilliard Farber &amp; Co., Inc. In 2011, we acquired the brokerage assets of Rafferty Capital Markets and in June 2021, we acquired Nasdaq’s U.S. fixed income electronic trading platform (formerly known as eSpeed) (the “NFI Acquisition”). Today, Dealerweb actively competes across a range of rates, credit, money markets, derivatives and equity markets.</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retail client sector, we provide advanced trading solutions for financial advisory firms and traders with our Tradeweb Direct platform. We entered the retail sector in 2006 and launched our Tradeweb Direct platform following the 2013 acquisition of BondDesk Group LLC, which was built to bring innovation and efficiency to the wealth management community. Tradeweb Direct has provided financial advisory firms access to live offerings, accurate pricing in the marketplace and fast execution.</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markets are large and growing. Electronic trading continues to increase across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platforms provide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platforms and electronic trading solutions will continue to grow.</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Impacting Our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Transition</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February 16, 2022, we announced that Mr. Lee Olesky will retire as Chief Executive Officer (“CEO”) of the Company, effective December 31, 2022. On February 11, 2022, the board of directors elected our President, Mr. Billy Hult, to succeed Mr. Olesky as CEO of the Company, effective January 1, 2023. Mr. Olesky will stay on with the Company in the position of Chairman of the board of directors, and accordingly will continue to serve in his capacity as a director of the Company.</w:t>
      </w:r>
    </w:p>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the beginning of Mr. Olesky’s six month notice period under our 2019 Omnibus Equity Incentive Plan, there was approximately $6.7 million in total unamortized stock-based compensation associated with equity awards previously granted to Mr. Olesky plus $5.0 million in unamortized stock-based compensation awards granted to Mr. Olesky during 2022 that were accelerated and amortized into expense over a revised estimated service period that ended on August 11, 2022, the date that such six month notice period ended. Of these amounts, $3.1 million represents regular amortization that would have been recognized through August 11, 2022 if Mr. Olesky had not announced his retirement and $8.6 million represents accelerated stock-based compensation (the “CEO Retirement Accelerated Stock-Based Compensation Expense”) that is excluded from our non-GAAP measures of Adjusted EBITDA and Adjusted Net Income as it is recorded as expense. Total amortization amounts disclosed are based on a 100% multiplier achieved for the 2022 performance-based restricted stock units and are subject to adjustment, up or down, in an amount up to $2.1 million, based on the final performance multiplier achieved for the year ending December 31, 2022. See “—Non-GAAP Financial Measures” below for further details. During the three and nine months ended September 30, 2022, we incurred a total of $2.0 million and $9.4 million, respectively, in CEO Retirement Accelerated Stock-Based Compensation Expense and related payroll taxes.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President Transition</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July 13, 2022, we announced that the board of directors appointed Mr. Thomas Pluta as our next President effective as of January 1, 2023. Mr. Pluta will succeed Mr. Hult in this role, when, as previously announced and discussed above, Mr. Hult assumes the position of CEO of the Company on January 1, 2023. Mr. Pluta joined the Company as President-elect on October 3, 2022. Mr. Pluta is currently a member of our board of directors and will remain on the board in his new role.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the COVID-19 pandemic continued during 2022, we have remained focused on keeping our employees safe, helping our clients stay connected and ensuring our markets operate efficiently through this period of unprecedented market volatility. Many employee roles within Tradeweb have transitioned to a hybrid approach and our creative and flexible return to the office plans aim to keep driving our business forward and allow safe collaboration and positive team dynamics. We will continue to monitor the impact of COVID-19, including any related variants, and will adjust our plans accordingly.</w:t>
      </w:r>
    </w:p>
    <w:p>
      <w:pPr>
        <w:spacing w:after="0" w:line="11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In light of the market volatility and economic disruption that has arisen in the wake of the pandemic, we have worked closely with our clients to provide flexible, stable, resilient and secure access to our platforms across our multi-asset offerings so they can reliably manage their core cash and derivatives needs in the diverse geographic, product and customer sector markets we serve. Our employees and clients together have adapted to working remotely.</w:t>
      </w:r>
    </w:p>
    <w:p>
      <w:pPr>
        <w:spacing w:after="0" w:line="10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determined to minimize any future disruptive impact of COVID-19 on our business. Although we have implemented risk management and contingency plans and taken preventive measures and other precautions, our efforts to mitigate the effects of any disruptions may prove to be inadequate. Further, as the COVID-19 situation is unprecedented and continuously evolving, COVID-19, including any related variants, may also affect our operating and financial results in a manner that is not presently known to us or in a manner that we currently do not consider to present significant risks to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Environment</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2022 include, among other things, evolving global monetary policies of central banks, economic, political and social conditions, and legislative, regulatory or government policy changes, including related to COVID-19.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Because the majority of our financial assets are short-term in nature, they are not significantly affected by inflation. However, the rate of inflation may affect our expenses, such as employee compensation and benefits and technology and communication expenses, which may not be readily recoverable in the prices of our services. We believe any effects of inflation on our results of operations and financial condition have not been significant during any of the periods presented in this report. To the extent inflation, along with other factors, continue to result in rising interest rates and have other adverse effects on the securities markets and the overall economy, they may adversely affect our financial position and results of operations.</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Environment</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resulting in enforcement of new laws and regulations that apply to our business. The current regulatory environment in the United States and abroad may be subject to future legislative and regulatory changes driven by global and local issues and priorities. The impact of any reform efforts on us and our operations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electronification due to regulatory changes as market participants seek platforms that meet regulatory requirements and solutions that help them comply with their regulatory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platforms. Our ability to compete is influenced by key factors such as (i) developments in trading platforms and solutions, (ii) the liquidity we provide on transactions, (iii) the transaction costs we incur in providing our solutions, (iv) the efficiency in execution of transactions on our platforms, (v) our ability to hire and retain talent and (vi) our ability to maintain the security of our platforms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Cybersecurity Environment</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platforms is essential to maintaining our level of competitiveness in the market and attracting new clients seeking platforms that provide advanced automation and better liquidity. We believe we will continue to increase demand for our platforms and solutions and the volume of transactions on our platforms,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platforms and solutions to further enhance our market position.</w:t>
      </w:r>
    </w:p>
    <w:p>
      <w:pPr>
        <w:spacing w:after="0" w:line="13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Environment</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8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will increase over time primarily as the Continuing LLC Owners redeem or exchange their LLC Interests for shares of Class A common stock or Class B common stock, as applicable, or as we purchase LLC Interests from the Continuing LLC Owners. Furthermore, in connection with the IPO, we entered into the Tax Receivable Agreement pursuant to which we began to make payments in January 2021, and we expect future payments to be significant. We intend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are currently evaluating the impacts, if any, of the provisions of the IRA to our financial position, results of operations and cash flows. We do not currently anticipate the adoption of the IRA will have an impact to our non-GAAP adjusted effective tax rate used for purposes of calculating our non-GAAP measure of Adjusted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derived primarily from transaction fees, commissions, subscription fees and market data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 and Commissions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earn transaction fees from transactions executed on our trading platforms through various fee plans. Transaction fees are generated on both a variable and fixed price basis and vary by geographic region, product type and trade size. For most of our products, clients pay both fixed minimum monthly transaction fees and variable transaction fees on a per transaction basis in excess of the monthly minimum. For certain of our products, clients also pay a subscription fee in addition to the minimum monthly transaction fee. For other products, instead of a minimum monthly transaction fee, clients pay a subscription fee and a fixed transaction fee or variable transaction fees on a per transaction basis. For variable transaction fees, we charge clients fees based on the mix of products traded and the volume of transactions executed.</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Transaction volume is determined by using either a measure of the notional volume of the products traded or a count of the number of trades. We typically charge higher fees for products that are less actively traded. In addition, because transaction fees are sometimes subject to fee plans with tiered pricing based on product mix, volume, monthly minimums and monthly maximum fee caps, average transaction fees per million generated for a client may vary each month depending on the mix of products and volume traded. Furthermore, because transaction fees vary by geographic region, product type and trade size, our revenues may not correlate with volume growth.</w:t>
      </w:r>
    </w:p>
    <w:p>
      <w:pPr>
        <w:spacing w:after="0" w:line="147"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We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Fees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earn subscription fees primarily for granting clients access to our markets for trading and market data. For a limited number of products, we only charge subscription fees and no transaction fees or commissions. Subscription fees are generally generated on a fixed price basis.</w:t>
      </w:r>
    </w:p>
    <w:p>
      <w:pPr>
        <w:spacing w:after="0" w:line="13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 purposes of our discussion of our results of operations, we include Refinitiv (formerly Thomson Reuters) market data fees in subscription fees. We earn fixed license fees from our market data license agreement with Refinitiv. We also earn royalties from Refinitiv for referrals of new Eikon (a Refinitiv data platform) customers based on customer conversion rates. Royalties may fluctuate from period to period depending on the numbers of customer conversions achieved by Refinitiv during the applicable royalty fee earning period, which is typically five years from the date of the initial referral.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Employee compensation and benefits expense consists of wages, employee benefits, bonuses, commissions, stock-based compensation cost and related taxes. Factors that influence employee compensation and benefits expense include revenue and earnings growth, hiring new employees and trading activity which generates broker commissions. We expect employee compensation and benefits expense to increase as we hire additional employees to support revenue and earnings growth. As a result, employee compensation and benefits can vary from period to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consists of travel and entertainment, marketing, value-added taxes, state use taxes, foreign currency transaction gains and losses, gains and losses on foreign currency forward contracts entered into for foreign exchange risk management purposes, charitable contributions, other administrative expenses and credit loss expense. We expect general and administrative expense to increase as we expand the number of our employees and product offerings and grow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Communications</w:t>
      </w:r>
    </w:p>
    <w:p>
      <w:pPr>
        <w:spacing w:after="0" w:line="185"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Technology and communications expense consists of costs relating to software and hardware maintenance, our internal network connections, data center costs, clearance and other trading platform related transaction costs and data feeds provided by third-party service providers, including Refinitiv. Factors that influence technology and communications expense include trading volumes and our investments in innovation, data strategy and cybersecurity.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Professional fees consist primarily of accounting, tax and legal fees and fees paid to technology and software consultants to maintain our trading platforms and infrastructure, as well as costs related to business acquisition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 consists of operating lease rent and related costs for office space and data centers leased in North America, Europe and Asia.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 Liability Adjustment</w:t>
      </w:r>
    </w:p>
    <w:p>
      <w:pPr>
        <w:spacing w:after="0" w:line="18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tax receivable agreement liability adjustment reflects changes in the tax receivable agreement liability recorded in our condensed consolidated statement of financial condition as a result of changes in the mix of earnings, tax legislation and tax rates in various jurisdictions which impacted our tax savings. There was no tax receivable agreement liability adjustment during each of the three and nine months ended September 30, 2022 and 2021.</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 (Expense)</w:t>
      </w:r>
    </w:p>
    <w:p>
      <w:pPr>
        <w:spacing w:after="0" w:line="19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Interest income consists of interest earned from our cash deposited with large commercial banks and money market funds. Interest expense consists of commitment fees payable on, and, if applicable, interest payable on any borrowings outstanding under, the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the Continuing LLC Owners. Income or loss is attributed to the non-controlling interests based on the relative ownership percentages of LLC Interests held during the period by us and the Continuing LLC Owners.</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connection with the Reorganization Transactions, the TWM LLC Agreement was amended and restated to, among other things, (i) provide for LLC Interests and (ii) exchange all of the then existing membership interests in TWM LLC for LLC Interests. LLC Interests held by the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Following the completion of the Reorganization Transactions and the IPO, we owned 64.3% of TWM LLC and the Continuing LLC Owners owned the remaining 35.7% of TWM LLC. As of September 30, 2022, we owned 88.8% of TWM LLC and the Continuing LLC Owners owned the remaining 11.2% of TWM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2022 and Three Months Ended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three months ended September 30,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287,115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three months ended September 30, 2022 and 2021,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520" w:type="dxa"/>
            <w:vAlign w:val="bottom"/>
          </w:tcPr>
          <w:p>
            <w:pPr>
              <w:spacing w:after="0"/>
              <w:rPr>
                <w:sz w:val="13"/>
                <w:szCs w:val="13"/>
                <w:color w:val="auto"/>
              </w:rPr>
            </w:pPr>
          </w:p>
        </w:tc>
        <w:tc>
          <w:tcPr>
            <w:tcW w:w="7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228,015</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79.4 %</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206,316</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77.8 %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21,699</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56,392</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2,617</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287,115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265,325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Subscription fees for the three months ended September 30, 2022 and 2021 include $15.4 million and $15.0 million, respectively, of Refinitiv market data fees.</w:t>
      </w:r>
    </w:p>
    <w:p>
      <w:pPr>
        <w:spacing w:after="0" w:line="13" w:lineRule="exact"/>
        <w:rPr>
          <w:rFonts w:ascii="Arial" w:cs="Arial" w:eastAsia="Arial" w:hAnsi="Arial"/>
          <w:sz w:val="14"/>
          <w:szCs w:val="14"/>
          <w:color w:val="auto"/>
        </w:rPr>
      </w:pPr>
    </w:p>
    <w:p>
      <w:pPr>
        <w:ind w:left="340" w:right="220" w:hanging="332"/>
        <w:spacing w:after="0" w:line="292" w:lineRule="auto"/>
        <w:tabs>
          <w:tab w:leader="none" w:pos="3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diversified offering across products, client sectors and geographies supported sustained growth amidst a complex macroeconomic backdrop, including evolving central bank policy, sustained elevated volatility, economic concerns and a stronger U.S. dollar. The primary driver of the $21.8 million increase in revenue was related to a $21.7 million increase in transaction fees and commissions to $228.0 million for the three months ended September 30, 2022 from $206.3 million for the three months ended September 30, 2021, primarily due to increased volumes and fees from rates derivatives products, municipals and U.S. exchange traded funds (“ETFs”).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three months ended September 30, 2022 and 2021, and the resulting dollar and percentage changes,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148,167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139,418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variable and fixed revenues by asset class for the three months ended September 30, 2022 and 2021,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30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Fixed</w:t>
            </w:r>
          </w:p>
        </w:tc>
        <w:tc>
          <w:tcPr>
            <w:tcW w:w="100" w:type="dxa"/>
            <w:vAlign w:val="bottom"/>
          </w:tcPr>
          <w:p>
            <w:pPr>
              <w:spacing w:after="0"/>
              <w:rPr>
                <w:sz w:val="16"/>
                <w:szCs w:val="16"/>
                <w:color w:val="auto"/>
              </w:rPr>
            </w:pPr>
          </w:p>
        </w:tc>
        <w:tc>
          <w:tcPr>
            <w:tcW w:w="158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Variable</w:t>
            </w: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93,673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54,494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80,888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58,530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192,873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168,063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97,262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platforms by asset class for the three months ended September 30, 2022 and 2021, and the resulting percentage changes, are summarized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2022</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ADV</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Volume</w:t>
            </w:r>
          </w:p>
        </w:tc>
        <w:tc>
          <w:tcPr>
            <w:tcW w:w="4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ADV</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Volume</w:t>
            </w: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652,789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41,931,480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583,813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37,603,048</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324,153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20,773,078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21,610,725</w:t>
            </w:r>
          </w:p>
        </w:tc>
        <w:tc>
          <w:tcPr>
            <w:tcW w:w="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21,158,402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15,992,323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203,038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13,066,309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10,039,311</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8,092,093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5,953,012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1,885,842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1,439,626</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414,990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411,192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1,470,852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1,028,434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1,015,106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936,751</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565,898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487,508</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449,243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400,726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25,721,492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343,528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22,137,906</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1,098,622</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70,553,920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964,120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62,117,331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Total excluding Other Rates Derivatives </w:t>
            </w:r>
            <w:r>
              <w:rPr>
                <w:rFonts w:ascii="Arial" w:cs="Arial" w:eastAsia="Arial" w:hAnsi="Arial"/>
                <w:sz w:val="23"/>
                <w:szCs w:val="23"/>
                <w:b w:val="1"/>
                <w:bCs w:val="1"/>
                <w:color w:val="auto"/>
                <w:vertAlign w:val="superscript"/>
              </w:rPr>
              <w:t>(3)</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4060" w:type="dxa"/>
            <w:vAlign w:val="bottom"/>
            <w:vMerge w:val="continue"/>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973,025</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62,461,827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872,110</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56,164,319</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 Grade and High Yield electronically processed (“EP”) activity.</w:t>
      </w:r>
    </w:p>
    <w:p>
      <w:pPr>
        <w:spacing w:after="0" w:line="20" w:lineRule="exact"/>
        <w:rPr>
          <w:rFonts w:ascii="Arial" w:cs="Arial" w:eastAsia="Arial" w:hAnsi="Arial"/>
          <w:sz w:val="13"/>
          <w:szCs w:val="13"/>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totals for all periods presented.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14.0 %</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11.6 %</w:t>
      </w:r>
    </w:p>
    <w:p>
      <w:pPr>
        <w:spacing w:after="0" w:line="819" w:lineRule="exact"/>
        <w:rPr>
          <w:sz w:val="20"/>
          <w:szCs w:val="20"/>
          <w:color w:val="auto"/>
        </w:rPr>
      </w:pPr>
    </w:p>
    <w:p>
      <w:pPr>
        <w:sectPr>
          <w:pgSz w:w="11900" w:h="16838" w:orient="portrait"/>
          <w:cols w:equalWidth="0" w:num="2">
            <w:col w:w="10520" w:space="160"/>
            <w:col w:w="560"/>
          </w:cols>
          <w:pgMar w:left="320" w:top="125"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average variable fees per million dollars of volume traded on our trading platforms by asset class for the three months ended September 30, 2022 and 2021 are summarized below. There are four potential drivers of quarterly fluctuations in our average variable fees per million: (1) volume discounts, (2) the mix and duration of cash and derivatives products traded, (3) the mix of protocols underpinning cash and derivatives products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3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Cash Rates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5480" w:type="dxa"/>
            <w:vAlign w:val="bottom"/>
          </w:tcPr>
          <w:p>
            <w:pPr>
              <w:ind w:left="240"/>
              <w:spacing w:after="0"/>
              <w:rPr>
                <w:sz w:val="20"/>
                <w:szCs w:val="20"/>
                <w:color w:val="auto"/>
              </w:rPr>
            </w:pPr>
            <w:r>
              <w:rPr>
                <w:rFonts w:ascii="Arial" w:cs="Arial" w:eastAsia="Arial" w:hAnsi="Arial"/>
                <w:sz w:val="18"/>
                <w:szCs w:val="18"/>
                <w:color w:val="auto"/>
              </w:rPr>
              <w:t>Swaps / Swaptions Tenor (greater than 1 year)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Other Rates Derivatives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Cash Credit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150.38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Derivatives and U.S. Cash “EP”</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23.0 %</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Cash Equities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Derivatives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Money Markets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Fees per Million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304"/>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 xml:space="preserve">Total Fees per Million excluding Other Rates Derivatives </w:t>
            </w:r>
            <w:r>
              <w:rPr>
                <w:rFonts w:ascii="Arial" w:cs="Arial" w:eastAsia="Arial" w:hAnsi="Arial"/>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2.8 %</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Swaps/Swaptions of tenor less than 1 year and Rates Futures.</w:t>
      </w:r>
    </w:p>
    <w:p>
      <w:pPr>
        <w:spacing w:after="0" w:line="9"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“Cash Credit” category represents the “Credit” asset class excluding (1) Credit Derivatives and (2) U.S. High Grade and High Yield electronically processed (“EP”) activity.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to contextualize the impact of short-tenored Swaps/Swaptions and Rates Futures on blended fees per million across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volumes and variable fees per million by asset class are summarized as follows: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$8.7 million or 6.3% to $148.2 million for the three months ended September 30, 2022 compared to $139.4 million for the three months ended September 30, 2021 primarily due to variable transaction fees and commissions earned on higher trading volumes for rates derivatives products.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Average variable fees per million for rates increased primarily due to a shift for certain dealers away from fixed fees towards a variable pricing structure for European government bonds and growth of retail U.S. government bonds which have a higher variable fee capture compared to overall rates. These increases were partially offset by a decrease in average variable fees per million for rates derivatives driven primarily by shifts in the mix and duration of derivative products traded.</w:t>
      </w:r>
    </w:p>
    <w:p>
      <w:pPr>
        <w:spacing w:after="0" w:line="14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$5.9 million or 8.1% to $78.1 million for the three months ended September 30, 2022 compared to $72.2 million for the three months ended September 30, 2021 primarily due to variable transaction fees and commissions on higher trading volumes for municipals and credit derivatives products.</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Average variable fees per million for credit decreased primarily due to relative product mix, with strong volume growth in lower fee per million credit derivatives.</w:t>
      </w:r>
    </w:p>
    <w:p>
      <w:pPr>
        <w:spacing w:after="0" w:line="14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$4.8 million or 29.3% to $21.3 million for the three months ended September 30, 2022 compared to $16.5 million for the three months ended September 30, 2021 primarily due to variable transaction fees and commissions on higher trading volumes for U.S. ETFs.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variable fees per million for equities increased primarily due to higher growth in U.S. ETFs, which have a higher variable fee capture compared to overall equities.</w:t>
      </w:r>
    </w:p>
    <w:p>
      <w:pPr>
        <w:spacing w:after="0" w:line="14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$1.7 million or 15.6% to $13.0 million for the three months ended September 30, 2022 compared to $11.2 million for the three months ended September 30, 2021 primarily due to variable transaction fees and commissions on higher trading volumes for certificates of deposit and repurchase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Average variable fees per million for money markets was relatively flat for the three months ended September 30, 2022.</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$0.7 million or 3.4% to $21.2 million for the three months ended September 30, 2022 compared to $20.5 million for the three months ended September 30, 2021. The increase was derived primarily from increased third party market data fees and Refinitiv market data fees.</w:t>
      </w:r>
    </w:p>
    <w:p>
      <w:pPr>
        <w:spacing w:after="0" w:line="15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remained relatively flat at $5.4 million for the three months ended September 30, 2022 compared to $5.5 million for the three months ended September 30, 2021.</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three months ended September 30, 2022 and 2021, and the resulting dollar and percentage changes,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172,814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163,587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9,227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28,495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21,222</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$9.2 million or 5.6% to $172.8 million for the three months ended September 30, 2022 from $163.6 million for the three months ended September 30, 2021. The increase was derived primarily from increased volumes for rates derivatives products and U.S. ETFs.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remained relatively flat at $64.6 million for the three months ended September 30, 2022 compared to $64.8 million for the three months ended September 30, 2021.</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u w:val="single" w:color="auto"/>
          <w:color w:val="auto"/>
        </w:rPr>
        <w:t>Retail</w:t>
      </w:r>
      <w:r>
        <w:rPr>
          <w:rFonts w:ascii="Arial" w:cs="Arial" w:eastAsia="Arial" w:hAnsi="Arial"/>
          <w:sz w:val="18"/>
          <w:szCs w:val="18"/>
          <w:color w:val="auto"/>
        </w:rPr>
        <w:t>. Revenues from our retail client sector increased by $12.1 million or 73.9% to $28.5 million for the three months ended September 30, 2022 from $16.4 million for the three months ended September 30, 2021. The increase was derived primarily from increased volumes for municipals and U.S. corporate bonds.</w:t>
      </w:r>
    </w:p>
    <w:p>
      <w:pPr>
        <w:spacing w:after="0" w:line="14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$0.7 million or 3.4% to $21.2 million for the three months ended September 30, 2022 from $20.5 million for the three months ended September 30, 2021. The increase was derived primarily from increased third party market data fees and Refinitiv market data fees.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client base are also diversified by geography. Our total revenue by geography (based on client location)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185,097</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166,268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18,829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287,115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265,325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u w:val="single" w:color="auto"/>
          <w:color w:val="auto"/>
        </w:rPr>
        <w:t>U.S.</w:t>
      </w:r>
      <w:r>
        <w:rPr>
          <w:rFonts w:ascii="Arial" w:cs="Arial" w:eastAsia="Arial" w:hAnsi="Arial"/>
          <w:sz w:val="16"/>
          <w:szCs w:val="16"/>
          <w:color w:val="auto"/>
        </w:rPr>
        <w:t xml:space="preserve"> Revenues from U.S. clients increased by $18.8 million or 11.3% to $185.1 million for the three months ended September 30, 2022 from $166.3 million for the three months ended September 30, 2021 primarily due to higher revenues for municipals, rates derivatives products and U.S. ETFs.</w:t>
      </w:r>
    </w:p>
    <w:p>
      <w:pPr>
        <w:spacing w:after="0" w:line="9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u w:val="single" w:color="auto"/>
          <w:color w:val="auto"/>
        </w:rPr>
        <w:t>International</w:t>
      </w:r>
      <w:r>
        <w:rPr>
          <w:rFonts w:ascii="Arial" w:cs="Arial" w:eastAsia="Arial" w:hAnsi="Arial"/>
          <w:sz w:val="16"/>
          <w:szCs w:val="16"/>
          <w:color w:val="auto"/>
        </w:rPr>
        <w:t>. Revenues from International clients increased by $3.0 million or 3.0% to $102.0 million for the three months ended September 30, 2022 from $99.1 million for the three months ended September 30, 2021. Fluctuations in foreign currency rates decreased our total International revenues for the three months ended September 30, 2022 by $12.5 million when comparing to International revenues for the three months ended September 30, 2022 determined using constant currency foreign currency exchange rates. Excluding this foreign currency impact, international revenues increased $15.5 million or 15.6% primarily due to higher revenues for rates derivatives products, European government bonds and credit derivatives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three months ended September 30, 2022 and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Expenses related to employee compensation and benefits increased by $4.7 million or 4.8% to $102.7 million for the three months ended September 30, 2022 from $98.0 million for the three months ended September 30, 2021. The increase was primarily due to an increase in salaries and benefits as a result of increased employee headcount and a $1.5 million increase in non-cash accelerated stock-based compensation expense and related payroll taxes. See “— Trends and Other Factors Impacting Our Performance — CEO Transition” for further details.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remained relatively flat at $44.8 million for the three months ended September 30, 2022 and 2021.</w:t>
      </w:r>
    </w:p>
    <w:p>
      <w:pPr>
        <w:spacing w:after="0" w:line="130"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$2.1 million or 14.0% to $16.8 million for the three months ended September 30, 2022 from $14.7 million for the three months ended September 30, 2021. The increase was primarily due to increased data and clearance fees driven primarily by higher trading volumes period over period and increased investment in our data strategy and infrastructure.</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Expenses related to general and administrative costs decreased by $2.7 million or 27.9% to $6.9 million for the three months ended September 30, 2022 from $9.6 million for the three months ended September 30, 2021. The decrease was primarily the result of a $5.4 million increase in foreign exchange gains during the three months ended September 30, 2022. Realized and unrealized foreign currency gains totaled $6.2 million during the three months ended September 30, 2022 as compared to $0.7 million in gains during three months ended September 30, 2021. The change was primarily driven by changes in fair value of our foreign currency forward contracts used in connection with our foreign currency risk management program. The foreign exchange gains were partially offset by increased travel and entertainment expenses, as the COVID-19 pandemic contributed to a reduction in expenses during 2021.</w:t>
      </w:r>
    </w:p>
    <w:p>
      <w:pPr>
        <w:spacing w:after="0" w:line="15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Expenses related to professional fees increased by $0.5 million or 5.7% to $9.4 million for the three months ended September 30, 2022 from $8.9 million for the three months ended September 30, 2021. The increase was primarily due increased legal fees.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Occupancy</w:t>
      </w:r>
      <w:r>
        <w:rPr>
          <w:rFonts w:ascii="Arial" w:cs="Arial" w:eastAsia="Arial" w:hAnsi="Arial"/>
          <w:sz w:val="17"/>
          <w:szCs w:val="17"/>
          <w:color w:val="auto"/>
        </w:rPr>
        <w:t>. Expenses related to occupancy costs remained relatively flat at $3.7 million for the three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9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Net interest income (expense) increased by $3.8 million to net interest income of $3.4 million for the three months ended September 30, 2022 from net interest expense of $0.4 million for the three months ended September 30, 2021 primarily due to an increase in interest income earned relating to an increase in our average invested cash balance and an increase in interest rates period over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 expense increased by $4.8 million to $24.7 million for the three months ended September 30, 2022 from $19.9 million for the three months ended September 30, 2021. The provision for income taxes includes U.S. federal, state, local and foreign taxes. The effective tax rate for the three months ended September 30, 2022 was approximately 23.2%, compared with 23.3% for the three months ended September 30, 2021. The effective tax rate for the three months ended September 30, 2022 and 2021 differed from the U.S. federal statutory rate of 21.0% primarily due to the effect of state, local and foreign taxes and the return-to-provision adjustments, partially offset by non-controlling interests and the tax impact of the issuance of common stock from equity incentive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2022 and Nine Months Ended September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our statements of income for the nine months ended September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895,739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799,564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7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interest income (expense)</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220,392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49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revenues for the nine months ended September 30, 2022 and 2021, and the resulting dollar and percentage changes,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 of Total</w:t>
            </w:r>
          </w:p>
        </w:tc>
        <w:tc>
          <w:tcPr>
            <w:tcW w:w="600" w:type="dxa"/>
            <w:vAlign w:val="bottom"/>
          </w:tcPr>
          <w:p>
            <w:pPr>
              <w:spacing w:after="0"/>
              <w:rPr>
                <w:sz w:val="13"/>
                <w:szCs w:val="13"/>
                <w:color w:val="auto"/>
              </w:rPr>
            </w:pPr>
          </w:p>
        </w:tc>
        <w:tc>
          <w:tcPr>
            <w:tcW w:w="64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 of Total</w:t>
            </w:r>
          </w:p>
        </w:tc>
        <w:tc>
          <w:tcPr>
            <w:tcW w:w="220" w:type="dxa"/>
            <w:vAlign w:val="bottom"/>
          </w:tcPr>
          <w:p>
            <w:pPr>
              <w:spacing w:after="0"/>
              <w:rPr>
                <w:sz w:val="13"/>
                <w:szCs w:val="1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6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Revenue</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w w:val="94"/>
              </w:rPr>
              <w:t>Transaction fees and commissions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717,489</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80.1 %</w:t>
            </w:r>
          </w:p>
        </w:tc>
        <w:tc>
          <w:tcPr>
            <w:tcW w:w="8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629,513</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78.7 %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87,976</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Subscription fees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170,691</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162,186</w:t>
            </w:r>
          </w:p>
        </w:tc>
        <w:tc>
          <w:tcPr>
            <w:tcW w:w="15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7,559</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7,865</w:t>
            </w:r>
          </w:p>
        </w:tc>
        <w:tc>
          <w:tcPr>
            <w:tcW w:w="1560" w:type="dxa"/>
            <w:vAlign w:val="bottom"/>
            <w:gridSpan w:val="3"/>
          </w:tcPr>
          <w:p>
            <w:pPr>
              <w:jc w:val="right"/>
              <w:ind w:right="1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895,739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799,564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4"/>
              </w:rPr>
              <w:t>Components of total revenue growth:</w:t>
            </w: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Arial" w:cs="Arial" w:eastAsia="Arial" w:hAnsi="Arial"/>
                <w:sz w:val="18"/>
                <w:szCs w:val="18"/>
                <w:color w:val="auto"/>
              </w:rPr>
              <w:t xml:space="preserve">Constant currency growth </w:t>
            </w:r>
            <w:r>
              <w:rPr>
                <w:rFonts w:ascii="Arial" w:cs="Arial" w:eastAsia="Arial" w:hAnsi="Arial"/>
                <w:sz w:val="23"/>
                <w:szCs w:val="23"/>
                <w:color w:val="auto"/>
                <w:vertAlign w:val="superscript"/>
              </w:rPr>
              <w:t>(2)</w:t>
            </w: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impact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Arial" w:cs="Arial" w:eastAsia="Arial" w:hAnsi="Arial"/>
                <w:sz w:val="18"/>
                <w:szCs w:val="18"/>
                <w:color w:val="auto"/>
              </w:rPr>
              <w:t>Total revenue growth</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Subscription fees for the nine months ended September 30, 2022 and 2021 include $46.4 million and $45.0 million respectively, of Refinitiv market data fees.</w:t>
      </w:r>
    </w:p>
    <w:p>
      <w:pPr>
        <w:spacing w:after="0" w:line="13" w:lineRule="exact"/>
        <w:rPr>
          <w:rFonts w:ascii="Arial" w:cs="Arial" w:eastAsia="Arial" w:hAnsi="Arial"/>
          <w:sz w:val="14"/>
          <w:szCs w:val="14"/>
          <w:color w:val="auto"/>
        </w:rPr>
      </w:pPr>
    </w:p>
    <w:p>
      <w:pPr>
        <w:ind w:left="340" w:right="220" w:hanging="332"/>
        <w:spacing w:after="0" w:line="292"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Constant currency growth, which is a non-GAAP financial measure, is defined as total revenue growth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growth as a supplemental metric to evaluate our underlying total revenue performance between periods by removing the impact of foreign currency fluctuations. We believe that providing constant currency growth provides a useful comparison of our total revenue performance and trends between periods.</w:t>
      </w:r>
    </w:p>
    <w:p>
      <w:pPr>
        <w:spacing w:after="0" w:line="1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primary driver of the $96.2 million increase in revenue related to a $88.0 million increase in transaction fees and commissions to $717.5 million for the nine months ended September 30, 2022 from $629.5 million for the nine months ended September 30, 2021, primarily due to increased volumes and fees for rates derivatives products, U.S. government bonds, U.S. ETFs, municipals and U.S. corporate bonds.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Our total revenue by asset class for the nine months ended September 30, 2022 and 2021, and the resulting dollar and percentage changes, were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460,092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416,350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43,742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variable and fixed revenues by asset class for the nine months ended September 30, 2022 and 2021,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 Change</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Arial" w:cs="Arial" w:eastAsia="Arial" w:hAnsi="Arial"/>
                <w:sz w:val="14"/>
                <w:szCs w:val="14"/>
                <w:b w:val="1"/>
                <w:bCs w:val="1"/>
                <w:color w:val="auto"/>
              </w:rPr>
              <w:t>Variable</w:t>
            </w:r>
          </w:p>
        </w:tc>
        <w:tc>
          <w:tcPr>
            <w:tcW w:w="820" w:type="dxa"/>
            <w:vAlign w:val="bottom"/>
          </w:tcPr>
          <w:p>
            <w:pPr>
              <w:jc w:val="right"/>
              <w:ind w:right="312"/>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Rates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293,396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166,696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250,305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166,045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Market Data</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Pr>
          <w:p>
            <w:pPr>
              <w:spacing w:after="0"/>
              <w:rPr>
                <w:sz w:val="19"/>
                <w:szCs w:val="19"/>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609,233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286,506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515,737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key drivers of the change in total revenue by asset class are summarized as follows: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Revenues from our rates asset class increased by $43.7 million or 10.5% to $460.1 million for the nine months ended September 30, 2022 compared to $416.4 million for the nine months ended September 30, 2021 primarily due to variable transaction fees and commissions earned on higher trading volumes for rates derivatives products and U.S. government bonds.</w:t>
      </w:r>
    </w:p>
    <w:p>
      <w:pPr>
        <w:spacing w:after="0" w:line="14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 Revenues from our credit asset class increased by $29.6 million or 13.5% to $248.4 million for the nine months ended September 30, 2022 compared to $218.8 million for the nine months ended September 30, 2021 primarily due to variable transaction fees and commissions on higher trading volumes for municipals, U.S. corporate bonds and credit derivatives products.</w:t>
      </w:r>
    </w:p>
    <w:p>
      <w:pPr>
        <w:spacing w:after="0" w:line="15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u w:val="single" w:color="auto"/>
          <w:color w:val="auto"/>
        </w:rPr>
        <w:t>Equities</w:t>
      </w:r>
      <w:r>
        <w:rPr>
          <w:rFonts w:ascii="Arial" w:cs="Arial" w:eastAsia="Arial" w:hAnsi="Arial"/>
          <w:sz w:val="18"/>
          <w:szCs w:val="18"/>
          <w:color w:val="auto"/>
        </w:rPr>
        <w:t>. Revenues from our equities asset class increased by $17.8 million or 33.7% to $70.5 million for the nine months ended September 30, 2022 compared to $52.7 million for the nine months ended September 30, 2021 primarily due to variable transaction fees and commissions on higher trading volumes for U.S. and European ETFs.</w:t>
      </w:r>
    </w:p>
    <w:p>
      <w:pPr>
        <w:spacing w:after="0" w:line="14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u w:val="single" w:color="auto"/>
          <w:color w:val="auto"/>
        </w:rPr>
        <w:t>Money Markets</w:t>
      </w:r>
      <w:r>
        <w:rPr>
          <w:rFonts w:ascii="Arial" w:cs="Arial" w:eastAsia="Arial" w:hAnsi="Arial"/>
          <w:sz w:val="18"/>
          <w:szCs w:val="18"/>
          <w:color w:val="auto"/>
        </w:rPr>
        <w:t>. Revenues from our money markets asset class increased by $3.3 million or 9.8% to $36.7 million for the nine months ended September 30, 2022 compared to $33.4 million for the nine months ended September 30, 2021 primarily due to variable transaction fees and commissions on higher trading volumes for repurchase agreements and certificates of deposit.</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asset class increased by $3.1 million or 5.2% to $63.6 million for the nine months ended September 30, 2022 compared to $60.5 million for the nine months ended September 30, 2021. The increase was derived primarily from increased third party market data fees and Refinitiv market data fees.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Revenues from our other asset class decreased by $1.3 million or 7.4%, to $16.5 million for the nine months ended September 30, 2022 compared to $17.8 million for the nine months ended September 30, 2021. The decrease was derived primarily from lower fees from software development and implementation revenue on behalf of certain clients and retail client fee minimums.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generate revenue from a diverse portfolio of client sectors. Our total revenue by client sector for the nine months ended September 30, 2022 and 2021, and the resulting dollar and percentage changes,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Institutional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551,322</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499,794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51,528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Institutional</w:t>
      </w:r>
      <w:r>
        <w:rPr>
          <w:rFonts w:ascii="Arial" w:cs="Arial" w:eastAsia="Arial" w:hAnsi="Arial"/>
          <w:sz w:val="18"/>
          <w:szCs w:val="18"/>
          <w:color w:val="auto"/>
        </w:rPr>
        <w:t>. Revenues from our institutional client sector increased by $51.5 million or 10.3% to $551.3 million for the nine months ended September 30, 2022 from $499.8 million for the nine months ended September 30, 2021. The increase was derived primarily from increased volumes for rates derivatives products, U.S. ETFs and credit derivatives products.</w:t>
      </w:r>
    </w:p>
    <w:p>
      <w:pPr>
        <w:spacing w:after="0" w:line="14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u w:val="single" w:color="auto"/>
          <w:color w:val="auto"/>
        </w:rPr>
        <w:t>Wholesale</w:t>
      </w:r>
      <w:r>
        <w:rPr>
          <w:rFonts w:ascii="Arial" w:cs="Arial" w:eastAsia="Arial" w:hAnsi="Arial"/>
          <w:sz w:val="18"/>
          <w:szCs w:val="18"/>
          <w:color w:val="auto"/>
        </w:rPr>
        <w:t>. Revenues from our wholesale client sector increased by $19.6 million or 10.6% to $205.5 million for the nine months ended September 30, 2022 from $185.9 million for the nine months ended September 30, 2021. The increase was derived primarily from increased volumes from U.S. government bonds.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Retail</w:t>
      </w:r>
      <w:r>
        <w:rPr>
          <w:rFonts w:ascii="Arial" w:cs="Arial" w:eastAsia="Arial" w:hAnsi="Arial"/>
          <w:sz w:val="16"/>
          <w:szCs w:val="16"/>
          <w:color w:val="auto"/>
        </w:rPr>
        <w:t>. Revenues from our retail client sector increased by $21.9 million or 41.1% to $75.3 million for the nine months ended September 30, 2022 from</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$53.4 million for the nine months ended September 30, 2021. The increase was derived primarily from increased volumes from municipals, U.S. corporate bonds and U.S. government bonds.</w:t>
      </w:r>
    </w:p>
    <w:p>
      <w:pPr>
        <w:spacing w:after="0" w:line="15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u w:val="single" w:color="auto"/>
          <w:color w:val="auto"/>
        </w:rPr>
        <w:t>Market Data</w:t>
      </w:r>
      <w:r>
        <w:rPr>
          <w:rFonts w:ascii="Arial" w:cs="Arial" w:eastAsia="Arial" w:hAnsi="Arial"/>
          <w:sz w:val="18"/>
          <w:szCs w:val="18"/>
          <w:color w:val="auto"/>
        </w:rPr>
        <w:t>. Revenues from our market data client sector increased by $3.1 million or 5.2% to $63.6 million for the nine months ended September 30, 2022 from $60.5 million for the nine months ended September 30, 2021. The increase was derived primarily from increased third party market data fees and Refinitiv market data fees.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Our revenues and client base are also diversified by geography. Our total revenue by geography (based on client location)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 and the resulting dollar and percentage changes,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565,540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497,609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67,931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895,739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 xml:space="preserve"> Revenues from U.S. clients increased by $67.9 million or 13.7% to $565.5 million for the nine months ended September 30, 2022 from $497.6 million for the nine months ended September 30, 2021 primarily due to higher revenues for U.S. government bonds, municipals, U.S. corporate bonds, U.S. ETFs and rates derivatives products.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International</w:t>
      </w:r>
      <w:r>
        <w:rPr>
          <w:rFonts w:ascii="Arial" w:cs="Arial" w:eastAsia="Arial" w:hAnsi="Arial"/>
          <w:sz w:val="18"/>
          <w:szCs w:val="18"/>
          <w:color w:val="auto"/>
        </w:rPr>
        <w:t>. Revenues from International clients increased by $28.2 million or 9.4% to $330.2 million for the nine months ended September 30, 2022 from $302.0 million for the nine months ended September 30, 2021. Fluctuations in foreign currency rates decreased our total International revenues for the nine months ended September 30, 2022 by $25.4 million when comparing to International revenues for the nine months ended September 30, 2022 determined using constant currency foreign currency exchange rates. Excluding this foreign currency impact, international revenues increased by $53.7 million or 17.8% primarily due to higher revenues for rates derivatives products, credit derivatives products, European ETFs and European government bonds.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expenses for the nine months ended September 30, 2022 and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133,998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127,656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u w:val="single" w:color="auto"/>
          <w:color w:val="auto"/>
        </w:rPr>
        <w:t>Employee Compensation and Benefits</w:t>
      </w:r>
      <w:r>
        <w:rPr>
          <w:rFonts w:ascii="Arial" w:cs="Arial" w:eastAsia="Arial" w:hAnsi="Arial"/>
          <w:sz w:val="16"/>
          <w:szCs w:val="16"/>
          <w:color w:val="auto"/>
        </w:rPr>
        <w:t>. Expenses related to employee compensation and benefits increased by $30.5 million or 10.2% to $330.6 million for the nine months ended September 30, 2022 from $300.1 million for the nine months ended September 30, 2021. The increase was primarily due to increases in incentive compensation expense tied to our operating performance and an increase in salaries and benefits as a result of increased employee headcount. During the nine months ended September 30, 2022, we also incurred a total of $9.4 million in stock-based compensation expense and related payroll taxes relating to the CEO Retirement Accelerated Stock-Based Compensation Expense. See “— Trends and Other Factors Impacting Our Performance — CEO Transition” for further details. During the nine months ended September 30, 2021, we incurred a total of $0.5 million of non-cash accelerated stock-based compensation expense and related payroll taxes associated with our former CFO.</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Expenses related to depreciation and amortization increased by $6.3 million or 5.0% to $134.0 million for the nine months ended September 30, 2022 from $127.7 million for the nine months ended September 30, 2021. The increase in depreciation and amortization expense was primarily the result of assets acquired in connection with the NFI Acquisition. Also contributing to the increase were longer estimated useful lives of computer software and the adjusted fair value of the assets that were established in connection with pushdown accounting on October 1, 2018 (see Note 2 – Significant Accounting Policies to the condensed consolidated financial statements included elsewhere in this Quarterly Report on Form 10-Q for details). Assets which may have been fully depreciated or amortized prior to the application of pushdown accounting are still being depreciated or amortized in these periods.</w:t>
      </w:r>
    </w:p>
    <w:p>
      <w:pPr>
        <w:spacing w:after="0" w:line="168" w:lineRule="exact"/>
        <w:rPr>
          <w:sz w:val="20"/>
          <w:szCs w:val="20"/>
          <w:color w:val="auto"/>
        </w:rPr>
      </w:pPr>
    </w:p>
    <w:p>
      <w:pPr>
        <w:spacing w:after="0" w:line="311" w:lineRule="auto"/>
        <w:rPr>
          <w:sz w:val="20"/>
          <w:szCs w:val="20"/>
          <w:color w:val="auto"/>
        </w:rPr>
      </w:pPr>
      <w:r>
        <w:rPr>
          <w:rFonts w:ascii="Arial" w:cs="Arial" w:eastAsia="Arial" w:hAnsi="Arial"/>
          <w:sz w:val="16"/>
          <w:szCs w:val="16"/>
          <w:u w:val="single" w:color="auto"/>
          <w:color w:val="auto"/>
        </w:rPr>
        <w:t>Technology and Communications</w:t>
      </w:r>
      <w:r>
        <w:rPr>
          <w:rFonts w:ascii="Arial" w:cs="Arial" w:eastAsia="Arial" w:hAnsi="Arial"/>
          <w:sz w:val="16"/>
          <w:szCs w:val="16"/>
          <w:color w:val="auto"/>
        </w:rPr>
        <w:t>. Expenses related to technology and communications increased by $6.4 million or 15.1% to $48.6 million for the nine months ended September 30, 2022 from $42.2 million for the nine months ended September 30, 2021. The increase was primarily due to increased data and clearance fees driven primarily by higher trading volumes period over period and increased investment in our data strategy and infrastructure.</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Expenses related to general and administrative costs increased by $3.0 million or 13.7% to $24.8 million for the nine months ended September 30, 2022 from $21.8 million for the nine months ended September 30, 2021. The increase was primarily due to higher travel and entertainment expenses, as the COVID-19 pandemic contributed to a reduction in expenses during 2021. This increase was partially offset by a $6.9 million increase in foreign exchange gains during the nine months ended September 30, 2022. Realized and unrealized foreign currency gains totaled $10.7 million during the nine months ended September 30, 2022 as compared to $3.7 million in gains during the nine months ended September 30, 2021. The change was primarily driven by an increase in fair value of our foreign currency forward contracts used in connection with our foreign currency risk management program.</w:t>
      </w:r>
    </w:p>
    <w:p>
      <w:pPr>
        <w:spacing w:after="0" w:line="15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Expenses related to professional fees decreased by $3.2 million or 10.9% to $25.8 million for the nine months ended September 30, 2022 from $29.0 million for the nine months ended September 30, 2021. The decrease was primarily due to acquisition transaction costs related to the NFI Acquisition incurred during the nine months ended September 30, 2021, partially offset by increased legal fees during 2022.</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Occupancy</w:t>
      </w:r>
      <w:r>
        <w:rPr>
          <w:rFonts w:ascii="Arial" w:cs="Arial" w:eastAsia="Arial" w:hAnsi="Arial"/>
          <w:sz w:val="18"/>
          <w:szCs w:val="18"/>
          <w:color w:val="auto"/>
        </w:rPr>
        <w:t>. Expenses related to occupancy costs remained relatively flat at $10.9 million for the nine months ended September 30, 2022 as compared to $11.1 million for the nine months ended September 30,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(Expense)</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interest income (expense) increased by $4.7 million to net interest income of $3.5 million for the nine months ended September 30, 2022 from net interest expense of $1.2 million for the nine months ended September 30, 2021 primarily due to an increase in interest income earned relating to an increase in our average invested cash balance and an increase in interest rates period over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Income tax expense increased by $10.6 million to $63.9 million for the nine months ended September 30, 2022 from $53.4 million for the nine months ended September 30, 2021. The provision for income taxes includes U.S. federal, state, local, and foreign taxes. The effective tax rate for the nine months ended September 30, 2022 was approximately 19.7%, compared with 20.0% for the nine months ended September 30, 2021. The effective tax rate for the nine months ended September 30, 2022 and 2021 differed from the U.S. federal statutory rate of 21.0% primarily due to the tax impact of the issuance of common stock from equity incentive plans, return-to-provision adjustments and the effect of non-controlling interests, partially offset by state, local and foreign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While inflation may impact our revenues and operating expenses, we believe the effects of inflation, if any, on our results of operations and financial condition have not been significant during the three and nine months ended September 30, 2022 and 2021. However, there can be no assurance that our results of operations and financial condition will not be materially impacted by inflation in the future. See “— Trends and Other Factors Impacting Our Performance — Economic Environment”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Revolving Credit Facility and their sufficiency to fund our operating and investing activities.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Historically, we have generated significant cash flows from operations and have funded our business operations through cash on hand and cash flows from operations.</w:t>
      </w:r>
    </w:p>
    <w:p>
      <w:pPr>
        <w:spacing w:after="0" w:line="1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expect to fund our short and long-term liquidity requirements through cash and cash equivalents and cash flows from operations. While historically we have generated significant and adequate cash flows from operations, in the case of an unexpected event in the future or otherwise, we may fund our liquidity requirements through borrowings under the Revolving Credit Facility.</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projected cash position, cash flows from operations and, if necessary, borrowings under the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September 30, 2022 and December 31, 2021, we had cash and cash equivalents of approximately $1.1 billion and $972.0 million, respectively. All cash and cash equivalents were held in accounts with financial institutions or money market funds such that the funds are immediately available or in fixed term deposits with a maximum maturity of three months.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Influencing Our 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legally available funds, we intend to continue to pay quarterly cash dividends on our Class A common stock and Class B common stock equal to $0.08 per share. As discussed below, our ability to pay these quarterly cash dividends on our Class A common stock and Class B common stock will depend on distributions to us from TWM LLC.</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8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On October 27, 2022, the board of directors of Tradeweb Markets Inc. declared a cash dividend of $0.08 per share of Class A common stock and Class B common stock for the fourth quarter of 2022. This dividend will be payable on December 15, 2022 to stockholders of record as of December 1, 2022.</w:t>
      </w:r>
    </w:p>
    <w:p>
      <w:pPr>
        <w:spacing w:after="0" w:line="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March, June and September 2022, Tradeweb Markets Inc. paid quarterly cash dividends to holders of Class A common stock and Class B common stock in an aggregate amount totaling $49.4 million during the nine months ended September 30,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Distributions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October 27, 2022, Tradeweb Markets Inc., as the sole manager, approved a distribution by TWM LLC to its equityholders, including Tradeweb Markets Inc., in an aggregate amount of $29.3 million, as adjusted by required state and local tax withholdings that will be determined prior to the record date of December 1, 2022, payable on December 13, 2022.</w:t>
      </w:r>
    </w:p>
    <w:p>
      <w:pPr>
        <w:spacing w:after="0" w:line="15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In March, June and September 2022, TWM LLC made quarterly cash distributions to its equityholders in an aggregate amount of $59.1 million during the nine months ended September 30, 2022, including distributions to Tradeweb Markets Inc. of $51.5 million and distributions to non-controlling interests of $7.6 million. The proceeds of the cash distributions were used by Tradeweb Markets Inc. to fund dividend payments, taxes and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Program</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4, 2021, we announced that our board of directors authorized a new share repurchase program (the “Share Repurchase Program”), primarily to offset annual dilution from stock-based compensation plans. The Share Repurchase Program authorizes the purchase of up to $150.0 million of our Class A common stock at the Company’s discretion through the end of fiscal year 2023. The Share Repurchase Program will be effected primarily through regular open-market purchases (which may include repurchase plans designed to comply with Rule 10b5-1). The amounts and timing of the repurchases will be subject to general market conditions and the prevailing price and trading volumes of our Class A common stock. The Share Repurchase Program does not require the Company to acquire a specific number of shares and may be suspended, amended or discontinued at any time. The Company began purchasing shares pursuant to the Share Repurchase Program during the second quarter of 2021. During the nine months ended September 30, 2022, the Company acquired a total of 792,695 shares of Class A common stock, at an average price of $82.41, for purchases totaling $65.3 million.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Share Repurchases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addition to the Share Repurchase Program discussed above, we may also withhold shares to cover the payroll tax withholding obligations upon the exercise of stock options and vesting of performance</w:t>
      </w:r>
      <w:r>
        <w:rPr>
          <w:rFonts w:ascii="Arial" w:cs="Arial" w:eastAsia="Arial" w:hAnsi="Arial"/>
          <w:sz w:val="18"/>
          <w:szCs w:val="18"/>
          <w:b w:val="1"/>
          <w:bCs w:val="1"/>
          <w:color w:val="auto"/>
        </w:rPr>
        <w:t>-</w:t>
      </w:r>
      <w:r>
        <w:rPr>
          <w:rFonts w:ascii="Arial" w:cs="Arial" w:eastAsia="Arial" w:hAnsi="Arial"/>
          <w:sz w:val="18"/>
          <w:szCs w:val="18"/>
          <w:color w:val="auto"/>
        </w:rPr>
        <w:t>based restricted stock units and restricted stock units.</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the nine months ended September 30, 2022, the Company withheld 1,048,837 shares of common stock from employee stock option, PRSU and RSU awards, at an average price per share of $95.59 and an aggregate value of $100.3 million, based on the price of the Class A common stock on the date the relevant withholding occurred.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September 30, 2022, total amounts due to the Continuing LLC Owners under the Tax Receivable Agreement were $439.3 million, substantially all due to be paid over 15 years following the purchase of LLC Interests from Continuing LLC Owners or redemption or exchanges by Continuing LLC Owners of LLC Interests. As of September 30, 2022, we expect to make tax receivable agreement liability payments of approximately $7.0 million within the next 12 months and approximately $432.4 million thereafter.</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the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we had no outstanding indebtedness.</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April 8, 2019, TWM LLC entered into the Revolving Credit Facility with a syndicate of banks. The Revolving Credit Facility was subsequently amended on November 7, 2019. The Revolving Credit Facility provides $500.0 million of borrowing capacity to be used to fund our ongoing working capital needs, letters of credit and for general corporate purposes, including potential future acquisitions and expansions. As of September 30, 2022, there were $0.5 million in letters of credit issued under the Revolving Credit Facility and no borrowings outstanding. The Revolving Credit Facility will mature on April 8, 2024.</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that governs the Revolving Credit Facility contains a number of covenants that, among other things and subject to certain exceptions, restrict the ability of TWM LLC and the ability of its restricted subsidiaries to incur additional indebtedness, pay dividends or distributions, make investments and enter into certain other transactions. As of September 30, 2022, we were in compliance with all the covenants set forth in the Revolving Credit Facility.</w:t>
      </w:r>
    </w:p>
    <w:p>
      <w:pPr>
        <w:spacing w:after="0" w:line="16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 Factors Influencing Our Liquidity and Capital Resources – Indebtedness” in Part II of our 2021 Form 10-K for additional details regarding the terms, restrictions and covenants applicable to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operating leases for corporate offices and data centers with initial lease terms ranging from one to 10 years. Our operating lease obligations are primarily related to rental payments under lease agreements for office space in the United States and the United Kingdom through December 2027. In March 2022, the lease for our New York headquarters was extended for an amended term through December 2023, as we continue to evaluate our office space needs for the future. As of September 30, 2022, our operating lease liabilities totaled $28.7 million, with payments pursuant to these obligations due within the next 12 months and thereafter totaling approximately $11.3 million and $18.8 million, respectively.</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Cash and Liquidity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U.S. subsidiaries are registered as broker-dealers, SEFs or introducing brokers and are subject to the applicable rules and regulations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 and CFTC. These rules contain minimum net capital or other financial resource requirements, as defined in the applicable regulations.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rules may also require a significant part of the registrants’ assets be kept in relatively liquid form. Certain of our foreign subsidiaries are regulated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Conduct Authority in the UK, the Nederlandsche Bank in the Netherlands, the Japanese Financial Services Agency, the Japanese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Dealers Association and other foreign regulators, and must maintain financial resources, as defined in the applicable regulations, in excess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resources requirement. As of September 30, 2022 and December 31, 2021, each of our regulated subsidiaries had maintained sufficient net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financial resources to at least satisfy their minimum requirements, which in aggregate were $58.5 million and $66.7 million, respectively. We maintain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balances in these subsidiaries in excess of our minimum requirements in order to satisfy working capital needs and to ensure that we have enough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on hand to satisfy margin requirements and credit risk, including the excess capital expectations of our clients. The FICC and some of our clearing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brokers require us to post collateral on unsettled positions, included within deposits with clearing organizations in our consolidated statements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 Collateral amounts are marked to market on a daily basis, requiring us to pay or receive margin amounts as part of the daily funds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Margin call requirements can vary significantly across periods based on daily market changes and may represent a significant and unpredictable use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liquidity.</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times, transactions executed on our wholesale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business also requires continued investment in our technology for product innovation, proprietary technology architecture, operational reliability and cybersecurity. We expect total capital expenditures and software development costs for fiscal 2022 to be between $62.0 million and $68.0 million, compared to expenditures of $51.3 million in fiscal 2021, with the increase primarily driven by technology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and receivable from affiliates. Current liabilities consist of payable to brokers and dealers and clearing organizations, accrued compensation, deferred revenue, payable to affiliates, accounts payable, accrued expenses and other liabilities, lease liabilities and the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platforms and solutions.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Our working capital as of September 30, 2022 and December 31, 2021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6"/>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4"/>
        </w:trPr>
        <w:tc>
          <w:tcPr>
            <w:tcW w:w="8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8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972,048</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 from brokers and dealers and clearing organizations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Deposits with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25,214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20,523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Receivable from affiliates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r>
      <w:tr>
        <w:trPr>
          <w:trHeight w:val="25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1,296,391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1,126,821</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Payable to brokers and dealers and clearing organizations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24,930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affiliates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Current portion of:</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accrued expenses and other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r>
      <w:tr>
        <w:trPr>
          <w:trHeight w:val="230"/>
        </w:trPr>
        <w:tc>
          <w:tcPr>
            <w:tcW w:w="844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7,534</w:t>
            </w: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receivable agreement liability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r>
      <w:tr>
        <w:trPr>
          <w:trHeight w:val="25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212,209</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239,440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working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1,084,182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887,381</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Assets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Current assets increased to $1.3 billion as of September 30, 2022 from $1.1 billion as of December 31, 2021 primarily due to an increase in cash and cash equivalents (see “—Cash Flows” below) and accounts receivable as a result of increased revenues.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Liabilities</w:t>
      </w:r>
    </w:p>
    <w:p>
      <w:pPr>
        <w:spacing w:after="0" w:line="19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Current liabilities decreased to $212.2 million as of September 30, 2022 from $239.4 million as of December 31, 2021 primarily due to a decrease in accrued compensation as a result of annual bonus payments which occurred during the nine months ended September 30, 2022.</w:t>
      </w:r>
    </w:p>
    <w:p>
      <w:pPr>
        <w:spacing w:after="0" w:line="106" w:lineRule="exact"/>
        <w:rPr>
          <w:sz w:val="20"/>
          <w:szCs w:val="20"/>
          <w:color w:val="auto"/>
        </w:rPr>
      </w:pPr>
    </w:p>
    <w:p>
      <w:pPr>
        <w:ind w:right="1640"/>
        <w:spacing w:after="0" w:line="46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Other Cash and Liquidity Requirements</w:t>
      </w:r>
      <w:r>
        <w:rPr>
          <w:rFonts w:ascii="Arial" w:cs="Arial" w:eastAsia="Arial" w:hAnsi="Arial"/>
          <w:sz w:val="18"/>
          <w:szCs w:val="18"/>
          <w:color w:val="auto"/>
        </w:rPr>
        <w:t xml:space="preserve">” above for a discussion on how capital requirements can impact our working capital. </w:t>
      </w:r>
      <w:r>
        <w:rPr>
          <w:rFonts w:ascii="Arial" w:cs="Arial" w:eastAsia="Arial" w:hAnsi="Arial"/>
          <w:sz w:val="18"/>
          <w:szCs w:val="18"/>
          <w:b w:val="1"/>
          <w:bCs w:val="1"/>
          <w:i w:val="1"/>
          <w:iCs w:val="1"/>
          <w:color w:val="auto"/>
        </w:rPr>
        <w:t>Cash Flows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for the nine months ended September 30, 2022 and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424,822</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386,370</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(244,384)</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(110,444)</w:t>
            </w: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(19,357)</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138,179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Operating activities consist primarily of net income adjusted for noncash items that primarily include depreciation and amortization, stock-based compensation expense and deferred tax expense. Cash flows from operating activities can fluctuate significantly from period-to-period as working capital needs and the timing of payments for accrued compensation (primarily in the first quarter) and other items impact reported cash flows.</w:t>
      </w:r>
    </w:p>
    <w:p>
      <w:pPr>
        <w:spacing w:after="0" w:line="1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Net cash provided by operating activities for the nine months ended September 30, 2022 was $424.8 million, an increase of $38.5 million over the nine months ended September 30, 2021, primarily driven by an increase in net income during 2022, partially offset by changes in working capital.</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Investing activities consist primarily of software development costs, investments in technology hardware, purchases of equipment and other tangible assets, business acquisitions and investments.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cash used in investing activities was $45.4 million for the nine months ended September 30, 2022, which consisted of $27.5 million of capitalized software development costs and $18.0 million of purchases of furniture, equipment, purchased software and leasehold improvements. Net cash used in investing activities was $244.4 million for the nine months ended September 30, 2021, which consisted of $208.9 million in total net cash paid related to the NFI Acquisition (net of cash acquired), $25.8 million of capitalized software development costs and $9.7 million of purchases of furniture, equipment, purchased software and leasehold improvements.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cash used in financing activities for the nine months ended September 30, 2022 was $221.9 million, and was primarily driven by $90.6 million in payroll tax payments for options, PRSUs and RSUs, net of proceeds from the related stock-based compensation option exercises, $65.3 million in share repurchases pursuant to the Share Repurchase Program and $49.4 million in cash dividends to our Class A and Class B common stockholders. Net cash used in financing activities for the nine months ended September 30, 2021 was $110.4 million, and was primarily driven by $63.7 million in share repurchases pursuant to the Share Repurchase Program and $48.4 million in cash dividends to our Class A and Class B common stockholders, partially offset by $15.4 million in net proceeds from stock-based compensation option exercises, net of related stock-based compensation payroll tax payments for options, PRSUs and RSUs.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table set forth below presents a reconciliation of our cash flow from operating activities to Free Cash Flow for the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8"/>
              </w:rPr>
              <w:t>September 30,</w:t>
            </w:r>
          </w:p>
        </w:tc>
        <w:tc>
          <w:tcPr>
            <w:tcW w:w="880" w:type="dxa"/>
            <w:vAlign w:val="bottom"/>
          </w:tcPr>
          <w:p>
            <w:pPr>
              <w:spacing w:after="0"/>
              <w:rPr>
                <w:sz w:val="17"/>
                <w:szCs w:val="17"/>
                <w:color w:val="auto"/>
              </w:rPr>
            </w:pPr>
          </w:p>
        </w:tc>
      </w:tr>
      <w:tr>
        <w:trPr>
          <w:trHeight w:val="26"/>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31"/>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ind w:left="640"/>
              <w:spacing w:after="0"/>
              <w:rPr>
                <w:sz w:val="20"/>
                <w:szCs w:val="20"/>
                <w:color w:val="auto"/>
              </w:rPr>
            </w:pPr>
            <w:r>
              <w:rPr>
                <w:rFonts w:ascii="Arial" w:cs="Arial" w:eastAsia="Arial" w:hAnsi="Arial"/>
                <w:sz w:val="14"/>
                <w:szCs w:val="14"/>
                <w:b w:val="1"/>
                <w:bCs w:val="1"/>
                <w:color w:val="auto"/>
                <w:w w:val="97"/>
              </w:rPr>
              <w:t>(in thousands)</w:t>
            </w:r>
          </w:p>
        </w:tc>
        <w:tc>
          <w:tcPr>
            <w:tcW w:w="88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424,822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386,370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Arial" w:cs="Arial" w:eastAsia="Arial" w:hAnsi="Arial"/>
                <w:sz w:val="18"/>
                <w:szCs w:val="18"/>
                <w:color w:val="auto"/>
                <w:w w:val="92"/>
              </w:rPr>
              <w:t>(27,470)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(25,813)</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(17,959)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379,393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350,843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Adjusted EBITDA margin, Adjusted EBIT, Adjusted EBIT margin, Adjusted Net Income and Adjusted Diluted EPS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to net income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Adjusted EBITDA margin, Adjusted EBIT and Adjusted EBIT margin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defined as net income before net interest income/expense, provision for income taxes and depreciation and amortization, adjusted for the impact of certain other items, including transaction and other costs related to the NFI Acquisition, certain stock-based compensation expense and related payroll taxes, tax receivable agreement liability adjustments, unrealized gains and losses from outstanding foreign currency forward contracts and gains and losses from the revaluation of foreign denominated cash.</w:t>
      </w:r>
    </w:p>
    <w:p>
      <w:pPr>
        <w:spacing w:after="0" w:line="14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Adjusted EBIT is defined as net income before net interest income/expense and provision for income taxes, adjusted for the impact of certain other items, including transaction and other costs related to the NFI Acquisition, certain stock-based compensation expense and related payroll taxes, tax receivable agreement liability adjustments, depreciation and amortization related to acquisitions and the Refinitiv Transaction, unrealized gains and losses from outstanding foreign currency forward contracts and gains and losses from the revaluation of foreign denominated cash.</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Adjusted EBITDA margin and Adjusted EBIT margin are defined as Adjusted EBITDA and Adjusted EBIT, respectively, divided by revenue for the applicable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we exclude non-cash stock-based compensation expense associated with the Special Option Award as defined in Note 2 – Significant Accounting Policies to our unaudited condensed consolidated financial statements included elsewhere in this Quarterly Report on Form 10-Q and post</w:t>
      </w:r>
      <w:r>
        <w:rPr>
          <w:rFonts w:ascii="Arial" w:cs="Arial" w:eastAsia="Arial" w:hAnsi="Arial"/>
          <w:sz w:val="16"/>
          <w:szCs w:val="16"/>
          <w:b w:val="1"/>
          <w:bCs w:val="1"/>
          <w:color w:val="auto"/>
        </w:rPr>
        <w:t>-</w:t>
      </w:r>
      <w:r>
        <w:rPr>
          <w:rFonts w:ascii="Arial" w:cs="Arial" w:eastAsia="Arial" w:hAnsi="Arial"/>
          <w:sz w:val="16"/>
          <w:szCs w:val="16"/>
          <w:color w:val="auto"/>
        </w:rPr>
        <w:t>IPO options awarded in 2019 to management and other employees as well as payroll taxes associated with exercises of such options during the applicable period. We believe it is useful to exclude this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and associated payroll taxes because the amount of expense associated with the Special Option Award and the post</w:t>
      </w:r>
      <w:r>
        <w:rPr>
          <w:rFonts w:ascii="Arial" w:cs="Arial" w:eastAsia="Arial" w:hAnsi="Arial"/>
          <w:sz w:val="16"/>
          <w:szCs w:val="16"/>
          <w:b w:val="1"/>
          <w:bCs w:val="1"/>
          <w:color w:val="auto"/>
        </w:rPr>
        <w:t>-</w:t>
      </w:r>
      <w:r>
        <w:rPr>
          <w:rFonts w:ascii="Arial" w:cs="Arial" w:eastAsia="Arial" w:hAnsi="Arial"/>
          <w:sz w:val="16"/>
          <w:szCs w:val="16"/>
          <w:color w:val="auto"/>
        </w:rPr>
        <w:t>IPO option awards in 2019 may not directly correlate to the underlying performance of our business and will vary across periods. Beginning on August 30, 2021, we also exclude the non</w:t>
      </w:r>
      <w:r>
        <w:rPr>
          <w:rFonts w:ascii="Arial" w:cs="Arial" w:eastAsia="Arial" w:hAnsi="Arial"/>
          <w:sz w:val="16"/>
          <w:szCs w:val="16"/>
          <w:b w:val="1"/>
          <w:bCs w:val="1"/>
          <w:color w:val="auto"/>
        </w:rPr>
        <w:t>-</w:t>
      </w:r>
      <w:r>
        <w:rPr>
          <w:rFonts w:ascii="Arial" w:cs="Arial" w:eastAsia="Arial" w:hAnsi="Arial"/>
          <w:sz w:val="16"/>
          <w:szCs w:val="16"/>
          <w:color w:val="auto"/>
        </w:rPr>
        <w:t>cash accelerated stock</w:t>
      </w:r>
      <w:r>
        <w:rPr>
          <w:rFonts w:ascii="Arial" w:cs="Arial" w:eastAsia="Arial" w:hAnsi="Arial"/>
          <w:sz w:val="16"/>
          <w:szCs w:val="16"/>
          <w:b w:val="1"/>
          <w:bCs w:val="1"/>
          <w:color w:val="auto"/>
        </w:rPr>
        <w:t>-</w:t>
      </w:r>
      <w:r>
        <w:rPr>
          <w:rFonts w:ascii="Arial" w:cs="Arial" w:eastAsia="Arial" w:hAnsi="Arial"/>
          <w:sz w:val="16"/>
          <w:szCs w:val="16"/>
          <w:color w:val="auto"/>
        </w:rPr>
        <w:t>based compensation expense associated with our former CFO and beginning on February 11, 2022 the incremental non-cash accelerated stock-based compensation expense associated with our retiring CEO, the CEO Retirement Accelerated Stock-Based Compensation Expense discussed above under “— Trends and Other Factors Impacting Our Performance — CEO Transition,” and related payroll taxes are also excluded, as we do not consider these expenses indicative of our core ongoing operating performance. The accelerated stock-based compensation expense associated with our former CFO was fully amortized on January 4, 2022.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the transaction and other costs related to the NFI Acquisition as costs related to the acquisition are not indicative of our core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5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transaction and other costs related to the NFI Acquisition, depreciation and amortization related to acquisitions and the Refinitiv Transaction, unrealized gains and losses from outstanding foreign currency forward contracts and gains and losses from the revaluation of foreign denominated cash.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use Adjusted Net Income and Adjusted Diluted EPS as supplemental metrics to evaluate our business performance in a way that also considers our ability to generate profit without the impact of certain items. We exclude stock-based compensation expense associated with the Special Option Award and the post-IPO option awards in 2019 and payroll taxes associated with exercises of such options, non-cash accelerated stock-based compensation expense associated with our former CFO and related payroll taxes, CEO Retirement Accelerated Stock-Based Compensation Expense and related payroll taxes, tax receivable agreement liability adjustments, acquisition-related costs and acquisition and Refinitiv Transaction-related depreciation and amortization for the reasons described above. Each of the normal recurring adjustments and other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set forth below presents a reconciliation of net income to Adjusted EBITDA, Adjusted EBITDA margin, Adjusted EBIT and Adjusted EBIT margin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81,566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260,611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213,103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44,778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44,823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133,998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127,656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13,839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11,181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24,657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Arial" w:cs="Arial" w:eastAsia="Arial" w:hAnsi="Arial"/>
                <w:sz w:val="18"/>
                <w:szCs w:val="18"/>
                <w:color w:val="auto"/>
              </w:rPr>
              <w:t>63,915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53,365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(6,306)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(4)</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146,334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132,946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462,590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406,928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(44,778)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2"/>
              <w:spacing w:after="0" w:line="203" w:lineRule="exact"/>
              <w:rPr>
                <w:sz w:val="20"/>
                <w:szCs w:val="20"/>
                <w:color w:val="auto"/>
              </w:rPr>
            </w:pPr>
            <w:r>
              <w:rPr>
                <w:rFonts w:ascii="Arial" w:cs="Arial" w:eastAsia="Arial" w:hAnsi="Arial"/>
                <w:sz w:val="18"/>
                <w:szCs w:val="18"/>
                <w:color w:val="auto"/>
              </w:rPr>
              <w:t>(44,823)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Arial" w:cs="Arial" w:eastAsia="Arial" w:hAnsi="Arial"/>
                <w:sz w:val="18"/>
                <w:szCs w:val="18"/>
                <w:color w:val="auto"/>
              </w:rPr>
              <w:t>(133,998)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1"/>
              <w:spacing w:after="0" w:line="203" w:lineRule="exact"/>
              <w:rPr>
                <w:sz w:val="20"/>
                <w:szCs w:val="20"/>
                <w:color w:val="auto"/>
              </w:rPr>
            </w:pPr>
            <w:r>
              <w:rPr>
                <w:rFonts w:ascii="Arial" w:cs="Arial" w:eastAsia="Arial" w:hAnsi="Arial"/>
                <w:sz w:val="18"/>
                <w:szCs w:val="18"/>
                <w:color w:val="auto"/>
                <w:w w:val="98"/>
              </w:rPr>
              <w:t>(127,656)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 D&amp;A related to acquisitions and the Refinitiv Transaction</w:t>
            </w:r>
            <w:r>
              <w:rPr>
                <w:rFonts w:ascii="Arial" w:cs="Arial" w:eastAsia="Arial" w:hAnsi="Arial"/>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31,558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32,956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95,088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92,799</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133,114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121,079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423,680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372,071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right="540" w:hanging="332"/>
        <w:spacing w:after="0" w:line="266"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 or subsequent planned merger of Execution Access, LLC with Dealerweb Inc.</w:t>
      </w:r>
    </w:p>
    <w:p>
      <w:pPr>
        <w:ind w:left="340" w:right="80" w:hanging="332"/>
        <w:spacing w:after="0" w:line="277"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the exercise of such options totaling $0.7 million and $1.5 million during the three months ended September 30, 2022 and 2021, respectively, and $4.5 million and $10.7 million during the nine months ended September 30, 2022 and 2021, respectively. During the three and nine months ended September 30, 2022, this adjustment also includes $2.0 million and $9.4 million, respectively, of non-cash accelerated stock-based compensation expense and related payroll taxes associated with our retiring CEO. During the three and nine months ended September 30, 2021, this adjustment also includes $0.5 million of non-cash accelerated stock-based compensation expense and related payroll taxes associated with our former CFO.</w:t>
      </w:r>
    </w:p>
    <w:p>
      <w:pPr>
        <w:spacing w:after="0" w:line="1" w:lineRule="exact"/>
        <w:rPr>
          <w:rFonts w:ascii="Arial" w:cs="Arial" w:eastAsia="Arial" w:hAnsi="Arial"/>
          <w:sz w:val="13"/>
          <w:szCs w:val="13"/>
          <w:color w:val="auto"/>
        </w:rPr>
      </w:pPr>
    </w:p>
    <w:p>
      <w:pPr>
        <w:ind w:left="340" w:right="60" w:hanging="332"/>
        <w:spacing w:after="0" w:line="255"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7"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jc w:val="both"/>
        <w:ind w:left="340" w:right="240" w:hanging="332"/>
        <w:spacing w:after="0" w:line="272" w:lineRule="auto"/>
        <w:tabs>
          <w:tab w:leader="none" w:pos="332"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Constant</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Basis Point</w:t>
            </w:r>
          </w:p>
        </w:tc>
        <w:tc>
          <w:tcPr>
            <w:tcW w:w="10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1"/>
              </w:rPr>
              <w:t>Currency Basis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Basis Point</w:t>
            </w:r>
          </w:p>
        </w:tc>
        <w:tc>
          <w:tcPr>
            <w:tcW w:w="10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Currency Basis</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1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Point Change</w:t>
            </w:r>
          </w:p>
        </w:tc>
        <w:tc>
          <w:tcPr>
            <w:tcW w:w="11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12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Point Change</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Change</w:t>
            </w:r>
          </w:p>
        </w:tc>
        <w:tc>
          <w:tcPr>
            <w:tcW w:w="98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+86 bps</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+130 bps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+75 bps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bps</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Adjusted EBIT margin</w:t>
            </w:r>
          </w:p>
        </w:tc>
        <w:tc>
          <w:tcPr>
            <w:tcW w:w="1120" w:type="dxa"/>
            <w:vAlign w:val="bottom"/>
          </w:tcPr>
          <w:p>
            <w:pPr>
              <w:jc w:val="right"/>
              <w:spacing w:after="0"/>
              <w:rPr>
                <w:sz w:val="20"/>
                <w:szCs w:val="20"/>
                <w:color w:val="auto"/>
              </w:rPr>
            </w:pPr>
            <w:r>
              <w:rPr>
                <w:rFonts w:ascii="Arial" w:cs="Arial" w:eastAsia="Arial" w:hAnsi="Arial"/>
                <w:sz w:val="18"/>
                <w:szCs w:val="18"/>
                <w:color w:val="auto"/>
              </w:rPr>
              <w:t>46.4 %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+73 bps</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+130 bps</w:t>
            </w:r>
          </w:p>
        </w:tc>
        <w:tc>
          <w:tcPr>
            <w:tcW w:w="1120" w:type="dxa"/>
            <w:vAlign w:val="bottom"/>
          </w:tcPr>
          <w:p>
            <w:pPr>
              <w:jc w:val="right"/>
              <w:spacing w:after="0"/>
              <w:rPr>
                <w:sz w:val="20"/>
                <w:szCs w:val="20"/>
                <w:color w:val="auto"/>
              </w:rPr>
            </w:pPr>
            <w:r>
              <w:rPr>
                <w:rFonts w:ascii="Arial" w:cs="Arial" w:eastAsia="Arial" w:hAnsi="Arial"/>
                <w:sz w:val="18"/>
                <w:szCs w:val="18"/>
                <w:color w:val="auto"/>
              </w:rPr>
              <w:t>47.3 %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+77 bps</w:t>
            </w:r>
          </w:p>
        </w:tc>
        <w:tc>
          <w:tcPr>
            <w:tcW w:w="1020" w:type="dxa"/>
            <w:vAlign w:val="bottom"/>
          </w:tcPr>
          <w:p>
            <w:pPr>
              <w:jc w:val="right"/>
              <w:spacing w:after="0"/>
              <w:rPr>
                <w:sz w:val="20"/>
                <w:szCs w:val="20"/>
                <w:color w:val="auto"/>
              </w:rPr>
            </w:pPr>
            <w:r>
              <w:rPr>
                <w:rFonts w:ascii="Arial" w:cs="Arial" w:eastAsia="Arial" w:hAnsi="Arial"/>
                <w:sz w:val="18"/>
                <w:szCs w:val="18"/>
                <w:color w:val="auto"/>
              </w:rPr>
              <w:t>+105 bps</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40" w:right="80" w:hanging="332"/>
        <w:spacing w:after="0" w:line="263"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2021.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26"/>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r>
      <w:tr>
        <w:trPr>
          <w:trHeight w:val="218"/>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(in thousands except per share amounts)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6"/>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diluted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Tradeweb Markets Inc.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220,392</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177,938</w:t>
            </w:r>
          </w:p>
        </w:tc>
      </w:tr>
      <w:tr>
        <w:trPr>
          <w:trHeight w:val="27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Net income attributable to non-controlling interests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40,219</w:t>
            </w: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35,165</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213,103</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63,915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53,365</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Acquisition transaction costs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r>
      <w:tr>
        <w:trPr>
          <w:trHeight w:val="270"/>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D&amp;A related to acquisitions and the Refinitiv Transaction </w:t>
            </w:r>
            <w:r>
              <w:rPr>
                <w:rFonts w:ascii="Arial" w:cs="Arial" w:eastAsia="Arial" w:hAnsi="Arial"/>
                <w:sz w:val="23"/>
                <w:szCs w:val="23"/>
                <w:color w:val="auto"/>
                <w:vertAlign w:val="superscript"/>
              </w:rPr>
              <w:t>(3)</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31,558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95,088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92,799</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(4)</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r>
      <w:tr>
        <w:trPr>
          <w:trHeight w:val="229"/>
        </w:trPr>
        <w:tc>
          <w:tcPr>
            <w:tcW w:w="5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Foreign exchange (gains) / losses </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(4,742)</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receivable agreement liability adjustment </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 before income taxes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136,527</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120,718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427,187</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370,892</w:t>
            </w:r>
          </w:p>
        </w:tc>
      </w:tr>
      <w:tr>
        <w:trPr>
          <w:trHeight w:val="27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income taxes </w:t>
            </w:r>
            <w:r>
              <w:rPr>
                <w:rFonts w:ascii="Arial" w:cs="Arial" w:eastAsia="Arial" w:hAnsi="Arial"/>
                <w:sz w:val="23"/>
                <w:szCs w:val="23"/>
                <w:color w:val="auto"/>
                <w:vertAlign w:val="superscript"/>
              </w:rPr>
              <w:t>(7)</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(93,982)</w:t>
            </w: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106,491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333,205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289,296</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Adjusted Diluted EPS </w:t>
            </w:r>
            <w:r>
              <w:rPr>
                <w:rFonts w:ascii="Arial" w:cs="Arial" w:eastAsia="Arial" w:hAnsi="Arial"/>
                <w:sz w:val="23"/>
                <w:szCs w:val="23"/>
                <w:color w:val="auto"/>
                <w:vertAlign w:val="superscript"/>
              </w:rPr>
              <w:t>(8)</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340" w:right="60" w:hanging="332"/>
        <w:spacing w:after="0" w:line="266"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540" w:hanging="332"/>
        <w:spacing w:after="0" w:line="26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transaction and other costs related to the NFI Acquisition, which closed in June 2021. Acquisition-related costs primarily include legal, consulting and advisory fees and severance costs incurred that relate to the acquisition transaction or subsequent planned merger of Execution Access, LLC with Dealerweb Inc.</w:t>
      </w:r>
    </w:p>
    <w:p>
      <w:pPr>
        <w:jc w:val="both"/>
        <w:ind w:left="340" w:right="240" w:hanging="332"/>
        <w:spacing w:after="0" w:line="254"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Arial" w:cs="Arial" w:eastAsia="Arial" w:hAnsi="Arial"/>
          <w:sz w:val="14"/>
          <w:szCs w:val="14"/>
          <w:color w:val="auto"/>
        </w:rPr>
      </w:pPr>
    </w:p>
    <w:p>
      <w:pPr>
        <w:ind w:left="340" w:right="80" w:hanging="332"/>
        <w:spacing w:after="0" w:line="277" w:lineRule="auto"/>
        <w:tabs>
          <w:tab w:leader="none" w:pos="332"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the exercise of such options totaling $0.7 million and $1.5 million during the three months ended September 30, 2022 and 2021, respectively, and $4.5 million and $10.7 million during the nine months ended September 30, 2022 and 2021, respectively. During the three and nine months ended September 30, 2022, this adjustment also includes $2.0 million and $9.4 million, respectively, of non-cash accelerated stock-based compensation expense and related payroll taxes associated with our retiring CEO. During the three and nine months ended September 30, 2021, this adjustment also includes $0.5 million of non-cash accelerated stock-based compensation expense and related payroll taxes associated with our former CFO.</w:t>
      </w:r>
    </w:p>
    <w:p>
      <w:pPr>
        <w:spacing w:after="0" w:line="1" w:lineRule="exact"/>
        <w:rPr>
          <w:rFonts w:ascii="Arial" w:cs="Arial" w:eastAsia="Arial" w:hAnsi="Arial"/>
          <w:sz w:val="13"/>
          <w:szCs w:val="13"/>
          <w:color w:val="auto"/>
        </w:rPr>
      </w:pPr>
    </w:p>
    <w:p>
      <w:pPr>
        <w:ind w:left="340" w:right="60" w:hanging="332"/>
        <w:spacing w:after="0" w:line="255"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60" w:hanging="332"/>
        <w:spacing w:after="0" w:line="257"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income recognized during the applicable period due to changes in the tax receivable agreement liability recorded in the consolidated statement of financial condition as a result of changes in the mix of earnings, tax legislation and tax rates in various jurisdictions which impacted our tax savings.</w:t>
      </w:r>
    </w:p>
    <w:p>
      <w:pPr>
        <w:ind w:left="340" w:right="120" w:hanging="332"/>
        <w:spacing w:after="0" w:line="261"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corporate income taxes at an assumed effective tax rate of 22% applied to Adjusted Net Income before income taxes for each of the three and nine months ended September 30, 2022 and 2021.</w:t>
      </w:r>
    </w:p>
    <w:p>
      <w:pPr>
        <w:ind w:left="340" w:right="40" w:hanging="332"/>
        <w:spacing w:after="0" w:line="263" w:lineRule="auto"/>
        <w:tabs>
          <w:tab w:leader="none" w:pos="3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calculation of Adjusted Diluted EPS for the three and nine months ended September 30, 2022 and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Reconciliation of Diluted Weighted Average Shares Outstanding to Adjusted Diluted</w:t>
            </w:r>
          </w:p>
        </w:tc>
        <w:tc>
          <w:tcPr>
            <w:tcW w:w="24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8"/>
                <w:szCs w:val="18"/>
                <w:color w:val="auto"/>
              </w:rPr>
            </w:pPr>
          </w:p>
        </w:tc>
        <w:tc>
          <w:tcPr>
            <w:tcW w:w="2560" w:type="dxa"/>
            <w:vAlign w:val="bottom"/>
            <w:gridSpan w:val="4"/>
          </w:tcPr>
          <w:p>
            <w:pPr>
              <w:jc w:val="right"/>
              <w:ind w:right="8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208,329,469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208,197,439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207,748,037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206,908,330</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 xml:space="preserve">Weighted average of other participating securities </w:t>
            </w:r>
            <w:r>
              <w:rPr>
                <w:rFonts w:ascii="Arial" w:cs="Arial" w:eastAsia="Arial" w:hAnsi="Arial"/>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246,238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121,115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6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 xml:space="preserve">common stock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28,750,603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30,531,933</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29,667,383</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30,756,925</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237,326,310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238,729,372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237,536,535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237,665,255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289,296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64"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discussion of the two-class method.</w:t>
      </w:r>
    </w:p>
    <w:p>
      <w:pPr>
        <w:ind w:left="340" w:right="480" w:hanging="332"/>
        <w:spacing w:after="0" w:line="263" w:lineRule="auto"/>
        <w:tabs>
          <w:tab w:leader="none" w:pos="3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Management evaluates its accounting policies, estimates and judgments on an on-going basis.</w:t>
      </w:r>
    </w:p>
    <w:p>
      <w:pPr>
        <w:spacing w:after="0" w:line="14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and disclosures in our condensed consolidated financial statements and accompanying notes.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 the basis for making judgments about the carrying values of assets and liabilities that may not be readily apparent from other sources. Therefore, actual results could differ materially from those estimates. Such estimates include revenue recognition, current and deferred income taxes and the tax receivable agreement liability.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enter into contracts with our clients to provide a stand-ready connection to our electronic marketplaces, which facilitates the execution of trades by our clients. The access to our electronic marketplaces, including market data and continuous pricing data refreshes and the processing of trades thereon are highly interrelated and are considered a single performance obligation satisfied over time as the client simultaneously receives and consumes the benefit from our performance. This performance obligation constitutes a series of services that are substantially the same in nature and are provided over time using the same measure of progress. For our services, we earn subscription fees for granting access to our electronic marketplaces.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earn transaction fees and/or commissions from transactions executed on our trading platforms, including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or commissions or monthly transaction fee or commission minimums are generally earned on a monthly basis in the period the stand-ready trading services are provided. Variable transaction fee or commission revenue is recognized and recorded on a trade-date basis when the individual trade occurs. Variable discounts or rebates on transaction fees or commissions are generally earned and applied monthly or quarterly, are resolved within the same reporting period and are recorded as a reduction to revenue in the period the relevant trades occur.</w:t>
      </w:r>
    </w:p>
    <w:p>
      <w:pPr>
        <w:spacing w:after="0" w:line="16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earn fees from Refinitiv relating to the sale of market data to Refinitiv, which redistributes that data. Included in these fees are real-time market data fees which are recognized monthly on a straight-line basis as Refinitiv receives and consumes the benefit evenly, over the contact period, as the data is provided, and fees for historical data sets which are recognized when the historical data set is provided to Refinitiv.</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required to make significant judgments for the Refinitiv market data fees. Significant judgments used in accounting for this contract include the following determinations:</w:t>
      </w:r>
    </w:p>
    <w:p>
      <w:pPr>
        <w:spacing w:after="0" w:line="13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 of real-time market data feeds and annual historical data sets are distinct performance obligations.</w:t>
      </w:r>
    </w:p>
    <w:p>
      <w:pPr>
        <w:spacing w:after="0" w:line="19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performance obligations under this contract are recognized over time from the initial delivery of the data feeds or each historical data set until the end of the contract term.</w:t>
      </w:r>
    </w:p>
    <w:p>
      <w:pPr>
        <w:spacing w:after="0" w:line="129" w:lineRule="exact"/>
        <w:rPr>
          <w:rFonts w:ascii="Arial" w:cs="Arial" w:eastAsia="Arial" w:hAnsi="Arial"/>
          <w:sz w:val="18"/>
          <w:szCs w:val="18"/>
          <w:color w:val="auto"/>
        </w:rPr>
      </w:pPr>
    </w:p>
    <w:p>
      <w:pPr>
        <w:ind w:left="660" w:right="5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transaction price for the performance obligations is determined by using a market assessment analysis. Inputs in this analysis include a consultant study which determined the overall value of our market data and pricing information for historical data sets provided by other companies.</w:t>
      </w:r>
    </w:p>
    <w:p>
      <w:pPr>
        <w:spacing w:after="0" w:line="1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each of the three and nine months ended September 30, 2022 and 2021, there were no material changes in the assumptions used to determine the Refinitiv market data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3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September 30, 2022 and December 31, 2021, the valuation allowance was $0.7 million.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8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3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and Derivative Risk</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global operations and substantial portions of our revenues, expenses, assets and liabilities are generated and denominated in non-U.S. dollar currencies.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percentage breakdown of our revenue and operating expenses denominated in currencies other than the U.S. dollar for the three and nine months ended September 30, 2022 and 2021: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hanging="194"/>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of revenue denominated in foreign currencies </w:t>
      </w:r>
      <w:r>
        <w:rPr>
          <w:rFonts w:ascii="Arial" w:cs="Arial" w:eastAsia="Arial" w:hAnsi="Arial"/>
          <w:sz w:val="9"/>
          <w:szCs w:val="9"/>
          <w:color w:val="auto"/>
        </w:rPr>
        <w:t>(1)</w:t>
      </w:r>
    </w:p>
    <w:p>
      <w:pPr>
        <w:spacing w:after="0" w:line="63" w:lineRule="exact"/>
        <w:rPr>
          <w:rFonts w:ascii="Arial" w:cs="Arial" w:eastAsia="Arial" w:hAnsi="Arial"/>
          <w:sz w:val="18"/>
          <w:szCs w:val="18"/>
          <w:color w:val="auto"/>
        </w:rPr>
      </w:pPr>
    </w:p>
    <w:p>
      <w:pPr>
        <w:ind w:left="220" w:hanging="194"/>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of operating expenses denominated in foreign currencies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3"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Revenue in foreign currencies is primarily denominated in euros.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3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3"/>
              </w:rPr>
              <w:t>Three Months Ended</w:t>
            </w: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98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7"/>
                <w:szCs w:val="17"/>
                <w:color w:val="auto"/>
              </w:rPr>
            </w:pPr>
          </w:p>
        </w:tc>
        <w:tc>
          <w:tcPr>
            <w:tcW w:w="1880" w:type="dxa"/>
            <w:vAlign w:val="bottom"/>
            <w:gridSpan w:val="3"/>
          </w:tcPr>
          <w:p>
            <w:pPr>
              <w:jc w:val="center"/>
              <w:ind w:right="8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5"/>
        </w:trPr>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2022</w:t>
            </w:r>
          </w:p>
        </w:tc>
        <w:tc>
          <w:tcPr>
            <w:tcW w:w="5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57"/>
        </w:trPr>
        <w:tc>
          <w:tcPr>
            <w:tcW w:w="38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188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29%</w:t>
            </w:r>
          </w:p>
        </w:tc>
        <w:tc>
          <w:tcPr>
            <w:tcW w:w="100" w:type="dxa"/>
            <w:vAlign w:val="bottom"/>
          </w:tcPr>
          <w:p>
            <w:pPr>
              <w:spacing w:after="0"/>
              <w:rPr>
                <w:sz w:val="22"/>
                <w:szCs w:val="22"/>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29%</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70"/>
        </w:trPr>
        <w:tc>
          <w:tcPr>
            <w:tcW w:w="3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1880" w:type="dxa"/>
            <w:vAlign w:val="bottom"/>
            <w:gridSpan w:val="2"/>
          </w:tcPr>
          <w:p>
            <w:pPr>
              <w:jc w:val="center"/>
              <w:ind w:left="456"/>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Arial" w:cs="Arial" w:eastAsia="Arial" w:hAnsi="Arial"/>
                <w:sz w:val="18"/>
                <w:szCs w:val="18"/>
                <w:color w:val="auto"/>
                <w:w w:val="88"/>
              </w:rPr>
              <w:t>14%</w:t>
            </w:r>
          </w:p>
        </w:tc>
        <w:tc>
          <w:tcPr>
            <w:tcW w:w="1880" w:type="dxa"/>
            <w:vAlign w:val="bottom"/>
            <w:gridSpan w:val="3"/>
          </w:tcPr>
          <w:p>
            <w:pPr>
              <w:jc w:val="center"/>
              <w:ind w:left="456"/>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93" w:lineRule="exact"/>
        <w:rPr>
          <w:sz w:val="20"/>
          <w:szCs w:val="20"/>
          <w:color w:val="auto"/>
        </w:rPr>
      </w:pPr>
    </w:p>
    <w:p>
      <w:pPr>
        <w:sectPr>
          <w:pgSz w:w="11900" w:h="16838" w:orient="portrait"/>
          <w:cols w:equalWidth="0" w:num="2">
            <w:col w:w="5780" w:space="340"/>
            <w:col w:w="5120"/>
          </w:cols>
          <w:pgMar w:left="320" w:top="125"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pacing w:after="0" w:line="14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7"/>
                <w:szCs w:val="17"/>
                <w:color w:val="auto"/>
              </w:rPr>
            </w:pPr>
          </w:p>
        </w:tc>
      </w:tr>
      <w:tr>
        <w:trPr>
          <w:trHeight w:val="26"/>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89"/>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25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British pound sterling</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6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3"/>
                <w:szCs w:val="23"/>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5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shows the change in revenue and operating income caused by fluctuations in foreign currency rates used in translation during the three and nine months ended September 30,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Impact of Foreign Currency Rate Fluctuations (amounts in thousands)</w:t>
            </w:r>
          </w:p>
        </w:tc>
        <w:tc>
          <w:tcPr>
            <w:tcW w:w="10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0"/>
        </w:trPr>
        <w:tc>
          <w:tcPr>
            <w:tcW w:w="5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w:t>
            </w: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0" w:type="dxa"/>
            <w:vAlign w:val="bottom"/>
          </w:tcPr>
          <w:p>
            <w:pPr>
              <w:spacing w:after="0"/>
              <w:rPr>
                <w:sz w:val="1"/>
                <w:szCs w:val="1"/>
                <w:color w:val="auto"/>
              </w:rPr>
            </w:pPr>
          </w:p>
        </w:tc>
      </w:tr>
      <w:tr>
        <w:trPr>
          <w:trHeight w:val="230"/>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Increase (decrease) in operating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(8,600)</w:t>
            </w:r>
          </w:p>
        </w:tc>
        <w:tc>
          <w:tcPr>
            <w:tcW w:w="80" w:type="dxa"/>
            <w:vAlign w:val="bottom"/>
          </w:tcPr>
          <w:p>
            <w:pPr>
              <w:spacing w:after="0"/>
              <w:rPr>
                <w:sz w:val="20"/>
                <w:szCs w:val="20"/>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to the above, realized and unrealized losses from foreign currency re-measurement of transactions in nonfunctional currencies recognized in the condensed consolidated statements of income within general and administrative expense totaled $0.6 million and $0.5 million during the three months ended September 30, 2022 and 2021, respectively, and realized and unrealized losses totaled $2.3 million and $2.5 million during the nine months ended September 30, 2022 and 2021, respectively.</w:t>
      </w:r>
    </w:p>
    <w:p>
      <w:pPr>
        <w:spacing w:after="0" w:line="16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following table shows the impact a hypothetical 10% increase or decrease in the U.S. dollar against all other currencies and a hypothetical 10% increase in only euro or only British pound sterling exchange rates would have on the translation of actual revenue and operating income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Hypothetical 10% Change in Value of U.S. Dollar (amounts in thousands)</w:t>
            </w:r>
          </w:p>
        </w:tc>
        <w:tc>
          <w:tcPr>
            <w:tcW w:w="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All Currencies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26,200</w:t>
            </w: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Euros</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revenue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British pound sterling</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Effect of 10% change on revenue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10% change on operating income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904"/>
        </w:trPr>
        <w:tc>
          <w:tcPr>
            <w:tcW w:w="50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derivative risk relating to our foreign currency forward contracts. We enter into foreign currency forward contracts to mitigate our U.S. dollar and British pound sterling versus euro exposure, generally with a duration of not more than 12 months. We do not use derivative instruments for trading or speculative purposes. As of September 30, 2022 and December 31, 2021, the notional amount of our foreign currency forward contracts was $151.3 million and $146.2 million, respectively. Realized and unrealized gains on foreign currency forward contracts totaled $6.8 million and $1.3 million during the three months ended September 30, 2022 and 2021, respectively, and $12.9 million and $6.2 million during the nine months ended September 30, 2022 and 2021, respectively.</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credit risk relating to our receivables, which are primarily receivables from financial institutions, including investment managers and brokers and dealers. As of September 30, 2022 and December 31, 2021, the allowance for credit losses with regard to these receivables totaled $0.2 million and $0.3 million, respectively.</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3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spacing w:after="0" w:line="217" w:lineRule="exact"/>
        <w:rPr>
          <w:sz w:val="20"/>
          <w:szCs w:val="20"/>
          <w:color w:val="auto"/>
        </w:rPr>
      </w:pPr>
      <w:r>
        <w:rPr>
          <w:rFonts w:ascii="Arial" w:cs="Arial" w:eastAsia="Arial" w:hAnsi="Arial"/>
          <w:sz w:val="17"/>
          <w:szCs w:val="17"/>
          <w:color w:val="auto"/>
        </w:rPr>
        <w:t>Our management has evaluated, under the supervision of our Chief Executive Officer and Chief Financial Officer, the effectiveness of our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of the Exchange Act,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Based on that evaluation, our Chief Executive Officer and Chief Financial Officer have concluded that our disclosure controls and procedures as of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changes to our internal control over financial reporting during the quarter ended September 30, 2022 that have materially affected, or that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2021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2021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2022, we repurchased the following shares of shares of Class A common stock:</w:t>
      </w:r>
    </w:p>
    <w:p>
      <w:pPr>
        <w:spacing w:after="0" w:line="230" w:lineRule="exact"/>
        <w:rPr>
          <w:sz w:val="20"/>
          <w:szCs w:val="20"/>
          <w:color w:val="auto"/>
        </w:rPr>
      </w:pPr>
    </w:p>
    <w:p>
      <w:pPr>
        <w:jc w:val="right"/>
        <w:ind w:right="60"/>
        <w:spacing w:after="0"/>
        <w:tabs>
          <w:tab w:leader="none" w:pos="1220" w:val="left"/>
        </w:tabs>
        <w:rPr>
          <w:sz w:val="20"/>
          <w:szCs w:val="20"/>
          <w:color w:val="auto"/>
        </w:rPr>
      </w:pPr>
      <w:r>
        <w:rPr>
          <w:rFonts w:ascii="Arial" w:cs="Arial" w:eastAsia="Arial" w:hAnsi="Arial"/>
          <w:sz w:val="14"/>
          <w:szCs w:val="14"/>
          <w:b w:val="1"/>
          <w:bCs w:val="1"/>
          <w:color w:val="auto"/>
        </w:rPr>
        <w:t>Total Number of</w:t>
      </w:r>
      <w:r>
        <w:rPr>
          <w:sz w:val="20"/>
          <w:szCs w:val="20"/>
          <w:color w:val="auto"/>
        </w:rPr>
        <w:tab/>
      </w:r>
      <w:r>
        <w:rPr>
          <w:rFonts w:ascii="Arial" w:cs="Arial" w:eastAsia="Arial" w:hAnsi="Arial"/>
          <w:sz w:val="13"/>
          <w:szCs w:val="13"/>
          <w:b w:val="1"/>
          <w:bCs w:val="1"/>
          <w:color w:val="auto"/>
        </w:rPr>
        <w:t>Approximate Dollar</w:t>
      </w:r>
    </w:p>
    <w:p>
      <w:pPr>
        <w:sectPr>
          <w:pgSz w:w="11900" w:h="16838" w:orient="portrait"/>
          <w:cols w:equalWidth="0" w:num="1">
            <w:col w:w="11240"/>
          </w:cols>
          <w:pgMar w:left="320" w:top="125" w:right="33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Price Paid</w:t>
            </w:r>
          </w:p>
        </w:tc>
      </w:tr>
      <w:tr>
        <w:trPr>
          <w:trHeight w:val="186"/>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per Share</w:t>
            </w:r>
          </w:p>
        </w:tc>
      </w:tr>
      <w:tr>
        <w:trPr>
          <w:trHeight w:val="39"/>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Shares Purchased as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Shares That</w:t>
            </w:r>
          </w:p>
        </w:tc>
      </w:tr>
      <w:tr>
        <w:trPr>
          <w:trHeight w:val="17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Part of Publicly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Announced Plans or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 Under the</w:t>
            </w:r>
          </w:p>
        </w:tc>
      </w:tr>
      <w:tr>
        <w:trPr>
          <w:trHeight w:val="186"/>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Plans or Programs </w:t>
            </w:r>
            <w:r>
              <w:rPr>
                <w:rFonts w:ascii="Arial" w:cs="Arial" w:eastAsia="Arial" w:hAnsi="Arial"/>
                <w:sz w:val="9"/>
                <w:szCs w:val="9"/>
                <w:b w:val="1"/>
                <w:bCs w:val="1"/>
                <w:color w:val="auto"/>
                <w:w w:val="93"/>
              </w:rPr>
              <w:t>(1)</w:t>
            </w:r>
          </w:p>
        </w:tc>
      </w:tr>
      <w:tr>
        <w:trPr>
          <w:trHeight w:val="39"/>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1"/>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r>
    </w:tbl>
    <w:p>
      <w:pPr>
        <w:spacing w:after="0" w:line="26" w:lineRule="exact"/>
        <w:rPr>
          <w:sz w:val="20"/>
          <w:szCs w:val="20"/>
          <w:color w:val="auto"/>
        </w:rPr>
      </w:pPr>
    </w:p>
    <w:p>
      <w:pPr>
        <w:sectPr>
          <w:pgSz w:w="11900" w:h="16838" w:orient="portrait"/>
          <w:cols w:equalWidth="0" w:num="2">
            <w:col w:w="8360" w:space="80"/>
            <w:col w:w="2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2022 – July 31, 2022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August 1, 2022 – August 30, 2022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9,001</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2022 – September 30, 2022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129,809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129,809</w:t>
            </w: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line="315" w:lineRule="auto"/>
        <w:tabs>
          <w:tab w:leader="none" w:pos="328" w:val="left"/>
        </w:tabs>
        <w:numPr>
          <w:ilvl w:val="0"/>
          <w:numId w:val="30"/>
        </w:numPr>
        <w:rPr>
          <w:rFonts w:ascii="Arial" w:cs="Arial" w:eastAsia="Arial" w:hAnsi="Arial"/>
          <w:sz w:val="12"/>
          <w:szCs w:val="12"/>
          <w:color w:val="auto"/>
        </w:rPr>
      </w:pPr>
      <w:r>
        <w:rPr>
          <w:rFonts w:ascii="Arial" w:cs="Arial" w:eastAsia="Arial" w:hAnsi="Arial"/>
          <w:sz w:val="12"/>
          <w:szCs w:val="12"/>
          <w:color w:val="auto"/>
        </w:rPr>
        <w:t>On February 4, 2021, we announced that the board of directors authorized a new share repurchase program (the “Share Repurchase Program”), primarily to offset annual dilution from stock-based compensation plans. The Share Repurchase Program authorizes the purchase of up to $150.0 million of the Company’s Class A common stock at the Company’s discretion through the end of fiscal year 2023. The Share Repurchase Program will be effected primarily through regular open-market purchases (which may include repurchase plans designed to comply with Rule 10b5-1). The Share Repurchase Program does not require the Company to acquire a specific number of shares and may be suspended, amended or discontinued at any time. Each share of Class A common stock repurchased pursuant to the Share Repurchase Program was funded with the proceeds, on a dollar-for-dollar basis, from the repurchase by Tradeweb Markets LLC of an LLC Interest from the Company in order to maintain the one-to-one ratio between outstanding shares of the Company’s common stock and LLC Interests owned by the Company.</w:t>
      </w:r>
    </w:p>
    <w:p>
      <w:pPr>
        <w:spacing w:after="0" w:line="133"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table above does not reflect shares surrendered to cover the payroll tax withholding obligations upon the exercise of stock options and vesting of performance</w:t>
      </w:r>
      <w:r>
        <w:rPr>
          <w:rFonts w:ascii="Arial" w:cs="Arial" w:eastAsia="Arial" w:hAnsi="Arial"/>
          <w:sz w:val="16"/>
          <w:szCs w:val="16"/>
          <w:b w:val="1"/>
          <w:bCs w:val="1"/>
          <w:color w:val="auto"/>
        </w:rPr>
        <w:t>-</w:t>
      </w:r>
      <w:r>
        <w:rPr>
          <w:rFonts w:ascii="Arial" w:cs="Arial" w:eastAsia="Arial" w:hAnsi="Arial"/>
          <w:sz w:val="16"/>
          <w:szCs w:val="16"/>
          <w:color w:val="auto"/>
        </w:rPr>
        <w:t>based restricted stock units and restricted stock units. During the three months ended September 30, 2022, the Company withheld 33,348 shares, of common stock from employee stock option, performance-based restricted stock and restricted stock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20" w:type="dxa"/>
            <w:vAlign w:val="bottom"/>
            <w:gridSpan w:val="6"/>
          </w:tcPr>
          <w:p>
            <w:pPr>
              <w:ind w:left="2720"/>
              <w:spacing w:after="0"/>
              <w:rPr>
                <w:sz w:val="20"/>
                <w:szCs w:val="20"/>
                <w:color w:val="auto"/>
              </w:rPr>
            </w:pPr>
            <w:r>
              <w:rPr>
                <w:rFonts w:ascii="Arial" w:cs="Arial" w:eastAsia="Arial" w:hAnsi="Arial"/>
                <w:sz w:val="14"/>
                <w:szCs w:val="14"/>
                <w:b w:val="1"/>
                <w:bCs w:val="1"/>
                <w:color w:val="auto"/>
              </w:rPr>
              <w:t>Description of Exhibit</w:t>
            </w:r>
          </w:p>
        </w:tc>
      </w:tr>
      <w:tr>
        <w:trPr>
          <w:trHeight w:val="26"/>
        </w:trPr>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31"/>
        </w:trPr>
        <w:tc>
          <w:tcPr>
            <w:tcW w:w="150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Arial" w:cs="Arial" w:eastAsia="Arial" w:hAnsi="Arial"/>
                <w:sz w:val="18"/>
                <w:szCs w:val="18"/>
                <w:color w:val="0000FF"/>
                <w:w w:val="98"/>
              </w:rPr>
              <w:t>Certification of Chief Executive Officer pursuant to Rule 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or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of the Securities Exchange Act of 1934, as</w:t>
            </w:r>
          </w:p>
        </w:tc>
      </w:tr>
      <w:tr>
        <w:trPr>
          <w:trHeight w:val="155"/>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line="207" w:lineRule="exact"/>
              <w:rPr>
                <w:sz w:val="20"/>
                <w:szCs w:val="20"/>
                <w:color w:val="auto"/>
              </w:rPr>
            </w:pPr>
            <w:r>
              <w:rPr>
                <w:rFonts w:ascii="Arial" w:cs="Arial" w:eastAsia="Arial" w:hAnsi="Arial"/>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or 15d</w:t>
            </w:r>
            <w:r>
              <w:rPr>
                <w:rFonts w:ascii="MS PGothic" w:cs="MS PGothic" w:eastAsia="MS PGothic" w:hAnsi="MS PGothic"/>
                <w:sz w:val="18"/>
                <w:szCs w:val="18"/>
                <w:color w:val="0000FF"/>
                <w:w w:val="99"/>
              </w:rPr>
              <w:t>‑</w:t>
            </w:r>
            <w:r>
              <w:rPr>
                <w:rFonts w:ascii="Arial" w:cs="Arial" w:eastAsia="Arial" w:hAnsi="Arial"/>
                <w:sz w:val="18"/>
                <w:szCs w:val="18"/>
                <w:color w:val="0000FF"/>
                <w:w w:val="99"/>
              </w:rPr>
              <w:t>14(a) of the Securities Exchange Act of 1934, as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9"/>
              </w:rPr>
              <w:t>amended, as adopted pursuant to Section 302 of the Sarbanes-Oxley Act of 2002.</w:t>
            </w:r>
          </w:p>
        </w:tc>
        <w:tc>
          <w:tcPr>
            <w:tcW w:w="3000" w:type="dxa"/>
            <w:vAlign w:val="bottom"/>
            <w:tcBorders>
              <w:top w:val="single" w:sz="8" w:color="0000FF"/>
            </w:tcBorders>
          </w:tcPr>
          <w:p>
            <w:pPr>
              <w:spacing w:after="0"/>
              <w:rPr>
                <w:sz w:val="13"/>
                <w:szCs w:val="13"/>
                <w:color w:val="auto"/>
              </w:rPr>
            </w:pP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w w:val="93"/>
              </w:rPr>
              <w:t>Certification of Chief Executive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sz w:val="20"/>
                <w:szCs w:val="20"/>
                <w:color w:val="auto"/>
              </w:rPr>
            </w:pPr>
            <w:r>
              <w:rPr>
                <w:rFonts w:ascii="Arial" w:cs="Arial" w:eastAsia="Arial" w:hAnsi="Arial"/>
                <w:sz w:val="18"/>
                <w:szCs w:val="18"/>
                <w:color w:val="0000FF"/>
              </w:rPr>
              <w:t>Oxley Act of 2002.</w:t>
            </w:r>
          </w:p>
        </w:tc>
        <w:tc>
          <w:tcPr>
            <w:tcW w:w="3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385"/>
        </w:trPr>
        <w:tc>
          <w:tcPr>
            <w:tcW w:w="150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0000FF"/>
                <w:w w:val="94"/>
              </w:rPr>
              <w:t>Certification of Chief Financial Officer pursuant to 18 U.S.C. Section 1350, as adopted pursuant to Section 906 of the Sarbanes-</w:t>
            </w:r>
          </w:p>
        </w:tc>
      </w:tr>
      <w:tr>
        <w:trPr>
          <w:trHeight w:val="156"/>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Oxley Act of 2002.</w:t>
            </w:r>
          </w:p>
        </w:tc>
        <w:tc>
          <w:tcPr>
            <w:tcW w:w="360" w:type="dxa"/>
            <w:vAlign w:val="bottom"/>
            <w:gridSpan w:val="2"/>
          </w:tcPr>
          <w:p>
            <w:pPr>
              <w:spacing w:after="0"/>
              <w:rPr>
                <w:sz w:val="13"/>
                <w:szCs w:val="13"/>
                <w:color w:val="auto"/>
              </w:rPr>
            </w:pPr>
          </w:p>
        </w:tc>
      </w:tr>
      <w:tr>
        <w:trPr>
          <w:trHeight w:val="20"/>
        </w:trPr>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20" w:type="dxa"/>
            <w:vAlign w:val="bottom"/>
            <w:gridSpan w:val="6"/>
          </w:tcPr>
          <w:p>
            <w:pPr>
              <w:spacing w:after="0" w:line="20" w:lineRule="exact"/>
              <w:rPr>
                <w:sz w:val="1"/>
                <w:szCs w:val="1"/>
                <w:color w:val="auto"/>
              </w:rPr>
            </w:pPr>
          </w:p>
        </w:tc>
      </w:tr>
      <w:tr>
        <w:trPr>
          <w:trHeight w:val="425"/>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1"/>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50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7"/>
          </w:tcPr>
          <w:p>
            <w:pPr>
              <w:spacing w:after="0"/>
              <w:rPr>
                <w:sz w:val="20"/>
                <w:szCs w:val="20"/>
                <w:color w:val="auto"/>
              </w:rPr>
            </w:pPr>
            <w:r>
              <w:rPr>
                <w:rFonts w:ascii="Arial" w:cs="Arial" w:eastAsia="Arial" w:hAnsi="Arial"/>
                <w:sz w:val="18"/>
                <w:szCs w:val="18"/>
                <w:color w:val="auto"/>
              </w:rPr>
              <w:t>Cover page formatted as Inline XBRL and contained in Exhibit 101.</w:t>
            </w:r>
          </w:p>
        </w:tc>
      </w:tr>
      <w:tr>
        <w:trPr>
          <w:trHeight w:val="486"/>
        </w:trPr>
        <w:tc>
          <w:tcPr>
            <w:tcW w:w="160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Lee Olesky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(Principal Executive Officer)</w:t>
      </w: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40640</wp:posOffset>
            </wp:positionV>
            <wp:extent cx="36347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Arial" w:cs="Arial" w:eastAsia="Arial" w:hAnsi="Arial"/>
          <w:sz w:val="18"/>
          <w:szCs w:val="18"/>
          <w:color w:val="auto"/>
        </w:rPr>
        <w:t>By:</w:t>
        <w:tab/>
        <w:t>Sara Furber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600"/>
          </w:cols>
          <w:pgMar w:left="320" w:top="125" w:right="97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Lee Olesky,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27,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Lee Olesky</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Lee Olesky</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0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30, 2022 of Tradeweb Markets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5"/>
          <w:szCs w:val="15"/>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Sara Furber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2022, as filed with the Securities and Exchange Commission on the date hereof (the “Report”), Lee Olesky, Chief Executive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6"/>
          <w:szCs w:val="16"/>
          <w:color w:val="auto"/>
        </w:rPr>
        <w:t>/s/ 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5572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 Olesky</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In connection with the Quarterly Report on Form 10-Q of Tradeweb Markets Inc. (the “Company”) for the fiscal quarter ended September 30, 2022,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49"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October 27, 2022</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 Furber</w:t>
            </w:r>
          </w:p>
        </w:tc>
      </w:tr>
      <w:tr>
        <w:trPr>
          <w:trHeight w:val="222"/>
        </w:trPr>
        <w:tc>
          <w:tcPr>
            <w:tcW w:w="558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Sara Furber</w:t>
            </w:r>
          </w:p>
        </w:tc>
      </w:tr>
      <w:tr>
        <w:trPr>
          <w:trHeight w:val="230"/>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2022-10-27T15:18:10Z</dcterms:created>
  <dcterms:modified xsi:type="dcterms:W3CDTF">2022-10-27T15:18:10Z</dcterms:modified>
</cp:coreProperties>
</file>