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30, 2020</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43" w:lineRule="exact"/>
        <w:rPr>
          <w:sz w:val="24"/>
          <w:szCs w:val="24"/>
          <w:color w:val="auto"/>
        </w:rPr>
      </w:pPr>
    </w:p>
    <w:tbl>
      <w:tblPr>
        <w:tblLayout w:type="fixed"/>
        <w:tblInd w:w="900" w:type="dxa"/>
        <w:tblCellMar>
          <w:top w:w="0" w:type="dxa"/>
          <w:left w:w="0" w:type="dxa"/>
          <w:bottom w:w="0" w:type="dxa"/>
          <w:right w:w="0" w:type="dxa"/>
        </w:tblCellMar>
      </w:tblPr>
      <w:tr>
        <w:trPr>
          <w:trHeight w:val="248"/>
        </w:trPr>
        <w:tc>
          <w:tcPr>
            <w:tcW w:w="4100" w:type="dxa"/>
            <w:vAlign w:val="bottom"/>
          </w:tcPr>
          <w:p>
            <w:pPr>
              <w:jc w:val="center"/>
              <w:ind w:right="2070"/>
              <w:spacing w:after="0"/>
              <w:rPr>
                <w:sz w:val="20"/>
                <w:szCs w:val="20"/>
                <w:color w:val="auto"/>
              </w:rPr>
            </w:pPr>
            <w:r>
              <w:rPr>
                <w:rFonts w:ascii="Arial" w:cs="Arial" w:eastAsia="Arial" w:hAnsi="Arial"/>
                <w:sz w:val="18"/>
                <w:szCs w:val="18"/>
                <w:b w:val="1"/>
                <w:bCs w:val="1"/>
                <w:color w:val="auto"/>
                <w:w w:val="93"/>
              </w:rPr>
              <w:t>Delaware</w:t>
            </w:r>
          </w:p>
        </w:tc>
        <w:tc>
          <w:tcPr>
            <w:tcW w:w="240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001-38860</w:t>
            </w:r>
          </w:p>
        </w:tc>
        <w:tc>
          <w:tcPr>
            <w:tcW w:w="2620" w:type="dxa"/>
            <w:vAlign w:val="bottom"/>
          </w:tcPr>
          <w:p>
            <w:pPr>
              <w:jc w:val="right"/>
              <w:ind w:right="130"/>
              <w:spacing w:after="0"/>
              <w:rPr>
                <w:sz w:val="20"/>
                <w:szCs w:val="20"/>
                <w:color w:val="auto"/>
              </w:rPr>
            </w:pPr>
            <w:r>
              <w:rPr>
                <w:rFonts w:ascii="Arial" w:cs="Arial" w:eastAsia="Arial" w:hAnsi="Arial"/>
                <w:sz w:val="18"/>
                <w:szCs w:val="18"/>
                <w:b w:val="1"/>
                <w:bCs w:val="1"/>
                <w:color w:val="auto"/>
              </w:rPr>
              <w:t>83-2456358</w:t>
            </w:r>
          </w:p>
        </w:tc>
      </w:tr>
      <w:tr>
        <w:trPr>
          <w:trHeight w:val="216"/>
        </w:trPr>
        <w:tc>
          <w:tcPr>
            <w:tcW w:w="4100" w:type="dxa"/>
            <w:vAlign w:val="bottom"/>
          </w:tcPr>
          <w:p>
            <w:pPr>
              <w:jc w:val="center"/>
              <w:ind w:right="2070"/>
              <w:spacing w:after="0"/>
              <w:rPr>
                <w:sz w:val="20"/>
                <w:szCs w:val="20"/>
                <w:color w:val="auto"/>
              </w:rPr>
            </w:pPr>
            <w:r>
              <w:rPr>
                <w:rFonts w:ascii="Arial" w:cs="Arial" w:eastAsia="Arial" w:hAnsi="Arial"/>
                <w:sz w:val="18"/>
                <w:szCs w:val="18"/>
                <w:color w:val="auto"/>
                <w:w w:val="90"/>
              </w:rPr>
              <w:t>(State or Other Jurisdiction</w:t>
            </w:r>
          </w:p>
        </w:tc>
        <w:tc>
          <w:tcPr>
            <w:tcW w:w="2400" w:type="dxa"/>
            <w:vAlign w:val="bottom"/>
          </w:tcPr>
          <w:p>
            <w:pPr>
              <w:jc w:val="center"/>
              <w:ind w:right="1070"/>
              <w:spacing w:after="0"/>
              <w:rPr>
                <w:sz w:val="20"/>
                <w:szCs w:val="20"/>
                <w:color w:val="auto"/>
              </w:rPr>
            </w:pPr>
            <w:r>
              <w:rPr>
                <w:rFonts w:ascii="Arial" w:cs="Arial" w:eastAsia="Arial" w:hAnsi="Arial"/>
                <w:sz w:val="18"/>
                <w:szCs w:val="18"/>
                <w:color w:val="auto"/>
                <w:w w:val="91"/>
              </w:rPr>
              <w:t>(Commission</w:t>
            </w: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3"/>
              </w:rPr>
              <w:t>(I.R.S. Employer</w:t>
            </w:r>
          </w:p>
        </w:tc>
      </w:tr>
      <w:tr>
        <w:trPr>
          <w:trHeight w:val="243"/>
        </w:trPr>
        <w:tc>
          <w:tcPr>
            <w:tcW w:w="4100" w:type="dxa"/>
            <w:vAlign w:val="bottom"/>
          </w:tcPr>
          <w:p>
            <w:pPr>
              <w:jc w:val="center"/>
              <w:ind w:right="2030"/>
              <w:spacing w:after="0"/>
              <w:rPr>
                <w:sz w:val="20"/>
                <w:szCs w:val="20"/>
                <w:color w:val="auto"/>
              </w:rPr>
            </w:pPr>
            <w:r>
              <w:rPr>
                <w:rFonts w:ascii="Arial" w:cs="Arial" w:eastAsia="Arial" w:hAnsi="Arial"/>
                <w:sz w:val="18"/>
                <w:szCs w:val="18"/>
                <w:color w:val="auto"/>
                <w:w w:val="93"/>
              </w:rPr>
              <w:t>of Incorporation)</w:t>
            </w:r>
          </w:p>
        </w:tc>
        <w:tc>
          <w:tcPr>
            <w:tcW w:w="2400" w:type="dxa"/>
            <w:vAlign w:val="bottom"/>
          </w:tcPr>
          <w:p>
            <w:pPr>
              <w:jc w:val="center"/>
              <w:ind w:right="1050"/>
              <w:spacing w:after="0"/>
              <w:rPr>
                <w:sz w:val="20"/>
                <w:szCs w:val="20"/>
                <w:color w:val="auto"/>
              </w:rPr>
            </w:pPr>
            <w:r>
              <w:rPr>
                <w:rFonts w:ascii="Arial" w:cs="Arial" w:eastAsia="Arial" w:hAnsi="Arial"/>
                <w:sz w:val="18"/>
                <w:szCs w:val="18"/>
                <w:color w:val="auto"/>
                <w:w w:val="94"/>
              </w:rPr>
              <w:t>File Number)</w:t>
            </w:r>
          </w:p>
        </w:tc>
        <w:tc>
          <w:tcPr>
            <w:tcW w:w="2620" w:type="dxa"/>
            <w:vAlign w:val="bottom"/>
          </w:tcPr>
          <w:p>
            <w:pPr>
              <w:jc w:val="center"/>
              <w:ind w:left="119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100" w:type="dxa"/>
            <w:vAlign w:val="bottom"/>
          </w:tcPr>
          <w:p>
            <w:pPr>
              <w:jc w:val="center"/>
              <w:ind w:left="1490"/>
              <w:spacing w:after="0"/>
              <w:rPr>
                <w:sz w:val="20"/>
                <w:szCs w:val="20"/>
                <w:color w:val="auto"/>
              </w:rPr>
            </w:pPr>
            <w:r>
              <w:rPr>
                <w:rFonts w:ascii="Arial" w:cs="Arial" w:eastAsia="Arial" w:hAnsi="Arial"/>
                <w:sz w:val="18"/>
                <w:szCs w:val="18"/>
                <w:b w:val="1"/>
                <w:bCs w:val="1"/>
                <w:color w:val="auto"/>
                <w:w w:val="87"/>
              </w:rPr>
              <w:t>1177 Avenue of the Americas</w:t>
            </w:r>
          </w:p>
        </w:tc>
        <w:tc>
          <w:tcPr>
            <w:tcW w:w="240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248"/>
        </w:trPr>
        <w:tc>
          <w:tcPr>
            <w:tcW w:w="4100" w:type="dxa"/>
            <w:vAlign w:val="bottom"/>
          </w:tcPr>
          <w:p>
            <w:pPr>
              <w:jc w:val="center"/>
              <w:ind w:left="1510"/>
              <w:spacing w:after="0"/>
              <w:rPr>
                <w:sz w:val="20"/>
                <w:szCs w:val="20"/>
                <w:color w:val="auto"/>
              </w:rPr>
            </w:pPr>
            <w:r>
              <w:rPr>
                <w:rFonts w:ascii="Arial" w:cs="Arial" w:eastAsia="Arial" w:hAnsi="Arial"/>
                <w:sz w:val="18"/>
                <w:szCs w:val="18"/>
                <w:b w:val="1"/>
                <w:bCs w:val="1"/>
                <w:color w:val="auto"/>
                <w:w w:val="93"/>
              </w:rPr>
              <w:t>New York, New York</w:t>
            </w:r>
          </w:p>
        </w:tc>
        <w:tc>
          <w:tcPr>
            <w:tcW w:w="2400" w:type="dxa"/>
            <w:vAlign w:val="bottom"/>
          </w:tcPr>
          <w:p>
            <w:pPr>
              <w:spacing w:after="0"/>
              <w:rPr>
                <w:sz w:val="21"/>
                <w:szCs w:val="21"/>
                <w:color w:val="auto"/>
              </w:rPr>
            </w:pPr>
          </w:p>
        </w:tc>
        <w:tc>
          <w:tcPr>
            <w:tcW w:w="2620" w:type="dxa"/>
            <w:vAlign w:val="bottom"/>
          </w:tcPr>
          <w:p>
            <w:pPr>
              <w:jc w:val="right"/>
              <w:ind w:right="35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30"/>
              <w:spacing w:after="0"/>
              <w:rPr>
                <w:sz w:val="20"/>
                <w:szCs w:val="20"/>
                <w:color w:val="auto"/>
              </w:rPr>
            </w:pPr>
            <w:r>
              <w:rPr>
                <w:rFonts w:ascii="Arial" w:cs="Arial" w:eastAsia="Arial" w:hAnsi="Arial"/>
                <w:sz w:val="18"/>
                <w:szCs w:val="18"/>
                <w:color w:val="auto"/>
                <w:w w:val="92"/>
              </w:rPr>
              <w:t>(Address of Principal Executive Offices)</w:t>
            </w:r>
          </w:p>
        </w:tc>
        <w:tc>
          <w:tcPr>
            <w:tcW w:w="2620" w:type="dxa"/>
            <w:vAlign w:val="bottom"/>
          </w:tcPr>
          <w:p>
            <w:pPr>
              <w:jc w:val="center"/>
              <w:ind w:left="121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46"/>
        </w:trPr>
        <w:tc>
          <w:tcPr>
            <w:tcW w:w="4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6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Title of each class</w:t>
            </w:r>
          </w:p>
        </w:tc>
        <w:tc>
          <w:tcPr>
            <w:tcW w:w="3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7"/>
        </w:trPr>
        <w:tc>
          <w:tcPr>
            <w:tcW w:w="420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Class A common stock, par value $0.00001</w:t>
            </w:r>
          </w:p>
        </w:tc>
        <w:tc>
          <w:tcPr>
            <w:tcW w:w="32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TW</w:t>
            </w:r>
          </w:p>
        </w:tc>
        <w:tc>
          <w:tcPr>
            <w:tcW w:w="334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On July 30, 2020, Tradeweb Markets Inc. (the “Company”) issued a press release, a copy of which is furnished as Exhibit 99.1 hereto and incorporated herein by reference, announcing financial results for the quarter ended June 30, 2020.</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9400" w:type="dxa"/>
            <w:vAlign w:val="bottom"/>
          </w:tcPr>
          <w:p>
            <w:pPr>
              <w:spacing w:after="0"/>
              <w:rPr>
                <w:sz w:val="17"/>
                <w:szCs w:val="17"/>
                <w:color w:val="auto"/>
              </w:rPr>
            </w:pPr>
          </w:p>
        </w:tc>
      </w:tr>
      <w:tr>
        <w:trPr>
          <w:trHeight w:val="210"/>
        </w:trPr>
        <w:tc>
          <w:tcPr>
            <w:tcW w:w="184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9400" w:type="dxa"/>
            <w:vAlign w:val="bottom"/>
          </w:tcPr>
          <w:p>
            <w:pPr>
              <w:ind w:left="4020"/>
              <w:spacing w:after="0"/>
              <w:rPr>
                <w:sz w:val="20"/>
                <w:szCs w:val="20"/>
                <w:color w:val="auto"/>
              </w:rPr>
            </w:pPr>
            <w:r>
              <w:rPr>
                <w:rFonts w:ascii="Arial" w:cs="Arial" w:eastAsia="Arial" w:hAnsi="Arial"/>
                <w:sz w:val="16"/>
                <w:szCs w:val="16"/>
                <w:b w:val="1"/>
                <w:bCs w:val="1"/>
                <w:color w:val="auto"/>
              </w:rPr>
              <w:t>Exhibit Description</w:t>
            </w:r>
          </w:p>
        </w:tc>
      </w:tr>
      <w:tr>
        <w:trPr>
          <w:trHeight w:val="33"/>
        </w:trPr>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r>
        <w:trPr>
          <w:trHeight w:val="520"/>
        </w:trPr>
        <w:tc>
          <w:tcPr>
            <w:tcW w:w="1740" w:type="dxa"/>
            <w:vAlign w:val="bottom"/>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940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of Tradeweb Markets Inc., dated July 30, 2020.</w:t>
              </w:r>
            </w:hyperlink>
          </w:p>
        </w:tc>
      </w:tr>
      <w:tr>
        <w:trPr>
          <w:trHeight w:val="243"/>
        </w:trPr>
        <w:tc>
          <w:tcPr>
            <w:tcW w:w="17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94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991"/>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TRADEWEB MARKETS INC.</w:t>
      </w:r>
    </w:p>
    <w:p>
      <w:pPr>
        <w:spacing w:after="0" w:line="333" w:lineRule="exact"/>
        <w:rPr>
          <w:sz w:val="20"/>
          <w:szCs w:val="20"/>
          <w:color w:val="auto"/>
        </w:rPr>
      </w:pPr>
    </w:p>
    <w:p>
      <w:pPr>
        <w:ind w:left="20"/>
        <w:spacing w:after="0"/>
        <w:tabs>
          <w:tab w:leader="none" w:pos="7300" w:val="left"/>
          <w:tab w:leader="none" w:pos="7820" w:val="left"/>
        </w:tabs>
        <w:rPr>
          <w:sz w:val="20"/>
          <w:szCs w:val="20"/>
          <w:color w:val="auto"/>
        </w:rPr>
      </w:pPr>
      <w:r>
        <w:rPr>
          <w:rFonts w:ascii="Arial" w:cs="Arial" w:eastAsia="Arial" w:hAnsi="Arial"/>
          <w:sz w:val="18"/>
          <w:szCs w:val="18"/>
          <w:color w:val="auto"/>
        </w:rPr>
        <w:t>Date: 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31750</wp:posOffset>
            </wp:positionV>
            <wp:extent cx="216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Name: Douglas Friedman</w:t>
      </w:r>
    </w:p>
    <w:p>
      <w:pPr>
        <w:spacing w:after="0" w:line="6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920"/>
          </w:cols>
          <w:pgMar w:left="320" w:top="1134" w:right="659" w:bottom="1440" w:gutter="0" w:footer="0" w:header="0"/>
        </w:sectPr>
      </w:pPr>
    </w:p>
    <w:bookmarkStart w:id="3" w:name="page4"/>
    <w:bookmarkEnd w:id="3"/>
    <w:tbl>
      <w:tblPr>
        <w:tblLayout w:type="fixed"/>
        <w:tblInd w:w="5820" w:type="dxa"/>
        <w:tblCellMar>
          <w:top w:w="0" w:type="dxa"/>
          <w:left w:w="0" w:type="dxa"/>
          <w:bottom w:w="0" w:type="dxa"/>
          <w:right w:w="0" w:type="dxa"/>
        </w:tblCellMar>
      </w:tblPr>
      <w:tr>
        <w:trPr>
          <w:trHeight w:val="209"/>
        </w:trPr>
        <w:tc>
          <w:tcPr>
            <w:tcW w:w="2340" w:type="dxa"/>
            <w:vAlign w:val="bottom"/>
            <w:vMerge w:val="restart"/>
          </w:tcPr>
          <w:p>
            <w:pPr>
              <w:spacing w:after="0"/>
              <w:rPr>
                <w:sz w:val="20"/>
                <w:szCs w:val="20"/>
                <w:color w:val="auto"/>
              </w:rPr>
            </w:pPr>
            <w:r>
              <w:rPr>
                <w:rFonts w:ascii="Arial" w:cs="Arial" w:eastAsia="Arial" w:hAnsi="Arial"/>
                <w:sz w:val="16"/>
                <w:szCs w:val="16"/>
                <w:b w:val="1"/>
                <w:bCs w:val="1"/>
                <w:color w:val="083566"/>
              </w:rPr>
              <w:t>Investor Relations</w:t>
            </w:r>
          </w:p>
        </w:tc>
        <w:tc>
          <w:tcPr>
            <w:tcW w:w="2340" w:type="dxa"/>
            <w:vAlign w:val="bottom"/>
          </w:tcPr>
          <w:p>
            <w:pPr>
              <w:ind w:left="40"/>
              <w:spacing w:after="0"/>
              <w:rPr>
                <w:sz w:val="20"/>
                <w:szCs w:val="20"/>
                <w:color w:val="auto"/>
              </w:rPr>
            </w:pPr>
            <w:r>
              <w:rPr>
                <w:rFonts w:ascii="Arial" w:cs="Arial" w:eastAsia="Arial" w:hAnsi="Arial"/>
                <w:sz w:val="16"/>
                <w:szCs w:val="16"/>
                <w:b w:val="1"/>
                <w:bCs w:val="1"/>
                <w:color w:val="083566"/>
              </w:rPr>
              <w:t>Media Relations</w:t>
            </w:r>
          </w:p>
        </w:tc>
        <w:tc>
          <w:tcPr>
            <w:tcW w:w="0" w:type="dxa"/>
            <w:vAlign w:val="bottom"/>
          </w:tcPr>
          <w:p>
            <w:pPr>
              <w:spacing w:after="0"/>
              <w:rPr>
                <w:sz w:val="1"/>
                <w:szCs w:val="1"/>
                <w:color w:val="auto"/>
              </w:rPr>
            </w:pPr>
          </w:p>
        </w:tc>
      </w:tr>
      <w:tr>
        <w:trPr>
          <w:trHeight w:val="95"/>
        </w:trPr>
        <w:tc>
          <w:tcPr>
            <w:tcW w:w="2340" w:type="dxa"/>
            <w:vAlign w:val="bottom"/>
            <w:vMerge w:val="continue"/>
          </w:tcPr>
          <w:p>
            <w:pPr>
              <w:spacing w:after="0"/>
              <w:rPr>
                <w:sz w:val="8"/>
                <w:szCs w:val="8"/>
                <w:color w:val="auto"/>
              </w:rPr>
            </w:pPr>
          </w:p>
        </w:tc>
        <w:tc>
          <w:tcPr>
            <w:tcW w:w="2340" w:type="dxa"/>
            <w:vAlign w:val="bottom"/>
            <w:vMerge w:val="restart"/>
          </w:tcPr>
          <w:p>
            <w:pPr>
              <w:ind w:left="40"/>
              <w:spacing w:after="0"/>
              <w:rPr>
                <w:sz w:val="20"/>
                <w:szCs w:val="20"/>
                <w:color w:val="auto"/>
              </w:rPr>
            </w:pPr>
            <w:r>
              <w:rPr>
                <w:rFonts w:ascii="Arial" w:cs="Arial" w:eastAsia="Arial" w:hAnsi="Arial"/>
                <w:sz w:val="16"/>
                <w:szCs w:val="16"/>
                <w:color w:val="auto"/>
              </w:rPr>
              <w:t>Daniel Noonan + 1 646 767</w:t>
            </w:r>
          </w:p>
        </w:tc>
        <w:tc>
          <w:tcPr>
            <w:tcW w:w="0" w:type="dxa"/>
            <w:vAlign w:val="bottom"/>
          </w:tcPr>
          <w:p>
            <w:pPr>
              <w:spacing w:after="0"/>
              <w:rPr>
                <w:sz w:val="1"/>
                <w:szCs w:val="1"/>
                <w:color w:val="auto"/>
              </w:rPr>
            </w:pPr>
          </w:p>
        </w:tc>
      </w:tr>
      <w:tr>
        <w:trPr>
          <w:trHeight w:val="94"/>
        </w:trPr>
        <w:tc>
          <w:tcPr>
            <w:tcW w:w="2340" w:type="dxa"/>
            <w:vAlign w:val="bottom"/>
            <w:vMerge w:val="restart"/>
          </w:tcPr>
          <w:p>
            <w:pPr>
              <w:spacing w:after="0"/>
              <w:rPr>
                <w:sz w:val="20"/>
                <w:szCs w:val="20"/>
                <w:color w:val="auto"/>
              </w:rPr>
            </w:pPr>
            <w:r>
              <w:rPr>
                <w:rFonts w:ascii="Arial" w:cs="Arial" w:eastAsia="Arial" w:hAnsi="Arial"/>
                <w:sz w:val="16"/>
                <w:szCs w:val="16"/>
                <w:color w:val="auto"/>
              </w:rPr>
              <w:t>Ashley Serrao + 1 646 430 6027</w:t>
            </w:r>
          </w:p>
        </w:tc>
        <w:tc>
          <w:tcPr>
            <w:tcW w:w="2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340" w:type="dxa"/>
            <w:vAlign w:val="bottom"/>
            <w:vMerge w:val="continue"/>
          </w:tcPr>
          <w:p>
            <w:pPr>
              <w:spacing w:after="0"/>
              <w:rPr>
                <w:sz w:val="12"/>
                <w:szCs w:val="12"/>
                <w:color w:val="auto"/>
              </w:rPr>
            </w:pPr>
          </w:p>
        </w:tc>
        <w:tc>
          <w:tcPr>
            <w:tcW w:w="2340" w:type="dxa"/>
            <w:vAlign w:val="bottom"/>
          </w:tcPr>
          <w:p>
            <w:pPr>
              <w:ind w:left="40"/>
              <w:spacing w:after="0" w:line="147" w:lineRule="exact"/>
              <w:rPr>
                <w:sz w:val="20"/>
                <w:szCs w:val="20"/>
                <w:color w:val="auto"/>
              </w:rPr>
            </w:pPr>
            <w:r>
              <w:rPr>
                <w:rFonts w:ascii="Arial" w:cs="Arial" w:eastAsia="Arial" w:hAnsi="Arial"/>
                <w:sz w:val="16"/>
                <w:szCs w:val="16"/>
                <w:color w:val="auto"/>
              </w:rPr>
              <w:t>4677</w:t>
            </w:r>
          </w:p>
        </w:tc>
        <w:tc>
          <w:tcPr>
            <w:tcW w:w="0" w:type="dxa"/>
            <w:vAlign w:val="bottom"/>
          </w:tcPr>
          <w:p>
            <w:pPr>
              <w:spacing w:after="0"/>
              <w:rPr>
                <w:sz w:val="1"/>
                <w:szCs w:val="1"/>
                <w:color w:val="auto"/>
              </w:rPr>
            </w:pPr>
          </w:p>
        </w:tc>
      </w:tr>
      <w:tr>
        <w:trPr>
          <w:trHeight w:val="237"/>
        </w:trPr>
        <w:tc>
          <w:tcPr>
            <w:tcW w:w="2340" w:type="dxa"/>
            <w:vAlign w:val="bottom"/>
          </w:tcPr>
          <w:p>
            <w:pPr>
              <w:spacing w:after="0"/>
              <w:rPr>
                <w:sz w:val="20"/>
                <w:szCs w:val="20"/>
                <w:color w:val="auto"/>
              </w:rPr>
            </w:pPr>
            <w:r>
              <w:rPr>
                <w:rFonts w:ascii="Arial" w:cs="Arial" w:eastAsia="Arial" w:hAnsi="Arial"/>
                <w:sz w:val="16"/>
                <w:szCs w:val="16"/>
                <w:color w:val="auto"/>
              </w:rPr>
              <w:t>Ashley.Serrao@Tradeweb.com</w:t>
            </w:r>
          </w:p>
        </w:tc>
        <w:tc>
          <w:tcPr>
            <w:tcW w:w="2340" w:type="dxa"/>
            <w:vAlign w:val="bottom"/>
          </w:tcPr>
          <w:p>
            <w:pPr>
              <w:ind w:left="40"/>
              <w:spacing w:after="0"/>
              <w:rPr>
                <w:sz w:val="20"/>
                <w:szCs w:val="20"/>
                <w:color w:val="auto"/>
              </w:rPr>
            </w:pPr>
            <w:r>
              <w:rPr>
                <w:rFonts w:ascii="Arial" w:cs="Arial" w:eastAsia="Arial" w:hAnsi="Arial"/>
                <w:sz w:val="16"/>
                <w:szCs w:val="16"/>
                <w:color w:val="auto"/>
              </w:rPr>
              <w:t>Daniel.Noonan@Tradeweb.com</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114935</wp:posOffset>
            </wp:positionV>
            <wp:extent cx="1808480"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0ADCB"/>
        </w:rPr>
        <w:t>TRADEWEB REPORTS SECOND QUARTER 2020 FINANCIAL RESULTS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New York, July 30, 2020 </w:t>
      </w:r>
      <w:r>
        <w:rPr>
          <w:rFonts w:ascii="Arial" w:cs="Arial" w:eastAsia="Arial" w:hAnsi="Arial"/>
          <w:sz w:val="16"/>
          <w:szCs w:val="16"/>
          <w:color w:val="auto"/>
        </w:rPr>
        <w:t>– Tradeweb Markets Inc. (Nasdaq: TW), a leading, global operator of electronic marketplaces for rates, credit, equities and money</w:t>
      </w:r>
      <w:r>
        <w:rPr>
          <w:rFonts w:ascii="Arial" w:cs="Arial" w:eastAsia="Arial" w:hAnsi="Arial"/>
          <w:sz w:val="16"/>
          <w:szCs w:val="16"/>
          <w:b w:val="1"/>
          <w:bCs w:val="1"/>
          <w:color w:val="auto"/>
        </w:rPr>
        <w:t xml:space="preserve"> </w:t>
      </w:r>
      <w:r>
        <w:rPr>
          <w:rFonts w:ascii="Arial" w:cs="Arial" w:eastAsia="Arial" w:hAnsi="Arial"/>
          <w:sz w:val="16"/>
          <w:szCs w:val="16"/>
          <w:color w:val="auto"/>
        </w:rPr>
        <w:t>markets, today reported financial results for the quarter ended June 30, 2020.</w:t>
      </w:r>
    </w:p>
    <w:p>
      <w:pPr>
        <w:sectPr>
          <w:pgSz w:w="11900" w:h="16838" w:orient="portrait"/>
          <w:cols w:equalWidth="0" w:num="1">
            <w:col w:w="11160"/>
          </w:cols>
          <w:pgMar w:left="320" w:top="256" w:right="419" w:bottom="1440" w:gutter="0" w:footer="0" w:header="0"/>
        </w:sectPr>
      </w:pPr>
    </w:p>
    <w:p>
      <w:pPr>
        <w:spacing w:after="0" w:line="142" w:lineRule="exact"/>
        <w:rPr>
          <w:sz w:val="20"/>
          <w:szCs w:val="20"/>
          <w:color w:val="auto"/>
        </w:rPr>
      </w:pPr>
    </w:p>
    <w:p>
      <w:pPr>
        <w:ind w:left="20" w:right="40"/>
        <w:spacing w:after="0" w:line="242" w:lineRule="auto"/>
        <w:rPr>
          <w:sz w:val="20"/>
          <w:szCs w:val="20"/>
          <w:color w:val="auto"/>
        </w:rPr>
      </w:pPr>
      <w:r>
        <w:rPr>
          <w:rFonts w:ascii="Arial" w:cs="Arial" w:eastAsia="Arial" w:hAnsi="Arial"/>
          <w:sz w:val="16"/>
          <w:szCs w:val="16"/>
          <w:b w:val="1"/>
          <w:bCs w:val="1"/>
          <w:color w:val="auto"/>
        </w:rPr>
        <w:t xml:space="preserve">$778.4 billion </w:t>
      </w:r>
      <w:r>
        <w:rPr>
          <w:rFonts w:ascii="Arial" w:cs="Arial" w:eastAsia="Arial" w:hAnsi="Arial"/>
          <w:sz w:val="16"/>
          <w:szCs w:val="16"/>
          <w:color w:val="auto"/>
        </w:rPr>
        <w:t>in average daily volume (“ADV”), an increase of</w:t>
      </w:r>
      <w:r>
        <w:rPr>
          <w:rFonts w:ascii="Arial" w:cs="Arial" w:eastAsia="Arial" w:hAnsi="Arial"/>
          <w:sz w:val="16"/>
          <w:szCs w:val="16"/>
          <w:b w:val="1"/>
          <w:bCs w:val="1"/>
          <w:color w:val="auto"/>
        </w:rPr>
        <w:t xml:space="preserve"> 3.5% </w:t>
      </w:r>
      <w:r>
        <w:rPr>
          <w:rFonts w:ascii="Arial" w:cs="Arial" w:eastAsia="Arial" w:hAnsi="Arial"/>
          <w:sz w:val="16"/>
          <w:szCs w:val="16"/>
          <w:color w:val="auto"/>
        </w:rPr>
        <w:t>year over</w:t>
      </w:r>
      <w:r>
        <w:rPr>
          <w:rFonts w:ascii="Arial" w:cs="Arial" w:eastAsia="Arial" w:hAnsi="Arial"/>
          <w:sz w:val="16"/>
          <w:szCs w:val="16"/>
          <w:b w:val="1"/>
          <w:bCs w:val="1"/>
          <w:color w:val="auto"/>
        </w:rPr>
        <w:t xml:space="preserve"> </w:t>
      </w:r>
      <w:r>
        <w:rPr>
          <w:rFonts w:ascii="Arial" w:cs="Arial" w:eastAsia="Arial" w:hAnsi="Arial"/>
          <w:sz w:val="16"/>
          <w:szCs w:val="16"/>
          <w:color w:val="auto"/>
        </w:rPr>
        <w:t>year. Quarterly records for ADV in U.S. High-Grade Credit, U.S. High-Yield Credit, Bilateral Repos, U.S. Treasury Bills and Emerging Markets Interest Rate Swaps</w:t>
      </w:r>
    </w:p>
    <w:p>
      <w:pPr>
        <w:spacing w:after="0" w:line="81" w:lineRule="exact"/>
        <w:rPr>
          <w:sz w:val="20"/>
          <w:szCs w:val="20"/>
          <w:color w:val="auto"/>
        </w:rPr>
      </w:pPr>
    </w:p>
    <w:p>
      <w:pPr>
        <w:ind w:left="20" w:right="580"/>
        <w:spacing w:after="0" w:line="286" w:lineRule="auto"/>
        <w:rPr>
          <w:sz w:val="20"/>
          <w:szCs w:val="20"/>
          <w:color w:val="auto"/>
        </w:rPr>
      </w:pPr>
      <w:r>
        <w:rPr>
          <w:rFonts w:ascii="Arial" w:cs="Arial" w:eastAsia="Arial" w:hAnsi="Arial"/>
          <w:sz w:val="16"/>
          <w:szCs w:val="16"/>
          <w:b w:val="1"/>
          <w:bCs w:val="1"/>
          <w:color w:val="auto"/>
        </w:rPr>
        <w:t xml:space="preserve">$212.1 million </w:t>
      </w:r>
      <w:r>
        <w:rPr>
          <w:rFonts w:ascii="Arial" w:cs="Arial" w:eastAsia="Arial" w:hAnsi="Arial"/>
          <w:sz w:val="16"/>
          <w:szCs w:val="16"/>
          <w:color w:val="auto"/>
        </w:rPr>
        <w:t>quarterly gross revenues increased</w:t>
      </w:r>
      <w:r>
        <w:rPr>
          <w:rFonts w:ascii="Arial" w:cs="Arial" w:eastAsia="Arial" w:hAnsi="Arial"/>
          <w:sz w:val="16"/>
          <w:szCs w:val="16"/>
          <w:b w:val="1"/>
          <w:bCs w:val="1"/>
          <w:color w:val="auto"/>
        </w:rPr>
        <w:t xml:space="preserve"> 11.4% </w:t>
      </w:r>
      <w:r>
        <w:rPr>
          <w:rFonts w:ascii="Arial" w:cs="Arial" w:eastAsia="Arial" w:hAnsi="Arial"/>
          <w:sz w:val="16"/>
          <w:szCs w:val="16"/>
          <w:color w:val="auto"/>
        </w:rPr>
        <w:t>(</w:t>
      </w:r>
      <w:r>
        <w:rPr>
          <w:rFonts w:ascii="Arial" w:cs="Arial" w:eastAsia="Arial" w:hAnsi="Arial"/>
          <w:sz w:val="16"/>
          <w:szCs w:val="16"/>
          <w:b w:val="1"/>
          <w:bCs w:val="1"/>
          <w:color w:val="auto"/>
        </w:rPr>
        <w:t xml:space="preserve">11.8% </w:t>
      </w:r>
      <w:r>
        <w:rPr>
          <w:rFonts w:ascii="Arial" w:cs="Arial" w:eastAsia="Arial" w:hAnsi="Arial"/>
          <w:sz w:val="16"/>
          <w:szCs w:val="16"/>
          <w:color w:val="auto"/>
        </w:rPr>
        <w:t>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year over year</w:t>
      </w:r>
    </w:p>
    <w:p>
      <w:pPr>
        <w:spacing w:after="0" w:line="48" w:lineRule="exact"/>
        <w:rPr>
          <w:sz w:val="20"/>
          <w:szCs w:val="20"/>
          <w:color w:val="auto"/>
        </w:rPr>
      </w:pPr>
    </w:p>
    <w:p>
      <w:pPr>
        <w:ind w:left="20" w:right="100"/>
        <w:spacing w:after="0" w:line="286" w:lineRule="auto"/>
        <w:rPr>
          <w:sz w:val="20"/>
          <w:szCs w:val="20"/>
          <w:color w:val="auto"/>
        </w:rPr>
      </w:pPr>
      <w:r>
        <w:rPr>
          <w:rFonts w:ascii="Arial" w:cs="Arial" w:eastAsia="Arial" w:hAnsi="Arial"/>
          <w:sz w:val="16"/>
          <w:szCs w:val="16"/>
          <w:b w:val="1"/>
          <w:bCs w:val="1"/>
          <w:color w:val="auto"/>
        </w:rPr>
        <w:t xml:space="preserve">$42.4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$70.4 </w:t>
      </w:r>
      <w:r>
        <w:rPr>
          <w:rFonts w:ascii="Arial" w:cs="Arial" w:eastAsia="Arial" w:hAnsi="Arial"/>
          <w:sz w:val="16"/>
          <w:szCs w:val="16"/>
          <w:color w:val="auto"/>
        </w:rPr>
        <w:t>million adjusted net income, increases of</w:t>
      </w:r>
      <w:r>
        <w:rPr>
          <w:rFonts w:ascii="Arial" w:cs="Arial" w:eastAsia="Arial" w:hAnsi="Arial"/>
          <w:sz w:val="16"/>
          <w:szCs w:val="16"/>
          <w:b w:val="1"/>
          <w:bCs w:val="1"/>
          <w:color w:val="auto"/>
        </w:rPr>
        <w:t xml:space="preserve"> 70.9% </w:t>
      </w:r>
      <w:r>
        <w:rPr>
          <w:rFonts w:ascii="Arial" w:cs="Arial" w:eastAsia="Arial" w:hAnsi="Arial"/>
          <w:sz w:val="16"/>
          <w:szCs w:val="16"/>
          <w:color w:val="auto"/>
        </w:rPr>
        <w:t>and</w:t>
      </w:r>
      <w:r>
        <w:rPr>
          <w:rFonts w:ascii="Arial" w:cs="Arial" w:eastAsia="Arial" w:hAnsi="Arial"/>
          <w:sz w:val="16"/>
          <w:szCs w:val="16"/>
          <w:b w:val="1"/>
          <w:bCs w:val="1"/>
          <w:color w:val="auto"/>
        </w:rPr>
        <w:t xml:space="preserve"> 24.3% </w:t>
      </w:r>
      <w:r>
        <w:rPr>
          <w:rFonts w:ascii="Arial" w:cs="Arial" w:eastAsia="Arial" w:hAnsi="Arial"/>
          <w:sz w:val="16"/>
          <w:szCs w:val="16"/>
          <w:color w:val="auto"/>
        </w:rPr>
        <w:t>respectively from the prior year period</w:t>
      </w:r>
    </w:p>
    <w:p>
      <w:pPr>
        <w:spacing w:after="0" w:line="48" w:lineRule="exact"/>
        <w:rPr>
          <w:sz w:val="20"/>
          <w:szCs w:val="20"/>
          <w:color w:val="auto"/>
        </w:rPr>
      </w:pPr>
    </w:p>
    <w:p>
      <w:pPr>
        <w:ind w:left="20" w:right="260"/>
        <w:spacing w:after="0" w:line="266" w:lineRule="auto"/>
        <w:rPr>
          <w:sz w:val="20"/>
          <w:szCs w:val="20"/>
          <w:color w:val="auto"/>
        </w:rPr>
      </w:pPr>
      <w:r>
        <w:rPr>
          <w:rFonts w:ascii="Arial" w:cs="Arial" w:eastAsia="Arial" w:hAnsi="Arial"/>
          <w:sz w:val="16"/>
          <w:szCs w:val="16"/>
          <w:b w:val="1"/>
          <w:bCs w:val="1"/>
          <w:color w:val="auto"/>
        </w:rPr>
        <w:t xml:space="preserve">47.8%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$101.3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45.6% or $86.9 million respectively for the prior year period</w:t>
      </w:r>
    </w:p>
    <w:p>
      <w:pPr>
        <w:spacing w:after="0" w:line="63" w:lineRule="exact"/>
        <w:rPr>
          <w:sz w:val="20"/>
          <w:szCs w:val="20"/>
          <w:color w:val="auto"/>
        </w:rPr>
      </w:pPr>
    </w:p>
    <w:p>
      <w:pPr>
        <w:ind w:left="20" w:right="240"/>
        <w:spacing w:after="0" w:line="286" w:lineRule="auto"/>
        <w:rPr>
          <w:sz w:val="20"/>
          <w:szCs w:val="20"/>
          <w:color w:val="auto"/>
        </w:rPr>
      </w:pPr>
      <w:r>
        <w:rPr>
          <w:rFonts w:ascii="Arial" w:cs="Arial" w:eastAsia="Arial" w:hAnsi="Arial"/>
          <w:sz w:val="16"/>
          <w:szCs w:val="16"/>
          <w:b w:val="1"/>
          <w:bCs w:val="1"/>
          <w:color w:val="auto"/>
        </w:rPr>
        <w:t xml:space="preserve">$0.16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$0.30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4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w:t>
            </w:r>
          </w:p>
        </w:tc>
        <w:tc>
          <w:tcPr>
            <w:tcW w:w="26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90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0" w:type="dxa"/>
            <w:vAlign w:val="bottom"/>
          </w:tcPr>
          <w:p>
            <w:pPr>
              <w:spacing w:after="0"/>
              <w:rPr>
                <w:sz w:val="1"/>
                <w:szCs w:val="1"/>
                <w:color w:val="auto"/>
              </w:rPr>
            </w:pPr>
          </w:p>
        </w:tc>
      </w:tr>
      <w:tr>
        <w:trPr>
          <w:trHeight w:val="189"/>
        </w:trPr>
        <w:tc>
          <w:tcPr>
            <w:tcW w:w="14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FINANCIAL</w:t>
            </w:r>
          </w:p>
        </w:tc>
        <w:tc>
          <w:tcPr>
            <w:tcW w:w="26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260" w:type="dxa"/>
            <w:vAlign w:val="bottom"/>
            <w:shd w:val="clear" w:color="auto" w:fill="083566"/>
          </w:tcPr>
          <w:p>
            <w:pPr>
              <w:spacing w:after="0"/>
              <w:rPr>
                <w:sz w:val="16"/>
                <w:szCs w:val="16"/>
                <w:color w:val="auto"/>
              </w:rPr>
            </w:pPr>
          </w:p>
        </w:tc>
        <w:tc>
          <w:tcPr>
            <w:tcW w:w="100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900" w:type="dxa"/>
            <w:vAlign w:val="bottom"/>
            <w:gridSpan w:val="2"/>
            <w:shd w:val="clear" w:color="auto" w:fill="083566"/>
          </w:tcPr>
          <w:p>
            <w:pPr>
              <w:jc w:val="right"/>
              <w:ind w:right="19"/>
              <w:spacing w:after="0"/>
              <w:rPr>
                <w:sz w:val="20"/>
                <w:szCs w:val="20"/>
                <w:color w:val="auto"/>
              </w:rPr>
            </w:pPr>
            <w:r>
              <w:rPr>
                <w:rFonts w:ascii="Arial" w:cs="Arial" w:eastAsia="Arial" w:hAnsi="Arial"/>
                <w:sz w:val="16"/>
                <w:szCs w:val="16"/>
                <w:b w:val="1"/>
                <w:bCs w:val="1"/>
                <w:color w:val="FFFFFF"/>
              </w:rPr>
              <w:t>Currency</w:t>
            </w:r>
          </w:p>
        </w:tc>
        <w:tc>
          <w:tcPr>
            <w:tcW w:w="0" w:type="dxa"/>
            <w:vAlign w:val="bottom"/>
          </w:tcPr>
          <w:p>
            <w:pPr>
              <w:spacing w:after="0"/>
              <w:rPr>
                <w:sz w:val="1"/>
                <w:szCs w:val="1"/>
                <w:color w:val="auto"/>
              </w:rPr>
            </w:pPr>
          </w:p>
        </w:tc>
      </w:tr>
      <w:tr>
        <w:trPr>
          <w:trHeight w:val="263"/>
        </w:trPr>
        <w:tc>
          <w:tcPr>
            <w:tcW w:w="14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2"/>
                <w:szCs w:val="22"/>
                <w:color w:val="auto"/>
              </w:rPr>
            </w:pPr>
          </w:p>
        </w:tc>
        <w:tc>
          <w:tcPr>
            <w:tcW w:w="960" w:type="dxa"/>
            <w:vAlign w:val="bottom"/>
            <w:shd w:val="clear" w:color="auto" w:fill="083566"/>
          </w:tcPr>
          <w:p>
            <w:pPr>
              <w:jc w:val="right"/>
              <w:ind w:right="339"/>
              <w:spacing w:after="0"/>
              <w:rPr>
                <w:sz w:val="20"/>
                <w:szCs w:val="20"/>
                <w:color w:val="auto"/>
              </w:rPr>
            </w:pPr>
            <w:r>
              <w:rPr>
                <w:rFonts w:ascii="Arial" w:cs="Arial" w:eastAsia="Arial" w:hAnsi="Arial"/>
                <w:sz w:val="16"/>
                <w:szCs w:val="16"/>
                <w:b w:val="1"/>
                <w:bCs w:val="1"/>
                <w:color w:val="FFFFFF"/>
              </w:rPr>
              <w:t>2Q20</w:t>
            </w:r>
          </w:p>
        </w:tc>
        <w:tc>
          <w:tcPr>
            <w:tcW w:w="260" w:type="dxa"/>
            <w:vAlign w:val="bottom"/>
            <w:shd w:val="clear" w:color="auto" w:fill="083566"/>
          </w:tcPr>
          <w:p>
            <w:pPr>
              <w:spacing w:after="0"/>
              <w:rPr>
                <w:sz w:val="22"/>
                <w:szCs w:val="22"/>
                <w:color w:val="auto"/>
              </w:rPr>
            </w:pPr>
          </w:p>
        </w:tc>
        <w:tc>
          <w:tcPr>
            <w:tcW w:w="100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2Q19</w:t>
            </w:r>
          </w:p>
        </w:tc>
        <w:tc>
          <w:tcPr>
            <w:tcW w:w="880" w:type="dxa"/>
            <w:vAlign w:val="bottom"/>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Change</w:t>
            </w:r>
          </w:p>
        </w:tc>
        <w:tc>
          <w:tcPr>
            <w:tcW w:w="90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Growth</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214"/>
        </w:trPr>
        <w:tc>
          <w:tcPr>
            <w:tcW w:w="47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00" w:type="dxa"/>
            <w:vAlign w:val="bottom"/>
            <w:shd w:val="clear" w:color="auto" w:fill="083566"/>
          </w:tcPr>
          <w:p>
            <w:pPr>
              <w:spacing w:after="0"/>
              <w:rPr>
                <w:sz w:val="18"/>
                <w:szCs w:val="18"/>
                <w:color w:val="auto"/>
              </w:rPr>
            </w:pPr>
          </w:p>
        </w:tc>
        <w:tc>
          <w:tcPr>
            <w:tcW w:w="400" w:type="dxa"/>
            <w:vAlign w:val="bottom"/>
            <w:shd w:val="clear" w:color="auto" w:fill="083566"/>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20" w:type="dxa"/>
            <w:vAlign w:val="bottom"/>
            <w:gridSpan w:val="3"/>
            <w:shd w:val="clear" w:color="auto" w:fill="BDD7EE"/>
          </w:tcPr>
          <w:p>
            <w:pPr>
              <w:ind w:left="20"/>
              <w:spacing w:after="0"/>
              <w:rPr>
                <w:sz w:val="20"/>
                <w:szCs w:val="20"/>
                <w:color w:val="auto"/>
              </w:rPr>
            </w:pPr>
            <w:r>
              <w:rPr>
                <w:rFonts w:ascii="Arial" w:cs="Arial" w:eastAsia="Arial" w:hAnsi="Arial"/>
                <w:sz w:val="16"/>
                <w:szCs w:val="16"/>
                <w:color w:val="auto"/>
              </w:rPr>
              <w:t>GAAP Financial Measures</w:t>
            </w:r>
          </w:p>
        </w:tc>
        <w:tc>
          <w:tcPr>
            <w:tcW w:w="260" w:type="dxa"/>
            <w:vAlign w:val="bottom"/>
            <w:shd w:val="clear" w:color="auto" w:fill="BDD7EE"/>
          </w:tcPr>
          <w:p>
            <w:pPr>
              <w:spacing w:after="0"/>
              <w:rPr>
                <w:sz w:val="21"/>
                <w:szCs w:val="21"/>
                <w:color w:val="auto"/>
              </w:rPr>
            </w:pPr>
          </w:p>
        </w:tc>
        <w:tc>
          <w:tcPr>
            <w:tcW w:w="1000" w:type="dxa"/>
            <w:vAlign w:val="bottom"/>
            <w:shd w:val="clear" w:color="auto" w:fill="BDD7EE"/>
          </w:tcPr>
          <w:p>
            <w:pPr>
              <w:spacing w:after="0"/>
              <w:rPr>
                <w:sz w:val="21"/>
                <w:szCs w:val="21"/>
                <w:color w:val="auto"/>
              </w:rPr>
            </w:pPr>
          </w:p>
        </w:tc>
        <w:tc>
          <w:tcPr>
            <w:tcW w:w="880" w:type="dxa"/>
            <w:vAlign w:val="bottom"/>
            <w:shd w:val="clear" w:color="auto" w:fill="BDD7EE"/>
          </w:tcPr>
          <w:p>
            <w:pPr>
              <w:spacing w:after="0"/>
              <w:rPr>
                <w:sz w:val="21"/>
                <w:szCs w:val="21"/>
                <w:color w:val="auto"/>
              </w:rPr>
            </w:pPr>
          </w:p>
        </w:tc>
        <w:tc>
          <w:tcPr>
            <w:tcW w:w="500" w:type="dxa"/>
            <w:vAlign w:val="bottom"/>
            <w:shd w:val="clear" w:color="auto" w:fill="BDD7EE"/>
          </w:tcPr>
          <w:p>
            <w:pPr>
              <w:spacing w:after="0"/>
              <w:rPr>
                <w:sz w:val="21"/>
                <w:szCs w:val="21"/>
                <w:color w:val="auto"/>
              </w:rPr>
            </w:pPr>
          </w:p>
        </w:tc>
        <w:tc>
          <w:tcPr>
            <w:tcW w:w="400" w:type="dxa"/>
            <w:vAlign w:val="bottom"/>
            <w:shd w:val="clear" w:color="auto" w:fill="BDD7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400" w:type="dxa"/>
            <w:vAlign w:val="bottom"/>
          </w:tcPr>
          <w:p>
            <w:pPr>
              <w:ind w:left="20"/>
              <w:spacing w:after="0"/>
              <w:rPr>
                <w:sz w:val="20"/>
                <w:szCs w:val="20"/>
                <w:color w:val="auto"/>
              </w:rPr>
            </w:pPr>
            <w:r>
              <w:rPr>
                <w:rFonts w:ascii="Arial" w:cs="Arial" w:eastAsia="Arial" w:hAnsi="Arial"/>
                <w:sz w:val="16"/>
                <w:szCs w:val="16"/>
                <w:color w:val="auto"/>
              </w:rPr>
              <w:t>Gross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212,107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190,485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11.4 %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43"/>
        </w:trPr>
        <w:tc>
          <w:tcPr>
            <w:tcW w:w="1400" w:type="dxa"/>
            <w:vAlign w:val="bottom"/>
          </w:tcPr>
          <w:p>
            <w:pPr>
              <w:ind w:left="12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112,823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107,063</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5.4 %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5.9 %</w:t>
            </w:r>
          </w:p>
        </w:tc>
        <w:tc>
          <w:tcPr>
            <w:tcW w:w="0" w:type="dxa"/>
            <w:vAlign w:val="bottom"/>
          </w:tcPr>
          <w:p>
            <w:pPr>
              <w:spacing w:after="0"/>
              <w:rPr>
                <w:sz w:val="1"/>
                <w:szCs w:val="1"/>
                <w:color w:val="auto"/>
              </w:rPr>
            </w:pPr>
          </w:p>
        </w:tc>
      </w:tr>
      <w:tr>
        <w:trPr>
          <w:trHeight w:val="257"/>
        </w:trPr>
        <w:tc>
          <w:tcPr>
            <w:tcW w:w="1400" w:type="dxa"/>
            <w:vAlign w:val="bottom"/>
          </w:tcPr>
          <w:p>
            <w:pPr>
              <w:ind w:left="12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49,105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39,599</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24.0 %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24.6 %</w:t>
            </w:r>
          </w:p>
        </w:tc>
        <w:tc>
          <w:tcPr>
            <w:tcW w:w="0" w:type="dxa"/>
            <w:vAlign w:val="bottom"/>
          </w:tcPr>
          <w:p>
            <w:pPr>
              <w:spacing w:after="0"/>
              <w:rPr>
                <w:sz w:val="1"/>
                <w:szCs w:val="1"/>
                <w:color w:val="auto"/>
              </w:rPr>
            </w:pPr>
          </w:p>
        </w:tc>
      </w:tr>
      <w:tr>
        <w:trPr>
          <w:trHeight w:val="243"/>
        </w:trPr>
        <w:tc>
          <w:tcPr>
            <w:tcW w:w="1400" w:type="dxa"/>
            <w:vAlign w:val="bottom"/>
          </w:tcPr>
          <w:p>
            <w:pPr>
              <w:ind w:left="12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15,407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11,116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38.6 %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39.3 %</w:t>
            </w:r>
          </w:p>
        </w:tc>
        <w:tc>
          <w:tcPr>
            <w:tcW w:w="0" w:type="dxa"/>
            <w:vAlign w:val="bottom"/>
          </w:tcPr>
          <w:p>
            <w:pPr>
              <w:spacing w:after="0"/>
              <w:rPr>
                <w:sz w:val="1"/>
                <w:szCs w:val="1"/>
                <w:color w:val="auto"/>
              </w:rPr>
            </w:pPr>
          </w:p>
        </w:tc>
      </w:tr>
      <w:tr>
        <w:trPr>
          <w:trHeight w:val="243"/>
        </w:trPr>
        <w:tc>
          <w:tcPr>
            <w:tcW w:w="1400" w:type="dxa"/>
            <w:vAlign w:val="bottom"/>
          </w:tcPr>
          <w:p>
            <w:pPr>
              <w:ind w:left="12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10,539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10,322</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2.1 %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56"/>
        </w:trPr>
        <w:tc>
          <w:tcPr>
            <w:tcW w:w="1400" w:type="dxa"/>
            <w:vAlign w:val="bottom"/>
          </w:tcPr>
          <w:p>
            <w:pPr>
              <w:ind w:left="12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18,497</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17,544</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5.4 %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43"/>
        </w:trPr>
        <w:tc>
          <w:tcPr>
            <w:tcW w:w="1400" w:type="dxa"/>
            <w:vAlign w:val="bottom"/>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5,736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4,841</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18.5 %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18.5 %</w:t>
            </w:r>
          </w:p>
        </w:tc>
        <w:tc>
          <w:tcPr>
            <w:tcW w:w="0" w:type="dxa"/>
            <w:vAlign w:val="bottom"/>
          </w:tcPr>
          <w:p>
            <w:pPr>
              <w:spacing w:after="0"/>
              <w:rPr>
                <w:sz w:val="1"/>
                <w:szCs w:val="1"/>
                <w:color w:val="auto"/>
              </w:rPr>
            </w:pPr>
          </w:p>
        </w:tc>
      </w:tr>
      <w:tr>
        <w:trPr>
          <w:trHeight w:val="256"/>
        </w:trPr>
        <w:tc>
          <w:tcPr>
            <w:tcW w:w="1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42,408</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24,816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70.9 %</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1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400" w:type="dxa"/>
            <w:vAlign w:val="bottom"/>
          </w:tcPr>
          <w:p>
            <w:pPr>
              <w:ind w:left="20"/>
              <w:spacing w:after="0"/>
              <w:rPr>
                <w:sz w:val="20"/>
                <w:szCs w:val="20"/>
                <w:color w:val="auto"/>
              </w:rPr>
            </w:pPr>
            <w:r>
              <w:rPr>
                <w:rFonts w:ascii="Arial" w:cs="Arial" w:eastAsia="Arial" w:hAnsi="Arial"/>
                <w:sz w:val="16"/>
                <w:szCs w:val="16"/>
                <w:color w:val="auto"/>
              </w:rPr>
              <w:t>attributable to</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79"/>
              <w:spacing w:after="0"/>
              <w:rPr>
                <w:sz w:val="20"/>
                <w:szCs w:val="20"/>
                <w:color w:val="auto"/>
              </w:rPr>
            </w:pPr>
            <w:r>
              <w:rPr>
                <w:rFonts w:ascii="Arial" w:cs="Arial" w:eastAsia="Arial" w:hAnsi="Arial"/>
                <w:sz w:val="16"/>
                <w:szCs w:val="16"/>
                <w:color w:val="auto"/>
              </w:rPr>
              <w:t>30,496</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12,828</w:t>
            </w: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137.7 %</w:t>
            </w:r>
          </w:p>
        </w:tc>
        <w:tc>
          <w:tcPr>
            <w:tcW w:w="50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400" w:type="dxa"/>
            <w:vAlign w:val="bottom"/>
          </w:tcPr>
          <w:p>
            <w:pPr>
              <w:ind w:left="20"/>
              <w:spacing w:after="0"/>
              <w:rPr>
                <w:sz w:val="20"/>
                <w:szCs w:val="20"/>
                <w:color w:val="auto"/>
              </w:rPr>
            </w:pPr>
            <w:r>
              <w:rPr>
                <w:rFonts w:ascii="Arial" w:cs="Arial" w:eastAsia="Arial" w:hAnsi="Arial"/>
                <w:sz w:val="16"/>
                <w:szCs w:val="16"/>
                <w:color w:val="auto"/>
              </w:rPr>
              <w:t>Tradeweb Markets</w:t>
            </w:r>
          </w:p>
        </w:tc>
        <w:tc>
          <w:tcPr>
            <w:tcW w:w="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1400" w:type="dxa"/>
            <w:vAlign w:val="bottom"/>
          </w:tcPr>
          <w:p>
            <w:pPr>
              <w:ind w:left="20"/>
              <w:spacing w:after="0"/>
              <w:rPr>
                <w:sz w:val="20"/>
                <w:szCs w:val="20"/>
                <w:color w:val="auto"/>
              </w:rPr>
            </w:pPr>
            <w:r>
              <w:rPr>
                <w:rFonts w:ascii="Arial" w:cs="Arial" w:eastAsia="Arial" w:hAnsi="Arial"/>
                <w:sz w:val="16"/>
                <w:szCs w:val="16"/>
                <w:color w:val="auto"/>
              </w:rPr>
              <w:t>Inc.</w:t>
            </w:r>
            <w:r>
              <w:rPr>
                <w:rFonts w:ascii="Arial" w:cs="Arial" w:eastAsia="Arial" w:hAnsi="Arial"/>
                <w:sz w:val="21"/>
                <w:szCs w:val="21"/>
                <w:color w:val="auto"/>
                <w:vertAlign w:val="superscript"/>
              </w:rPr>
              <w:t>(2)</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4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0.16</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0.09</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77.8 %</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620" w:type="dxa"/>
            <w:vAlign w:val="bottom"/>
            <w:gridSpan w:val="3"/>
            <w:shd w:val="clear" w:color="auto" w:fill="BDD7EE"/>
          </w:tcPr>
          <w:p>
            <w:pPr>
              <w:ind w:left="20"/>
              <w:spacing w:after="0"/>
              <w:rPr>
                <w:sz w:val="20"/>
                <w:szCs w:val="20"/>
                <w:color w:val="auto"/>
              </w:rPr>
            </w:pPr>
            <w:r>
              <w:rPr>
                <w:rFonts w:ascii="Arial" w:cs="Arial" w:eastAsia="Arial" w:hAnsi="Arial"/>
                <w:sz w:val="16"/>
                <w:szCs w:val="16"/>
                <w:color w:val="auto"/>
              </w:rPr>
              <w:t>Non-GAAP Financial Measures</w:t>
            </w:r>
          </w:p>
        </w:tc>
        <w:tc>
          <w:tcPr>
            <w:tcW w:w="260" w:type="dxa"/>
            <w:vAlign w:val="bottom"/>
            <w:shd w:val="clear" w:color="auto" w:fill="BDD7EE"/>
          </w:tcPr>
          <w:p>
            <w:pPr>
              <w:spacing w:after="0"/>
              <w:rPr>
                <w:sz w:val="21"/>
                <w:szCs w:val="21"/>
                <w:color w:val="auto"/>
              </w:rPr>
            </w:pPr>
          </w:p>
        </w:tc>
        <w:tc>
          <w:tcPr>
            <w:tcW w:w="1000" w:type="dxa"/>
            <w:vAlign w:val="bottom"/>
            <w:shd w:val="clear" w:color="auto" w:fill="BDD7EE"/>
          </w:tcPr>
          <w:p>
            <w:pPr>
              <w:spacing w:after="0"/>
              <w:rPr>
                <w:sz w:val="21"/>
                <w:szCs w:val="21"/>
                <w:color w:val="auto"/>
              </w:rPr>
            </w:pPr>
          </w:p>
        </w:tc>
        <w:tc>
          <w:tcPr>
            <w:tcW w:w="880" w:type="dxa"/>
            <w:vAlign w:val="bottom"/>
            <w:shd w:val="clear" w:color="auto" w:fill="BDD7EE"/>
          </w:tcPr>
          <w:p>
            <w:pPr>
              <w:spacing w:after="0"/>
              <w:rPr>
                <w:sz w:val="21"/>
                <w:szCs w:val="21"/>
                <w:color w:val="auto"/>
              </w:rPr>
            </w:pPr>
          </w:p>
        </w:tc>
        <w:tc>
          <w:tcPr>
            <w:tcW w:w="500" w:type="dxa"/>
            <w:vAlign w:val="bottom"/>
            <w:shd w:val="clear" w:color="auto" w:fill="BDD7EE"/>
          </w:tcPr>
          <w:p>
            <w:pPr>
              <w:spacing w:after="0"/>
              <w:rPr>
                <w:sz w:val="21"/>
                <w:szCs w:val="21"/>
                <w:color w:val="auto"/>
              </w:rPr>
            </w:pPr>
          </w:p>
        </w:tc>
        <w:tc>
          <w:tcPr>
            <w:tcW w:w="400" w:type="dxa"/>
            <w:vAlign w:val="bottom"/>
            <w:shd w:val="clear" w:color="auto" w:fill="BDD7EE"/>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79"/>
              <w:spacing w:after="0"/>
              <w:rPr>
                <w:sz w:val="20"/>
                <w:szCs w:val="20"/>
                <w:color w:val="auto"/>
              </w:rPr>
            </w:pPr>
            <w:r>
              <w:rPr>
                <w:rFonts w:ascii="Arial" w:cs="Arial" w:eastAsia="Arial" w:hAnsi="Arial"/>
                <w:sz w:val="16"/>
                <w:szCs w:val="16"/>
                <w:color w:val="auto"/>
              </w:rPr>
              <w:t>101,309</w:t>
            </w:r>
          </w:p>
        </w:tc>
        <w:tc>
          <w:tcPr>
            <w:tcW w:w="2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99"/>
              <w:spacing w:after="0"/>
              <w:rPr>
                <w:sz w:val="20"/>
                <w:szCs w:val="20"/>
                <w:color w:val="auto"/>
              </w:rPr>
            </w:pPr>
            <w:r>
              <w:rPr>
                <w:rFonts w:ascii="Arial" w:cs="Arial" w:eastAsia="Arial" w:hAnsi="Arial"/>
                <w:sz w:val="16"/>
                <w:szCs w:val="16"/>
                <w:color w:val="auto"/>
              </w:rPr>
              <w:t>86,925</w:t>
            </w:r>
          </w:p>
        </w:tc>
        <w:tc>
          <w:tcPr>
            <w:tcW w:w="880" w:type="dxa"/>
            <w:vAlign w:val="bottom"/>
            <w:vMerge w:val="restart"/>
          </w:tcPr>
          <w:p>
            <w:pPr>
              <w:jc w:val="right"/>
              <w:ind w:right="139"/>
              <w:spacing w:after="0"/>
              <w:rPr>
                <w:sz w:val="20"/>
                <w:szCs w:val="20"/>
                <w:color w:val="auto"/>
              </w:rPr>
            </w:pPr>
            <w:r>
              <w:rPr>
                <w:rFonts w:ascii="Arial" w:cs="Arial" w:eastAsia="Arial" w:hAnsi="Arial"/>
                <w:sz w:val="16"/>
                <w:szCs w:val="16"/>
                <w:color w:val="auto"/>
              </w:rPr>
              <w:t>16.5 %</w:t>
            </w:r>
          </w:p>
        </w:tc>
        <w:tc>
          <w:tcPr>
            <w:tcW w:w="900" w:type="dxa"/>
            <w:vAlign w:val="bottom"/>
            <w:gridSpan w:val="2"/>
            <w:vMerge w:val="restart"/>
          </w:tcPr>
          <w:p>
            <w:pPr>
              <w:jc w:val="right"/>
              <w:ind w:right="99"/>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130"/>
        </w:trPr>
        <w:tc>
          <w:tcPr>
            <w:tcW w:w="1400" w:type="dxa"/>
            <w:vAlign w:val="bottom"/>
          </w:tcPr>
          <w:p>
            <w:pPr>
              <w:ind w:left="20"/>
              <w:spacing w:after="0" w:line="125" w:lineRule="exact"/>
              <w:rPr>
                <w:sz w:val="20"/>
                <w:szCs w:val="20"/>
                <w:color w:val="auto"/>
              </w:rPr>
            </w:pPr>
            <w:r>
              <w:rPr>
                <w:rFonts w:ascii="Arial" w:cs="Arial" w:eastAsia="Arial" w:hAnsi="Arial"/>
                <w:sz w:val="11"/>
                <w:szCs w:val="11"/>
                <w:color w:val="auto"/>
              </w:rPr>
              <w:t>(1)</w:t>
            </w:r>
          </w:p>
        </w:tc>
        <w:tc>
          <w:tcPr>
            <w:tcW w:w="2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140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47.8 %</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45.6 %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+213 bps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+239 bps</w:t>
            </w:r>
          </w:p>
        </w:tc>
        <w:tc>
          <w:tcPr>
            <w:tcW w:w="0" w:type="dxa"/>
            <w:vAlign w:val="bottom"/>
          </w:tcPr>
          <w:p>
            <w:pPr>
              <w:spacing w:after="0"/>
              <w:rPr>
                <w:sz w:val="1"/>
                <w:szCs w:val="1"/>
                <w:color w:val="auto"/>
              </w:rPr>
            </w:pPr>
          </w:p>
        </w:tc>
      </w:tr>
      <w:tr>
        <w:trPr>
          <w:trHeight w:val="246"/>
        </w:trPr>
        <w:tc>
          <w:tcPr>
            <w:tcW w:w="140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90,521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76,766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17.9 %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19.3 %</w:t>
            </w:r>
          </w:p>
        </w:tc>
        <w:tc>
          <w:tcPr>
            <w:tcW w:w="0" w:type="dxa"/>
            <w:vAlign w:val="bottom"/>
          </w:tcPr>
          <w:p>
            <w:pPr>
              <w:spacing w:after="0"/>
              <w:rPr>
                <w:sz w:val="1"/>
                <w:szCs w:val="1"/>
                <w:color w:val="auto"/>
              </w:rPr>
            </w:pPr>
          </w:p>
        </w:tc>
      </w:tr>
      <w:tr>
        <w:trPr>
          <w:trHeight w:val="186"/>
        </w:trPr>
        <w:tc>
          <w:tcPr>
            <w:tcW w:w="140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00" w:type="dxa"/>
            <w:vAlign w:val="bottom"/>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42.7 %</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40.3 %</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+238 bps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+265 bps</w:t>
            </w:r>
          </w:p>
        </w:tc>
        <w:tc>
          <w:tcPr>
            <w:tcW w:w="0" w:type="dxa"/>
            <w:vAlign w:val="bottom"/>
          </w:tcPr>
          <w:p>
            <w:pPr>
              <w:spacing w:after="0"/>
              <w:rPr>
                <w:sz w:val="1"/>
                <w:szCs w:val="1"/>
                <w:color w:val="auto"/>
              </w:rPr>
            </w:pPr>
          </w:p>
        </w:tc>
      </w:tr>
      <w:tr>
        <w:trPr>
          <w:trHeight w:val="186"/>
        </w:trPr>
        <w:tc>
          <w:tcPr>
            <w:tcW w:w="1400" w:type="dxa"/>
            <w:vAlign w:val="bottom"/>
          </w:tcPr>
          <w:p>
            <w:pPr>
              <w:ind w:left="20"/>
              <w:spacing w:after="0"/>
              <w:rPr>
                <w:sz w:val="20"/>
                <w:szCs w:val="20"/>
                <w:color w:val="auto"/>
              </w:rPr>
            </w:pPr>
            <w:r>
              <w:rPr>
                <w:rFonts w:ascii="Arial" w:cs="Arial" w:eastAsia="Arial" w:hAnsi="Arial"/>
                <w:sz w:val="16"/>
                <w:szCs w:val="16"/>
                <w:color w:val="auto"/>
              </w:rPr>
              <w:t>Adjusted Net</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00" w:type="dxa"/>
            <w:vAlign w:val="bottom"/>
          </w:tcPr>
          <w:p>
            <w:pPr>
              <w:ind w:left="20"/>
              <w:spacing w:after="0"/>
              <w:rPr>
                <w:sz w:val="20"/>
                <w:szCs w:val="20"/>
                <w:color w:val="auto"/>
              </w:rPr>
            </w:pPr>
            <w:r>
              <w:rPr>
                <w:rFonts w:ascii="Arial" w:cs="Arial" w:eastAsia="Arial" w:hAnsi="Arial"/>
                <w:sz w:val="16"/>
                <w:szCs w:val="16"/>
                <w:color w:val="auto"/>
              </w:rPr>
              <w:t xml:space="preserve">Income </w:t>
            </w:r>
            <w:r>
              <w:rPr>
                <w:rFonts w:ascii="Arial" w:cs="Arial" w:eastAsia="Arial" w:hAnsi="Arial"/>
                <w:sz w:val="21"/>
                <w:szCs w:val="21"/>
                <w:color w:val="auto"/>
                <w:vertAlign w:val="superscript"/>
              </w:rPr>
              <w:t>(1)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70,383</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56,629</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24.3 %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186"/>
        </w:trPr>
        <w:tc>
          <w:tcPr>
            <w:tcW w:w="1400" w:type="dxa"/>
            <w:vAlign w:val="bottom"/>
          </w:tcPr>
          <w:p>
            <w:pPr>
              <w:ind w:left="20"/>
              <w:spacing w:after="0"/>
              <w:rPr>
                <w:sz w:val="20"/>
                <w:szCs w:val="20"/>
                <w:color w:val="auto"/>
              </w:rPr>
            </w:pPr>
            <w:r>
              <w:rPr>
                <w:rFonts w:ascii="Arial" w:cs="Arial" w:eastAsia="Arial" w:hAnsi="Arial"/>
                <w:sz w:val="16"/>
                <w:szCs w:val="16"/>
                <w:color w:val="auto"/>
              </w:rPr>
              <w:t>Adjusted Diluted</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79"/>
              <w:spacing w:after="0"/>
              <w:rPr>
                <w:sz w:val="20"/>
                <w:szCs w:val="20"/>
                <w:color w:val="auto"/>
              </w:rPr>
            </w:pPr>
            <w:r>
              <w:rPr>
                <w:rFonts w:ascii="Arial" w:cs="Arial" w:eastAsia="Arial" w:hAnsi="Arial"/>
                <w:sz w:val="16"/>
                <w:szCs w:val="16"/>
                <w:color w:val="auto"/>
              </w:rPr>
              <w:t>0.30</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0.25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20.0 %</w:t>
            </w:r>
          </w:p>
        </w:tc>
        <w:tc>
          <w:tcPr>
            <w:tcW w:w="900" w:type="dxa"/>
            <w:vAlign w:val="bottom"/>
            <w:gridSpan w:val="2"/>
          </w:tcPr>
          <w:p>
            <w:pPr>
              <w:jc w:val="right"/>
              <w:ind w:right="99"/>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415"/>
        </w:trPr>
        <w:tc>
          <w:tcPr>
            <w:tcW w:w="1400" w:type="dxa"/>
            <w:vAlign w:val="bottom"/>
          </w:tcPr>
          <w:p>
            <w:pPr>
              <w:ind w:left="20"/>
              <w:spacing w:after="0"/>
              <w:rPr>
                <w:sz w:val="20"/>
                <w:szCs w:val="20"/>
                <w:color w:val="auto"/>
              </w:rPr>
            </w:pPr>
            <w:r>
              <w:rPr>
                <w:rFonts w:ascii="Arial" w:cs="Arial" w:eastAsia="Arial" w:hAnsi="Arial"/>
                <w:sz w:val="32"/>
                <w:szCs w:val="32"/>
                <w:color w:val="auto"/>
                <w:vertAlign w:val="subscript"/>
              </w:rPr>
              <w:t>EPS</w:t>
            </w:r>
            <w:r>
              <w:rPr>
                <w:rFonts w:ascii="Arial" w:cs="Arial" w:eastAsia="Arial" w:hAnsi="Arial"/>
                <w:sz w:val="11"/>
                <w:szCs w:val="11"/>
                <w:color w:val="auto"/>
              </w:rPr>
              <w:t xml:space="preserve"> (1)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83566"/>
        </w:rPr>
        <w:t>Lee Olesky, CEO of Tradeweb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3111500" cy="2014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00" cy="2014855"/>
                    </a:xfrm>
                    <a:prstGeom prst="rect">
                      <a:avLst/>
                    </a:prstGeom>
                    <a:noFill/>
                  </pic:spPr>
                </pic:pic>
              </a:graphicData>
            </a:graphic>
          </wp:anchor>
        </w:drawing>
      </w:r>
    </w:p>
    <w:p>
      <w:pPr>
        <w:spacing w:after="0" w:line="228" w:lineRule="exact"/>
        <w:rPr>
          <w:sz w:val="20"/>
          <w:szCs w:val="20"/>
          <w:color w:val="auto"/>
        </w:rPr>
      </w:pPr>
    </w:p>
    <w:p>
      <w:pPr>
        <w:ind w:left="20" w:right="320"/>
        <w:spacing w:after="0" w:line="214" w:lineRule="auto"/>
        <w:rPr>
          <w:sz w:val="20"/>
          <w:szCs w:val="20"/>
          <w:color w:val="auto"/>
        </w:rPr>
      </w:pPr>
      <w:r>
        <w:rPr>
          <w:rFonts w:ascii="Arial" w:cs="Arial" w:eastAsia="Arial" w:hAnsi="Arial"/>
          <w:sz w:val="20"/>
          <w:szCs w:val="20"/>
          <w:color w:val="auto"/>
        </w:rPr>
        <w:t>“Financial markets are becoming more electronic and Tradeweb’s strong performance in the second quarter demonstrated the benefits of our broad, diversified approach across asset classes, trading protocols, liquidity sources and geographies. Our clients are adapting to remote work and leveraging electronic trading and digital workflows across our platforms. Yet, we continue to develop new functionality that expands and deepens our connections to their businesses. One great example of this is our portfolio trading protocol for corporate bonds, which in June surpassed $ 100 billion in cumulative trading volume just 18 months after its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311150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00" cy="548640"/>
                    </a:xfrm>
                    <a:prstGeom prst="rect">
                      <a:avLst/>
                    </a:prstGeom>
                    <a:noFill/>
                  </pic:spPr>
                </pic:pic>
              </a:graphicData>
            </a:graphic>
          </wp:anchor>
        </w:drawing>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FFFFFF"/>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00" w:type="dxa"/>
            <w:vAlign w:val="bottom"/>
          </w:tcPr>
          <w:p>
            <w:pPr>
              <w:ind w:left="20"/>
              <w:spacing w:after="0"/>
              <w:rPr>
                <w:sz w:val="20"/>
                <w:szCs w:val="20"/>
                <w:color w:val="auto"/>
              </w:rPr>
            </w:pPr>
            <w:r>
              <w:rPr>
                <w:rFonts w:ascii="Arial" w:cs="Arial" w:eastAsia="Arial" w:hAnsi="Arial"/>
                <w:sz w:val="16"/>
                <w:szCs w:val="16"/>
                <w:b w:val="1"/>
                <w:bCs w:val="1"/>
                <w:color w:val="FFFFFF"/>
              </w:rPr>
              <w:t>Asset Class</w:t>
            </w:r>
          </w:p>
        </w:tc>
        <w:tc>
          <w:tcPr>
            <w:tcW w:w="980" w:type="dxa"/>
            <w:vAlign w:val="bottom"/>
          </w:tcPr>
          <w:p>
            <w:pPr>
              <w:spacing w:after="0"/>
              <w:rPr>
                <w:sz w:val="20"/>
                <w:szCs w:val="20"/>
                <w:color w:val="auto"/>
              </w:rPr>
            </w:pPr>
            <w:r>
              <w:rPr>
                <w:rFonts w:ascii="Arial" w:cs="Arial" w:eastAsia="Arial" w:hAnsi="Arial"/>
                <w:sz w:val="16"/>
                <w:szCs w:val="16"/>
                <w:b w:val="1"/>
                <w:bCs w:val="1"/>
                <w:color w:val="FFFFFF"/>
              </w:rPr>
              <w:t>Product</w:t>
            </w: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FFFFFF"/>
              </w:rPr>
              <w:t>2Q20</w:t>
            </w: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FFFFFF"/>
              </w:rPr>
              <w:t>2Q19</w:t>
            </w:r>
          </w:p>
        </w:tc>
        <w:tc>
          <w:tcPr>
            <w:tcW w:w="1120" w:type="dxa"/>
            <w:vAlign w:val="bottom"/>
          </w:tcPr>
          <w:p>
            <w:pPr>
              <w:jc w:val="right"/>
              <w:ind w:right="639"/>
              <w:spacing w:after="0"/>
              <w:rPr>
                <w:sz w:val="20"/>
                <w:szCs w:val="20"/>
                <w:color w:val="auto"/>
              </w:rPr>
            </w:pPr>
            <w:r>
              <w:rPr>
                <w:rFonts w:ascii="Arial" w:cs="Arial" w:eastAsia="Arial" w:hAnsi="Arial"/>
                <w:sz w:val="16"/>
                <w:szCs w:val="16"/>
                <w:b w:val="1"/>
                <w:bCs w:val="1"/>
                <w:color w:val="FFFFFF"/>
              </w:rPr>
              <w:t>YoY</w:t>
            </w:r>
          </w:p>
        </w:tc>
      </w:tr>
      <w:tr>
        <w:trPr>
          <w:trHeight w:val="243"/>
        </w:trPr>
        <w:tc>
          <w:tcPr>
            <w:tcW w:w="1300" w:type="dxa"/>
            <w:vAlign w:val="bottom"/>
          </w:tcPr>
          <w:p>
            <w:pPr>
              <w:ind w:left="20"/>
              <w:spacing w:after="0"/>
              <w:rPr>
                <w:sz w:val="20"/>
                <w:szCs w:val="20"/>
                <w:color w:val="auto"/>
              </w:rPr>
            </w:pPr>
            <w:r>
              <w:rPr>
                <w:rFonts w:ascii="Arial" w:cs="Arial" w:eastAsia="Arial" w:hAnsi="Arial"/>
                <w:sz w:val="16"/>
                <w:szCs w:val="16"/>
                <w:color w:val="auto"/>
              </w:rPr>
              <w:t>Rates</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720" w:type="dxa"/>
            <w:vAlign w:val="bottom"/>
          </w:tcPr>
          <w:p>
            <w:pPr>
              <w:jc w:val="right"/>
              <w:spacing w:after="0"/>
              <w:rPr>
                <w:sz w:val="20"/>
                <w:szCs w:val="20"/>
                <w:color w:val="auto"/>
              </w:rPr>
            </w:pPr>
            <w:r>
              <w:rPr>
                <w:rFonts w:ascii="Arial" w:cs="Arial" w:eastAsia="Arial" w:hAnsi="Arial"/>
                <w:sz w:val="16"/>
                <w:szCs w:val="16"/>
                <w:color w:val="auto"/>
              </w:rPr>
              <w:t>298</w:t>
            </w:r>
          </w:p>
        </w:tc>
        <w:tc>
          <w:tcPr>
            <w:tcW w:w="780" w:type="dxa"/>
            <w:vAlign w:val="bottom"/>
          </w:tcPr>
          <w:p>
            <w:pPr>
              <w:jc w:val="right"/>
              <w:spacing w:after="0"/>
              <w:rPr>
                <w:sz w:val="20"/>
                <w:szCs w:val="20"/>
                <w:color w:val="auto"/>
              </w:rPr>
            </w:pPr>
            <w:r>
              <w:rPr>
                <w:rFonts w:ascii="Arial" w:cs="Arial" w:eastAsia="Arial" w:hAnsi="Arial"/>
                <w:sz w:val="16"/>
                <w:szCs w:val="16"/>
                <w:color w:val="auto"/>
              </w:rPr>
              <w:t>278</w:t>
            </w:r>
          </w:p>
        </w:tc>
        <w:tc>
          <w:tcPr>
            <w:tcW w:w="1120" w:type="dxa"/>
            <w:vAlign w:val="bottom"/>
          </w:tcPr>
          <w:p>
            <w:pPr>
              <w:jc w:val="right"/>
              <w:spacing w:after="0"/>
              <w:rPr>
                <w:sz w:val="20"/>
                <w:szCs w:val="20"/>
                <w:color w:val="auto"/>
              </w:rPr>
            </w:pPr>
            <w:r>
              <w:rPr>
                <w:rFonts w:ascii="Arial" w:cs="Arial" w:eastAsia="Arial" w:hAnsi="Arial"/>
                <w:sz w:val="16"/>
                <w:szCs w:val="16"/>
                <w:color w:val="auto"/>
              </w:rPr>
              <w:t>6.9 %</w:t>
            </w:r>
          </w:p>
        </w:tc>
      </w:tr>
      <w:tr>
        <w:trPr>
          <w:trHeight w:val="253"/>
        </w:trPr>
        <w:tc>
          <w:tcPr>
            <w:tcW w:w="130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Derivatives</w:t>
            </w:r>
          </w:p>
        </w:tc>
        <w:tc>
          <w:tcPr>
            <w:tcW w:w="720" w:type="dxa"/>
            <w:vAlign w:val="bottom"/>
          </w:tcPr>
          <w:p>
            <w:pPr>
              <w:jc w:val="right"/>
              <w:spacing w:after="0"/>
              <w:rPr>
                <w:sz w:val="20"/>
                <w:szCs w:val="20"/>
                <w:color w:val="auto"/>
              </w:rPr>
            </w:pPr>
            <w:r>
              <w:rPr>
                <w:rFonts w:ascii="Arial" w:cs="Arial" w:eastAsia="Arial" w:hAnsi="Arial"/>
                <w:sz w:val="16"/>
                <w:szCs w:val="16"/>
                <w:color w:val="auto"/>
              </w:rPr>
              <w:t>209</w:t>
            </w:r>
          </w:p>
        </w:tc>
        <w:tc>
          <w:tcPr>
            <w:tcW w:w="780" w:type="dxa"/>
            <w:vAlign w:val="bottom"/>
          </w:tcPr>
          <w:p>
            <w:pPr>
              <w:jc w:val="right"/>
              <w:spacing w:after="0"/>
              <w:rPr>
                <w:sz w:val="20"/>
                <w:szCs w:val="20"/>
                <w:color w:val="auto"/>
              </w:rPr>
            </w:pPr>
            <w:r>
              <w:rPr>
                <w:rFonts w:ascii="Arial" w:cs="Arial" w:eastAsia="Arial" w:hAnsi="Arial"/>
                <w:sz w:val="16"/>
                <w:szCs w:val="16"/>
                <w:color w:val="auto"/>
              </w:rPr>
              <w:t>232</w:t>
            </w:r>
          </w:p>
        </w:tc>
        <w:tc>
          <w:tcPr>
            <w:tcW w:w="11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46"/>
        </w:trPr>
        <w:tc>
          <w:tcPr>
            <w:tcW w:w="1300" w:type="dxa"/>
            <w:vAlign w:val="bottom"/>
            <w:tcBorders>
              <w:bottom w:val="single" w:sz="8" w:color="083566"/>
            </w:tcBorders>
          </w:tcPr>
          <w:p>
            <w:pPr>
              <w:spacing w:after="0"/>
              <w:rPr>
                <w:sz w:val="21"/>
                <w:szCs w:val="21"/>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507</w:t>
            </w:r>
          </w:p>
        </w:tc>
        <w:tc>
          <w:tcPr>
            <w:tcW w:w="7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510</w:t>
            </w:r>
          </w:p>
        </w:tc>
        <w:tc>
          <w:tcPr>
            <w:tcW w:w="11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(0.6)%</w:t>
            </w:r>
          </w:p>
        </w:tc>
      </w:tr>
      <w:tr>
        <w:trPr>
          <w:trHeight w:val="224"/>
        </w:trPr>
        <w:tc>
          <w:tcPr>
            <w:tcW w:w="1300" w:type="dxa"/>
            <w:vAlign w:val="bottom"/>
          </w:tcPr>
          <w:p>
            <w:pPr>
              <w:ind w:left="20"/>
              <w:spacing w:after="0"/>
              <w:rPr>
                <w:sz w:val="20"/>
                <w:szCs w:val="20"/>
                <w:color w:val="auto"/>
              </w:rPr>
            </w:pPr>
            <w:r>
              <w:rPr>
                <w:rFonts w:ascii="Arial" w:cs="Arial" w:eastAsia="Arial" w:hAnsi="Arial"/>
                <w:sz w:val="16"/>
                <w:szCs w:val="16"/>
                <w:color w:val="auto"/>
              </w:rPr>
              <w:t>Credit</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120" w:type="dxa"/>
            <w:vAlign w:val="bottom"/>
          </w:tcPr>
          <w:p>
            <w:pPr>
              <w:jc w:val="right"/>
              <w:spacing w:after="0"/>
              <w:rPr>
                <w:sz w:val="20"/>
                <w:szCs w:val="20"/>
                <w:color w:val="auto"/>
              </w:rPr>
            </w:pPr>
            <w:r>
              <w:rPr>
                <w:rFonts w:ascii="Arial" w:cs="Arial" w:eastAsia="Arial" w:hAnsi="Arial"/>
                <w:sz w:val="16"/>
                <w:szCs w:val="16"/>
                <w:color w:val="auto"/>
              </w:rPr>
              <w:t>39.9 %</w:t>
            </w:r>
          </w:p>
        </w:tc>
      </w:tr>
      <w:tr>
        <w:trPr>
          <w:trHeight w:val="253"/>
        </w:trPr>
        <w:tc>
          <w:tcPr>
            <w:tcW w:w="130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Derivatives</w:t>
            </w:r>
          </w:p>
        </w:tc>
        <w:tc>
          <w:tcPr>
            <w:tcW w:w="720" w:type="dxa"/>
            <w:vAlign w:val="bottom"/>
          </w:tcPr>
          <w:p>
            <w:pPr>
              <w:jc w:val="right"/>
              <w:spacing w:after="0"/>
              <w:rPr>
                <w:sz w:val="20"/>
                <w:szCs w:val="20"/>
                <w:color w:val="auto"/>
              </w:rPr>
            </w:pPr>
            <w:r>
              <w:rPr>
                <w:rFonts w:ascii="Arial" w:cs="Arial" w:eastAsia="Arial" w:hAnsi="Arial"/>
                <w:sz w:val="16"/>
                <w:szCs w:val="16"/>
                <w:color w:val="auto"/>
              </w:rPr>
              <w:t>10</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120" w:type="dxa"/>
            <w:vAlign w:val="bottom"/>
          </w:tcPr>
          <w:p>
            <w:pPr>
              <w:jc w:val="right"/>
              <w:spacing w:after="0"/>
              <w:rPr>
                <w:sz w:val="20"/>
                <w:szCs w:val="20"/>
                <w:color w:val="auto"/>
              </w:rPr>
            </w:pPr>
            <w:r>
              <w:rPr>
                <w:rFonts w:ascii="Arial" w:cs="Arial" w:eastAsia="Arial" w:hAnsi="Arial"/>
                <w:sz w:val="16"/>
                <w:szCs w:val="16"/>
                <w:color w:val="auto"/>
              </w:rPr>
              <w:t>51.9 %</w:t>
            </w:r>
          </w:p>
        </w:tc>
      </w:tr>
      <w:tr>
        <w:trPr>
          <w:trHeight w:val="246"/>
        </w:trPr>
        <w:tc>
          <w:tcPr>
            <w:tcW w:w="1300" w:type="dxa"/>
            <w:vAlign w:val="bottom"/>
            <w:tcBorders>
              <w:bottom w:val="single" w:sz="8" w:color="083566"/>
            </w:tcBorders>
          </w:tcPr>
          <w:p>
            <w:pPr>
              <w:spacing w:after="0"/>
              <w:rPr>
                <w:sz w:val="21"/>
                <w:szCs w:val="21"/>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18</w:t>
            </w:r>
          </w:p>
        </w:tc>
        <w:tc>
          <w:tcPr>
            <w:tcW w:w="7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w:t>
            </w:r>
          </w:p>
        </w:tc>
        <w:tc>
          <w:tcPr>
            <w:tcW w:w="11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46.5 %</w:t>
            </w:r>
          </w:p>
        </w:tc>
      </w:tr>
      <w:tr>
        <w:trPr>
          <w:trHeight w:val="233"/>
        </w:trPr>
        <w:tc>
          <w:tcPr>
            <w:tcW w:w="1300" w:type="dxa"/>
            <w:vAlign w:val="bottom"/>
          </w:tcPr>
          <w:p>
            <w:pPr>
              <w:ind w:left="20"/>
              <w:spacing w:after="0"/>
              <w:rPr>
                <w:sz w:val="20"/>
                <w:szCs w:val="20"/>
                <w:color w:val="auto"/>
              </w:rPr>
            </w:pPr>
            <w:r>
              <w:rPr>
                <w:rFonts w:ascii="Arial" w:cs="Arial" w:eastAsia="Arial" w:hAnsi="Arial"/>
                <w:sz w:val="16"/>
                <w:szCs w:val="16"/>
                <w:color w:val="auto"/>
              </w:rPr>
              <w:t>Money Markets</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720" w:type="dxa"/>
            <w:vAlign w:val="bottom"/>
          </w:tcPr>
          <w:p>
            <w:pPr>
              <w:jc w:val="right"/>
              <w:spacing w:after="0"/>
              <w:rPr>
                <w:sz w:val="20"/>
                <w:szCs w:val="20"/>
                <w:color w:val="auto"/>
              </w:rPr>
            </w:pPr>
            <w:r>
              <w:rPr>
                <w:rFonts w:ascii="Arial" w:cs="Arial" w:eastAsia="Arial" w:hAnsi="Arial"/>
                <w:sz w:val="16"/>
                <w:szCs w:val="16"/>
                <w:color w:val="auto"/>
              </w:rPr>
              <w:t>244</w:t>
            </w:r>
          </w:p>
        </w:tc>
        <w:tc>
          <w:tcPr>
            <w:tcW w:w="780" w:type="dxa"/>
            <w:vAlign w:val="bottom"/>
          </w:tcPr>
          <w:p>
            <w:pPr>
              <w:jc w:val="right"/>
              <w:spacing w:after="0"/>
              <w:rPr>
                <w:sz w:val="20"/>
                <w:szCs w:val="20"/>
                <w:color w:val="auto"/>
              </w:rPr>
            </w:pPr>
            <w:r>
              <w:rPr>
                <w:rFonts w:ascii="Arial" w:cs="Arial" w:eastAsia="Arial" w:hAnsi="Arial"/>
                <w:sz w:val="16"/>
                <w:szCs w:val="16"/>
                <w:color w:val="auto"/>
              </w:rPr>
              <w:t>223</w:t>
            </w:r>
          </w:p>
        </w:tc>
        <w:tc>
          <w:tcPr>
            <w:tcW w:w="1120" w:type="dxa"/>
            <w:vAlign w:val="bottom"/>
          </w:tcPr>
          <w:p>
            <w:pPr>
              <w:jc w:val="right"/>
              <w:spacing w:after="0"/>
              <w:rPr>
                <w:sz w:val="20"/>
                <w:szCs w:val="20"/>
                <w:color w:val="auto"/>
              </w:rPr>
            </w:pPr>
            <w:r>
              <w:rPr>
                <w:rFonts w:ascii="Arial" w:cs="Arial" w:eastAsia="Arial" w:hAnsi="Arial"/>
                <w:sz w:val="16"/>
                <w:szCs w:val="16"/>
                <w:color w:val="auto"/>
              </w:rPr>
              <w:t>9.3 %</w:t>
            </w:r>
          </w:p>
        </w:tc>
      </w:tr>
      <w:tr>
        <w:trPr>
          <w:trHeight w:val="246"/>
        </w:trPr>
        <w:tc>
          <w:tcPr>
            <w:tcW w:w="1300" w:type="dxa"/>
            <w:vAlign w:val="bottom"/>
            <w:tcBorders>
              <w:bottom w:val="single" w:sz="8" w:color="083566"/>
            </w:tcBorders>
          </w:tcPr>
          <w:p>
            <w:pPr>
              <w:spacing w:after="0"/>
              <w:rPr>
                <w:sz w:val="21"/>
                <w:szCs w:val="21"/>
                <w:color w:val="auto"/>
              </w:rPr>
            </w:pPr>
          </w:p>
        </w:tc>
        <w:tc>
          <w:tcPr>
            <w:tcW w:w="980" w:type="dxa"/>
            <w:vAlign w:val="bottom"/>
            <w:tcBorders>
              <w:bottom w:val="single" w:sz="8" w:color="083566"/>
            </w:tcBorders>
            <w:shd w:val="clear" w:color="auto" w:fill="D5DCE4"/>
          </w:tcPr>
          <w:p>
            <w:pPr>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244</w:t>
            </w:r>
          </w:p>
        </w:tc>
        <w:tc>
          <w:tcPr>
            <w:tcW w:w="7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223</w:t>
            </w:r>
          </w:p>
        </w:tc>
        <w:tc>
          <w:tcPr>
            <w:tcW w:w="11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9.3 %</w:t>
            </w:r>
          </w:p>
        </w:tc>
      </w:tr>
      <w:tr>
        <w:trPr>
          <w:trHeight w:val="223"/>
        </w:trPr>
        <w:tc>
          <w:tcPr>
            <w:tcW w:w="1300" w:type="dxa"/>
            <w:vAlign w:val="bottom"/>
          </w:tcPr>
          <w:p>
            <w:pPr>
              <w:ind w:left="20"/>
              <w:spacing w:after="0"/>
              <w:rPr>
                <w:sz w:val="20"/>
                <w:szCs w:val="20"/>
                <w:color w:val="auto"/>
              </w:rPr>
            </w:pPr>
            <w:r>
              <w:rPr>
                <w:rFonts w:ascii="Arial" w:cs="Arial" w:eastAsia="Arial" w:hAnsi="Arial"/>
                <w:sz w:val="16"/>
                <w:szCs w:val="16"/>
                <w:color w:val="auto"/>
              </w:rPr>
              <w:t>Equities</w:t>
            </w:r>
          </w:p>
        </w:tc>
        <w:tc>
          <w:tcPr>
            <w:tcW w:w="980" w:type="dxa"/>
            <w:vAlign w:val="bottom"/>
          </w:tcPr>
          <w:p>
            <w:pPr>
              <w:spacing w:after="0"/>
              <w:rPr>
                <w:sz w:val="20"/>
                <w:szCs w:val="20"/>
                <w:color w:val="auto"/>
              </w:rPr>
            </w:pPr>
            <w:r>
              <w:rPr>
                <w:rFonts w:ascii="Arial" w:cs="Arial" w:eastAsia="Arial" w:hAnsi="Arial"/>
                <w:sz w:val="16"/>
                <w:szCs w:val="16"/>
                <w:color w:val="auto"/>
              </w:rPr>
              <w:t>Cash</w:t>
            </w: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120" w:type="dxa"/>
            <w:vAlign w:val="bottom"/>
          </w:tcPr>
          <w:p>
            <w:pPr>
              <w:jc w:val="right"/>
              <w:spacing w:after="0"/>
              <w:rPr>
                <w:sz w:val="20"/>
                <w:szCs w:val="20"/>
                <w:color w:val="auto"/>
              </w:rPr>
            </w:pPr>
            <w:r>
              <w:rPr>
                <w:rFonts w:ascii="Arial" w:cs="Arial" w:eastAsia="Arial" w:hAnsi="Arial"/>
                <w:sz w:val="16"/>
                <w:szCs w:val="16"/>
                <w:color w:val="auto"/>
              </w:rPr>
              <w:t>53.7 %</w:t>
            </w:r>
          </w:p>
        </w:tc>
      </w:tr>
      <w:tr>
        <w:trPr>
          <w:trHeight w:val="324"/>
        </w:trPr>
        <w:tc>
          <w:tcPr>
            <w:tcW w:w="130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Derivatives</w:t>
            </w: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120" w:type="dxa"/>
            <w:vAlign w:val="bottom"/>
          </w:tcPr>
          <w:p>
            <w:pPr>
              <w:jc w:val="right"/>
              <w:spacing w:after="0"/>
              <w:rPr>
                <w:sz w:val="20"/>
                <w:szCs w:val="20"/>
                <w:color w:val="auto"/>
              </w:rPr>
            </w:pPr>
            <w:r>
              <w:rPr>
                <w:rFonts w:ascii="Arial" w:cs="Arial" w:eastAsia="Arial" w:hAnsi="Arial"/>
                <w:sz w:val="16"/>
                <w:szCs w:val="16"/>
                <w:color w:val="auto"/>
              </w:rPr>
              <w:t>22.2 %</w:t>
            </w:r>
          </w:p>
        </w:tc>
      </w:tr>
      <w:tr>
        <w:trPr>
          <w:trHeight w:val="100"/>
        </w:trPr>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305"/>
        </w:trPr>
        <w:tc>
          <w:tcPr>
            <w:tcW w:w="1300" w:type="dxa"/>
            <w:vAlign w:val="bottom"/>
          </w:tcPr>
          <w:p>
            <w:pPr>
              <w:spacing w:after="0"/>
              <w:rPr>
                <w:sz w:val="24"/>
                <w:szCs w:val="24"/>
                <w:color w:val="auto"/>
              </w:rPr>
            </w:pPr>
          </w:p>
        </w:tc>
        <w:tc>
          <w:tcPr>
            <w:tcW w:w="980" w:type="dxa"/>
            <w:vAlign w:val="bottom"/>
            <w:shd w:val="clear" w:color="auto" w:fill="D5DCE4"/>
          </w:tcPr>
          <w:p>
            <w:pPr>
              <w:spacing w:after="0"/>
              <w:rPr>
                <w:sz w:val="20"/>
                <w:szCs w:val="20"/>
                <w:color w:val="auto"/>
              </w:rPr>
            </w:pPr>
            <w:r>
              <w:rPr>
                <w:rFonts w:ascii="Arial" w:cs="Arial" w:eastAsia="Arial" w:hAnsi="Arial"/>
                <w:sz w:val="16"/>
                <w:szCs w:val="16"/>
                <w:color w:val="auto"/>
              </w:rPr>
              <w:t>Total</w:t>
            </w:r>
          </w:p>
        </w:tc>
        <w:tc>
          <w:tcPr>
            <w:tcW w:w="7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40.4 %</w:t>
            </w:r>
          </w:p>
        </w:tc>
      </w:tr>
      <w:tr>
        <w:trPr>
          <w:trHeight w:val="100"/>
        </w:trPr>
        <w:tc>
          <w:tcPr>
            <w:tcW w:w="1300" w:type="dxa"/>
            <w:vAlign w:val="bottom"/>
            <w:tcBorders>
              <w:bottom w:val="single" w:sz="8" w:color="083566"/>
            </w:tcBorders>
          </w:tcPr>
          <w:p>
            <w:pPr>
              <w:spacing w:after="0"/>
              <w:rPr>
                <w:sz w:val="8"/>
                <w:szCs w:val="8"/>
                <w:color w:val="auto"/>
              </w:rPr>
            </w:pPr>
          </w:p>
        </w:tc>
        <w:tc>
          <w:tcPr>
            <w:tcW w:w="980" w:type="dxa"/>
            <w:vAlign w:val="bottom"/>
            <w:tcBorders>
              <w:bottom w:val="single" w:sz="8" w:color="083566"/>
            </w:tcBorders>
            <w:shd w:val="clear" w:color="auto" w:fill="D5DCE4"/>
          </w:tcPr>
          <w:p>
            <w:pPr>
              <w:spacing w:after="0"/>
              <w:rPr>
                <w:sz w:val="8"/>
                <w:szCs w:val="8"/>
                <w:color w:val="auto"/>
              </w:rPr>
            </w:pPr>
          </w:p>
        </w:tc>
        <w:tc>
          <w:tcPr>
            <w:tcW w:w="720" w:type="dxa"/>
            <w:vAlign w:val="bottom"/>
            <w:tcBorders>
              <w:bottom w:val="single" w:sz="8" w:color="083566"/>
            </w:tcBorders>
            <w:shd w:val="clear" w:color="auto" w:fill="D5DCE4"/>
          </w:tcPr>
          <w:p>
            <w:pPr>
              <w:spacing w:after="0"/>
              <w:rPr>
                <w:sz w:val="8"/>
                <w:szCs w:val="8"/>
                <w:color w:val="auto"/>
              </w:rPr>
            </w:pPr>
          </w:p>
        </w:tc>
        <w:tc>
          <w:tcPr>
            <w:tcW w:w="780" w:type="dxa"/>
            <w:vAlign w:val="bottom"/>
            <w:tcBorders>
              <w:bottom w:val="single" w:sz="8" w:color="083566"/>
            </w:tcBorders>
            <w:shd w:val="clear" w:color="auto" w:fill="D5DCE4"/>
          </w:tcPr>
          <w:p>
            <w:pPr>
              <w:spacing w:after="0"/>
              <w:rPr>
                <w:sz w:val="8"/>
                <w:szCs w:val="8"/>
                <w:color w:val="auto"/>
              </w:rPr>
            </w:pPr>
          </w:p>
        </w:tc>
        <w:tc>
          <w:tcPr>
            <w:tcW w:w="1120" w:type="dxa"/>
            <w:vAlign w:val="bottom"/>
            <w:tcBorders>
              <w:bottom w:val="single" w:sz="8" w:color="083566"/>
            </w:tcBorders>
            <w:shd w:val="clear" w:color="auto" w:fill="D5DCE4"/>
          </w:tcPr>
          <w:p>
            <w:pPr>
              <w:spacing w:after="0"/>
              <w:rPr>
                <w:sz w:val="8"/>
                <w:szCs w:val="8"/>
                <w:color w:val="auto"/>
              </w:rPr>
            </w:pPr>
          </w:p>
        </w:tc>
      </w:tr>
      <w:tr>
        <w:trPr>
          <w:trHeight w:val="237"/>
        </w:trPr>
        <w:tc>
          <w:tcPr>
            <w:tcW w:w="1300" w:type="dxa"/>
            <w:vAlign w:val="bottom"/>
          </w:tcPr>
          <w:p>
            <w:pPr>
              <w:spacing w:after="0"/>
              <w:rPr>
                <w:sz w:val="20"/>
                <w:szCs w:val="20"/>
                <w:color w:val="auto"/>
              </w:rPr>
            </w:pPr>
          </w:p>
        </w:tc>
        <w:tc>
          <w:tcPr>
            <w:tcW w:w="98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778</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752</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3.5 %</w:t>
            </w:r>
          </w:p>
        </w:tc>
      </w:tr>
    </w:tbl>
    <w:p>
      <w:pPr>
        <w:spacing w:after="0" w:line="264" w:lineRule="exact"/>
        <w:rPr>
          <w:sz w:val="20"/>
          <w:szCs w:val="20"/>
          <w:color w:val="auto"/>
        </w:rPr>
      </w:pPr>
    </w:p>
    <w:p>
      <w:pPr>
        <w:ind w:left="20" w:right="340" w:hanging="7"/>
        <w:spacing w:after="0" w:line="239" w:lineRule="auto"/>
        <w:tabs>
          <w:tab w:leader="none" w:pos="209" w:val="left"/>
        </w:tabs>
        <w:numPr>
          <w:ilvl w:val="0"/>
          <w:numId w:val="2"/>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68" w:lineRule="exact"/>
        <w:rPr>
          <w:rFonts w:ascii="Arial" w:cs="Arial" w:eastAsia="Arial" w:hAnsi="Arial"/>
          <w:sz w:val="13"/>
          <w:szCs w:val="13"/>
          <w:color w:val="auto"/>
        </w:rPr>
      </w:pPr>
    </w:p>
    <w:p>
      <w:pPr>
        <w:ind w:left="200" w:hanging="187"/>
        <w:spacing w:after="0"/>
        <w:tabs>
          <w:tab w:leader="none" w:pos="20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sectPr>
          <w:pgSz w:w="11900" w:h="16838" w:orient="portrait"/>
          <w:cols w:equalWidth="0" w:num="2">
            <w:col w:w="5660" w:space="320"/>
            <w:col w:w="5180"/>
          </w:cols>
          <w:pgMar w:left="320" w:top="256"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from rates of $112.8 million in the second quarter of 2020 increased 5.4% compared to the second quarter of 2019 (5.9%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ADV in rates of $506.7 billion for the second quarter of 2020 decreased 0.6% compared with the second quarter of 2019 due to short-tenor interest rate swaps (low fees per million) decreasing 30% in volume. The decrease was offset by increased trading activity in U.S. Treasuries and European Government bonds increasing by 14.4% and 18.4% respectively compared with the second quarter of 2019. Quarterly ADV records were set in Emerging Markets Interest Rate Swaps and U.S. Treasury Bills.</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from credit of $49.1 million in the second quarter of 2020 increased 24.0% compared to the second quarter of 2019 (24.6%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ADV in credit of $17.9 billion for the second quarter of 2020 increased 46.5%, driven primarily by trading in credit default swaps and record volume in U.S. high-grade and U.S. high-yield credit.</w:t>
      </w:r>
    </w:p>
    <w:p>
      <w:pPr>
        <w:spacing w:after="0" w:line="198"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from equities of $15.4 million in the second quarter of 2020 increased 38.6% compared to the second quarter of 2019 (39.3%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constant currency basis). ADV in equities of $10.0 billion for the second quarter of 2020 increased 40.4% due mainly to increased trading activity in U.S. and European ETFs.</w:t>
      </w:r>
    </w:p>
    <w:p>
      <w:pPr>
        <w:spacing w:after="0" w:line="19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from money markets of $10.5 million in the second quarter of 2020 increased 2.1% compared to the second quarter of 2019</w:t>
      </w:r>
      <w:r>
        <w:rPr>
          <w:rFonts w:ascii="Arial" w:cs="Arial" w:eastAsia="Arial" w:hAnsi="Arial"/>
          <w:sz w:val="16"/>
          <w:szCs w:val="16"/>
          <w:b w:val="1"/>
          <w:bCs w:val="1"/>
          <w:color w:val="auto"/>
        </w:rPr>
        <w:t xml:space="preserve"> </w:t>
      </w:r>
      <w:r>
        <w:rPr>
          <w:rFonts w:ascii="Arial" w:cs="Arial" w:eastAsia="Arial" w:hAnsi="Arial"/>
          <w:sz w:val="16"/>
          <w:szCs w:val="16"/>
          <w:color w:val="auto"/>
        </w:rPr>
        <w:t>(2.3% on a constant currency basis). ADV in money markets of $243.7 billion for the second quarter of 2020 rose 9.3% due to record volume in bilateral repurchase agreements.</w:t>
      </w:r>
    </w:p>
    <w:p>
      <w:pPr>
        <w:spacing w:after="0" w:line="19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from market data of $18.5 million in the second quarter of 2020 increased 5.4% compared to the second quarter of 2019 (6.0% on</w:t>
      </w:r>
      <w:r>
        <w:rPr>
          <w:rFonts w:ascii="Arial" w:cs="Arial" w:eastAsia="Arial" w:hAnsi="Arial"/>
          <w:sz w:val="16"/>
          <w:szCs w:val="16"/>
          <w:b w:val="1"/>
          <w:bCs w:val="1"/>
          <w:color w:val="auto"/>
        </w:rPr>
        <w:t xml:space="preserve"> </w:t>
      </w:r>
      <w:r>
        <w:rPr>
          <w:rFonts w:ascii="Arial" w:cs="Arial" w:eastAsia="Arial" w:hAnsi="Arial"/>
          <w:sz w:val="16"/>
          <w:szCs w:val="16"/>
          <w:color w:val="auto"/>
        </w:rPr>
        <w:t>a constant currency basis) due to delivery of additional data under our market data license agreements with Refinitiv.</w:t>
      </w:r>
    </w:p>
    <w:p>
      <w:pPr>
        <w:spacing w:after="0" w:line="18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from other of $5.7 million in the second quarter of 2020 increased 18.5% compared to the second quarter of 2019 (18.5%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w:t>
      </w:r>
    </w:p>
    <w:p>
      <w:pPr>
        <w:spacing w:after="0" w:line="169"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 Operating expenses of $156.5 million in the second quarter of 2020 decreased 1.9% compared to the second quarter of 2019 due to</w:t>
      </w:r>
      <w:r>
        <w:rPr>
          <w:rFonts w:ascii="Arial" w:cs="Arial" w:eastAsia="Arial" w:hAnsi="Arial"/>
          <w:sz w:val="16"/>
          <w:szCs w:val="16"/>
          <w:b w:val="1"/>
          <w:bCs w:val="1"/>
          <w:color w:val="auto"/>
        </w:rPr>
        <w:t xml:space="preserve"> </w:t>
      </w:r>
      <w:r>
        <w:rPr>
          <w:rFonts w:ascii="Arial" w:cs="Arial" w:eastAsia="Arial" w:hAnsi="Arial"/>
          <w:sz w:val="16"/>
          <w:szCs w:val="16"/>
          <w:color w:val="auto"/>
        </w:rPr>
        <w:t>a decrease in non-cash stock-based compensation expense related to options, specifically related to the Special Option Award. In April 2019, we recognized $18.9 million as compensation expense related to these options immediately upon the completion of the IPO. Adjusted Expenses were $121.6 million in the second quarter of 2020, an increase of 6.9% from the prior year period primarily due to increased employee compensation and benefits expenses associated with incentive compensation and higher headcount, as well as higher technology and communications expense, partially offset by lower general and administrative expense. Please see "Non-GAAP Financial Measures" below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$559.9 million in cash and cash equivalents and a fully undrawn $500 million credit facility at June 30, 2020.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$10.8 million.</w:t>
      </w:r>
    </w:p>
    <w:p>
      <w:pPr>
        <w:spacing w:after="0" w:line="5" w:lineRule="exact"/>
        <w:rPr>
          <w:rFonts w:ascii="Arial" w:cs="Arial" w:eastAsia="Arial" w:hAnsi="Arial"/>
          <w:sz w:val="16"/>
          <w:szCs w:val="16"/>
          <w:color w:val="auto"/>
        </w:rPr>
      </w:pPr>
    </w:p>
    <w:p>
      <w:pPr>
        <w:ind w:left="660" w:right="88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June 30, 2020 of $352.6 million. See “Non-GAAP Financial Measures” for additional information.</w:t>
      </w:r>
    </w:p>
    <w:p>
      <w:pPr>
        <w:ind w:left="660" w:right="4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September 15, 2020 to stockholders of record as of September 1, 2020.</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2020 Guidance*</w:t>
      </w:r>
    </w:p>
    <w:p>
      <w:pPr>
        <w:spacing w:after="0" w:line="12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Expenses: $495 - $505 million</w:t>
      </w:r>
    </w:p>
    <w:p>
      <w:pPr>
        <w:ind w:left="1300" w:hanging="320"/>
        <w:spacing w:after="0" w:line="228"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~$5 million of technology &amp; communications investments (data strategy and cybersecurity)</w:t>
      </w:r>
    </w:p>
    <w:p>
      <w:pPr>
        <w:ind w:left="1300" w:hanging="320"/>
        <w:spacing w:after="0" w:line="228" w:lineRule="auto"/>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Includes ~$7 - $8 million of G&amp;A in Q3 and Q4 excluding the impact of FX</w:t>
      </w: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Duplicative occupancy (rent) delayed to 2021</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$110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$45 - $50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8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second quarter 2020 results starting at 9:00 a.m. Eastern Time today, July 30, 2020. A live, audio webcast of the conference call along with related materials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passcode 9396701. After the conference call, an archived recording will be available at </w:t>
      </w:r>
      <w:r>
        <w:rPr>
          <w:rFonts w:ascii="Arial" w:cs="Arial" w:eastAsia="Arial" w:hAnsi="Arial"/>
          <w:sz w:val="16"/>
          <w:szCs w:val="16"/>
          <w:u w:val="single" w:color="auto"/>
          <w:color w:val="055FC1"/>
        </w:rPr>
        <w:t>http://investors.tradeweb.com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$790 billion in notional value traded per day over the past four fiscal quarters. For more information, please go to </w:t>
      </w:r>
      <w:r>
        <w:rPr>
          <w:rFonts w:ascii="Arial" w:cs="Arial" w:eastAsia="Arial" w:hAnsi="Arial"/>
          <w:sz w:val="16"/>
          <w:szCs w:val="16"/>
          <w:u w:val="single" w:color="auto"/>
          <w:color w:val="055FC1"/>
        </w:rPr>
        <w:t>www.tradeweb.com</w:t>
      </w:r>
      <w:r>
        <w:rPr>
          <w:rFonts w:ascii="Arial" w:cs="Arial" w:eastAsia="Arial" w:hAnsi="Arial"/>
          <w:sz w:val="16"/>
          <w:szCs w:val="16"/>
          <w:color w:val="0E32E1"/>
        </w:rPr>
        <w:t>.</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9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22"/>
        </w:trPr>
        <w:tc>
          <w:tcPr>
            <w:tcW w:w="44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4"/>
                <w:szCs w:val="14"/>
                <w:color w:val="auto"/>
              </w:rPr>
              <w:t>Transaction fees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122,146</w:t>
            </w:r>
          </w:p>
        </w:tc>
        <w:tc>
          <w:tcPr>
            <w:tcW w:w="8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103,952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262,970</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206,592</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Subscription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34,566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69,489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69,011</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4"/>
                <w:szCs w:val="14"/>
                <w:color w:val="auto"/>
              </w:rPr>
              <w:t>Commissions</w:t>
            </w: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38,115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36,413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80,608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70,610</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Refinitiv market data fees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14,565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29,193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27,001</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2,275</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2,169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4,453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4,063</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Gross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212,107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190,485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446,713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377,277</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4"/>
                <w:szCs w:val="14"/>
                <w:color w:val="auto"/>
              </w:rPr>
              <w:t>Employee compensation and benefits</w:t>
            </w: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88,866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95,995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179,386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173,268</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37,919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34,292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75,095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67,795</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4"/>
                <w:szCs w:val="14"/>
                <w:color w:val="auto"/>
              </w:rPr>
              <w:t>Technology and communications</w:t>
            </w: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12,042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9,519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22,360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19,559</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9,365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15,863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18,454</w:t>
            </w:r>
          </w:p>
        </w:tc>
        <w:tc>
          <w:tcPr>
            <w:tcW w:w="0" w:type="dxa"/>
            <w:vAlign w:val="bottom"/>
          </w:tcPr>
          <w:p>
            <w:pPr>
              <w:spacing w:after="0"/>
              <w:rPr>
                <w:sz w:val="1"/>
                <w:szCs w:val="1"/>
                <w:color w:val="auto"/>
              </w:rPr>
            </w:pPr>
          </w:p>
        </w:tc>
      </w:tr>
      <w:tr>
        <w:trPr>
          <w:trHeight w:val="210"/>
        </w:trPr>
        <w:tc>
          <w:tcPr>
            <w:tcW w:w="4460" w:type="dxa"/>
            <w:vAlign w:val="bottom"/>
          </w:tcPr>
          <w:p>
            <w:pPr>
              <w:ind w:left="120"/>
              <w:spacing w:after="0"/>
              <w:rPr>
                <w:sz w:val="20"/>
                <w:szCs w:val="20"/>
                <w:color w:val="auto"/>
              </w:rPr>
            </w:pPr>
            <w:r>
              <w:rPr>
                <w:rFonts w:ascii="Arial" w:cs="Arial" w:eastAsia="Arial" w:hAnsi="Arial"/>
                <w:sz w:val="14"/>
                <w:szCs w:val="14"/>
                <w:color w:val="auto"/>
              </w:rPr>
              <w:t>Professional fees</w:t>
            </w: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6,609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6,738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color w:val="auto"/>
              </w:rPr>
              <w:t>13,520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13,709</w:t>
            </w:r>
          </w:p>
        </w:tc>
        <w:tc>
          <w:tcPr>
            <w:tcW w:w="0" w:type="dxa"/>
            <w:vAlign w:val="bottom"/>
          </w:tcPr>
          <w:p>
            <w:pPr>
              <w:spacing w:after="0"/>
              <w:rPr>
                <w:sz w:val="1"/>
                <w:szCs w:val="1"/>
                <w:color w:val="auto"/>
              </w:rPr>
            </w:pPr>
          </w:p>
        </w:tc>
      </w:tr>
      <w:tr>
        <w:trPr>
          <w:trHeight w:val="222"/>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Occupancy</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3,621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7,235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7,260</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b w:val="1"/>
                <w:bCs w:val="1"/>
                <w:color w:val="auto"/>
              </w:rPr>
              <w:t>Total expenses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156,468</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159,530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313,459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300,045</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55,639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30,955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133,254</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77,232</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interest income (expense)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55,353</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31,130</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133,667</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78,265</w:t>
            </w:r>
          </w:p>
        </w:tc>
        <w:tc>
          <w:tcPr>
            <w:tcW w:w="0" w:type="dxa"/>
            <w:vAlign w:val="bottom"/>
          </w:tcPr>
          <w:p>
            <w:pPr>
              <w:spacing w:after="0"/>
              <w:rPr>
                <w:sz w:val="1"/>
                <w:szCs w:val="1"/>
                <w:color w:val="auto"/>
              </w:rPr>
            </w:pPr>
          </w:p>
        </w:tc>
      </w:tr>
      <w:tr>
        <w:trPr>
          <w:trHeight w:val="203"/>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(12,945)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(6,314)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(28,774)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(11,097)</w:t>
            </w:r>
          </w:p>
        </w:tc>
        <w:tc>
          <w:tcPr>
            <w:tcW w:w="0" w:type="dxa"/>
            <w:vAlign w:val="bottom"/>
          </w:tcPr>
          <w:p>
            <w:pPr>
              <w:spacing w:after="0"/>
              <w:rPr>
                <w:sz w:val="1"/>
                <w:szCs w:val="1"/>
                <w:color w:val="auto"/>
              </w:rPr>
            </w:pPr>
          </w:p>
        </w:tc>
      </w:tr>
      <w:tr>
        <w:trPr>
          <w:trHeight w:val="215"/>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42,408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24,816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104,893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67,168</w:t>
            </w: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Less: Pre-IPO net income attributable to Tradeweb Markets LLC</w:t>
            </w:r>
          </w:p>
        </w:tc>
        <w:tc>
          <w:tcPr>
            <w:tcW w:w="3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42,352</w:t>
            </w:r>
          </w:p>
        </w:tc>
        <w:tc>
          <w:tcPr>
            <w:tcW w:w="0" w:type="dxa"/>
            <w:vAlign w:val="bottom"/>
          </w:tcPr>
          <w:p>
            <w:pPr>
              <w:spacing w:after="0"/>
              <w:rPr>
                <w:sz w:val="1"/>
                <w:szCs w:val="1"/>
                <w:color w:val="auto"/>
              </w:rPr>
            </w:pPr>
          </w:p>
        </w:tc>
      </w:tr>
      <w:tr>
        <w:trPr>
          <w:trHeight w:val="180"/>
        </w:trPr>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Tradeweb Markets Inc. and non-controlling</w:t>
            </w: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42,408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24,816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104,893</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24,816</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11,912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11,988</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30,469</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11,988</w:t>
            </w:r>
          </w:p>
        </w:tc>
        <w:tc>
          <w:tcPr>
            <w:tcW w:w="0" w:type="dxa"/>
            <w:vAlign w:val="bottom"/>
          </w:tcPr>
          <w:p>
            <w:pPr>
              <w:spacing w:after="0"/>
              <w:rPr>
                <w:sz w:val="1"/>
                <w:szCs w:val="1"/>
                <w:color w:val="auto"/>
              </w:rPr>
            </w:pPr>
          </w:p>
        </w:tc>
      </w:tr>
      <w:tr>
        <w:trPr>
          <w:trHeight w:val="235"/>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30,496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12,828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74,424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12,828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EPS calculations for post-IPO and pre-IPO periods </w:t>
            </w:r>
            <w:r>
              <w:rPr>
                <w:rFonts w:ascii="Arial" w:cs="Arial" w:eastAsia="Arial" w:hAnsi="Arial"/>
                <w:sz w:val="18"/>
                <w:szCs w:val="18"/>
                <w:b w:val="1"/>
                <w:bCs w:val="1"/>
                <w:color w:val="auto"/>
                <w:vertAlign w:val="superscript"/>
              </w:rPr>
              <w:t>(1)</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0.17</w:t>
            </w:r>
            <w:r>
              <w:rPr>
                <w:rFonts w:ascii="Arial" w:cs="Arial" w:eastAsia="Arial" w:hAnsi="Arial"/>
                <w:sz w:val="18"/>
                <w:szCs w:val="18"/>
                <w:color w:val="auto"/>
                <w:vertAlign w:val="superscript"/>
              </w:rPr>
              <w:t>(a)</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r>
              <w:rPr>
                <w:rFonts w:ascii="Arial" w:cs="Arial" w:eastAsia="Arial" w:hAnsi="Arial"/>
                <w:sz w:val="18"/>
                <w:szCs w:val="18"/>
                <w:color w:val="auto"/>
                <w:vertAlign w:val="superscript"/>
              </w:rPr>
              <w:t>(a)</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r>
              <w:rPr>
                <w:rFonts w:ascii="Arial" w:cs="Arial" w:eastAsia="Arial" w:hAnsi="Arial"/>
                <w:sz w:val="18"/>
                <w:szCs w:val="18"/>
                <w:color w:val="auto"/>
                <w:vertAlign w:val="superscript"/>
              </w:rPr>
              <w:t>(a)</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 0.09</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2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right"/>
              <w:ind w:right="100"/>
              <w:spacing w:after="0" w:line="190" w:lineRule="exact"/>
              <w:rPr>
                <w:sz w:val="20"/>
                <w:szCs w:val="20"/>
                <w:color w:val="auto"/>
              </w:rPr>
            </w:pPr>
            <w:r>
              <w:rPr>
                <w:rFonts w:ascii="Arial" w:cs="Arial" w:eastAsia="Arial" w:hAnsi="Arial"/>
                <w:sz w:val="14"/>
                <w:szCs w:val="14"/>
                <w:color w:val="auto"/>
              </w:rPr>
              <w:t>0.16</w:t>
            </w:r>
            <w:r>
              <w:rPr>
                <w:rFonts w:ascii="Arial" w:cs="Arial" w:eastAsia="Arial" w:hAnsi="Arial"/>
                <w:sz w:val="18"/>
                <w:szCs w:val="18"/>
                <w:color w:val="auto"/>
                <w:vertAlign w:val="superscript"/>
              </w:rPr>
              <w:t>(a)</w:t>
            </w:r>
          </w:p>
        </w:tc>
        <w:tc>
          <w:tcPr>
            <w:tcW w:w="380" w:type="dxa"/>
            <w:vAlign w:val="bottom"/>
          </w:tcPr>
          <w:p>
            <w:pPr>
              <w:spacing w:after="0"/>
              <w:rPr>
                <w:sz w:val="16"/>
                <w:szCs w:val="16"/>
                <w:color w:val="auto"/>
              </w:rPr>
            </w:pPr>
          </w:p>
        </w:tc>
        <w:tc>
          <w:tcPr>
            <w:tcW w:w="1340" w:type="dxa"/>
            <w:vAlign w:val="bottom"/>
            <w:gridSpan w:val="2"/>
          </w:tcPr>
          <w:p>
            <w:pPr>
              <w:jc w:val="right"/>
              <w:ind w:right="100"/>
              <w:spacing w:after="0" w:line="190" w:lineRule="exact"/>
              <w:rPr>
                <w:sz w:val="20"/>
                <w:szCs w:val="20"/>
                <w:color w:val="auto"/>
              </w:rPr>
            </w:pPr>
            <w:r>
              <w:rPr>
                <w:rFonts w:ascii="Arial" w:cs="Arial" w:eastAsia="Arial" w:hAnsi="Arial"/>
                <w:sz w:val="14"/>
                <w:szCs w:val="14"/>
                <w:color w:val="auto"/>
              </w:rPr>
              <w:t>0.09</w:t>
            </w:r>
            <w:r>
              <w:rPr>
                <w:rFonts w:ascii="Arial" w:cs="Arial" w:eastAsia="Arial" w:hAnsi="Arial"/>
                <w:sz w:val="18"/>
                <w:szCs w:val="18"/>
                <w:color w:val="auto"/>
                <w:vertAlign w:val="superscript"/>
              </w:rPr>
              <w:t>(a)</w:t>
            </w:r>
          </w:p>
        </w:tc>
        <w:tc>
          <w:tcPr>
            <w:tcW w:w="360" w:type="dxa"/>
            <w:vAlign w:val="bottom"/>
          </w:tcPr>
          <w:p>
            <w:pPr>
              <w:spacing w:after="0"/>
              <w:rPr>
                <w:sz w:val="16"/>
                <w:szCs w:val="16"/>
                <w:color w:val="auto"/>
              </w:rPr>
            </w:pPr>
          </w:p>
        </w:tc>
        <w:tc>
          <w:tcPr>
            <w:tcW w:w="1340" w:type="dxa"/>
            <w:vAlign w:val="bottom"/>
            <w:gridSpan w:val="2"/>
          </w:tcPr>
          <w:p>
            <w:pPr>
              <w:jc w:val="right"/>
              <w:ind w:right="100"/>
              <w:spacing w:after="0" w:line="190" w:lineRule="exact"/>
              <w:rPr>
                <w:sz w:val="20"/>
                <w:szCs w:val="20"/>
                <w:color w:val="auto"/>
              </w:rPr>
            </w:pPr>
            <w:r>
              <w:rPr>
                <w:rFonts w:ascii="Arial" w:cs="Arial" w:eastAsia="Arial" w:hAnsi="Arial"/>
                <w:sz w:val="14"/>
                <w:szCs w:val="14"/>
                <w:color w:val="auto"/>
              </w:rPr>
              <w:t>0.41</w:t>
            </w:r>
            <w:r>
              <w:rPr>
                <w:rFonts w:ascii="Arial" w:cs="Arial" w:eastAsia="Arial" w:hAnsi="Arial"/>
                <w:sz w:val="18"/>
                <w:szCs w:val="18"/>
                <w:color w:val="auto"/>
                <w:vertAlign w:val="superscript"/>
              </w:rPr>
              <w:t>(a)</w:t>
            </w:r>
          </w:p>
        </w:tc>
        <w:tc>
          <w:tcPr>
            <w:tcW w:w="360" w:type="dxa"/>
            <w:vAlign w:val="bottom"/>
          </w:tcPr>
          <w:p>
            <w:pPr>
              <w:spacing w:after="0"/>
              <w:rPr>
                <w:sz w:val="16"/>
                <w:szCs w:val="16"/>
                <w:color w:val="auto"/>
              </w:rPr>
            </w:pPr>
          </w:p>
        </w:tc>
        <w:tc>
          <w:tcPr>
            <w:tcW w:w="1280" w:type="dxa"/>
            <w:vAlign w:val="bottom"/>
          </w:tcPr>
          <w:p>
            <w:pPr>
              <w:jc w:val="right"/>
              <w:spacing w:after="0" w:line="190" w:lineRule="exact"/>
              <w:rPr>
                <w:sz w:val="20"/>
                <w:szCs w:val="20"/>
                <w:color w:val="auto"/>
              </w:rPr>
            </w:pPr>
            <w:r>
              <w:rPr>
                <w:rFonts w:ascii="Arial" w:cs="Arial" w:eastAsia="Arial" w:hAnsi="Arial"/>
                <w:sz w:val="14"/>
                <w:szCs w:val="14"/>
                <w:color w:val="auto"/>
              </w:rPr>
              <w:t>0.19</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 0.09</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460" w:type="dxa"/>
            <w:vAlign w:val="bottom"/>
          </w:tcPr>
          <w:p>
            <w:pPr>
              <w:ind w:left="12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line="185" w:lineRule="exact"/>
              <w:rPr>
                <w:sz w:val="20"/>
                <w:szCs w:val="20"/>
                <w:color w:val="auto"/>
              </w:rPr>
            </w:pPr>
            <w:r>
              <w:rPr>
                <w:rFonts w:ascii="Arial" w:cs="Arial" w:eastAsia="Arial" w:hAnsi="Arial"/>
                <w:sz w:val="14"/>
                <w:szCs w:val="14"/>
                <w:color w:val="auto"/>
              </w:rPr>
              <w:t>222,222,197</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tcPr>
          <w:p>
            <w:pPr>
              <w:jc w:val="right"/>
              <w:ind w:right="100"/>
              <w:spacing w:after="0" w:line="193" w:lineRule="exact"/>
              <w:rPr>
                <w:sz w:val="20"/>
                <w:szCs w:val="20"/>
                <w:color w:val="auto"/>
              </w:rPr>
            </w:pPr>
            <w:r>
              <w:rPr>
                <w:rFonts w:ascii="Arial" w:cs="Arial" w:eastAsia="Arial" w:hAnsi="Arial"/>
                <w:sz w:val="14"/>
                <w:szCs w:val="14"/>
                <w:color w:val="auto"/>
              </w:rPr>
              <w:t>177,649,501</w:t>
            </w:r>
            <w:r>
              <w:rPr>
                <w:rFonts w:ascii="Arial" w:cs="Arial" w:eastAsia="Arial" w:hAnsi="Arial"/>
                <w:sz w:val="18"/>
                <w:szCs w:val="18"/>
                <w:color w:val="auto"/>
                <w:vertAlign w:val="superscript"/>
              </w:rPr>
              <w:t>(a)</w:t>
            </w:r>
          </w:p>
        </w:tc>
        <w:tc>
          <w:tcPr>
            <w:tcW w:w="380" w:type="dxa"/>
            <w:vAlign w:val="bottom"/>
          </w:tcPr>
          <w:p>
            <w:pPr>
              <w:spacing w:after="0"/>
              <w:rPr>
                <w:sz w:val="16"/>
                <w:szCs w:val="16"/>
                <w:color w:val="auto"/>
              </w:rPr>
            </w:pPr>
          </w:p>
        </w:tc>
        <w:tc>
          <w:tcPr>
            <w:tcW w:w="1340" w:type="dxa"/>
            <w:vAlign w:val="bottom"/>
            <w:gridSpan w:val="2"/>
          </w:tcPr>
          <w:p>
            <w:pPr>
              <w:jc w:val="right"/>
              <w:ind w:right="100"/>
              <w:spacing w:after="0" w:line="193" w:lineRule="exact"/>
              <w:rPr>
                <w:sz w:val="20"/>
                <w:szCs w:val="20"/>
                <w:color w:val="auto"/>
              </w:rPr>
            </w:pPr>
            <w:r>
              <w:rPr>
                <w:rFonts w:ascii="Arial" w:cs="Arial" w:eastAsia="Arial" w:hAnsi="Arial"/>
                <w:sz w:val="14"/>
                <w:szCs w:val="14"/>
                <w:color w:val="auto"/>
              </w:rPr>
              <w:t>142,933,192</w:t>
            </w:r>
            <w:r>
              <w:rPr>
                <w:rFonts w:ascii="Arial" w:cs="Arial" w:eastAsia="Arial" w:hAnsi="Arial"/>
                <w:sz w:val="18"/>
                <w:szCs w:val="18"/>
                <w:color w:val="auto"/>
                <w:vertAlign w:val="superscript"/>
              </w:rPr>
              <w:t>(a)</w:t>
            </w:r>
          </w:p>
        </w:tc>
        <w:tc>
          <w:tcPr>
            <w:tcW w:w="360" w:type="dxa"/>
            <w:vAlign w:val="bottom"/>
          </w:tcPr>
          <w:p>
            <w:pPr>
              <w:spacing w:after="0"/>
              <w:rPr>
                <w:sz w:val="16"/>
                <w:szCs w:val="16"/>
                <w:color w:val="auto"/>
              </w:rPr>
            </w:pPr>
          </w:p>
        </w:tc>
        <w:tc>
          <w:tcPr>
            <w:tcW w:w="1340" w:type="dxa"/>
            <w:vAlign w:val="bottom"/>
            <w:gridSpan w:val="2"/>
          </w:tcPr>
          <w:p>
            <w:pPr>
              <w:jc w:val="right"/>
              <w:ind w:right="100"/>
              <w:spacing w:after="0" w:line="193" w:lineRule="exact"/>
              <w:rPr>
                <w:sz w:val="20"/>
                <w:szCs w:val="20"/>
                <w:color w:val="auto"/>
              </w:rPr>
            </w:pPr>
            <w:r>
              <w:rPr>
                <w:rFonts w:ascii="Arial" w:cs="Arial" w:eastAsia="Arial" w:hAnsi="Arial"/>
                <w:sz w:val="14"/>
                <w:szCs w:val="14"/>
                <w:color w:val="auto"/>
              </w:rPr>
              <w:t>171,942,125</w:t>
            </w:r>
            <w:r>
              <w:rPr>
                <w:rFonts w:ascii="Arial" w:cs="Arial" w:eastAsia="Arial" w:hAnsi="Arial"/>
                <w:sz w:val="18"/>
                <w:szCs w:val="18"/>
                <w:color w:val="auto"/>
                <w:vertAlign w:val="superscript"/>
              </w:rPr>
              <w:t>(a)</w:t>
            </w:r>
          </w:p>
        </w:tc>
        <w:tc>
          <w:tcPr>
            <w:tcW w:w="36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Arial" w:cs="Arial" w:eastAsia="Arial" w:hAnsi="Arial"/>
                <w:sz w:val="14"/>
                <w:szCs w:val="14"/>
                <w:color w:val="auto"/>
              </w:rPr>
              <w:t>142,933,192</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r>
        <w:trPr>
          <w:trHeight w:val="185"/>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5" w:lineRule="exact"/>
              <w:rPr>
                <w:sz w:val="20"/>
                <w:szCs w:val="20"/>
                <w:color w:val="auto"/>
              </w:rPr>
            </w:pPr>
            <w:r>
              <w:rPr>
                <w:rFonts w:ascii="Arial" w:cs="Arial" w:eastAsia="Arial" w:hAnsi="Arial"/>
                <w:sz w:val="14"/>
                <w:szCs w:val="14"/>
                <w:color w:val="auto"/>
              </w:rPr>
              <w:t>223,320,457</w:t>
            </w:r>
            <w:r>
              <w:rPr>
                <w:rFonts w:ascii="Arial" w:cs="Arial" w:eastAsia="Arial" w:hAnsi="Arial"/>
                <w:sz w:val="18"/>
                <w:szCs w:val="18"/>
                <w:color w:val="auto"/>
                <w:vertAlign w:val="superscript"/>
              </w:rPr>
              <w:t>(b)</w:t>
            </w: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r>
        <w:trPr>
          <w:trHeight w:val="193"/>
        </w:trPr>
        <w:tc>
          <w:tcPr>
            <w:tcW w:w="4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4"/>
                <w:szCs w:val="14"/>
                <w:color w:val="auto"/>
              </w:rPr>
              <w:t>185,489,824</w:t>
            </w:r>
            <w:r>
              <w:rPr>
                <w:rFonts w:ascii="Arial" w:cs="Arial" w:eastAsia="Arial" w:hAnsi="Arial"/>
                <w:sz w:val="18"/>
                <w:szCs w:val="18"/>
                <w:color w:val="auto"/>
                <w:vertAlign w:val="superscript"/>
              </w:rPr>
              <w:t>(a)</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4"/>
                <w:szCs w:val="14"/>
                <w:color w:val="auto"/>
              </w:rPr>
              <w:t>150,847,183</w:t>
            </w:r>
            <w:r>
              <w:rPr>
                <w:rFonts w:ascii="Arial" w:cs="Arial" w:eastAsia="Arial" w:hAnsi="Arial"/>
                <w:sz w:val="18"/>
                <w:szCs w:val="18"/>
                <w:color w:val="auto"/>
                <w:vertAlign w:val="superscript"/>
              </w:rPr>
              <w:t>(a)</w:t>
            </w:r>
          </w:p>
        </w:tc>
        <w:tc>
          <w:tcPr>
            <w:tcW w:w="3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00"/>
              <w:spacing w:after="0" w:line="193" w:lineRule="exact"/>
              <w:rPr>
                <w:sz w:val="20"/>
                <w:szCs w:val="20"/>
                <w:color w:val="auto"/>
              </w:rPr>
            </w:pPr>
            <w:r>
              <w:rPr>
                <w:rFonts w:ascii="Arial" w:cs="Arial" w:eastAsia="Arial" w:hAnsi="Arial"/>
                <w:sz w:val="14"/>
                <w:szCs w:val="14"/>
                <w:color w:val="auto"/>
              </w:rPr>
              <w:t>180,008,891</w:t>
            </w:r>
            <w:r>
              <w:rPr>
                <w:rFonts w:ascii="Arial" w:cs="Arial" w:eastAsia="Arial" w:hAnsi="Arial"/>
                <w:sz w:val="18"/>
                <w:szCs w:val="18"/>
                <w:color w:val="auto"/>
                <w:vertAlign w:val="superscript"/>
              </w:rPr>
              <w:t>(a)</w:t>
            </w: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93" w:lineRule="exact"/>
              <w:rPr>
                <w:sz w:val="20"/>
                <w:szCs w:val="20"/>
                <w:color w:val="auto"/>
              </w:rPr>
            </w:pPr>
            <w:r>
              <w:rPr>
                <w:rFonts w:ascii="Arial" w:cs="Arial" w:eastAsia="Arial" w:hAnsi="Arial"/>
                <w:sz w:val="14"/>
                <w:szCs w:val="14"/>
                <w:color w:val="auto"/>
              </w:rPr>
              <w:t>150,847,183</w:t>
            </w:r>
            <w:r>
              <w:rPr>
                <w:rFonts w:ascii="Arial" w:cs="Arial" w:eastAsia="Arial" w:hAnsi="Arial"/>
                <w:sz w:val="18"/>
                <w:szCs w:val="18"/>
                <w:color w:val="auto"/>
                <w:vertAlign w:val="superscript"/>
              </w:rPr>
              <w:t>(a)</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660" w:right="280" w:hanging="328"/>
        <w:spacing w:after="0" w:line="238" w:lineRule="auto"/>
        <w:tabs>
          <w:tab w:leader="none" w:pos="652"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ind w:left="1300" w:hanging="320"/>
        <w:spacing w:after="0" w:line="216" w:lineRule="auto"/>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1300" w:hanging="320"/>
        <w:spacing w:after="0" w:line="216" w:lineRule="auto"/>
        <w:tabs>
          <w:tab w:leader="none" w:pos="1300" w:val="left"/>
        </w:tabs>
        <w:numPr>
          <w:ilvl w:val="1"/>
          <w:numId w:val="5"/>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660"/>
        <w:spacing w:after="0"/>
        <w:rPr>
          <w:sz w:val="20"/>
          <w:szCs w:val="20"/>
          <w:color w:val="auto"/>
        </w:rPr>
      </w:pPr>
      <w:r>
        <w:rPr>
          <w:rFonts w:ascii="Arial" w:cs="Arial" w:eastAsia="Arial" w:hAnsi="Arial"/>
          <w:sz w:val="13"/>
          <w:szCs w:val="13"/>
          <w:color w:val="auto"/>
        </w:rPr>
        <w:t>See “Basic and Diluted EPS Calculations” and “Presentation” below for additional information.</w:t>
      </w:r>
    </w:p>
    <w:p>
      <w:pPr>
        <w:sectPr>
          <w:pgSz w:w="11900" w:h="16838" w:orient="portrait"/>
          <w:cols w:equalWidth="0" w:num="1">
            <w:col w:w="11240"/>
          </w:cols>
          <w:pgMar w:left="320" w:top="985" w:right="339" w:bottom="1440" w:gutter="0" w:footer="0" w:header="0"/>
        </w:sectPr>
      </w:pPr>
    </w:p>
    <w:p>
      <w:pPr>
        <w:spacing w:after="0" w:line="18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3</w:t>
      </w:r>
    </w:p>
    <w:p>
      <w:pPr>
        <w:sectPr>
          <w:pgSz w:w="11900" w:h="16838" w:orient="portrait"/>
          <w:cols w:equalWidth="0" w:num="1">
            <w:col w:w="11240"/>
          </w:cols>
          <w:pgMar w:left="320" w:top="98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ectPr>
          <w:pgSz w:w="11900" w:h="16838" w:orient="portrait"/>
          <w:cols w:equalWidth="0" w:num="1">
            <w:col w:w="11240"/>
          </w:cols>
          <w:pgMar w:left="320" w:top="688" w:right="339" w:bottom="1440" w:gutter="0" w:footer="0" w:header="0"/>
        </w:sectPr>
      </w:pPr>
    </w:p>
    <w:p>
      <w:pPr>
        <w:spacing w:after="0" w:line="39" w:lineRule="exact"/>
        <w:rPr>
          <w:sz w:val="20"/>
          <w:szCs w:val="20"/>
          <w:color w:val="auto"/>
        </w:rPr>
      </w:pPr>
    </w:p>
    <w:p>
      <w:pPr>
        <w:ind w:left="20"/>
        <w:spacing w:after="0" w:line="259"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2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780" w:type="dxa"/>
            <w:vAlign w:val="bottom"/>
            <w:gridSpan w:val="2"/>
          </w:tcPr>
          <w:p>
            <w:pPr>
              <w:jc w:val="right"/>
              <w:ind w:right="859"/>
              <w:spacing w:after="0"/>
              <w:rPr>
                <w:sz w:val="20"/>
                <w:szCs w:val="20"/>
                <w:color w:val="auto"/>
              </w:rPr>
            </w:pPr>
            <w:r>
              <w:rPr>
                <w:rFonts w:ascii="Arial" w:cs="Arial" w:eastAsia="Arial" w:hAnsi="Arial"/>
                <w:sz w:val="16"/>
                <w:szCs w:val="16"/>
                <w:b w:val="1"/>
                <w:bCs w:val="1"/>
                <w:color w:val="auto"/>
              </w:rPr>
              <w:t>Six Months Ended June 30,</w:t>
            </w:r>
          </w:p>
        </w:tc>
      </w:tr>
      <w:tr>
        <w:trPr>
          <w:trHeight w:val="418"/>
        </w:trPr>
        <w:tc>
          <w:tcPr>
            <w:tcW w:w="18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26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2020</w:t>
            </w:r>
          </w:p>
        </w:tc>
        <w:tc>
          <w:tcPr>
            <w:tcW w:w="216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2019</w:t>
            </w:r>
          </w:p>
        </w:tc>
      </w:tr>
      <w:tr>
        <w:trPr>
          <w:trHeight w:val="223"/>
        </w:trPr>
        <w:tc>
          <w:tcPr>
            <w:tcW w:w="1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20" w:type="dxa"/>
            <w:vAlign w:val="bottom"/>
          </w:tcPr>
          <w:p>
            <w:pPr>
              <w:jc w:val="right"/>
              <w:ind w:right="1359"/>
              <w:spacing w:after="0"/>
              <w:rPr>
                <w:sz w:val="20"/>
                <w:szCs w:val="20"/>
                <w:color w:val="auto"/>
              </w:rPr>
            </w:pPr>
            <w:r>
              <w:rPr>
                <w:rFonts w:ascii="Arial" w:cs="Arial" w:eastAsia="Arial" w:hAnsi="Arial"/>
                <w:sz w:val="16"/>
                <w:szCs w:val="16"/>
                <w:b w:val="1"/>
                <w:bCs w:val="1"/>
                <w:color w:val="auto"/>
              </w:rPr>
              <w:t>(in thousands)</w:t>
            </w:r>
          </w:p>
        </w:tc>
        <w:tc>
          <w:tcPr>
            <w:tcW w:w="2160" w:type="dxa"/>
            <w:vAlign w:val="bottom"/>
          </w:tcPr>
          <w:p>
            <w:pPr>
              <w:spacing w:after="0"/>
              <w:rPr>
                <w:sz w:val="19"/>
                <w:szCs w:val="19"/>
                <w:color w:val="auto"/>
              </w:rPr>
            </w:pPr>
          </w:p>
        </w:tc>
      </w:tr>
    </w:tbl>
    <w:p>
      <w:pPr>
        <w:spacing w:after="0" w:line="20" w:lineRule="exact"/>
        <w:rPr>
          <w:sz w:val="20"/>
          <w:szCs w:val="20"/>
          <w:color w:val="auto"/>
        </w:rPr>
      </w:pPr>
    </w:p>
    <w:p>
      <w:pPr>
        <w:sectPr>
          <w:pgSz w:w="11900" w:h="16838" w:orient="portrait"/>
          <w:cols w:equalWidth="0" w:num="2">
            <w:col w:w="2820" w:space="440"/>
            <w:col w:w="798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42,408</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24,816</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104,893</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67,168</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Net interest income (expense)</w:t>
            </w:r>
          </w:p>
        </w:tc>
        <w:tc>
          <w:tcPr>
            <w:tcW w:w="52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286</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(175)</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(1,033)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37,919</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34,292</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75,095</w:t>
            </w:r>
          </w:p>
        </w:tc>
        <w:tc>
          <w:tcPr>
            <w:tcW w:w="3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67,795</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(1)</w:t>
            </w:r>
          </w:p>
        </w:tc>
        <w:tc>
          <w:tcPr>
            <w:tcW w:w="52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4,995</w:t>
            </w: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20,403</w:t>
            </w: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8,492</w:t>
            </w: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20,403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12,945</w:t>
            </w:r>
          </w:p>
        </w:tc>
        <w:tc>
          <w:tcPr>
            <w:tcW w:w="3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6,314</w:t>
            </w:r>
          </w:p>
        </w:tc>
        <w:tc>
          <w:tcPr>
            <w:tcW w:w="3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28,774</w:t>
            </w:r>
          </w:p>
        </w:tc>
        <w:tc>
          <w:tcPr>
            <w:tcW w:w="3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11,097</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260" w:type="dxa"/>
            <w:vAlign w:val="bottom"/>
          </w:tcPr>
          <w:p>
            <w:pPr>
              <w:ind w:left="20"/>
              <w:spacing w:after="0"/>
              <w:rPr>
                <w:sz w:val="20"/>
                <w:szCs w:val="20"/>
                <w:color w:val="auto"/>
              </w:rPr>
            </w:pPr>
            <w:r>
              <w:rPr>
                <w:rFonts w:ascii="Arial" w:cs="Arial" w:eastAsia="Arial" w:hAnsi="Arial"/>
                <w:sz w:val="16"/>
                <w:szCs w:val="16"/>
                <w:color w:val="auto"/>
              </w:rPr>
              <w:t>Unrealized foreign exchange (gains) /</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20"/>
              <w:spacing w:after="0"/>
              <w:rPr>
                <w:sz w:val="20"/>
                <w:szCs w:val="20"/>
                <w:color w:val="auto"/>
              </w:rPr>
            </w:pPr>
            <w:r>
              <w:rPr>
                <w:rFonts w:ascii="Arial" w:cs="Arial" w:eastAsia="Arial" w:hAnsi="Arial"/>
                <w:sz w:val="16"/>
                <w:szCs w:val="16"/>
                <w:color w:val="auto"/>
              </w:rPr>
              <w:t>losses</w:t>
            </w:r>
          </w:p>
        </w:tc>
        <w:tc>
          <w:tcPr>
            <w:tcW w:w="52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2,793</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1,577</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3,957</w:t>
            </w: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1,284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(Gain)/Loss from revaluation of foreign</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denominated cash</w:t>
            </w:r>
            <w:r>
              <w:rPr>
                <w:rFonts w:ascii="Arial" w:cs="Arial" w:eastAsia="Arial" w:hAnsi="Arial"/>
                <w:sz w:val="21"/>
                <w:szCs w:val="21"/>
                <w:color w:val="auto"/>
                <w:vertAlign w:val="superscript"/>
              </w:rPr>
              <w:t>(2)</w:t>
            </w: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3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161</w:t>
            </w:r>
          </w:p>
        </w:tc>
        <w:tc>
          <w:tcPr>
            <w:tcW w:w="3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558</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101,309</w:t>
            </w:r>
          </w:p>
        </w:tc>
        <w:tc>
          <w:tcPr>
            <w:tcW w:w="86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86,925</w:t>
            </w:r>
          </w:p>
        </w:tc>
        <w:tc>
          <w:tcPr>
            <w:tcW w:w="8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220,959</w:t>
            </w:r>
          </w:p>
        </w:tc>
        <w:tc>
          <w:tcPr>
            <w:tcW w:w="8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167,272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Depreciation and amortization</w:t>
            </w:r>
          </w:p>
        </w:tc>
        <w:tc>
          <w:tcPr>
            <w:tcW w:w="5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(37,919)</w:t>
            </w:r>
          </w:p>
        </w:tc>
        <w:tc>
          <w:tcPr>
            <w:tcW w:w="3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(34,292)</w:t>
            </w:r>
          </w:p>
        </w:tc>
        <w:tc>
          <w:tcPr>
            <w:tcW w:w="3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(75,095)</w:t>
            </w:r>
          </w:p>
        </w:tc>
        <w:tc>
          <w:tcPr>
            <w:tcW w:w="3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(67,795)</w:t>
            </w:r>
          </w:p>
        </w:tc>
        <w:tc>
          <w:tcPr>
            <w:tcW w:w="3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260" w:type="dxa"/>
            <w:vAlign w:val="bottom"/>
          </w:tcPr>
          <w:p>
            <w:pPr>
              <w:ind w:left="20"/>
              <w:spacing w:after="0"/>
              <w:rPr>
                <w:sz w:val="20"/>
                <w:szCs w:val="20"/>
                <w:color w:val="auto"/>
              </w:rPr>
            </w:pPr>
            <w:r>
              <w:rPr>
                <w:rFonts w:ascii="Arial" w:cs="Arial" w:eastAsia="Arial" w:hAnsi="Arial"/>
                <w:sz w:val="16"/>
                <w:szCs w:val="16"/>
                <w:color w:val="auto"/>
              </w:rPr>
              <w:t>Add: Acquisition and Refinitiv Transaction</w:t>
            </w: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CCEEFF"/>
            </w:tcBorders>
          </w:tcPr>
          <w:p>
            <w:pPr>
              <w:ind w:left="20"/>
              <w:spacing w:after="0" w:line="217" w:lineRule="exact"/>
              <w:rPr>
                <w:sz w:val="20"/>
                <w:szCs w:val="20"/>
                <w:color w:val="auto"/>
              </w:rPr>
            </w:pPr>
            <w:r>
              <w:rPr>
                <w:rFonts w:ascii="Arial" w:cs="Arial" w:eastAsia="Arial" w:hAnsi="Arial"/>
                <w:sz w:val="16"/>
                <w:szCs w:val="16"/>
                <w:color w:val="auto"/>
              </w:rPr>
              <w:t>related D&amp;A</w:t>
            </w:r>
            <w:r>
              <w:rPr>
                <w:rFonts w:ascii="Arial" w:cs="Arial" w:eastAsia="Arial" w:hAnsi="Arial"/>
                <w:sz w:val="21"/>
                <w:szCs w:val="21"/>
                <w:color w:val="auto"/>
                <w:vertAlign w:val="superscript"/>
              </w:rPr>
              <w:t>(3)</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27,131</w:t>
            </w:r>
          </w:p>
        </w:tc>
        <w:tc>
          <w:tcPr>
            <w:tcW w:w="3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24,133</w:t>
            </w:r>
          </w:p>
        </w:tc>
        <w:tc>
          <w:tcPr>
            <w:tcW w:w="3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53,404</w:t>
            </w:r>
          </w:p>
        </w:tc>
        <w:tc>
          <w:tcPr>
            <w:tcW w:w="3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47,342</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90,521</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76,766</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199,268</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146,819</w:t>
            </w: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21"/>
                <w:szCs w:val="21"/>
                <w:color w:val="auto"/>
                <w:vertAlign w:val="superscript"/>
              </w:rPr>
              <w:t>(4)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47.8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5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45.6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98"/>
              </w:rPr>
              <w:t>%</w:t>
            </w:r>
          </w:p>
        </w:tc>
        <w:tc>
          <w:tcPr>
            <w:tcW w:w="52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49.5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98"/>
              </w:rPr>
              <w:t>%</w:t>
            </w:r>
          </w:p>
        </w:tc>
        <w:tc>
          <w:tcPr>
            <w:tcW w:w="54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44.3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 margin</w:t>
            </w:r>
            <w:r>
              <w:rPr>
                <w:rFonts w:ascii="Arial" w:cs="Arial" w:eastAsia="Arial" w:hAnsi="Arial"/>
                <w:sz w:val="21"/>
                <w:szCs w:val="21"/>
                <w:color w:val="auto"/>
                <w:vertAlign w:val="superscript"/>
              </w:rPr>
              <w:t>(4)</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42.7</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w:t>
            </w: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40.3</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w:t>
            </w: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w:t>
            </w:r>
          </w:p>
        </w:tc>
        <w:tc>
          <w:tcPr>
            <w:tcW w:w="5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38.9</w:t>
            </w:r>
          </w:p>
        </w:tc>
        <w:tc>
          <w:tcPr>
            <w:tcW w:w="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660" w:right="220" w:hanging="328"/>
        <w:spacing w:after="0" w:line="184"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ind w:left="660" w:right="180" w:hanging="328"/>
        <w:spacing w:after="0" w:line="238" w:lineRule="auto"/>
        <w:tabs>
          <w:tab w:leader="none" w:pos="652" w:val="left"/>
        </w:tabs>
        <w:numPr>
          <w:ilvl w:val="0"/>
          <w:numId w:val="6"/>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40" w:hanging="308"/>
        <w:spacing w:after="0"/>
        <w:tabs>
          <w:tab w:leader="none" w:pos="6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EBITDA margin and Adjusted EBIT margin are defined as Adjusted EBITDA and Adjusted EBIT, respectively, divided by gross revenue for the applicable period.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Net Income to</w:t>
            </w:r>
          </w:p>
        </w:tc>
        <w:tc>
          <w:tcPr>
            <w:tcW w:w="28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Three Months Ended June 30,</w:t>
            </w:r>
          </w:p>
        </w:tc>
        <w:tc>
          <w:tcPr>
            <w:tcW w:w="298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Six Months Ended June 30,</w:t>
            </w:r>
          </w:p>
        </w:tc>
      </w:tr>
      <w:tr>
        <w:trPr>
          <w:trHeight w:val="256"/>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Net Income and Adjusted Diluted EPS</w:t>
            </w: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6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760" w:type="dxa"/>
            <w:vAlign w:val="bottom"/>
          </w:tcPr>
          <w:p>
            <w:pPr>
              <w:jc w:val="right"/>
              <w:ind w:right="759"/>
              <w:spacing w:after="0"/>
              <w:rPr>
                <w:sz w:val="20"/>
                <w:szCs w:val="20"/>
                <w:color w:val="auto"/>
              </w:rPr>
            </w:pPr>
            <w:r>
              <w:rPr>
                <w:rFonts w:ascii="Arial" w:cs="Arial" w:eastAsia="Arial" w:hAnsi="Arial"/>
                <w:sz w:val="16"/>
                <w:szCs w:val="16"/>
                <w:b w:val="1"/>
                <w:bCs w:val="1"/>
                <w:color w:val="auto"/>
              </w:rPr>
              <w:t>2019</w:t>
            </w:r>
          </w:p>
        </w:tc>
      </w:tr>
      <w:tr>
        <w:trPr>
          <w:trHeight w:val="224"/>
        </w:trPr>
        <w:tc>
          <w:tcPr>
            <w:tcW w:w="5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tcBorders>
              <w:top w:val="single" w:sz="8" w:color="auto"/>
            </w:tcBorders>
            <w:gridSpan w:val="2"/>
          </w:tcPr>
          <w:p>
            <w:pPr>
              <w:jc w:val="right"/>
              <w:ind w:right="979"/>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per diluted share</w:t>
      </w:r>
      <w:r>
        <w:rPr>
          <w:rFonts w:ascii="Arial" w:cs="Arial" w:eastAsia="Arial" w:hAnsi="Arial"/>
          <w:sz w:val="21"/>
          <w:szCs w:val="2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Pre-IPO net income attributable to Tradeweb Markets LLC </w:t>
      </w:r>
      <w:r>
        <w:rPr>
          <w:rFonts w:ascii="Arial" w:cs="Arial" w:eastAsia="Arial" w:hAnsi="Arial"/>
          <w:sz w:val="21"/>
          <w:szCs w:val="21"/>
          <w:color w:val="auto"/>
          <w:vertAlign w:val="superscript"/>
        </w:rPr>
        <w:t>(1)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Tradeweb Markets Inc.</w:t>
      </w:r>
      <w:r>
        <w:rPr>
          <w:rFonts w:ascii="Arial" w:cs="Arial" w:eastAsia="Arial" w:hAnsi="Arial"/>
          <w:sz w:val="21"/>
          <w:szCs w:val="21"/>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(1)(2)</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 for income taxes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(3)</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(4)</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Unrealized foreign exchange (gains) / losses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from revaluation of foreign denominated cash</w:t>
      </w:r>
      <w:r>
        <w:rPr>
          <w:rFonts w:ascii="Arial" w:cs="Arial" w:eastAsia="Arial" w:hAnsi="Arial"/>
          <w:sz w:val="21"/>
          <w:szCs w:val="21"/>
          <w:color w:val="auto"/>
          <w:vertAlign w:val="superscript"/>
        </w:rPr>
        <w:t>(5)</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Net Income before income taxes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income taxes</w:t>
      </w:r>
      <w:r>
        <w:rPr>
          <w:rFonts w:ascii="Arial" w:cs="Arial" w:eastAsia="Arial" w:hAnsi="Arial"/>
          <w:sz w:val="21"/>
          <w:szCs w:val="21"/>
          <w:color w:val="auto"/>
          <w:vertAlign w:val="superscript"/>
        </w:rPr>
        <w:t>(6)</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Net Income</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(1)(7)</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84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jc w:val="right"/>
              <w:ind w:right="9"/>
              <w:spacing w:after="0"/>
              <w:rPr>
                <w:sz w:val="20"/>
                <w:szCs w:val="20"/>
                <w:color w:val="auto"/>
              </w:rPr>
            </w:pPr>
            <w:r>
              <w:rPr>
                <w:rFonts w:ascii="Arial" w:cs="Arial" w:eastAsia="Arial" w:hAnsi="Arial"/>
                <w:sz w:val="10"/>
                <w:szCs w:val="10"/>
                <w:color w:val="auto"/>
                <w:w w:val="70"/>
              </w:rPr>
              <w:t>/</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(b)/(a)</w:t>
            </w:r>
          </w:p>
        </w:tc>
      </w:tr>
      <w:tr>
        <w:trPr>
          <w:trHeight w:val="208"/>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0.16</w:t>
            </w:r>
          </w:p>
        </w:tc>
        <w:tc>
          <w:tcPr>
            <w:tcW w:w="5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0.09</w:t>
            </w:r>
          </w:p>
        </w:tc>
        <w:tc>
          <w:tcPr>
            <w:tcW w:w="3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0.09</w:t>
            </w:r>
          </w:p>
        </w:tc>
        <w:tc>
          <w:tcPr>
            <w:tcW w:w="320" w:type="dxa"/>
            <w:vAlign w:val="bottom"/>
          </w:tcPr>
          <w:p>
            <w:pPr>
              <w:spacing w:after="0"/>
              <w:rPr>
                <w:sz w:val="18"/>
                <w:szCs w:val="18"/>
                <w:color w:val="auto"/>
              </w:rPr>
            </w:pPr>
          </w:p>
        </w:tc>
      </w:tr>
      <w:tr>
        <w:trPr>
          <w:trHeight w:val="223"/>
        </w:trPr>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42,352</w:t>
            </w:r>
          </w:p>
        </w:tc>
        <w:tc>
          <w:tcPr>
            <w:tcW w:w="100" w:type="dxa"/>
            <w:vAlign w:val="bottom"/>
            <w:tcBorders>
              <w:top w:val="single" w:sz="8" w:color="auto"/>
            </w:tcBorders>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(b)</w:t>
            </w:r>
          </w:p>
        </w:tc>
      </w:tr>
      <w:tr>
        <w:trPr>
          <w:trHeight w:val="243"/>
        </w:trPr>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30,496</w:t>
            </w:r>
          </w:p>
        </w:tc>
        <w:tc>
          <w:tcPr>
            <w:tcW w:w="54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12,828</w:t>
            </w: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74,424</w:t>
            </w: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12,828</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r>
      <w:tr>
        <w:trPr>
          <w:trHeight w:val="256"/>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11,912</w:t>
            </w:r>
          </w:p>
        </w:tc>
        <w:tc>
          <w:tcPr>
            <w:tcW w:w="280" w:type="dxa"/>
            <w:vAlign w:val="bottom"/>
          </w:tcPr>
          <w:p>
            <w:pPr>
              <w:ind w:left="20"/>
              <w:spacing w:after="0"/>
              <w:rPr>
                <w:sz w:val="20"/>
                <w:szCs w:val="20"/>
                <w:color w:val="auto"/>
              </w:rPr>
            </w:pPr>
            <w:r>
              <w:rPr>
                <w:rFonts w:ascii="Arial" w:cs="Arial" w:eastAsia="Arial" w:hAnsi="Arial"/>
                <w:sz w:val="11"/>
                <w:szCs w:val="11"/>
                <w:color w:val="auto"/>
              </w:rPr>
              <w:t>(a)</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11,988</w:t>
            </w: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30,469</w:t>
            </w: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11,988</w:t>
            </w:r>
          </w:p>
        </w:tc>
        <w:tc>
          <w:tcPr>
            <w:tcW w:w="100" w:type="dxa"/>
            <w:vAlign w:val="bottom"/>
            <w:tcBorders>
              <w:bottom w:val="single" w:sz="8" w:color="auto"/>
            </w:tcBorders>
          </w:tcPr>
          <w:p>
            <w:pPr>
              <w:spacing w:after="0"/>
              <w:rPr>
                <w:sz w:val="22"/>
                <w:szCs w:val="22"/>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r>
      <w:tr>
        <w:trPr>
          <w:trHeight w:val="272"/>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42,408</w:t>
            </w:r>
          </w:p>
        </w:tc>
        <w:tc>
          <w:tcPr>
            <w:tcW w:w="540" w:type="dxa"/>
            <w:vAlign w:val="bottom"/>
            <w:gridSpan w:val="2"/>
          </w:tcPr>
          <w:p>
            <w:pPr>
              <w:ind w:left="20"/>
              <w:spacing w:after="0" w:line="272" w:lineRule="exact"/>
              <w:rPr>
                <w:sz w:val="20"/>
                <w:szCs w:val="20"/>
                <w:color w:val="auto"/>
              </w:rPr>
            </w:pPr>
            <w:r>
              <w:rPr>
                <w:rFonts w:ascii="Arial" w:cs="Arial" w:eastAsia="Arial" w:hAnsi="Arial"/>
                <w:sz w:val="10"/>
                <w:szCs w:val="10"/>
                <w:color w:val="auto"/>
              </w:rPr>
              <w:t xml:space="preserve">(a)   </w:t>
            </w:r>
            <w:r>
              <w:rPr>
                <w:rFonts w:ascii="Arial" w:cs="Arial" w:eastAsia="Arial" w:hAnsi="Arial"/>
                <w:sz w:val="31"/>
                <w:szCs w:val="31"/>
                <w:color w:val="auto"/>
                <w:vertAlign w:val="subscript"/>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24,816</w:t>
            </w: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104,893</w:t>
            </w:r>
          </w:p>
        </w:tc>
        <w:tc>
          <w:tcPr>
            <w:tcW w:w="600" w:type="dxa"/>
            <w:vAlign w:val="bottom"/>
            <w:gridSpan w:val="2"/>
          </w:tcPr>
          <w:p>
            <w:pPr>
              <w:ind w:left="20"/>
              <w:spacing w:after="0" w:line="272" w:lineRule="exact"/>
              <w:rPr>
                <w:sz w:val="20"/>
                <w:szCs w:val="20"/>
                <w:color w:val="auto"/>
              </w:rPr>
            </w:pPr>
            <w:r>
              <w:rPr>
                <w:rFonts w:ascii="Arial" w:cs="Arial" w:eastAsia="Arial" w:hAnsi="Arial"/>
                <w:sz w:val="10"/>
                <w:szCs w:val="10"/>
                <w:color w:val="auto"/>
              </w:rPr>
              <w:t xml:space="preserve">(a)    </w:t>
            </w:r>
            <w:r>
              <w:rPr>
                <w:rFonts w:ascii="Arial" w:cs="Arial" w:eastAsia="Arial" w:hAnsi="Arial"/>
                <w:sz w:val="31"/>
                <w:szCs w:val="31"/>
                <w:color w:val="auto"/>
                <w:vertAlign w:val="subscript"/>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67,168</w:t>
            </w:r>
          </w:p>
        </w:tc>
        <w:tc>
          <w:tcPr>
            <w:tcW w:w="100" w:type="dxa"/>
            <w:vAlign w:val="bottom"/>
          </w:tcPr>
          <w:p>
            <w:pPr>
              <w:spacing w:after="0"/>
              <w:rPr>
                <w:sz w:val="23"/>
                <w:szCs w:val="23"/>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w w:val="93"/>
              </w:rPr>
              <w:t>(b)/(a)</w:t>
            </w:r>
          </w:p>
        </w:tc>
      </w:tr>
      <w:tr>
        <w:trPr>
          <w:trHeight w:val="195"/>
        </w:trPr>
        <w:tc>
          <w:tcPr>
            <w:tcW w:w="26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12,945</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6,314</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28,774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43"/>
        </w:trPr>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27,131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24,133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53,404</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4,995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20,403</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8,492</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43"/>
        </w:trPr>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2,793</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1,577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3,957</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w:t>
            </w:r>
          </w:p>
        </w:tc>
        <w:tc>
          <w:tcPr>
            <w:tcW w:w="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23"/>
        </w:trPr>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90,235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76,941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199,681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147,852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6"/>
        </w:trPr>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(19,852)</w:t>
            </w: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(20,312)</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(43,930)</w:t>
            </w:r>
          </w:p>
        </w:tc>
        <w:tc>
          <w:tcPr>
            <w:tcW w:w="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(39,033)</w:t>
            </w:r>
          </w:p>
        </w:tc>
        <w:tc>
          <w:tcPr>
            <w:tcW w:w="10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r>
      <w:tr>
        <w:trPr>
          <w:trHeight w:val="236"/>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70,383</w:t>
            </w:r>
          </w:p>
        </w:tc>
        <w:tc>
          <w:tcPr>
            <w:tcW w:w="28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56,629</w:t>
            </w:r>
          </w:p>
        </w:tc>
        <w:tc>
          <w:tcPr>
            <w:tcW w:w="3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155,751</w:t>
            </w:r>
          </w:p>
        </w:tc>
        <w:tc>
          <w:tcPr>
            <w:tcW w:w="320" w:type="dxa"/>
            <w:vAlign w:val="bottom"/>
          </w:tcPr>
          <w:p>
            <w:pPr>
              <w:spacing w:after="0"/>
              <w:rPr>
                <w:sz w:val="20"/>
                <w:szCs w:val="20"/>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108,819</w:t>
            </w:r>
          </w:p>
        </w:tc>
        <w:tc>
          <w:tcPr>
            <w:tcW w:w="1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18"/>
        </w:trPr>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84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auto"/>
              </w:rPr>
              <w:t>(a)</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color w:val="auto"/>
              </w:rPr>
              <w:t>(a)</w:t>
            </w:r>
          </w:p>
        </w:tc>
        <w:tc>
          <w:tcPr>
            <w:tcW w:w="80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jc w:val="right"/>
              <w:ind w:right="9"/>
              <w:spacing w:after="0"/>
              <w:rPr>
                <w:sz w:val="20"/>
                <w:szCs w:val="20"/>
                <w:color w:val="auto"/>
              </w:rPr>
            </w:pPr>
            <w:r>
              <w:rPr>
                <w:rFonts w:ascii="Arial" w:cs="Arial" w:eastAsia="Arial" w:hAnsi="Arial"/>
                <w:sz w:val="10"/>
                <w:szCs w:val="10"/>
                <w:color w:val="auto"/>
                <w:w w:val="70"/>
              </w:rPr>
              <w:t>/</w:t>
            </w:r>
          </w:p>
        </w:tc>
        <w:tc>
          <w:tcPr>
            <w:tcW w:w="320" w:type="dxa"/>
            <w:vAlign w:val="bottom"/>
          </w:tcPr>
          <w:p>
            <w:pPr>
              <w:ind w:left="20"/>
              <w:spacing w:after="0"/>
              <w:rPr>
                <w:sz w:val="20"/>
                <w:szCs w:val="20"/>
                <w:color w:val="auto"/>
              </w:rPr>
            </w:pPr>
            <w:r>
              <w:rPr>
                <w:rFonts w:ascii="Arial" w:cs="Arial" w:eastAsia="Arial" w:hAnsi="Arial"/>
                <w:sz w:val="11"/>
                <w:szCs w:val="11"/>
                <w:color w:val="auto"/>
                <w:w w:val="93"/>
              </w:rPr>
              <w:t>(b)/(a)</w:t>
            </w:r>
          </w:p>
        </w:tc>
      </w:tr>
      <w:tr>
        <w:trPr>
          <w:trHeight w:val="208"/>
        </w:trPr>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0.30</w:t>
            </w:r>
          </w:p>
        </w:tc>
        <w:tc>
          <w:tcPr>
            <w:tcW w:w="5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0.25</w:t>
            </w:r>
          </w:p>
        </w:tc>
        <w:tc>
          <w:tcPr>
            <w:tcW w:w="3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0.25</w:t>
            </w:r>
          </w:p>
        </w:tc>
        <w:tc>
          <w:tcPr>
            <w:tcW w:w="320" w:type="dxa"/>
            <w:vAlign w:val="bottom"/>
          </w:tcPr>
          <w:p>
            <w:pPr>
              <w:spacing w:after="0"/>
              <w:rPr>
                <w:sz w:val="18"/>
                <w:szCs w:val="18"/>
                <w:color w:val="auto"/>
              </w:rPr>
            </w:pPr>
          </w:p>
        </w:tc>
      </w:tr>
      <w:tr>
        <w:trPr>
          <w:trHeight w:val="27"/>
        </w:trPr>
        <w:tc>
          <w:tcPr>
            <w:tcW w:w="2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-2039620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-1731010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-1413510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-1104900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-796925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-479425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80" w:space="720"/>
            <w:col w:w="5840"/>
          </w:cols>
          <w:pgMar w:left="320" w:top="688" w:right="339" w:bottom="1440" w:gutter="0" w:footer="0" w:header="0"/>
          <w:type w:val="continuous"/>
        </w:sectPr>
      </w:pPr>
    </w:p>
    <w:p>
      <w:pPr>
        <w:spacing w:after="0" w:line="132" w:lineRule="exact"/>
        <w:rPr>
          <w:sz w:val="20"/>
          <w:szCs w:val="20"/>
          <w:color w:val="auto"/>
        </w:rPr>
      </w:pPr>
    </w:p>
    <w:p>
      <w:pPr>
        <w:ind w:left="660" w:right="160" w:hanging="328"/>
        <w:spacing w:after="0" w:line="184" w:lineRule="auto"/>
        <w:tabs>
          <w:tab w:leader="none" w:pos="652"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As a result, certain earnings information is being presented separately for Tradeweb Markets LLC and Tradeweb Markets Inc.</w:t>
      </w:r>
    </w:p>
    <w:p>
      <w:pPr>
        <w:ind w:left="1300" w:hanging="320"/>
        <w:spacing w:after="0" w:line="216" w:lineRule="auto"/>
        <w:tabs>
          <w:tab w:leader="none" w:pos="130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ind w:left="1300" w:hanging="320"/>
        <w:spacing w:after="0" w:line="216" w:lineRule="auto"/>
        <w:tabs>
          <w:tab w:leader="none" w:pos="130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ind w:left="660"/>
        <w:spacing w:after="0" w:line="217" w:lineRule="auto"/>
        <w:rPr>
          <w:sz w:val="20"/>
          <w:szCs w:val="20"/>
          <w:color w:val="auto"/>
        </w:rPr>
      </w:pPr>
      <w:r>
        <w:rPr>
          <w:rFonts w:ascii="Arial" w:cs="Arial" w:eastAsia="Arial" w:hAnsi="Arial"/>
          <w:sz w:val="13"/>
          <w:szCs w:val="13"/>
          <w:color w:val="auto"/>
        </w:rPr>
        <w:t>See the “Basic and Diluted EPS Calculations” table below for additional information.</w:t>
      </w:r>
    </w:p>
    <w:p>
      <w:pPr>
        <w:ind w:left="660" w:right="220" w:hanging="328"/>
        <w:spacing w:after="0" w:line="216"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 post-IPO periods, represents the reallocation of net income attributable to non-controlling interests from the assumed exchange of all outstanding LLC Interests held by non-controlling interests for shares of Class A or Class B common stock.</w:t>
      </w:r>
    </w:p>
    <w:p>
      <w:pPr>
        <w:ind w:left="660" w:right="18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20" w:hanging="328"/>
        <w:spacing w:after="0" w:line="238"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line="216" w:lineRule="auto"/>
        <w:tabs>
          <w:tab w:leader="none" w:pos="64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ind w:left="660" w:right="160" w:hanging="328"/>
        <w:spacing w:after="0" w:line="242" w:lineRule="auto"/>
        <w:tabs>
          <w:tab w:leader="none" w:pos="652"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corporate income taxes at an assumed effective tax rate of 22.0% and 26.4% applied to Adjusted Net Income before income taxes for the three and six months ended June 30, 2020 and 2019, respectively. For pre-IPO periods, this adjustment assumes Tradeweb Markets LLC was subject to a corporate tax rate for the periods presented.</w:t>
      </w:r>
    </w:p>
    <w:p>
      <w:pPr>
        <w:sectPr>
          <w:pgSz w:w="11900" w:h="16838" w:orient="portrait"/>
          <w:cols w:equalWidth="0" w:num="1">
            <w:col w:w="11240"/>
          </w:cols>
          <w:pgMar w:left="320" w:top="688" w:right="339" w:bottom="1440" w:gutter="0" w:footer="0" w:header="0"/>
          <w:type w:val="continuous"/>
        </w:sectPr>
      </w:pPr>
    </w:p>
    <w:p>
      <w:pPr>
        <w:spacing w:after="0" w:line="19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4</w:t>
      </w:r>
    </w:p>
    <w:p>
      <w:pPr>
        <w:sectPr>
          <w:pgSz w:w="11900" w:h="16838" w:orient="portrait"/>
          <w:cols w:equalWidth="0" w:num="1">
            <w:col w:w="11240"/>
          </w:cols>
          <w:pgMar w:left="320" w:top="688" w:right="339" w:bottom="1440" w:gutter="0" w:footer="0" w:header="0"/>
          <w:type w:val="continuous"/>
        </w:sectPr>
      </w:pPr>
    </w:p>
    <w:bookmarkStart w:id="7" w:name="page8"/>
    <w:bookmarkEnd w:id="7"/>
    <w:p>
      <w:pPr>
        <w:ind w:left="660" w:right="20" w:hanging="328"/>
        <w:spacing w:after="0" w:line="223" w:lineRule="auto"/>
        <w:tabs>
          <w:tab w:leader="none" w:pos="652" w:val="left"/>
        </w:tabs>
        <w:numPr>
          <w:ilvl w:val="0"/>
          <w:numId w:val="9"/>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six months ended June 30, 2019 represent shares of TWM LLC (pre-IPO period) and shares of Class A and Class B common stock of Tradeweb Markets, Inc. (post-IPO period). Shares outstanding during the three and six months ended June 30, 2020 represent shares of Class A and Class B Common Stock of Tradeweb Markets Inc. (post-IPO period). For a summary of the calculation of Adjusted Diluted EPS, see "Reconciliation of Diluted Weighted Average Shares Outstanding to Adjusted Diluted Weighted Average Shares Outstanding" below.</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Pre-IPO Period</w:t>
            </w:r>
          </w:p>
        </w:tc>
        <w:tc>
          <w:tcPr>
            <w:tcW w:w="120" w:type="dxa"/>
            <w:vAlign w:val="bottom"/>
          </w:tcPr>
          <w:p>
            <w:pPr>
              <w:spacing w:after="0"/>
              <w:rPr>
                <w:sz w:val="19"/>
                <w:szCs w:val="19"/>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w w:val="98"/>
              </w:rPr>
              <w:t>Post-IPO Period</w:t>
            </w:r>
          </w:p>
        </w:tc>
        <w:tc>
          <w:tcPr>
            <w:tcW w:w="0" w:type="dxa"/>
            <w:vAlign w:val="bottom"/>
          </w:tcPr>
          <w:p>
            <w:pPr>
              <w:spacing w:after="0"/>
              <w:rPr>
                <w:sz w:val="1"/>
                <w:szCs w:val="1"/>
                <w:color w:val="auto"/>
              </w:rPr>
            </w:pPr>
          </w:p>
        </w:tc>
      </w:tr>
      <w:tr>
        <w:trPr>
          <w:trHeight w:val="184"/>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Diluted Weighted Average</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Three Months</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Three Months</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2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 Outstanding to Adjusted Diluted</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Ended June 30,</w:t>
            </w:r>
          </w:p>
        </w:tc>
        <w:tc>
          <w:tcPr>
            <w:tcW w:w="12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Ended June 30,</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Six Months Ended</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rPr>
              <w:t>Six Months Ended</w:t>
            </w:r>
          </w:p>
        </w:tc>
        <w:tc>
          <w:tcPr>
            <w:tcW w:w="1460" w:type="dxa"/>
            <w:vAlign w:val="bottom"/>
            <w:gridSpan w:val="2"/>
          </w:tcPr>
          <w:p>
            <w:pPr>
              <w:ind w:left="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2020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2019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June 30, 2019</w:t>
            </w:r>
          </w:p>
        </w:tc>
        <w:tc>
          <w:tcPr>
            <w:tcW w:w="0" w:type="dxa"/>
            <w:vAlign w:val="bottom"/>
          </w:tcPr>
          <w:p>
            <w:pPr>
              <w:spacing w:after="0"/>
              <w:rPr>
                <w:sz w:val="1"/>
                <w:szCs w:val="1"/>
                <w:color w:val="auto"/>
              </w:rPr>
            </w:pPr>
          </w:p>
        </w:tc>
      </w:tr>
      <w:tr>
        <w:trPr>
          <w:trHeight w:val="218"/>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weighted average TWM LLC shares</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223,320,457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Diluted weighted average shares of Class A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Class B common stock outstanding</w:t>
            </w:r>
          </w:p>
        </w:tc>
        <w:tc>
          <w:tcPr>
            <w:tcW w:w="1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185,489,824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150,847,183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180,008,891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150,847,183</w:t>
            </w:r>
          </w:p>
        </w:tc>
        <w:tc>
          <w:tcPr>
            <w:tcW w:w="0" w:type="dxa"/>
            <w:vAlign w:val="bottom"/>
          </w:tcPr>
          <w:p>
            <w:pPr>
              <w:spacing w:after="0"/>
              <w:rPr>
                <w:sz w:val="1"/>
                <w:szCs w:val="1"/>
                <w:color w:val="auto"/>
              </w:rPr>
            </w:pPr>
          </w:p>
        </w:tc>
      </w:tr>
      <w:tr>
        <w:trPr>
          <w:trHeight w:val="225"/>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Assumed exchange of LLC interests for shares</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20" w:type="dxa"/>
            <w:vAlign w:val="bottom"/>
            <w:gridSpan w:val="2"/>
            <w:shd w:val="clear" w:color="auto" w:fill="CCEEFF"/>
          </w:tcPr>
          <w:p>
            <w:pPr>
              <w:ind w:left="20"/>
              <w:spacing w:after="0" w:line="217" w:lineRule="exact"/>
              <w:rPr>
                <w:sz w:val="20"/>
                <w:szCs w:val="20"/>
                <w:color w:val="auto"/>
              </w:rPr>
            </w:pPr>
            <w:r>
              <w:rPr>
                <w:rFonts w:ascii="Arial" w:cs="Arial" w:eastAsia="Arial" w:hAnsi="Arial"/>
                <w:sz w:val="16"/>
                <w:szCs w:val="16"/>
                <w:color w:val="auto"/>
              </w:rPr>
              <w:t xml:space="preserve">of Class A or Class B common stock </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48,132,630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79,289,005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52,888,588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79,289,005</w:t>
            </w:r>
          </w:p>
        </w:tc>
        <w:tc>
          <w:tcPr>
            <w:tcW w:w="0" w:type="dxa"/>
            <w:vAlign w:val="bottom"/>
          </w:tcPr>
          <w:p>
            <w:pPr>
              <w:spacing w:after="0"/>
              <w:rPr>
                <w:sz w:val="1"/>
                <w:szCs w:val="1"/>
                <w:color w:val="auto"/>
              </w:rPr>
            </w:pPr>
          </w:p>
        </w:tc>
      </w:tr>
      <w:tr>
        <w:trPr>
          <w:trHeight w:val="198"/>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Adjusted diluted weighted average shares</w:t>
            </w: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233,622,454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230,136,188</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232,897,479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223,320,457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230,136,188</w:t>
            </w:r>
          </w:p>
        </w:tc>
        <w:tc>
          <w:tcPr>
            <w:tcW w:w="0" w:type="dxa"/>
            <w:vAlign w:val="bottom"/>
          </w:tcPr>
          <w:p>
            <w:pPr>
              <w:spacing w:after="0"/>
              <w:rPr>
                <w:sz w:val="1"/>
                <w:szCs w:val="1"/>
                <w:color w:val="auto"/>
              </w:rPr>
            </w:pPr>
          </w:p>
        </w:tc>
      </w:tr>
      <w:tr>
        <w:trPr>
          <w:trHeight w:val="18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outstanding</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Net Income (in thousands)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70,383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56,629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155,751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52,190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56,629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0.30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0.25</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0.67</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0.23</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60" w:right="100" w:hanging="328"/>
        <w:spacing w:after="0" w:line="242" w:lineRule="auto"/>
        <w:tabs>
          <w:tab w:leader="none" w:pos="652" w:val="left"/>
        </w:tabs>
        <w:numPr>
          <w:ilvl w:val="0"/>
          <w:numId w:val="10"/>
        </w:numPr>
        <w:rPr>
          <w:rFonts w:ascii="Arial" w:cs="Arial" w:eastAsia="Arial" w:hAnsi="Arial"/>
          <w:sz w:val="13"/>
          <w:szCs w:val="13"/>
          <w:color w:val="auto"/>
        </w:rPr>
      </w:pPr>
      <w:r>
        <w:rPr>
          <w:rFonts w:ascii="Arial" w:cs="Arial" w:eastAsia="Arial" w:hAnsi="Arial"/>
          <w:sz w:val="13"/>
          <w:szCs w:val="13"/>
          <w:color w:val="auto"/>
        </w:rPr>
        <w:t>Assumes the full exchange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Operating Expenses to Adjusted</w:t>
            </w:r>
          </w:p>
        </w:tc>
        <w:tc>
          <w:tcPr>
            <w:tcW w:w="360" w:type="dxa"/>
            <w:vAlign w:val="bottom"/>
          </w:tcPr>
          <w:p>
            <w:pPr>
              <w:spacing w:after="0"/>
              <w:rPr>
                <w:sz w:val="21"/>
                <w:szCs w:val="21"/>
                <w:color w:val="auto"/>
              </w:rPr>
            </w:pPr>
          </w:p>
        </w:tc>
        <w:tc>
          <w:tcPr>
            <w:tcW w:w="32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21"/>
                <w:szCs w:val="21"/>
                <w:color w:val="auto"/>
              </w:rPr>
            </w:pPr>
          </w:p>
        </w:tc>
        <w:tc>
          <w:tcPr>
            <w:tcW w:w="31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228"/>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Expenses</w:t>
            </w:r>
          </w:p>
        </w:tc>
        <w:tc>
          <w:tcPr>
            <w:tcW w:w="360" w:type="dxa"/>
            <w:vAlign w:val="bottom"/>
          </w:tcPr>
          <w:p>
            <w:pPr>
              <w:spacing w:after="0"/>
              <w:rPr>
                <w:sz w:val="19"/>
                <w:szCs w:val="19"/>
                <w:color w:val="auto"/>
              </w:rPr>
            </w:pPr>
          </w:p>
        </w:tc>
        <w:tc>
          <w:tcPr>
            <w:tcW w:w="136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r>
      <w:tr>
        <w:trPr>
          <w:trHeight w:val="233"/>
        </w:trPr>
        <w:tc>
          <w:tcPr>
            <w:tcW w:w="39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5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156,468</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159,530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313,459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300,045</w:t>
            </w:r>
          </w:p>
        </w:tc>
      </w:tr>
      <w:tr>
        <w:trPr>
          <w:trHeight w:val="24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Acquisition and Refinitiv Transaction related D&amp;A</w:t>
            </w:r>
            <w:r>
              <w:rPr>
                <w:rFonts w:ascii="Arial" w:cs="Arial" w:eastAsia="Arial" w:hAnsi="Arial"/>
                <w:sz w:val="21"/>
                <w:szCs w:val="21"/>
                <w:color w:val="auto"/>
                <w:vertAlign w:val="superscript"/>
              </w:rPr>
              <w:t>(1)</w:t>
            </w:r>
          </w:p>
        </w:tc>
        <w:tc>
          <w:tcPr>
            <w:tcW w:w="36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(27,131)</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(24,133)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(53,404)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(47,342)</w:t>
            </w:r>
          </w:p>
        </w:tc>
      </w:tr>
      <w:tr>
        <w:trPr>
          <w:trHeight w:val="24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(4,995)</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(8,492)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(20,403)</w:t>
            </w:r>
          </w:p>
        </w:tc>
      </w:tr>
      <w:tr>
        <w:trPr>
          <w:trHeight w:val="233"/>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Unrealized foreign exchange gains / (losses)</w:t>
            </w:r>
          </w:p>
        </w:tc>
        <w:tc>
          <w:tcPr>
            <w:tcW w:w="36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(2,793)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(1,577)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(3,957)</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(1,284)</w:t>
            </w:r>
          </w:p>
        </w:tc>
      </w:tr>
      <w:tr>
        <w:trPr>
          <w:trHeight w:val="25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Loss from revaluation of foreign-denominated cash</w:t>
            </w:r>
            <w:r>
              <w:rPr>
                <w:rFonts w:ascii="Arial" w:cs="Arial" w:eastAsia="Arial" w:hAnsi="Arial"/>
                <w:sz w:val="21"/>
                <w:szCs w:val="21"/>
                <w:color w:val="auto"/>
                <w:vertAlign w:val="superscript"/>
              </w:rPr>
              <w:t>(3)</w:t>
            </w:r>
          </w:p>
        </w:tc>
        <w:tc>
          <w:tcPr>
            <w:tcW w:w="3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302</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121,586</w:t>
            </w:r>
          </w:p>
        </w:tc>
        <w:tc>
          <w:tcPr>
            <w:tcW w:w="80" w:type="dxa"/>
            <w:vAlign w:val="bottom"/>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113,719</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247,445</w:t>
            </w:r>
          </w:p>
        </w:tc>
        <w:tc>
          <w:tcPr>
            <w:tcW w:w="8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230,458</w:t>
            </w:r>
          </w:p>
        </w:tc>
      </w:tr>
      <w:tr>
        <w:trPr>
          <w:trHeight w:val="20"/>
        </w:trPr>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660" w:right="18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ind w:left="660" w:right="220" w:hanging="328"/>
        <w:spacing w:after="0" w:line="238" w:lineRule="auto"/>
        <w:tabs>
          <w:tab w:leader="none" w:pos="652"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ind w:left="640" w:hanging="308"/>
        <w:spacing w:after="0"/>
        <w:tabs>
          <w:tab w:leader="none" w:pos="6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Trailing Twelve Months</w:t>
            </w:r>
          </w:p>
        </w:tc>
      </w:tr>
      <w:tr>
        <w:trPr>
          <w:trHeight w:val="228"/>
        </w:trPr>
        <w:tc>
          <w:tcPr>
            <w:tcW w:w="87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160" w:type="dxa"/>
            <w:vAlign w:val="bottom"/>
          </w:tcPr>
          <w:p>
            <w:pPr>
              <w:spacing w:after="0"/>
              <w:rPr>
                <w:sz w:val="19"/>
                <w:szCs w:val="19"/>
                <w:color w:val="auto"/>
              </w:rPr>
            </w:pPr>
          </w:p>
        </w:tc>
        <w:tc>
          <w:tcPr>
            <w:tcW w:w="1960" w:type="dxa"/>
            <w:vAlign w:val="bottom"/>
          </w:tcPr>
          <w:p>
            <w:pPr>
              <w:jc w:val="center"/>
              <w:ind w:right="59"/>
              <w:spacing w:after="0"/>
              <w:rPr>
                <w:sz w:val="20"/>
                <w:szCs w:val="20"/>
                <w:color w:val="auto"/>
              </w:rPr>
            </w:pPr>
            <w:r>
              <w:rPr>
                <w:rFonts w:ascii="Arial" w:cs="Arial" w:eastAsia="Arial" w:hAnsi="Arial"/>
                <w:sz w:val="16"/>
                <w:szCs w:val="16"/>
                <w:b w:val="1"/>
                <w:bCs w:val="1"/>
                <w:color w:val="auto"/>
              </w:rPr>
              <w:t>Ended June 30, 2020</w:t>
            </w:r>
          </w:p>
        </w:tc>
      </w:tr>
      <w:tr>
        <w:trPr>
          <w:trHeight w:val="233"/>
        </w:trPr>
        <w:tc>
          <w:tcPr>
            <w:tcW w:w="8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(in thousands)</w:t>
            </w:r>
          </w:p>
        </w:tc>
      </w:tr>
      <w:tr>
        <w:trPr>
          <w:trHeight w:val="253"/>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from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398,583</w:t>
            </w:r>
          </w:p>
        </w:tc>
      </w:tr>
      <w:tr>
        <w:trPr>
          <w:trHeight w:val="233"/>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160" w:type="dxa"/>
            <w:vAlign w:val="bottom"/>
          </w:tcPr>
          <w:p>
            <w:pPr>
              <w:spacing w:after="0"/>
              <w:rPr>
                <w:sz w:val="20"/>
                <w:szCs w:val="20"/>
                <w:color w:val="auto"/>
              </w:rPr>
            </w:pPr>
          </w:p>
        </w:tc>
        <w:tc>
          <w:tcPr>
            <w:tcW w:w="1960" w:type="dxa"/>
            <w:vAlign w:val="bottom"/>
          </w:tcPr>
          <w:p>
            <w:pPr>
              <w:jc w:val="right"/>
              <w:ind w:right="19"/>
              <w:spacing w:after="0"/>
              <w:rPr>
                <w:sz w:val="20"/>
                <w:szCs w:val="20"/>
                <w:color w:val="auto"/>
              </w:rPr>
            </w:pPr>
            <w:r>
              <w:rPr>
                <w:rFonts w:ascii="Arial" w:cs="Arial" w:eastAsia="Arial" w:hAnsi="Arial"/>
                <w:sz w:val="16"/>
                <w:szCs w:val="16"/>
                <w:color w:val="auto"/>
              </w:rPr>
              <w:t>(29,565)</w:t>
            </w:r>
          </w:p>
        </w:tc>
      </w:tr>
      <w:tr>
        <w:trPr>
          <w:trHeight w:val="246"/>
        </w:trPr>
        <w:tc>
          <w:tcPr>
            <w:tcW w:w="8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(16,370)</w:t>
            </w:r>
          </w:p>
        </w:tc>
      </w:tr>
      <w:tr>
        <w:trPr>
          <w:trHeight w:val="243"/>
        </w:trPr>
        <w:tc>
          <w:tcPr>
            <w:tcW w:w="87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352,648</w:t>
            </w:r>
          </w:p>
        </w:tc>
      </w:tr>
      <w:tr>
        <w:trPr>
          <w:trHeight w:val="20"/>
        </w:trPr>
        <w:tc>
          <w:tcPr>
            <w:tcW w:w="8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701"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Inc. (post-IPO period) and Tradeweb Markets LLC (pre-IPO period):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6"/>
                <w:szCs w:val="16"/>
                <w:b w:val="1"/>
                <w:bCs w:val="1"/>
                <w:color w:val="auto"/>
              </w:rPr>
              <w:t>EPS: Post-IPO net income attributable to Tradeweb</w:t>
            </w:r>
          </w:p>
        </w:tc>
        <w:tc>
          <w:tcPr>
            <w:tcW w:w="340" w:type="dxa"/>
            <w:vAlign w:val="bottom"/>
          </w:tcPr>
          <w:p>
            <w:pPr>
              <w:spacing w:after="0"/>
              <w:rPr>
                <w:sz w:val="21"/>
                <w:szCs w:val="21"/>
                <w:color w:val="auto"/>
              </w:rPr>
            </w:pPr>
          </w:p>
        </w:tc>
        <w:tc>
          <w:tcPr>
            <w:tcW w:w="31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1"/>
                <w:szCs w:val="21"/>
                <w:color w:val="auto"/>
              </w:rPr>
            </w:pPr>
          </w:p>
        </w:tc>
        <w:tc>
          <w:tcPr>
            <w:tcW w:w="30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28"/>
        </w:trPr>
        <w:tc>
          <w:tcPr>
            <w:tcW w:w="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Markets Inc.</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60" w:type="dxa"/>
            <w:vAlign w:val="bottom"/>
            <w:gridSpan w:val="7"/>
          </w:tcPr>
          <w:p>
            <w:pPr>
              <w:ind w:left="26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Numerator:</w:t>
            </w:r>
          </w:p>
        </w:tc>
        <w:tc>
          <w:tcPr>
            <w:tcW w:w="356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Post-IPO net income attributable to Tradeweb Markets Inc.</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30,496</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12,828</w:t>
            </w:r>
          </w:p>
        </w:tc>
        <w:tc>
          <w:tcPr>
            <w:tcW w:w="8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74,424</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12,828</w:t>
            </w:r>
          </w:p>
        </w:tc>
        <w:tc>
          <w:tcPr>
            <w:tcW w:w="0" w:type="dxa"/>
            <w:vAlign w:val="bottom"/>
          </w:tcPr>
          <w:p>
            <w:pPr>
              <w:spacing w:after="0"/>
              <w:rPr>
                <w:sz w:val="1"/>
                <w:szCs w:val="1"/>
                <w:color w:val="auto"/>
              </w:rPr>
            </w:pPr>
          </w:p>
        </w:tc>
      </w:tr>
      <w:tr>
        <w:trPr>
          <w:trHeight w:val="266"/>
        </w:trPr>
        <w:tc>
          <w:tcPr>
            <w:tcW w:w="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380" w:type="dxa"/>
            <w:vAlign w:val="bottom"/>
            <w:gridSpan w:val="3"/>
          </w:tcPr>
          <w:p>
            <w:pPr>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Weighted average shares of Class A and Class B common</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shd w:val="clear" w:color="auto" w:fill="CCEEFF"/>
          </w:tcPr>
          <w:p>
            <w:pPr>
              <w:spacing w:after="0"/>
              <w:rPr>
                <w:sz w:val="18"/>
                <w:szCs w:val="18"/>
                <w:color w:val="auto"/>
              </w:rPr>
            </w:pPr>
          </w:p>
        </w:tc>
        <w:tc>
          <w:tcPr>
            <w:tcW w:w="4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 outstanding - Basic</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177,649,501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142,933,192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171,942,125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142,933,192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6"/>
                <w:szCs w:val="16"/>
                <w:color w:val="auto"/>
              </w:rPr>
              <w:t>Dilutive effect of equity-settled PRSUs</w:t>
            </w:r>
          </w:p>
        </w:tc>
        <w:tc>
          <w:tcPr>
            <w:tcW w:w="34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2,492,567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2,214,480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2,265,494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2,214,480</w:t>
            </w:r>
          </w:p>
        </w:tc>
        <w:tc>
          <w:tcPr>
            <w:tcW w:w="0" w:type="dxa"/>
            <w:vAlign w:val="bottom"/>
          </w:tcPr>
          <w:p>
            <w:pPr>
              <w:spacing w:after="0"/>
              <w:rPr>
                <w:sz w:val="1"/>
                <w:szCs w:val="1"/>
                <w:color w:val="auto"/>
              </w:rPr>
            </w:pPr>
          </w:p>
        </w:tc>
      </w:tr>
      <w:tr>
        <w:trPr>
          <w:trHeight w:val="253"/>
        </w:trPr>
        <w:tc>
          <w:tcPr>
            <w:tcW w:w="20" w:type="dxa"/>
            <w:vAlign w:val="bottom"/>
            <w:shd w:val="clear" w:color="auto" w:fill="CCEEFF"/>
          </w:tcPr>
          <w:p>
            <w:pPr>
              <w:spacing w:after="0"/>
              <w:rPr>
                <w:sz w:val="21"/>
                <w:szCs w:val="21"/>
                <w:color w:val="auto"/>
              </w:rPr>
            </w:pPr>
          </w:p>
        </w:tc>
        <w:tc>
          <w:tcPr>
            <w:tcW w:w="43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Dilutive effect of options</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5,168,379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5,699,511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5,694,964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5,699,511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gridSpan w:val="3"/>
          </w:tcPr>
          <w:p>
            <w:pPr>
              <w:ind w:left="100"/>
              <w:spacing w:after="0"/>
              <w:rPr>
                <w:sz w:val="20"/>
                <w:szCs w:val="20"/>
                <w:color w:val="auto"/>
              </w:rPr>
            </w:pPr>
            <w:r>
              <w:rPr>
                <w:rFonts w:ascii="Arial" w:cs="Arial" w:eastAsia="Arial" w:hAnsi="Arial"/>
                <w:sz w:val="16"/>
                <w:szCs w:val="16"/>
                <w:color w:val="auto"/>
              </w:rPr>
              <w:t>Dilutive effect of RSUs</w:t>
            </w:r>
          </w:p>
        </w:tc>
        <w:tc>
          <w:tcPr>
            <w:tcW w:w="340" w:type="dxa"/>
            <w:vAlign w:val="bottom"/>
          </w:tcPr>
          <w:p>
            <w:pPr>
              <w:spacing w:after="0"/>
              <w:rPr>
                <w:sz w:val="20"/>
                <w:szCs w:val="20"/>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179,377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106,308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 average shares of Class A and Class B common</w:t>
            </w:r>
          </w:p>
        </w:tc>
        <w:tc>
          <w:tcPr>
            <w:tcW w:w="340" w:type="dxa"/>
            <w:vAlign w:val="bottom"/>
            <w:tcBorders>
              <w:top w:val="single" w:sz="8" w:color="auto"/>
            </w:tcBorders>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185,489,824</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150,847,183</w:t>
            </w: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180,008,891</w:t>
            </w: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150,847,183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8"/>
                <w:szCs w:val="18"/>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stock outstanding - Diluted</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0.09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0.43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Earnings per share - 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380" w:type="dxa"/>
            <w:vAlign w:val="bottom"/>
            <w:gridSpan w:val="3"/>
            <w:vMerge w:val="continue"/>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0.09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9580" w:type="dxa"/>
            <w:vAlign w:val="bottom"/>
            <w:gridSpan w:val="3"/>
          </w:tcPr>
          <w:p>
            <w:pPr>
              <w:spacing w:after="0"/>
              <w:rPr>
                <w:sz w:val="20"/>
                <w:szCs w:val="20"/>
                <w:color w:val="auto"/>
              </w:rPr>
            </w:pPr>
            <w:r>
              <w:rPr>
                <w:rFonts w:ascii="Arial" w:cs="Arial" w:eastAsia="Arial" w:hAnsi="Arial"/>
                <w:sz w:val="16"/>
                <w:szCs w:val="16"/>
                <w:b w:val="1"/>
                <w:bCs w:val="1"/>
                <w:color w:val="auto"/>
              </w:rPr>
              <w:t>EPS: Pre-IPO net income attributable to Tradeweb</w:t>
            </w:r>
          </w:p>
        </w:tc>
        <w:tc>
          <w:tcPr>
            <w:tcW w:w="100" w:type="dxa"/>
            <w:vAlign w:val="bottom"/>
          </w:tcPr>
          <w:p>
            <w:pPr>
              <w:spacing w:after="0"/>
              <w:rPr>
                <w:sz w:val="16"/>
                <w:szCs w:val="16"/>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b w:val="1"/>
                <w:bCs w:val="1"/>
                <w:color w:val="auto"/>
              </w:rPr>
              <w:t>Six Months Ended</w:t>
            </w:r>
          </w:p>
        </w:tc>
      </w:tr>
      <w:tr>
        <w:trPr>
          <w:trHeight w:val="234"/>
        </w:trPr>
        <w:tc>
          <w:tcPr>
            <w:tcW w:w="20" w:type="dxa"/>
            <w:vAlign w:val="bottom"/>
            <w:tcBorders>
              <w:bottom w:val="single" w:sz="8" w:color="auto"/>
            </w:tcBorders>
          </w:tcPr>
          <w:p>
            <w:pPr>
              <w:spacing w:after="0"/>
              <w:rPr>
                <w:sz w:val="20"/>
                <w:szCs w:val="20"/>
                <w:color w:val="auto"/>
              </w:rPr>
            </w:pPr>
          </w:p>
        </w:tc>
        <w:tc>
          <w:tcPr>
            <w:tcW w:w="9580" w:type="dxa"/>
            <w:vAlign w:val="bottom"/>
            <w:tcBorders>
              <w:bottom w:val="single" w:sz="8" w:color="auto"/>
            </w:tcBorders>
            <w:gridSpan w:val="3"/>
          </w:tcPr>
          <w:p>
            <w:pPr>
              <w:spacing w:after="0" w:line="234" w:lineRule="exact"/>
              <w:rPr>
                <w:sz w:val="20"/>
                <w:szCs w:val="20"/>
                <w:color w:val="auto"/>
              </w:rPr>
            </w:pPr>
            <w:r>
              <w:rPr>
                <w:rFonts w:ascii="Arial" w:cs="Arial" w:eastAsia="Arial" w:hAnsi="Arial"/>
                <w:sz w:val="16"/>
                <w:szCs w:val="16"/>
                <w:b w:val="1"/>
                <w:bCs w:val="1"/>
                <w:color w:val="auto"/>
              </w:rPr>
              <w:t>Markets LLC</w:t>
            </w:r>
            <w:r>
              <w:rPr>
                <w:rFonts w:ascii="Arial" w:cs="Arial" w:eastAsia="Arial" w:hAnsi="Arial"/>
                <w:sz w:val="21"/>
                <w:szCs w:val="21"/>
                <w:b w:val="1"/>
                <w:bCs w:val="1"/>
                <w:color w:val="auto"/>
                <w:vertAlign w:val="superscript"/>
              </w:rPr>
              <w:t>(1)</w:t>
            </w: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2019</w:t>
            </w:r>
          </w:p>
        </w:tc>
      </w:tr>
      <w:tr>
        <w:trPr>
          <w:trHeight w:val="237"/>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0" w:type="dxa"/>
            <w:vAlign w:val="bottom"/>
            <w:shd w:val="clear" w:color="auto" w:fill="CCEEFF"/>
          </w:tcPr>
          <w:p>
            <w:pPr>
              <w:ind w:left="2620"/>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9580" w:type="dxa"/>
            <w:vAlign w:val="bottom"/>
            <w:gridSpan w:val="3"/>
          </w:tcPr>
          <w:p>
            <w:pPr>
              <w:spacing w:after="0"/>
              <w:rPr>
                <w:sz w:val="20"/>
                <w:szCs w:val="20"/>
                <w:color w:val="auto"/>
              </w:rPr>
            </w:pPr>
            <w:r>
              <w:rPr>
                <w:rFonts w:ascii="Arial" w:cs="Arial" w:eastAsia="Arial" w:hAnsi="Arial"/>
                <w:sz w:val="16"/>
                <w:szCs w:val="16"/>
                <w:color w:val="auto"/>
              </w:rPr>
              <w:t>Numerator:</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9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Pre-IPO net income attributable to Tradeweb Markets LLC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42,352</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9"/>
              </w:rPr>
              <w:t>Denominator:</w:t>
            </w:r>
          </w:p>
        </w:tc>
        <w:tc>
          <w:tcPr>
            <w:tcW w:w="8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6"/>
                <w:szCs w:val="16"/>
                <w:color w:val="auto"/>
              </w:rPr>
              <w:t>Weighted average LLC Interests outstanding - Basic</w:t>
            </w:r>
          </w:p>
        </w:tc>
        <w:tc>
          <w:tcPr>
            <w:tcW w:w="100" w:type="dxa"/>
            <w:vAlign w:val="bottom"/>
          </w:tcPr>
          <w:p>
            <w:pPr>
              <w:spacing w:after="0"/>
              <w:rPr>
                <w:sz w:val="20"/>
                <w:szCs w:val="20"/>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222,222,197</w:t>
            </w:r>
          </w:p>
        </w:tc>
      </w:tr>
      <w:tr>
        <w:trPr>
          <w:trHeight w:val="253"/>
        </w:trPr>
        <w:tc>
          <w:tcPr>
            <w:tcW w:w="20" w:type="dxa"/>
            <w:vAlign w:val="bottom"/>
            <w:shd w:val="clear" w:color="auto" w:fill="CCEEFF"/>
          </w:tcPr>
          <w:p>
            <w:pPr>
              <w:spacing w:after="0"/>
              <w:rPr>
                <w:sz w:val="21"/>
                <w:szCs w:val="21"/>
                <w:color w:val="auto"/>
              </w:rPr>
            </w:pPr>
          </w:p>
        </w:tc>
        <w:tc>
          <w:tcPr>
            <w:tcW w:w="9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Dilutive effect of equity-settled PRSUs</w:t>
            </w:r>
          </w:p>
        </w:tc>
        <w:tc>
          <w:tcPr>
            <w:tcW w:w="1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1,098,260</w:t>
            </w:r>
          </w:p>
        </w:tc>
      </w:tr>
      <w:tr>
        <w:trPr>
          <w:trHeight w:val="230"/>
        </w:trPr>
        <w:tc>
          <w:tcPr>
            <w:tcW w:w="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6"/>
                <w:szCs w:val="16"/>
                <w:color w:val="auto"/>
              </w:rPr>
              <w:t>Weighted average LLC Interests outstanding -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223,320,457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36"/>
        </w:trPr>
        <w:tc>
          <w:tcPr>
            <w:tcW w:w="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6"/>
                <w:szCs w:val="16"/>
                <w:color w:val="auto"/>
              </w:rPr>
              <w:t>Earnings per share - 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61"/>
        </w:trPr>
        <w:tc>
          <w:tcPr>
            <w:tcW w:w="20" w:type="dxa"/>
            <w:vAlign w:val="bottom"/>
            <w:tcBorders>
              <w:bottom w:val="single" w:sz="8" w:color="CCEEFF"/>
            </w:tcBorders>
            <w:shd w:val="clear" w:color="auto" w:fill="CCEEFF"/>
          </w:tcPr>
          <w:p>
            <w:pPr>
              <w:spacing w:after="0"/>
              <w:rPr>
                <w:sz w:val="22"/>
                <w:szCs w:val="22"/>
                <w:color w:val="auto"/>
              </w:rPr>
            </w:pPr>
          </w:p>
        </w:tc>
        <w:tc>
          <w:tcPr>
            <w:tcW w:w="9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Earnings per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45" w:lineRule="exact"/>
        <w:rPr>
          <w:sz w:val="20"/>
          <w:szCs w:val="20"/>
          <w:color w:val="auto"/>
        </w:rPr>
      </w:pPr>
    </w:p>
    <w:p>
      <w:pPr>
        <w:ind w:left="660" w:right="300" w:hanging="328"/>
        <w:spacing w:after="0" w:line="225" w:lineRule="auto"/>
        <w:tabs>
          <w:tab w:leader="none" w:pos="652" w:val="left"/>
        </w:tabs>
        <w:numPr>
          <w:ilvl w:val="0"/>
          <w:numId w:val="12"/>
        </w:numPr>
        <w:rPr>
          <w:rFonts w:ascii="Arial" w:cs="Arial" w:eastAsia="Arial" w:hAnsi="Arial"/>
          <w:sz w:val="13"/>
          <w:szCs w:val="13"/>
          <w:color w:val="auto"/>
        </w:rPr>
      </w:pPr>
      <w:r>
        <w:rPr>
          <w:rFonts w:ascii="Arial" w:cs="Arial" w:eastAsia="Arial" w:hAnsi="Arial"/>
          <w:sz w:val="13"/>
          <w:szCs w:val="13"/>
          <w:color w:val="auto"/>
        </w:rPr>
        <w:t>Earnings per share and weighted average shares outstanding for the pre-IPO period has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GROSS REVENUES BY ASSET CLASS (UNAUDITED)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2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56"/>
        </w:trPr>
        <w:tc>
          <w:tcPr>
            <w:tcW w:w="1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Change</w:t>
            </w:r>
          </w:p>
        </w:tc>
        <w:tc>
          <w:tcPr>
            <w:tcW w:w="5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r>
      <w:tr>
        <w:trPr>
          <w:trHeight w:val="236"/>
        </w:trPr>
        <w:tc>
          <w:tcPr>
            <w:tcW w:w="202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Variable</w:t>
            </w:r>
          </w:p>
        </w:tc>
        <w:tc>
          <w:tcPr>
            <w:tcW w:w="16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Variable</w:t>
            </w:r>
          </w:p>
        </w:tc>
        <w:tc>
          <w:tcPr>
            <w:tcW w:w="180" w:type="dxa"/>
            <w:vAlign w:val="bottom"/>
          </w:tcPr>
          <w:p>
            <w:pPr>
              <w:spacing w:after="0"/>
              <w:rPr>
                <w:sz w:val="20"/>
                <w:szCs w:val="20"/>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60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Variable</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Fixed</w:t>
            </w:r>
          </w:p>
        </w:tc>
        <w:tc>
          <w:tcPr>
            <w:tcW w:w="300" w:type="dxa"/>
            <w:vAlign w:val="bottom"/>
          </w:tcPr>
          <w:p>
            <w:pPr>
              <w:spacing w:after="0"/>
              <w:rPr>
                <w:sz w:val="20"/>
                <w:szCs w:val="20"/>
                <w:color w:val="auto"/>
              </w:rPr>
            </w:pPr>
          </w:p>
        </w:tc>
      </w:tr>
      <w:tr>
        <w:trPr>
          <w:trHeight w:val="233"/>
        </w:trPr>
        <w:tc>
          <w:tcPr>
            <w:tcW w:w="18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r>
      <w:tr>
        <w:trPr>
          <w:trHeight w:val="25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Rates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62,101</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50,722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56,743</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50,320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5,358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43,731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5,374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34,337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5,262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9,394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Equities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12,905</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2,502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9,195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1,921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3,710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8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6,445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4,094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6,674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3,648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446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3"/>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 Data</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18,497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17,544</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953</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5,736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4,841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895</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8"/>
        </w:trPr>
        <w:tc>
          <w:tcPr>
            <w:tcW w:w="20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125,182</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86,925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106,949</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83,536</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18,233</w:t>
            </w:r>
          </w:p>
        </w:tc>
        <w:tc>
          <w:tcPr>
            <w:tcW w:w="1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3,389</w:t>
            </w:r>
          </w:p>
        </w:tc>
        <w:tc>
          <w:tcPr>
            <w:tcW w:w="10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0" w:type="dxa"/>
            <w:vAlign w:val="bottom"/>
            <w:tcBorders>
              <w:top w:val="single" w:sz="8" w:color="CCEEFF"/>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3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ectPr>
          <w:pgSz w:w="11900" w:h="16838" w:orient="portrait"/>
          <w:cols w:equalWidth="0" w:num="1">
            <w:col w:w="11240"/>
          </w:cols>
          <w:pgMar w:left="320" w:top="769" w:right="339" w:bottom="1143" w:gutter="0" w:footer="0" w:header="0"/>
        </w:sectPr>
      </w:pPr>
    </w:p>
    <w:p>
      <w:pPr>
        <w:spacing w:after="0" w:line="211"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6</w:t>
      </w:r>
    </w:p>
    <w:p>
      <w:pPr>
        <w:sectPr>
          <w:pgSz w:w="11900" w:h="16838" w:orient="portrait"/>
          <w:cols w:equalWidth="0" w:num="1">
            <w:col w:w="11240"/>
          </w:cols>
          <w:pgMar w:left="320" w:top="769" w:right="339" w:bottom="1143"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99"/>
        </w:trPr>
        <w:tc>
          <w:tcPr>
            <w:tcW w:w="6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YoY</w:t>
            </w:r>
          </w:p>
        </w:tc>
      </w:tr>
      <w:tr>
        <w:trPr>
          <w:trHeight w:val="236"/>
        </w:trPr>
        <w:tc>
          <w:tcPr>
            <w:tcW w:w="632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Rates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10.2 %</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Cash Rates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5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Rates Derivatives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1.97</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17.3 %</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Swaps / Swaptions Tenor (greater than 1 year)</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2.84</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2.86</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5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Rates Derivatives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0.07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168.0 %</w:t>
            </w: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Credit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39.03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44.78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r>
      <w:tr>
        <w:trPr>
          <w:trHeight w:val="243"/>
        </w:trPr>
        <w:tc>
          <w:tcPr>
            <w:tcW w:w="6320" w:type="dxa"/>
            <w:vAlign w:val="bottom"/>
          </w:tcPr>
          <w:p>
            <w:pPr>
              <w:ind w:left="20"/>
              <w:spacing w:after="0"/>
              <w:rPr>
                <w:sz w:val="20"/>
                <w:szCs w:val="20"/>
                <w:color w:val="auto"/>
              </w:rPr>
            </w:pPr>
            <w:r>
              <w:rPr>
                <w:rFonts w:ascii="Arial" w:cs="Arial" w:eastAsia="Arial" w:hAnsi="Arial"/>
                <w:sz w:val="16"/>
                <w:szCs w:val="16"/>
                <w:color w:val="auto"/>
              </w:rPr>
              <w:t>Cash Credit</w:t>
            </w:r>
            <w:r>
              <w:rPr>
                <w:rFonts w:ascii="Arial" w:cs="Arial" w:eastAsia="Arial" w:hAnsi="Arial"/>
                <w:sz w:val="21"/>
                <w:szCs w:val="21"/>
                <w:color w:val="auto"/>
                <w:vertAlign w:val="superscript"/>
              </w:rPr>
              <w:t>(2)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134.53</w:t>
            </w:r>
          </w:p>
        </w:tc>
        <w:tc>
          <w:tcPr>
            <w:tcW w:w="8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130.42</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 Derivatives and U.S. Cash 'EP'</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7.70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20.58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20.64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(0.3)%</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Cash Equities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28.71</w:t>
            </w:r>
          </w:p>
        </w:tc>
        <w:tc>
          <w:tcPr>
            <w:tcW w:w="8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28.60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5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Derivatives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6.58</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Money Markets (Cash)</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0.42</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0.48</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r>
      <w:tr>
        <w:trPr>
          <w:trHeight w:val="216"/>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2.56</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2.26</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13.2 %</w:t>
            </w:r>
          </w:p>
        </w:tc>
      </w:tr>
      <w:tr>
        <w:trPr>
          <w:trHeight w:val="294"/>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Total Fees per Million excluding Other Rates Derivatives</w:t>
            </w:r>
            <w:r>
              <w:rPr>
                <w:rFonts w:ascii="Arial" w:cs="Arial" w:eastAsia="Arial" w:hAnsi="Arial"/>
                <w:sz w:val="21"/>
                <w:szCs w:val="21"/>
                <w:b w:val="1"/>
                <w:bCs w:val="1"/>
                <w:color w:val="auto"/>
                <w:vertAlign w:val="superscript"/>
              </w:rPr>
              <w:t>(3)</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auto"/>
              </w:rPr>
              <w:t>2.79</w:t>
            </w:r>
          </w:p>
        </w:tc>
        <w:tc>
          <w:tcPr>
            <w:tcW w:w="80" w:type="dxa"/>
            <w:vAlign w:val="bottom"/>
          </w:tcPr>
          <w:p>
            <w:pPr>
              <w:spacing w:after="0"/>
              <w:rPr>
                <w:sz w:val="24"/>
                <w:szCs w:val="24"/>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59"/>
              <w:spacing w:after="0"/>
              <w:rPr>
                <w:sz w:val="20"/>
                <w:szCs w:val="20"/>
                <w:color w:val="auto"/>
              </w:rPr>
            </w:pPr>
            <w:r>
              <w:rPr>
                <w:rFonts w:ascii="Arial" w:cs="Arial" w:eastAsia="Arial" w:hAnsi="Arial"/>
                <w:sz w:val="16"/>
                <w:szCs w:val="16"/>
                <w:b w:val="1"/>
                <w:bCs w:val="1"/>
                <w:color w:val="auto"/>
              </w:rPr>
              <w:t>2.59</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7.7 %</w:t>
            </w:r>
          </w:p>
        </w:tc>
      </w:tr>
    </w:tbl>
    <w:p>
      <w:pPr>
        <w:spacing w:after="0" w:line="293"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swaps/swaptions of tenor less than 1 year and rates futures.</w:t>
      </w:r>
    </w:p>
    <w:p>
      <w:pPr>
        <w:ind w:left="640" w:hanging="308"/>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"cash credit" category represents the "credit" asset class excluding (1) credit derivatives and (2) U.S. high-grade and high-yield electronically processed ("EP") activity.</w:t>
      </w:r>
    </w:p>
    <w:p>
      <w:pPr>
        <w:ind w:left="640" w:hanging="308"/>
        <w:spacing w:after="0"/>
        <w:tabs>
          <w:tab w:leader="none" w:pos="6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Included to contextualize the impact of short-tenored swaps/swaptions and rates futures on blended fees per million across all periods presented.</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76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56" w:lineRule="exact"/>
        <w:rPr>
          <w:sz w:val="20"/>
          <w:szCs w:val="20"/>
          <w:color w:val="auto"/>
        </w:rPr>
      </w:pPr>
    </w:p>
    <w:p>
      <w:pPr>
        <w:ind w:left="3540"/>
        <w:spacing w:after="0"/>
        <w:rPr>
          <w:sz w:val="20"/>
          <w:szCs w:val="20"/>
          <w:color w:val="auto"/>
        </w:rPr>
      </w:pPr>
      <w:r>
        <w:rPr>
          <w:rFonts w:ascii="Arial" w:cs="Arial" w:eastAsia="Arial" w:hAnsi="Arial"/>
          <w:sz w:val="18"/>
          <w:szCs w:val="18"/>
          <w:color w:val="FFFFFF"/>
        </w:rPr>
        <w:t>2020 Q2</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60" w:type="dxa"/>
            <w:vAlign w:val="bottom"/>
            <w:gridSpan w:val="3"/>
          </w:tcPr>
          <w:p>
            <w:pPr>
              <w:ind w:left="1180"/>
              <w:spacing w:after="0"/>
              <w:rPr>
                <w:sz w:val="20"/>
                <w:szCs w:val="20"/>
                <w:color w:val="auto"/>
              </w:rPr>
            </w:pPr>
            <w:r>
              <w:rPr>
                <w:rFonts w:ascii="Arial" w:cs="Arial" w:eastAsia="Arial" w:hAnsi="Arial"/>
                <w:sz w:val="16"/>
                <w:szCs w:val="16"/>
                <w:b w:val="1"/>
                <w:bCs w:val="1"/>
                <w:color w:val="auto"/>
              </w:rPr>
              <w:t>2020 Q2</w:t>
            </w:r>
          </w:p>
        </w:tc>
        <w:tc>
          <w:tcPr>
            <w:tcW w:w="1920" w:type="dxa"/>
            <w:vAlign w:val="bottom"/>
          </w:tcPr>
          <w:p>
            <w:pPr>
              <w:jc w:val="right"/>
              <w:ind w:right="39"/>
              <w:spacing w:after="0"/>
              <w:rPr>
                <w:sz w:val="20"/>
                <w:szCs w:val="20"/>
                <w:color w:val="auto"/>
              </w:rPr>
            </w:pPr>
            <w:r>
              <w:rPr>
                <w:rFonts w:ascii="Arial" w:cs="Arial" w:eastAsia="Arial" w:hAnsi="Arial"/>
                <w:sz w:val="16"/>
                <w:szCs w:val="16"/>
                <w:b w:val="1"/>
                <w:bCs w:val="1"/>
                <w:color w:val="auto"/>
              </w:rPr>
              <w:t>2019 Q2</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jc w:val="right"/>
              <w:ind w:right="559"/>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56"/>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Product</w:t>
            </w:r>
          </w:p>
        </w:tc>
        <w:tc>
          <w:tcPr>
            <w:tcW w:w="80" w:type="dxa"/>
            <w:vAlign w:val="bottom"/>
            <w:tcBorders>
              <w:bottom w:val="single" w:sz="8" w:color="CCEEFF"/>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Volume (USD mm)</w:t>
            </w:r>
          </w:p>
        </w:tc>
        <w:tc>
          <w:tcPr>
            <w:tcW w:w="80" w:type="dxa"/>
            <w:vAlign w:val="bottom"/>
            <w:tcBorders>
              <w:bottom w:val="single" w:sz="8" w:color="CCEEFF"/>
            </w:tcBorders>
          </w:tcPr>
          <w:p>
            <w:pPr>
              <w:spacing w:after="0"/>
              <w:rPr>
                <w:sz w:val="22"/>
                <w:szCs w:val="22"/>
                <w:color w:val="auto"/>
              </w:rPr>
            </w:pPr>
          </w:p>
        </w:tc>
        <w:tc>
          <w:tcPr>
            <w:tcW w:w="3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Rates</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297,599</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18,717,838</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278,341</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17,506,534</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6.92 %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Government Bonds</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92,261</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5,812,414</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80,654</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5,081,221</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14.39 %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European Government Bonds</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27,089</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1,679,509</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22,871</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1,417,983</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Mortgages</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173,551</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10,933,713</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171,100</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10,779,318</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Other Government Bonds</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4,698</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292,202</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3,715</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228,011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26.46 %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209,137</w:t>
            </w: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13,078,196</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231,574</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14,511,898</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(9.69)%</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ind w:left="680"/>
              <w:spacing w:after="0"/>
              <w:rPr>
                <w:sz w:val="20"/>
                <w:szCs w:val="20"/>
                <w:color w:val="auto"/>
              </w:rPr>
            </w:pPr>
            <w:r>
              <w:rPr>
                <w:rFonts w:ascii="Arial" w:cs="Arial" w:eastAsia="Arial" w:hAnsi="Arial"/>
                <w:sz w:val="16"/>
                <w:szCs w:val="16"/>
                <w:i w:val="1"/>
                <w:iCs w:val="1"/>
                <w:color w:val="auto"/>
              </w:rPr>
              <w:t xml:space="preserve">Swaps/Swaptions </w:t>
            </w:r>
            <w:r>
              <w:rPr>
                <w:rFonts w:ascii="Arial" w:cs="Arial" w:eastAsia="Arial" w:hAnsi="Arial"/>
                <w:sz w:val="16"/>
                <w:szCs w:val="16"/>
                <w:color w:val="auto"/>
              </w:rPr>
              <w:t>≥</w:t>
            </w:r>
            <w:r>
              <w:rPr>
                <w:rFonts w:ascii="Arial" w:cs="Arial" w:eastAsia="Arial" w:hAnsi="Arial"/>
                <w:sz w:val="16"/>
                <w:szCs w:val="16"/>
                <w:i w:val="1"/>
                <w:iCs w:val="1"/>
                <w:color w:val="auto"/>
              </w:rPr>
              <w:t xml:space="preserve"> 1Y</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140,976</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8,811,975</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133,895</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8,370,807</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Swaps/Swaptions &lt; 1Y</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67,766</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4,241,352</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96,993</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6,097,897</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(30.13)%</w:t>
            </w:r>
          </w:p>
        </w:tc>
        <w:tc>
          <w:tcPr>
            <w:tcW w:w="0" w:type="dxa"/>
            <w:vAlign w:val="bottom"/>
          </w:tcPr>
          <w:p>
            <w:pPr>
              <w:spacing w:after="0"/>
              <w:rPr>
                <w:sz w:val="1"/>
                <w:szCs w:val="1"/>
                <w:color w:val="auto"/>
              </w:rPr>
            </w:pPr>
          </w:p>
        </w:tc>
      </w:tr>
      <w:tr>
        <w:trPr>
          <w:trHeight w:val="246"/>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Futures</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24,870</w:t>
            </w:r>
          </w:p>
        </w:tc>
        <w:tc>
          <w:tcPr>
            <w:tcW w:w="8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686</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43,194</w:t>
            </w:r>
          </w:p>
        </w:tc>
        <w:tc>
          <w:tcPr>
            <w:tcW w:w="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(42.42)%</w:t>
            </w:r>
          </w:p>
        </w:tc>
        <w:tc>
          <w:tcPr>
            <w:tcW w:w="0" w:type="dxa"/>
            <w:vAlign w:val="bottom"/>
          </w:tcPr>
          <w:p>
            <w:pPr>
              <w:spacing w:after="0"/>
              <w:rPr>
                <w:sz w:val="1"/>
                <w:szCs w:val="1"/>
                <w:color w:val="auto"/>
              </w:rPr>
            </w:pPr>
          </w:p>
        </w:tc>
      </w:tr>
      <w:tr>
        <w:trPr>
          <w:trHeight w:val="237"/>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506,736</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31,796,034</w:t>
            </w: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509,914</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32,018,431</w:t>
            </w: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(0.62)%</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Credit</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7,812</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486,734</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5,583</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349,479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39.93 %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High-Grade</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4,650</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292,963</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2,789</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175,720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66.72 %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U.S. High-Yield</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30,689</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283</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17,846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European Credit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1,364</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84,598</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1,287</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79,770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6.05 %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Municipal Bonds</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15,566</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249</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15,715</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Chinese Bonds</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1,010</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59,608</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915</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56,705</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10.46 %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Other Credit Bonds</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3,308</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60</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3,723</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10,133</w:t>
            </w: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633,673</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6,670</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417,319</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51.92 %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Swaps</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10,133</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633,673</w:t>
            </w:r>
          </w:p>
        </w:tc>
        <w:tc>
          <w:tcPr>
            <w:tcW w:w="8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6,670</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417,319</w:t>
            </w:r>
          </w:p>
        </w:tc>
        <w:tc>
          <w:tcPr>
            <w:tcW w:w="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51.92 %</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17,945</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1,120,406</w:t>
            </w: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12,253</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766,798</w:t>
            </w: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46.46 %</w:t>
            </w:r>
          </w:p>
        </w:tc>
        <w:tc>
          <w:tcPr>
            <w:tcW w:w="0" w:type="dxa"/>
            <w:vAlign w:val="bottom"/>
          </w:tcPr>
          <w:p>
            <w:pPr>
              <w:spacing w:after="0"/>
              <w:rPr>
                <w:sz w:val="1"/>
                <w:szCs w:val="1"/>
                <w:color w:val="auto"/>
              </w:rPr>
            </w:pPr>
          </w:p>
        </w:tc>
      </w:tr>
      <w:tr>
        <w:trPr>
          <w:trHeight w:val="184"/>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Money</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243,681</w:t>
            </w:r>
          </w:p>
        </w:tc>
        <w:tc>
          <w:tcPr>
            <w:tcW w:w="15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15,309,908</w:t>
            </w:r>
          </w:p>
        </w:tc>
        <w:tc>
          <w:tcPr>
            <w:tcW w:w="80" w:type="dxa"/>
            <w:vAlign w:val="bottom"/>
            <w:shd w:val="clear" w:color="auto" w:fill="CCEEFF"/>
          </w:tcPr>
          <w:p>
            <w:pPr>
              <w:spacing w:after="0"/>
              <w:rPr>
                <w:sz w:val="16"/>
                <w:szCs w:val="16"/>
                <w:color w:val="auto"/>
              </w:rPr>
            </w:pPr>
          </w:p>
        </w:tc>
        <w:tc>
          <w:tcPr>
            <w:tcW w:w="1920" w:type="dxa"/>
            <w:vAlign w:val="bottom"/>
            <w:vMerge w:val="restart"/>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223,011</w:t>
            </w:r>
          </w:p>
        </w:tc>
        <w:tc>
          <w:tcPr>
            <w:tcW w:w="10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14,026,068</w:t>
            </w:r>
          </w:p>
        </w:tc>
        <w:tc>
          <w:tcPr>
            <w:tcW w:w="8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9.27 %</w:t>
            </w:r>
          </w:p>
        </w:tc>
        <w:tc>
          <w:tcPr>
            <w:tcW w:w="0" w:type="dxa"/>
            <w:vAlign w:val="bottom"/>
          </w:tcPr>
          <w:p>
            <w:pPr>
              <w:spacing w:after="0"/>
              <w:rPr>
                <w:sz w:val="1"/>
                <w:szCs w:val="1"/>
                <w:color w:val="auto"/>
              </w:rPr>
            </w:pPr>
          </w:p>
        </w:tc>
      </w:tr>
      <w:tr>
        <w:trPr>
          <w:trHeight w:val="120"/>
        </w:trPr>
        <w:tc>
          <w:tcPr>
            <w:tcW w:w="10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Markets</w:t>
            </w:r>
          </w:p>
        </w:tc>
        <w:tc>
          <w:tcPr>
            <w:tcW w:w="2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20" w:type="dxa"/>
            <w:vAlign w:val="bottom"/>
            <w:vMerge w:val="continue"/>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060" w:type="dxa"/>
            <w:vAlign w:val="bottom"/>
            <w:vMerge w:val="continue"/>
            <w:shd w:val="clear" w:color="auto" w:fill="CCEEFF"/>
          </w:tcPr>
          <w:p>
            <w:pPr>
              <w:spacing w:after="0"/>
              <w:rPr>
                <w:sz w:val="9"/>
                <w:szCs w:val="9"/>
                <w:color w:val="auto"/>
              </w:rPr>
            </w:pPr>
          </w:p>
        </w:tc>
        <w:tc>
          <w:tcPr>
            <w:tcW w:w="2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9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60" w:type="dxa"/>
            <w:vAlign w:val="bottom"/>
          </w:tcPr>
          <w:p>
            <w:pPr>
              <w:spacing w:after="0"/>
              <w:rPr>
                <w:sz w:val="17"/>
                <w:szCs w:val="17"/>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Repurchase Agreements</w:t>
            </w:r>
          </w:p>
        </w:tc>
        <w:tc>
          <w:tcPr>
            <w:tcW w:w="1420" w:type="dxa"/>
            <w:vAlign w:val="bottom"/>
            <w:vMerge w:val="restart"/>
          </w:tcPr>
          <w:p>
            <w:pPr>
              <w:jc w:val="right"/>
              <w:ind w:right="19"/>
              <w:spacing w:after="0"/>
              <w:rPr>
                <w:sz w:val="20"/>
                <w:szCs w:val="20"/>
                <w:color w:val="auto"/>
              </w:rPr>
            </w:pPr>
            <w:r>
              <w:rPr>
                <w:rFonts w:ascii="Arial" w:cs="Arial" w:eastAsia="Arial" w:hAnsi="Arial"/>
                <w:sz w:val="16"/>
                <w:szCs w:val="16"/>
                <w:color w:val="auto"/>
              </w:rPr>
              <w:t>230,978</w:t>
            </w:r>
          </w:p>
        </w:tc>
        <w:tc>
          <w:tcPr>
            <w:tcW w:w="1560" w:type="dxa"/>
            <w:vAlign w:val="bottom"/>
            <w:vMerge w:val="restart"/>
          </w:tcPr>
          <w:p>
            <w:pPr>
              <w:jc w:val="right"/>
              <w:ind w:right="79"/>
              <w:spacing w:after="0"/>
              <w:rPr>
                <w:sz w:val="20"/>
                <w:szCs w:val="20"/>
                <w:color w:val="auto"/>
              </w:rPr>
            </w:pPr>
            <w:r>
              <w:rPr>
                <w:rFonts w:ascii="Arial" w:cs="Arial" w:eastAsia="Arial" w:hAnsi="Arial"/>
                <w:sz w:val="16"/>
                <w:szCs w:val="16"/>
                <w:color w:val="auto"/>
              </w:rPr>
              <w:t>14,510,278</w:t>
            </w:r>
          </w:p>
        </w:tc>
        <w:tc>
          <w:tcPr>
            <w:tcW w:w="80" w:type="dxa"/>
            <w:vAlign w:val="bottom"/>
          </w:tcPr>
          <w:p>
            <w:pPr>
              <w:spacing w:after="0"/>
              <w:rPr>
                <w:sz w:val="17"/>
                <w:szCs w:val="17"/>
                <w:color w:val="auto"/>
              </w:rPr>
            </w:pPr>
          </w:p>
        </w:tc>
        <w:tc>
          <w:tcPr>
            <w:tcW w:w="1920" w:type="dxa"/>
            <w:vAlign w:val="bottom"/>
            <w:vMerge w:val="restart"/>
          </w:tcPr>
          <w:p>
            <w:pPr>
              <w:jc w:val="right"/>
              <w:ind w:right="499"/>
              <w:spacing w:after="0"/>
              <w:rPr>
                <w:sz w:val="20"/>
                <w:szCs w:val="20"/>
                <w:color w:val="auto"/>
              </w:rPr>
            </w:pPr>
            <w:r>
              <w:rPr>
                <w:rFonts w:ascii="Arial" w:cs="Arial" w:eastAsia="Arial" w:hAnsi="Arial"/>
                <w:sz w:val="16"/>
                <w:szCs w:val="16"/>
                <w:color w:val="auto"/>
              </w:rPr>
              <w:t>204,217</w:t>
            </w: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color w:val="auto"/>
              </w:rPr>
              <w:t>12,843,046</w:t>
            </w:r>
          </w:p>
        </w:tc>
        <w:tc>
          <w:tcPr>
            <w:tcW w:w="8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13.10 %</w:t>
            </w:r>
          </w:p>
        </w:tc>
        <w:tc>
          <w:tcPr>
            <w:tcW w:w="0" w:type="dxa"/>
            <w:vAlign w:val="bottom"/>
          </w:tcPr>
          <w:p>
            <w:pPr>
              <w:spacing w:after="0"/>
              <w:rPr>
                <w:sz w:val="1"/>
                <w:szCs w:val="1"/>
                <w:color w:val="auto"/>
              </w:rPr>
            </w:pPr>
          </w:p>
        </w:tc>
      </w:tr>
      <w:tr>
        <w:trPr>
          <w:trHeight w:val="116"/>
        </w:trPr>
        <w:tc>
          <w:tcPr>
            <w:tcW w:w="1060" w:type="dxa"/>
            <w:vAlign w:val="bottom"/>
          </w:tcPr>
          <w:p>
            <w:pPr>
              <w:spacing w:after="0"/>
              <w:rPr>
                <w:sz w:val="10"/>
                <w:szCs w:val="10"/>
                <w:color w:val="auto"/>
              </w:rPr>
            </w:pPr>
          </w:p>
        </w:tc>
        <w:tc>
          <w:tcPr>
            <w:tcW w:w="2480" w:type="dxa"/>
            <w:vAlign w:val="bottom"/>
            <w:gridSpan w:val="2"/>
            <w:vMerge w:val="restart"/>
          </w:tcPr>
          <w:p>
            <w:pPr>
              <w:jc w:val="right"/>
              <w:ind w:right="100"/>
              <w:spacing w:after="0"/>
              <w:rPr>
                <w:sz w:val="20"/>
                <w:szCs w:val="20"/>
                <w:color w:val="auto"/>
              </w:rPr>
            </w:pPr>
            <w:r>
              <w:rPr>
                <w:rFonts w:ascii="Arial" w:cs="Arial" w:eastAsia="Arial" w:hAnsi="Arial"/>
                <w:sz w:val="16"/>
                <w:szCs w:val="16"/>
                <w:i w:val="1"/>
                <w:iCs w:val="1"/>
                <w:color w:val="auto"/>
              </w:rPr>
              <w:t>(Repo)</w:t>
            </w:r>
          </w:p>
        </w:tc>
        <w:tc>
          <w:tcPr>
            <w:tcW w:w="14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06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Other Money Markets</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12,703</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799,630</w:t>
            </w:r>
          </w:p>
        </w:tc>
        <w:tc>
          <w:tcPr>
            <w:tcW w:w="8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rPr>
              <w:t>18,794</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1,183,022</w:t>
            </w:r>
          </w:p>
        </w:tc>
        <w:tc>
          <w:tcPr>
            <w:tcW w:w="8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(32.41)%</w:t>
            </w:r>
          </w:p>
        </w:tc>
        <w:tc>
          <w:tcPr>
            <w:tcW w:w="0" w:type="dxa"/>
            <w:vAlign w:val="bottom"/>
          </w:tcPr>
          <w:p>
            <w:pPr>
              <w:spacing w:after="0"/>
              <w:rPr>
                <w:sz w:val="1"/>
                <w:szCs w:val="1"/>
                <w:color w:val="auto"/>
              </w:rPr>
            </w:pPr>
          </w:p>
        </w:tc>
      </w:tr>
      <w:tr>
        <w:trPr>
          <w:trHeight w:val="230"/>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243,681</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15,309,908</w:t>
            </w: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223,011</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14,026,068</w:t>
            </w: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9.27 %</w:t>
            </w:r>
          </w:p>
        </w:tc>
        <w:tc>
          <w:tcPr>
            <w:tcW w:w="0" w:type="dxa"/>
            <w:vAlign w:val="bottom"/>
          </w:tcPr>
          <w:p>
            <w:pPr>
              <w:spacing w:after="0"/>
              <w:rPr>
                <w:sz w:val="1"/>
                <w:szCs w:val="1"/>
                <w:color w:val="auto"/>
              </w:rPr>
            </w:pPr>
          </w:p>
        </w:tc>
      </w:tr>
      <w:tr>
        <w:trPr>
          <w:trHeight w:val="243"/>
        </w:trPr>
        <w:tc>
          <w:tcPr>
            <w:tcW w:w="1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Equities</w:t>
            </w: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Cash</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6,327</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396,763</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4,116</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257,802</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53.71 %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U.S. ETFs</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4,480</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282,227</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color w:val="auto"/>
              </w:rPr>
              <w:t>2,587</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162,980</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73.17 %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Europe ETFs</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1,847</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114,537</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1,529</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94,822</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20.79 %</w:t>
            </w:r>
          </w:p>
        </w:tc>
        <w:tc>
          <w:tcPr>
            <w:tcW w:w="0" w:type="dxa"/>
            <w:vAlign w:val="bottom"/>
          </w:tcPr>
          <w:p>
            <w:pPr>
              <w:spacing w:after="0"/>
              <w:rPr>
                <w:sz w:val="1"/>
                <w:szCs w:val="1"/>
                <w:color w:val="auto"/>
              </w:rPr>
            </w:pPr>
          </w:p>
        </w:tc>
      </w:tr>
      <w:tr>
        <w:trPr>
          <w:trHeight w:val="233"/>
        </w:trPr>
        <w:tc>
          <w:tcPr>
            <w:tcW w:w="1060" w:type="dxa"/>
            <w:vAlign w:val="bottom"/>
          </w:tcPr>
          <w:p>
            <w:pPr>
              <w:spacing w:after="0"/>
              <w:rPr>
                <w:sz w:val="20"/>
                <w:szCs w:val="20"/>
                <w:color w:val="auto"/>
              </w:rPr>
            </w:pPr>
          </w:p>
        </w:tc>
        <w:tc>
          <w:tcPr>
            <w:tcW w:w="24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Derivatives</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auto"/>
              </w:rPr>
              <w:t>3,667</w:t>
            </w:r>
          </w:p>
        </w:tc>
        <w:tc>
          <w:tcPr>
            <w:tcW w:w="1560" w:type="dxa"/>
            <w:vAlign w:val="bottom"/>
          </w:tcPr>
          <w:p>
            <w:pPr>
              <w:jc w:val="right"/>
              <w:ind w:right="79"/>
              <w:spacing w:after="0"/>
              <w:rPr>
                <w:sz w:val="20"/>
                <w:szCs w:val="20"/>
                <w:color w:val="auto"/>
              </w:rPr>
            </w:pPr>
            <w:r>
              <w:rPr>
                <w:rFonts w:ascii="Arial" w:cs="Arial" w:eastAsia="Arial" w:hAnsi="Arial"/>
                <w:sz w:val="16"/>
                <w:szCs w:val="16"/>
                <w:b w:val="1"/>
                <w:bCs w:val="1"/>
                <w:color w:val="auto"/>
              </w:rPr>
              <w:t>230,348</w:t>
            </w:r>
          </w:p>
        </w:tc>
        <w:tc>
          <w:tcPr>
            <w:tcW w:w="80" w:type="dxa"/>
            <w:vAlign w:val="bottom"/>
          </w:tcPr>
          <w:p>
            <w:pPr>
              <w:spacing w:after="0"/>
              <w:rPr>
                <w:sz w:val="20"/>
                <w:szCs w:val="20"/>
                <w:color w:val="auto"/>
              </w:rPr>
            </w:pPr>
          </w:p>
        </w:tc>
        <w:tc>
          <w:tcPr>
            <w:tcW w:w="1920" w:type="dxa"/>
            <w:vAlign w:val="bottom"/>
          </w:tcPr>
          <w:p>
            <w:pPr>
              <w:jc w:val="right"/>
              <w:ind w:right="499"/>
              <w:spacing w:after="0"/>
              <w:rPr>
                <w:sz w:val="20"/>
                <w:szCs w:val="20"/>
                <w:color w:val="auto"/>
              </w:rPr>
            </w:pPr>
            <w:r>
              <w:rPr>
                <w:rFonts w:ascii="Arial" w:cs="Arial" w:eastAsia="Arial" w:hAnsi="Arial"/>
                <w:sz w:val="16"/>
                <w:szCs w:val="16"/>
                <w:b w:val="1"/>
                <w:bCs w:val="1"/>
                <w:color w:val="auto"/>
              </w:rPr>
              <w:t>3,002</w:t>
            </w: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187,683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22.15 %</w:t>
            </w:r>
          </w:p>
        </w:tc>
        <w:tc>
          <w:tcPr>
            <w:tcW w:w="0" w:type="dxa"/>
            <w:vAlign w:val="bottom"/>
          </w:tcPr>
          <w:p>
            <w:pPr>
              <w:spacing w:after="0"/>
              <w:rPr>
                <w:sz w:val="1"/>
                <w:szCs w:val="1"/>
                <w:color w:val="auto"/>
              </w:rPr>
            </w:pPr>
          </w:p>
        </w:tc>
      </w:tr>
      <w:tr>
        <w:trPr>
          <w:trHeight w:val="253"/>
        </w:trPr>
        <w:tc>
          <w:tcPr>
            <w:tcW w:w="1060" w:type="dxa"/>
            <w:vAlign w:val="bottom"/>
            <w:shd w:val="clear" w:color="auto" w:fill="CCEEFF"/>
          </w:tcPr>
          <w:p>
            <w:pPr>
              <w:spacing w:after="0"/>
              <w:rPr>
                <w:sz w:val="21"/>
                <w:szCs w:val="21"/>
                <w:color w:val="auto"/>
              </w:rPr>
            </w:pP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Options/Convertibles/Swaps</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52,941</w:t>
            </w:r>
          </w:p>
        </w:tc>
        <w:tc>
          <w:tcPr>
            <w:tcW w:w="8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1,404</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87,241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(39.53)%</w:t>
            </w:r>
          </w:p>
        </w:tc>
        <w:tc>
          <w:tcPr>
            <w:tcW w:w="0" w:type="dxa"/>
            <w:vAlign w:val="bottom"/>
          </w:tcPr>
          <w:p>
            <w:pPr>
              <w:spacing w:after="0"/>
              <w:rPr>
                <w:sz w:val="1"/>
                <w:szCs w:val="1"/>
                <w:color w:val="auto"/>
              </w:rPr>
            </w:pPr>
          </w:p>
        </w:tc>
      </w:tr>
      <w:tr>
        <w:trPr>
          <w:trHeight w:val="236"/>
        </w:trPr>
        <w:tc>
          <w:tcPr>
            <w:tcW w:w="106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i w:val="1"/>
                <w:iCs w:val="1"/>
                <w:color w:val="auto"/>
              </w:rPr>
              <w:t>Futures</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2,819</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177,407</w:t>
            </w: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1,599</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100,441</w:t>
            </w: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76.32 %</w:t>
            </w:r>
          </w:p>
        </w:tc>
        <w:tc>
          <w:tcPr>
            <w:tcW w:w="0" w:type="dxa"/>
            <w:vAlign w:val="bottom"/>
          </w:tcPr>
          <w:p>
            <w:pPr>
              <w:spacing w:after="0"/>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9,995</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627,112</w:t>
            </w:r>
          </w:p>
        </w:tc>
        <w:tc>
          <w:tcPr>
            <w:tcW w:w="8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7,119</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445,485</w:t>
            </w:r>
          </w:p>
        </w:tc>
        <w:tc>
          <w:tcPr>
            <w:tcW w:w="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40.40 %</w:t>
            </w: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260"/>
          </w:cols>
          <w:pgMar w:left="320" w:top="1012" w:right="319" w:bottom="1440" w:gutter="0" w:footer="0" w:header="0"/>
        </w:sectPr>
      </w:pPr>
    </w:p>
    <w:p>
      <w:pPr>
        <w:spacing w:after="0" w:line="298"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37"/>
        </w:trPr>
        <w:tc>
          <w:tcPr>
            <w:tcW w:w="1500" w:type="dxa"/>
            <w:vAlign w:val="bottom"/>
            <w:tcBorders>
              <w:top w:val="single" w:sz="8" w:color="auto"/>
              <w:left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Volume (USD mm)</w:t>
            </w:r>
          </w:p>
        </w:tc>
        <w:tc>
          <w:tcPr>
            <w:tcW w:w="1500" w:type="dxa"/>
            <w:vAlign w:val="bottom"/>
            <w:tcBorders>
              <w:top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ADV (USD mm)</w:t>
            </w:r>
          </w:p>
        </w:tc>
        <w:tc>
          <w:tcPr>
            <w:tcW w:w="1580" w:type="dxa"/>
            <w:vAlign w:val="bottom"/>
            <w:tcBorders>
              <w:top w:val="single" w:sz="8" w:color="auto"/>
              <w:right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Volume (USD mm)</w:t>
            </w:r>
          </w:p>
        </w:tc>
        <w:tc>
          <w:tcPr>
            <w:tcW w:w="1560" w:type="dxa"/>
            <w:vAlign w:val="bottom"/>
            <w:tcBorders>
              <w:top w:val="single" w:sz="8" w:color="auto"/>
              <w:right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YoY</w:t>
            </w:r>
          </w:p>
        </w:tc>
      </w:tr>
      <w:tr>
        <w:trPr>
          <w:trHeight w:val="257"/>
        </w:trPr>
        <w:tc>
          <w:tcPr>
            <w:tcW w:w="1500" w:type="dxa"/>
            <w:vAlign w:val="bottom"/>
            <w:tcBorders>
              <w:left w:val="single" w:sz="8" w:color="auto"/>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778,357</w:t>
            </w:r>
          </w:p>
        </w:tc>
        <w:tc>
          <w:tcPr>
            <w:tcW w:w="158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48,853,460</w:t>
            </w:r>
          </w:p>
        </w:tc>
        <w:tc>
          <w:tcPr>
            <w:tcW w:w="15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752,297</w:t>
            </w:r>
          </w:p>
        </w:tc>
        <w:tc>
          <w:tcPr>
            <w:tcW w:w="158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47,256,782</w:t>
            </w:r>
          </w:p>
        </w:tc>
        <w:tc>
          <w:tcPr>
            <w:tcW w:w="15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3.46 %</w:t>
            </w:r>
          </w:p>
        </w:tc>
      </w:tr>
      <w:tr>
        <w:trPr>
          <w:trHeight w:val="33"/>
        </w:trPr>
        <w:tc>
          <w:tcPr>
            <w:tcW w:w="1500" w:type="dxa"/>
            <w:vAlign w:val="bottom"/>
            <w:tcBorders>
              <w:left w:val="single" w:sz="8" w:color="auto"/>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1560" w:type="dxa"/>
            <w:vAlign w:val="bottom"/>
            <w:tcBorders>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-170815</wp:posOffset>
            </wp:positionV>
            <wp:extent cx="64033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033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20"/>
          </w:cols>
          <w:pgMar w:left="320" w:top="1012" w:right="31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55FC1"/>
        </w:rPr>
        <w:t>https://www.tradeweb.com/newsroom/monthly-activity-reports/</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60"/>
          </w:cols>
          <w:pgMar w:left="320" w:top="1012"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2020 guidance, and future performance, the industry and markets in which we operate, our expectations, beliefs, plans, strategies, objectives, prospects and assumptions and future events are forward-looking statements. In addition, statements herein relating to the COVID-19 pandemic, the potential impacts of which remain inherently uncertain, are forward-looking statements.</w:t>
      </w:r>
    </w:p>
    <w:p>
      <w:pPr>
        <w:spacing w:after="0" w:line="20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PRESENTATION</w:t>
      </w:r>
    </w:p>
    <w:p>
      <w:pPr>
        <w:spacing w:after="0" w:line="133"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June 30, 2020, which we refer to as the “post-IPO period,” pertain to Tradeweb Markets Inc. The pre-IPO period excludes, and the post-IPO period includes, our financial results from April 1, 2019 through April 3, 2019, which are not material.</w:t>
      </w:r>
    </w:p>
    <w:p>
      <w:pPr>
        <w:spacing w:after="0" w:line="23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June 30, 2020, or the “successor period,” and the financial information for the periods prior to, and including, September 30, 2018, or the “predecessor period,” are not comparable. However, the change in basis resulting from the Refinitiv Transaction did not impact certain financial information, specifically revenues and certain expenses.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decimal"/>
      <w:start w:val="1"/>
    </w:lvl>
    <w:lvl w:ilvl="1">
      <w:lvlJc w:val="left"/>
      <w:lvlText w:val="(%2)"/>
      <w:numFmt w:val="lowerLetter"/>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lvl w:ilvl="1">
      <w:lvlJc w:val="left"/>
      <w:lvlText w:val="(%2)"/>
      <w:numFmt w:val="lowerLetter"/>
      <w:start w:val="1"/>
    </w:lvl>
  </w:abstractNum>
  <w:abstractNum w:abstractNumId="7">
    <w:nsid w:val="216231B"/>
    <w:multiLevelType w:val="hybridMultilevel"/>
    <w:lvl w:ilvl="0">
      <w:lvlJc w:val="left"/>
      <w:lvlText w:val="(%1)"/>
      <w:numFmt w:val="decimal"/>
      <w:start w:val="2"/>
    </w:lvl>
  </w:abstractNum>
  <w:abstractNum w:abstractNumId="8">
    <w:nsid w:val="1F16E9E8"/>
    <w:multiLevelType w:val="hybridMultilevel"/>
    <w:lvl w:ilvl="0">
      <w:lvlJc w:val="left"/>
      <w:lvlText w:val="(%1)"/>
      <w:numFmt w:val="decimal"/>
      <w:start w:val="7"/>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2020-07-30T06:23:55Z</dcterms:created>
  <dcterms:modified xsi:type="dcterms:W3CDTF">2020-07-30T06:23:55Z</dcterms:modified>
</cp:coreProperties>
</file>