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16,000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81,115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8,554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62.2046</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72,561</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7,446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62.8942</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65,115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16,000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06/15/2020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16,000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98,270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22,004 unvested RSUs in respect of Class A Common Stock which are scheduled to vest on January 1, 2022, and (iii) 10,483 unvested RSUs in respect of Class A Common Stock which are scheduled to vest in equal installments on each of the first, second and third anniversaries of March 17, 2020, in each case subject to the reporting person's continued employed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$61.55 to $62.54,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$62.55 to $63.23,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06/16/2020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Robert Warshaw</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2020-06-16T15:21:26Z</dcterms:created>
  <dcterms:modified xsi:type="dcterms:W3CDTF">2020-06-16T15:21:26Z</dcterms:modified>
</cp:coreProperties>
</file>