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Dixon Troy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0"/>
        <w:spacing w:after="0" w:line="320" w:lineRule="auto"/>
        <w:rPr>
          <w:sz w:val="20"/>
          <w:szCs w:val="20"/>
          <w:color w:val="auto"/>
        </w:rPr>
      </w:pPr>
      <w:r>
        <w:rPr>
          <w:rFonts w:ascii="Times New Roman" w:cs="Times New Roman" w:eastAsia="Times New Roman" w:hAnsi="Times New Roman"/>
          <w:sz w:val="17"/>
          <w:szCs w:val="17"/>
          <w:color w:val="0000FF"/>
        </w:rPr>
        <w:t>TRADEWEB MARKETS INC. 1177 AVENUE OF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05"/>
        <w:spacing w:after="0"/>
        <w:rPr>
          <w:sz w:val="20"/>
          <w:szCs w:val="20"/>
          <w:color w:val="auto"/>
        </w:rPr>
      </w:pPr>
      <w:r>
        <w:rPr>
          <w:rFonts w:ascii="Times New Roman" w:cs="Times New Roman" w:eastAsia="Times New Roman" w:hAnsi="Times New Roman"/>
          <w:sz w:val="17"/>
          <w:szCs w:val="17"/>
          <w:color w:val="0000FF"/>
        </w:rPr>
        <w:t>Co-Head of Global Markets</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6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02/03/2025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31,520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32,375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2025.</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855 unvested RSUs in respect of Class A Common Stock which are scheduled to vest on May 10, 2025 and (ii) 31,520 unvested RSUs in respect of Class A Common Stock that are scheduled to vest on March 15, 2026, March 15, 2027 and March 15, 2028, in each case, subject to the reporting person's continued employment through the applicable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Troy</w:t>
      </w:r>
      <w:r>
        <w:rPr>
          <w:sz w:val="20"/>
          <w:szCs w:val="20"/>
          <w:color w:val="auto"/>
        </w:rPr>
        <w:tab/>
      </w:r>
      <w:r>
        <w:rPr>
          <w:rFonts w:ascii="Times New Roman" w:cs="Times New Roman" w:eastAsia="Times New Roman" w:hAnsi="Times New Roman"/>
          <w:sz w:val="17"/>
          <w:szCs w:val="17"/>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Dixon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5539"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2025-02-05T15:49:50Z</dcterms:created>
  <dcterms:modified xsi:type="dcterms:W3CDTF">2025-02-05T15:49:50Z</dcterms:modified>
</cp:coreProperties>
</file>