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177165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189230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 April 3, 2019</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Tradeweb Markets Inc.</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220" w:type="dxa"/>
        <w:tblCellMar>
          <w:top w:w="0" w:type="dxa"/>
          <w:left w:w="0" w:type="dxa"/>
          <w:bottom w:w="0" w:type="dxa"/>
          <w:right w:w="0" w:type="dxa"/>
        </w:tblCellMar>
      </w:tblPr>
      <w:tr>
        <w:trPr>
          <w:trHeight w:val="216"/>
        </w:trPr>
        <w:tc>
          <w:tcPr>
            <w:tcW w:w="3900" w:type="dxa"/>
            <w:vAlign w:val="bottom"/>
          </w:tcPr>
          <w:p>
            <w:pPr>
              <w:jc w:val="center"/>
              <w:ind w:right="470"/>
              <w:spacing w:after="0"/>
              <w:rPr>
                <w:sz w:val="20"/>
                <w:szCs w:val="20"/>
                <w:color w:val="auto"/>
              </w:rPr>
            </w:pPr>
            <w:r>
              <w:rPr>
                <w:rFonts w:ascii="Arial" w:cs="Arial" w:eastAsia="Arial" w:hAnsi="Arial"/>
                <w:sz w:val="18"/>
                <w:szCs w:val="18"/>
                <w:color w:val="auto"/>
                <w:w w:val="92"/>
              </w:rPr>
              <w:t>Delaware</w:t>
            </w:r>
          </w:p>
        </w:tc>
        <w:tc>
          <w:tcPr>
            <w:tcW w:w="3600" w:type="dxa"/>
            <w:vAlign w:val="bottom"/>
          </w:tcPr>
          <w:p>
            <w:pPr>
              <w:jc w:val="right"/>
              <w:ind w:right="1510"/>
              <w:spacing w:after="0"/>
              <w:rPr>
                <w:sz w:val="20"/>
                <w:szCs w:val="20"/>
                <w:color w:val="auto"/>
              </w:rPr>
            </w:pPr>
            <w:r>
              <w:rPr>
                <w:rFonts w:ascii="Arial" w:cs="Arial" w:eastAsia="Arial" w:hAnsi="Arial"/>
                <w:sz w:val="18"/>
                <w:szCs w:val="18"/>
                <w:color w:val="auto"/>
              </w:rPr>
              <w:t>001-38860</w:t>
            </w:r>
          </w:p>
        </w:tc>
        <w:tc>
          <w:tcPr>
            <w:tcW w:w="2660" w:type="dxa"/>
            <w:vAlign w:val="bottom"/>
          </w:tcPr>
          <w:p>
            <w:pPr>
              <w:jc w:val="right"/>
              <w:ind w:right="310"/>
              <w:spacing w:after="0"/>
              <w:rPr>
                <w:sz w:val="20"/>
                <w:szCs w:val="20"/>
                <w:color w:val="auto"/>
              </w:rPr>
            </w:pPr>
            <w:r>
              <w:rPr>
                <w:rFonts w:ascii="Arial" w:cs="Arial" w:eastAsia="Arial" w:hAnsi="Arial"/>
                <w:sz w:val="18"/>
                <w:szCs w:val="18"/>
                <w:color w:val="auto"/>
              </w:rPr>
              <w:t>83-2456358</w:t>
            </w:r>
          </w:p>
        </w:tc>
      </w:tr>
      <w:tr>
        <w:trPr>
          <w:trHeight w:val="216"/>
        </w:trPr>
        <w:tc>
          <w:tcPr>
            <w:tcW w:w="3900" w:type="dxa"/>
            <w:vAlign w:val="bottom"/>
          </w:tcPr>
          <w:p>
            <w:pPr>
              <w:jc w:val="center"/>
              <w:ind w:right="510"/>
              <w:spacing w:after="0"/>
              <w:rPr>
                <w:sz w:val="20"/>
                <w:szCs w:val="20"/>
                <w:color w:val="auto"/>
              </w:rPr>
            </w:pPr>
            <w:r>
              <w:rPr>
                <w:rFonts w:ascii="Arial" w:cs="Arial" w:eastAsia="Arial" w:hAnsi="Arial"/>
                <w:sz w:val="18"/>
                <w:szCs w:val="18"/>
                <w:color w:val="auto"/>
                <w:w w:val="92"/>
              </w:rPr>
              <w:t>(State or other jurisdiction of incorporation or</w:t>
            </w:r>
          </w:p>
        </w:tc>
        <w:tc>
          <w:tcPr>
            <w:tcW w:w="3600" w:type="dxa"/>
            <w:vAlign w:val="bottom"/>
          </w:tcPr>
          <w:p>
            <w:pPr>
              <w:jc w:val="center"/>
              <w:ind w:right="310"/>
              <w:spacing w:after="0"/>
              <w:rPr>
                <w:sz w:val="20"/>
                <w:szCs w:val="20"/>
                <w:color w:val="auto"/>
              </w:rPr>
            </w:pPr>
            <w:r>
              <w:rPr>
                <w:rFonts w:ascii="Arial" w:cs="Arial" w:eastAsia="Arial" w:hAnsi="Arial"/>
                <w:sz w:val="18"/>
                <w:szCs w:val="18"/>
                <w:color w:val="auto"/>
                <w:w w:val="93"/>
              </w:rPr>
              <w:t>(Commission File Number)</w:t>
            </w:r>
          </w:p>
        </w:tc>
        <w:tc>
          <w:tcPr>
            <w:tcW w:w="2660" w:type="dxa"/>
            <w:vAlign w:val="bottom"/>
          </w:tcPr>
          <w:p>
            <w:pPr>
              <w:jc w:val="center"/>
              <w:ind w:left="850"/>
              <w:spacing w:after="0"/>
              <w:rPr>
                <w:sz w:val="20"/>
                <w:szCs w:val="20"/>
                <w:color w:val="auto"/>
              </w:rPr>
            </w:pPr>
            <w:r>
              <w:rPr>
                <w:rFonts w:ascii="Arial" w:cs="Arial" w:eastAsia="Arial" w:hAnsi="Arial"/>
                <w:sz w:val="18"/>
                <w:szCs w:val="18"/>
                <w:color w:val="auto"/>
                <w:w w:val="93"/>
              </w:rPr>
              <w:t>(I.R.S. Employer</w:t>
            </w:r>
          </w:p>
        </w:tc>
      </w:tr>
      <w:tr>
        <w:trPr>
          <w:trHeight w:val="230"/>
        </w:trPr>
        <w:tc>
          <w:tcPr>
            <w:tcW w:w="3900" w:type="dxa"/>
            <w:vAlign w:val="bottom"/>
          </w:tcPr>
          <w:p>
            <w:pPr>
              <w:jc w:val="center"/>
              <w:ind w:right="450"/>
              <w:spacing w:after="0"/>
              <w:rPr>
                <w:sz w:val="20"/>
                <w:szCs w:val="20"/>
                <w:color w:val="auto"/>
              </w:rPr>
            </w:pPr>
            <w:r>
              <w:rPr>
                <w:rFonts w:ascii="Arial" w:cs="Arial" w:eastAsia="Arial" w:hAnsi="Arial"/>
                <w:sz w:val="18"/>
                <w:szCs w:val="18"/>
                <w:color w:val="auto"/>
                <w:w w:val="92"/>
              </w:rPr>
              <w:t>organization)</w:t>
            </w:r>
          </w:p>
        </w:tc>
        <w:tc>
          <w:tcPr>
            <w:tcW w:w="3600" w:type="dxa"/>
            <w:vAlign w:val="bottom"/>
          </w:tcPr>
          <w:p>
            <w:pPr>
              <w:spacing w:after="0"/>
              <w:rPr>
                <w:sz w:val="20"/>
                <w:szCs w:val="20"/>
                <w:color w:val="auto"/>
              </w:rPr>
            </w:pPr>
          </w:p>
        </w:tc>
        <w:tc>
          <w:tcPr>
            <w:tcW w:w="2660" w:type="dxa"/>
            <w:vAlign w:val="bottom"/>
          </w:tcPr>
          <w:p>
            <w:pPr>
              <w:jc w:val="center"/>
              <w:ind w:left="910"/>
              <w:spacing w:after="0"/>
              <w:rPr>
                <w:sz w:val="20"/>
                <w:szCs w:val="20"/>
                <w:color w:val="auto"/>
              </w:rPr>
            </w:pPr>
            <w:r>
              <w:rPr>
                <w:rFonts w:ascii="Arial" w:cs="Arial" w:eastAsia="Arial" w:hAnsi="Arial"/>
                <w:sz w:val="18"/>
                <w:szCs w:val="18"/>
                <w:color w:val="auto"/>
                <w:w w:val="94"/>
              </w:rPr>
              <w:t>Identification Number)</w:t>
            </w:r>
          </w:p>
        </w:tc>
      </w:tr>
      <w:tr>
        <w:trPr>
          <w:trHeight w:val="418"/>
        </w:trPr>
        <w:tc>
          <w:tcPr>
            <w:tcW w:w="3900" w:type="dxa"/>
            <w:vAlign w:val="bottom"/>
          </w:tcPr>
          <w:p>
            <w:pPr>
              <w:jc w:val="center"/>
              <w:ind w:right="470"/>
              <w:spacing w:after="0"/>
              <w:rPr>
                <w:sz w:val="20"/>
                <w:szCs w:val="20"/>
                <w:color w:val="auto"/>
              </w:rPr>
            </w:pPr>
            <w:r>
              <w:rPr>
                <w:rFonts w:ascii="Arial" w:cs="Arial" w:eastAsia="Arial" w:hAnsi="Arial"/>
                <w:sz w:val="18"/>
                <w:szCs w:val="18"/>
                <w:color w:val="auto"/>
                <w:w w:val="90"/>
              </w:rPr>
              <w:t>1177 Avenue of the Americas</w:t>
            </w:r>
          </w:p>
        </w:tc>
        <w:tc>
          <w:tcPr>
            <w:tcW w:w="3600" w:type="dxa"/>
            <w:vAlign w:val="bottom"/>
          </w:tcPr>
          <w:p>
            <w:pPr>
              <w:spacing w:after="0"/>
              <w:rPr>
                <w:sz w:val="24"/>
                <w:szCs w:val="24"/>
                <w:color w:val="auto"/>
              </w:rPr>
            </w:pPr>
          </w:p>
        </w:tc>
        <w:tc>
          <w:tcPr>
            <w:tcW w:w="2660" w:type="dxa"/>
            <w:vAlign w:val="bottom"/>
          </w:tcPr>
          <w:p>
            <w:pPr>
              <w:jc w:val="right"/>
              <w:ind w:right="530"/>
              <w:spacing w:after="0"/>
              <w:rPr>
                <w:sz w:val="20"/>
                <w:szCs w:val="20"/>
                <w:color w:val="auto"/>
              </w:rPr>
            </w:pPr>
            <w:r>
              <w:rPr>
                <w:rFonts w:ascii="Arial" w:cs="Arial" w:eastAsia="Arial" w:hAnsi="Arial"/>
                <w:sz w:val="18"/>
                <w:szCs w:val="18"/>
                <w:color w:val="auto"/>
              </w:rPr>
              <w:t>10036</w:t>
            </w:r>
          </w:p>
        </w:tc>
      </w:tr>
      <w:tr>
        <w:trPr>
          <w:trHeight w:val="216"/>
        </w:trPr>
        <w:tc>
          <w:tcPr>
            <w:tcW w:w="3900" w:type="dxa"/>
            <w:vAlign w:val="bottom"/>
          </w:tcPr>
          <w:p>
            <w:pPr>
              <w:jc w:val="center"/>
              <w:ind w:right="450"/>
              <w:spacing w:after="0"/>
              <w:rPr>
                <w:sz w:val="20"/>
                <w:szCs w:val="20"/>
                <w:color w:val="auto"/>
              </w:rPr>
            </w:pPr>
            <w:r>
              <w:rPr>
                <w:rFonts w:ascii="Arial" w:cs="Arial" w:eastAsia="Arial" w:hAnsi="Arial"/>
                <w:sz w:val="18"/>
                <w:szCs w:val="18"/>
                <w:color w:val="auto"/>
                <w:w w:val="93"/>
              </w:rPr>
              <w:t>New York, New York</w:t>
            </w:r>
          </w:p>
        </w:tc>
        <w:tc>
          <w:tcPr>
            <w:tcW w:w="3600" w:type="dxa"/>
            <w:vAlign w:val="bottom"/>
          </w:tcPr>
          <w:p>
            <w:pPr>
              <w:spacing w:after="0"/>
              <w:rPr>
                <w:sz w:val="18"/>
                <w:szCs w:val="18"/>
                <w:color w:val="auto"/>
              </w:rPr>
            </w:pPr>
          </w:p>
        </w:tc>
        <w:tc>
          <w:tcPr>
            <w:tcW w:w="2660" w:type="dxa"/>
            <w:vAlign w:val="bottom"/>
          </w:tcPr>
          <w:p>
            <w:pPr>
              <w:jc w:val="center"/>
              <w:ind w:left="890"/>
              <w:spacing w:after="0"/>
              <w:rPr>
                <w:sz w:val="20"/>
                <w:szCs w:val="20"/>
                <w:color w:val="auto"/>
              </w:rPr>
            </w:pPr>
            <w:r>
              <w:rPr>
                <w:rFonts w:ascii="Arial" w:cs="Arial" w:eastAsia="Arial" w:hAnsi="Arial"/>
                <w:sz w:val="18"/>
                <w:szCs w:val="18"/>
                <w:color w:val="auto"/>
                <w:w w:val="93"/>
              </w:rPr>
              <w:t>(Zip code)</w:t>
            </w:r>
          </w:p>
        </w:tc>
      </w:tr>
      <w:tr>
        <w:trPr>
          <w:trHeight w:val="230"/>
        </w:trPr>
        <w:tc>
          <w:tcPr>
            <w:tcW w:w="3900" w:type="dxa"/>
            <w:vAlign w:val="bottom"/>
          </w:tcPr>
          <w:p>
            <w:pPr>
              <w:jc w:val="center"/>
              <w:ind w:right="470"/>
              <w:spacing w:after="0"/>
              <w:rPr>
                <w:sz w:val="20"/>
                <w:szCs w:val="20"/>
                <w:color w:val="auto"/>
              </w:rPr>
            </w:pPr>
            <w:r>
              <w:rPr>
                <w:rFonts w:ascii="Arial" w:cs="Arial" w:eastAsia="Arial" w:hAnsi="Arial"/>
                <w:sz w:val="18"/>
                <w:szCs w:val="18"/>
                <w:color w:val="auto"/>
                <w:w w:val="92"/>
              </w:rPr>
              <w:t>(Address of principal executive offices)</w:t>
            </w:r>
          </w:p>
        </w:tc>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r>
    </w:tbl>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 (646) 430-6000</w:t>
      </w:r>
    </w:p>
    <w:p>
      <w:pPr>
        <w:spacing w:after="0" w:line="225" w:lineRule="exact"/>
        <w:rPr>
          <w:sz w:val="24"/>
          <w:szCs w:val="24"/>
          <w:color w:val="auto"/>
        </w:rPr>
      </w:pPr>
    </w:p>
    <w:p>
      <w:pPr>
        <w:ind w:left="260" w:right="5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20" w:hanging="369"/>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20" w:hanging="369"/>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20" w:hanging="369"/>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20" w:hanging="369"/>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8680"/>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02" w:right="29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On April 8, 2019, Tradeweb Markets Inc. (the “Company”) closed its initial public offering (“IPO”) of 46,000,000 shares of the Company’s Class A common stock, $0.00001 par value per share (the “Class A Common Stock”), pursuant to the Company’s registration statement on Form S-1 (File No. 333-230115), as amended (the “Registration Statement”), and the related registration statement on Form S-1 (File No. 333-230715) filed pursuant to Rule 462(b) under the Securities Act of 1933, as amended (the “Securities Act”). In connection with the IPO, the Company entered into the following agreements:</w:t>
      </w:r>
    </w:p>
    <w:p>
      <w:pPr>
        <w:spacing w:after="0" w:line="154" w:lineRule="exact"/>
        <w:rPr>
          <w:sz w:val="20"/>
          <w:szCs w:val="20"/>
          <w:color w:val="auto"/>
        </w:rPr>
      </w:pPr>
    </w:p>
    <w:p>
      <w:pPr>
        <w:jc w:val="both"/>
        <w:ind w:left="900" w:right="6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Stockholders Agreement, dated as of April 8, 2019, by and among the Company, Refinitiv US PME LLC and Refinitiv Parent Limited (together with Refinitiv US PME LLC, the “Refinitiv Owners”) (the “Stockholders Agreement”), substantially in the form previously filed as Exhibit 10.1 to the Registration Statement;</w:t>
      </w:r>
    </w:p>
    <w:p>
      <w:pPr>
        <w:spacing w:after="0" w:line="181"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Registration Rights Agreement, dated as of April 8, 2019, by and among the Company, the Refinitiv Owners, the Bank Holders (as defined therein, the “Bank Holders”) and the other holders of Registrable Securities (as defined therein) party thereto from time to time (the “Registration Rights Agreement”), substantially in the form previously filed as Exhibit 10.2 to the Registration Statement;</w:t>
      </w:r>
    </w:p>
    <w:p>
      <w:pPr>
        <w:spacing w:after="0" w:line="181"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Fifth Amended and Restated Limited Liability Company Agreement, dated as of April 4, 2019, by and among Tradeweb Markets LLC and its Members (as defined therein) (the “Fifth Amended and Restated LLC Agreement”), substantially in the form previously filed as Exhibit 10.3 to the Registration Statement;</w:t>
      </w:r>
    </w:p>
    <w:p>
      <w:pPr>
        <w:spacing w:after="0" w:line="181"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Tax Receivable Agreement, dated as of April 8, 2019, by and among the Company, Tradeweb Markets LLC and the members of Tradeweb Markets LLC from time to time party thereto (the “Tax Receivable Agreement”), substantially in the form previously filed as Exhibit 10.4 to the Registration Statement;</w:t>
      </w:r>
    </w:p>
    <w:p>
      <w:pPr>
        <w:spacing w:after="0" w:line="181"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Restrictive Covenant Agreement, dated as of April 8, 2019, by and among the Refinitiv Entities (as defined therein), Tradeweb Markets LLC and the Company (the “Restrictive Covenant Agreement”), substantially in the form previously filed as Exhibit 10.5 to the Registration Statement; and</w:t>
      </w:r>
    </w:p>
    <w:p>
      <w:pPr>
        <w:spacing w:after="0" w:line="181" w:lineRule="exact"/>
        <w:rPr>
          <w:rFonts w:ascii="Arial" w:cs="Arial" w:eastAsia="Arial" w:hAnsi="Arial"/>
          <w:sz w:val="18"/>
          <w:szCs w:val="18"/>
          <w:color w:val="auto"/>
        </w:rPr>
      </w:pPr>
    </w:p>
    <w:p>
      <w:pPr>
        <w:ind w:left="900" w:hanging="325"/>
        <w:spacing w:after="0" w:line="276"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Credit Agreement, dated as of April 8, 2019, by and among Tradeweb Markets LLC, as borrower, the lenders party thereto and Citibank, N.A., as administrative agent, collateral agent, issuing bank and swing line lender, Citigroup Global Markets Inc., JPMorgan Chase Bank, N.A., Morgan Stanley Senior Funding, Inc., and Goldman Sachs Bank USA, as joint lead arrangers and joint bookrunners, JPMorgan Chase Bank, N.A., as syndication agent, and Morgan Stanley Senior Funding, Inc. and Goldman Sachs Bank USA, as documentation agents (the “Revolving Credit Agreement”), substantially in the form previously filed as Exhibit 10.7 to the Registration Statement.</w:t>
      </w:r>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Stockholders Agreement, the Registration Rights Agreement, the Fifth Amended and Restated LLC Agreement, the Tax Receivable Agreement, the Restrictive Covenant Agreement and the Revolving Credit Agreement will be filed as exhibits to the Company’s Quarterly Report on Form 10-Q for the quarter ended March 31, 2019. The terms of these agreements are substantially the same as the terms set forth in the forms of such agreements filed as exhibits to the Registration Statement and as described therein.</w:t>
      </w:r>
    </w:p>
    <w:p>
      <w:pPr>
        <w:spacing w:after="0" w:line="187" w:lineRule="exact"/>
        <w:rPr>
          <w:sz w:val="20"/>
          <w:szCs w:val="20"/>
          <w:color w:val="auto"/>
        </w:rPr>
      </w:pPr>
    </w:p>
    <w:p>
      <w:pPr>
        <w:jc w:val="both"/>
        <w:ind w:right="500" w:firstLine="648"/>
        <w:spacing w:after="0" w:line="264" w:lineRule="auto"/>
        <w:rPr>
          <w:sz w:val="20"/>
          <w:szCs w:val="20"/>
          <w:color w:val="auto"/>
        </w:rPr>
      </w:pPr>
      <w:r>
        <w:rPr>
          <w:rFonts w:ascii="Arial" w:cs="Arial" w:eastAsia="Arial" w:hAnsi="Arial"/>
          <w:sz w:val="18"/>
          <w:szCs w:val="18"/>
          <w:color w:val="auto"/>
        </w:rPr>
        <w:t>Affiliates of the Refinitiv Owners and the Bank Holders have various relationships with the Company. For further information, see the section entitled “Certain Relationships and Related Party Transactions” in the Company’s prospectus, dated April 3, 2019, filed pursuant to Rule 424(b)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disclosure required by this item is included in Item 1.01 above and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connection with the IPO, the Company completed a series of organizational transactions (the “Reorganization Transactions”), pursuant to which, among other things, the Company issued an aggregate of 96,933,192 shares of the Company’s Class B common stock, par value $0.00001 per share (the “Class B Common Stock”), to Refinitiv Parent Limited. In addition, in connection with the Reorganization Transactions, the Company issued 20,000,000 shares of the Company’s Class C common stock, par value $0.00001 per share (the “Class C Common Stock”), and 105,289,005 shares of the Company’s Class D common stock, par value $0.00001 per share (the “Class D Common Stock”), to existing equityholders of Tradeweb Markets LLC. These equityholders also received newly issued common membership units (“LLC Interests”) of Tradeweb Markets LLC and will receive an immaterial amount of cash in lieu of the issuance of any fractional interests. Holders of Class B Common Stock may from time to time exchange all or a portion of their shares of Class B Common Stock for newly issued shares of Class A Common Stock on a one-for-one basis. In addition, the LLC Interests are redeemable for newly issued shares of Class A Common Stock or Class B Common Stock on a one-for-one basis. For further information, see “Description of Capital Stock” in the Company's prospectus, dated April 3, 2019, filed pursuant to Rule 424(b) of the Securities Act. The issuances of the Class B Common Stock, Class C Common Stock and Class D Common Stock described in this paragraph were made in reliance on Section 4(a)(2) of the Securities Act. The Company relied on this exemption from registration based in part on the nature of the transactions and the various representations made by the parties thereto.</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disclosure required by this item is included in Item 5.03 below and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April 3, 2019, following the effectiveness of the Registration Statement, the following became effective:</w:t>
      </w:r>
    </w:p>
    <w:p>
      <w:pPr>
        <w:spacing w:after="0" w:line="225" w:lineRule="exact"/>
        <w:rPr>
          <w:sz w:val="20"/>
          <w:szCs w:val="20"/>
          <w:color w:val="auto"/>
        </w:rPr>
      </w:pPr>
    </w:p>
    <w:p>
      <w:pPr>
        <w:ind w:left="900" w:right="6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Amended and Restated Certificate of Incorporation of the Company, dated April 3, 2019 (the “Certificate of Incorporation”), substantially in the form previously filed as Exhibit 3.1 to the Registration Statement; and</w:t>
      </w:r>
    </w:p>
    <w:p>
      <w:pPr>
        <w:spacing w:after="0" w:line="17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Amended and Restated Bylaws of the Company (the “Bylaws”), substantially in the form previously filed as Exhibit 3.2 to the Registration Statement.</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Certificate of Incorporation and the Bylaws are filed herewith as Exhibits 3.1 and 3.2, respectively. The terms of the Certificate of Incorporation and Bylaws are substantially the same as the terms set forth in the forms of such documents filed as exhibits to the Registration Statement and as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960" w:hanging="655"/>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240"/>
        <w:spacing w:after="0"/>
        <w:tabs>
          <w:tab w:leader="none" w:pos="5500" w:val="left"/>
        </w:tabs>
        <w:rPr>
          <w:sz w:val="20"/>
          <w:szCs w:val="20"/>
          <w:color w:val="auto"/>
        </w:rPr>
      </w:pPr>
      <w:r>
        <w:rPr>
          <w:rFonts w:ascii="Arial" w:cs="Arial" w:eastAsia="Arial" w:hAnsi="Arial"/>
          <w:sz w:val="17"/>
          <w:szCs w:val="17"/>
          <w:u w:val="single" w:color="auto"/>
          <w:color w:val="auto"/>
        </w:rPr>
        <w:t>Number</w:t>
      </w:r>
      <w:r>
        <w:rPr>
          <w:sz w:val="20"/>
          <w:szCs w:val="20"/>
          <w:color w:val="auto"/>
        </w:rPr>
        <w:tab/>
      </w:r>
      <w:r>
        <w:rPr>
          <w:rFonts w:ascii="Arial" w:cs="Arial" w:eastAsia="Arial" w:hAnsi="Arial"/>
          <w:sz w:val="17"/>
          <w:szCs w:val="17"/>
          <w:u w:val="single" w:color="auto"/>
          <w:color w:val="auto"/>
        </w:rPr>
        <w:t>Exhibit Description</w:t>
      </w:r>
    </w:p>
    <w:p>
      <w:pPr>
        <w:spacing w:after="0" w:line="33" w:lineRule="exact"/>
        <w:rPr>
          <w:sz w:val="20"/>
          <w:szCs w:val="20"/>
          <w:color w:val="auto"/>
        </w:rPr>
      </w:pPr>
    </w:p>
    <w:p>
      <w:pPr>
        <w:ind w:left="420"/>
        <w:spacing w:after="0"/>
        <w:tabs>
          <w:tab w:leader="none" w:pos="1140" w:val="left"/>
        </w:tabs>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3.1</w:t>
        </w:r>
      </w:hyperlink>
      <w:r>
        <w:rPr>
          <w:rFonts w:ascii="Arial" w:cs="Arial" w:eastAsia="Arial" w:hAnsi="Arial"/>
          <w:sz w:val="18"/>
          <w:szCs w:val="18"/>
          <w:u w:val="single" w:color="auto"/>
          <w:color w:val="0000EE"/>
        </w:rPr>
        <w:tab/>
      </w:r>
      <w:hyperlink w:anchor="page6">
        <w:r>
          <w:rPr>
            <w:rFonts w:ascii="Arial" w:cs="Arial" w:eastAsia="Arial" w:hAnsi="Arial"/>
            <w:sz w:val="16"/>
            <w:szCs w:val="16"/>
            <w:u w:val="single" w:color="auto"/>
            <w:color w:val="0000EE"/>
          </w:rPr>
          <w:t>Amended and Restated Certification of Incorporation of Tradeweb Markets Inc.</w:t>
        </w:r>
      </w:hyperlink>
    </w:p>
    <w:p>
      <w:pPr>
        <w:spacing w:after="0" w:line="239" w:lineRule="exact"/>
        <w:rPr>
          <w:sz w:val="20"/>
          <w:szCs w:val="20"/>
          <w:color w:val="auto"/>
        </w:rPr>
      </w:pPr>
    </w:p>
    <w:p>
      <w:pPr>
        <w:ind w:left="420"/>
        <w:spacing w:after="0"/>
        <w:tabs>
          <w:tab w:leader="none" w:pos="1140" w:val="left"/>
        </w:tabs>
        <w:rPr>
          <w:rFonts w:ascii="Arial" w:cs="Arial" w:eastAsia="Arial" w:hAnsi="Arial"/>
          <w:sz w:val="16"/>
          <w:szCs w:val="16"/>
          <w:u w:val="single" w:color="auto"/>
          <w:color w:val="0000EE"/>
        </w:rPr>
      </w:pPr>
      <w:hyperlink w:anchor="page32">
        <w:r>
          <w:rPr>
            <w:rFonts w:ascii="Arial" w:cs="Arial" w:eastAsia="Arial" w:hAnsi="Arial"/>
            <w:sz w:val="18"/>
            <w:szCs w:val="18"/>
            <w:u w:val="single" w:color="auto"/>
            <w:color w:val="0000EE"/>
          </w:rPr>
          <w:t>3.2</w:t>
        </w:r>
      </w:hyperlink>
      <w:r>
        <w:rPr>
          <w:rFonts w:ascii="Arial" w:cs="Arial" w:eastAsia="Arial" w:hAnsi="Arial"/>
          <w:sz w:val="18"/>
          <w:szCs w:val="18"/>
          <w:u w:val="single" w:color="auto"/>
          <w:color w:val="0000EE"/>
        </w:rPr>
        <w:tab/>
      </w:r>
      <w:hyperlink w:anchor="page32">
        <w:r>
          <w:rPr>
            <w:rFonts w:ascii="Arial" w:cs="Arial" w:eastAsia="Arial" w:hAnsi="Arial"/>
            <w:sz w:val="16"/>
            <w:szCs w:val="16"/>
            <w:u w:val="single" w:color="auto"/>
            <w:color w:val="0000EE"/>
          </w:rPr>
          <w:t>Amended and Restated Bylaws of Tradeweb Markets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60" w:type="dxa"/>
            <w:vAlign w:val="bottom"/>
            <w:gridSpan w:val="2"/>
          </w:tcPr>
          <w:p>
            <w:pPr>
              <w:ind w:left="2160"/>
              <w:spacing w:after="0"/>
              <w:rPr>
                <w:sz w:val="20"/>
                <w:szCs w:val="20"/>
                <w:color w:val="auto"/>
              </w:rPr>
            </w:pPr>
            <w:r>
              <w:rPr>
                <w:rFonts w:ascii="Arial" w:cs="Arial" w:eastAsia="Arial" w:hAnsi="Arial"/>
                <w:sz w:val="18"/>
                <w:szCs w:val="18"/>
                <w:color w:val="auto"/>
              </w:rPr>
              <w:t>TRADEWEB MARKETS INC.</w:t>
            </w:r>
          </w:p>
        </w:tc>
        <w:tc>
          <w:tcPr>
            <w:tcW w:w="1700" w:type="dxa"/>
            <w:vAlign w:val="bottom"/>
          </w:tcPr>
          <w:p>
            <w:pPr>
              <w:spacing w:after="0"/>
              <w:rPr>
                <w:sz w:val="20"/>
                <w:szCs w:val="20"/>
                <w:color w:val="auto"/>
              </w:rPr>
            </w:pP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April 9, 2019</w:t>
            </w:r>
          </w:p>
        </w:tc>
        <w:tc>
          <w:tcPr>
            <w:tcW w:w="6160" w:type="dxa"/>
            <w:vAlign w:val="bottom"/>
            <w:gridSpan w:val="2"/>
          </w:tcPr>
          <w:p>
            <w:pPr>
              <w:ind w:left="2160"/>
              <w:spacing w:after="0"/>
              <w:rPr>
                <w:sz w:val="20"/>
                <w:szCs w:val="20"/>
                <w:color w:val="auto"/>
              </w:rPr>
            </w:pPr>
            <w:r>
              <w:rPr>
                <w:rFonts w:ascii="Arial" w:cs="Arial" w:eastAsia="Arial" w:hAnsi="Arial"/>
                <w:sz w:val="18"/>
                <w:szCs w:val="18"/>
                <w:color w:val="auto"/>
              </w:rPr>
              <w:t>By: /s/ Douglas Friedman</w:t>
            </w:r>
          </w:p>
        </w:tc>
        <w:tc>
          <w:tcPr>
            <w:tcW w:w="170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Friedman</w:t>
            </w:r>
          </w:p>
        </w:tc>
        <w:tc>
          <w:tcPr>
            <w:tcW w:w="170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Title:  General Counsel</w:t>
            </w:r>
          </w:p>
        </w:tc>
        <w:tc>
          <w:tcPr>
            <w:tcW w:w="1700" w:type="dxa"/>
            <w:vAlign w:val="bottom"/>
          </w:tcPr>
          <w:p>
            <w:pPr>
              <w:spacing w:after="0"/>
              <w:rPr>
                <w:sz w:val="20"/>
                <w:szCs w:val="20"/>
                <w:color w:val="auto"/>
              </w:rPr>
            </w:pPr>
          </w:p>
        </w:tc>
      </w:tr>
      <w:tr>
        <w:trPr>
          <w:trHeight w:val="675"/>
        </w:trPr>
        <w:tc>
          <w:tcPr>
            <w:tcW w:w="35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present name of the corporation is Tradeweb Markets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The Corporation was incorporated under the name “Tradeweb Markets Inc.” by the filing of its original certificate of incorporation (the “</w:t>
      </w:r>
      <w:r>
        <w:rPr>
          <w:rFonts w:ascii="Arial" w:cs="Arial" w:eastAsia="Arial" w:hAnsi="Arial"/>
          <w:sz w:val="16"/>
          <w:szCs w:val="16"/>
          <w:u w:val="single" w:color="auto"/>
          <w:color w:val="auto"/>
        </w:rPr>
        <w:t>Original Certificate of Incorporation</w:t>
      </w:r>
      <w:r>
        <w:rPr>
          <w:rFonts w:ascii="Arial" w:cs="Arial" w:eastAsia="Arial" w:hAnsi="Arial"/>
          <w:sz w:val="16"/>
          <w:szCs w:val="16"/>
          <w:color w:val="auto"/>
        </w:rPr>
        <w:t>”) with the Secretary of State of the State of Delaware on November 7, 2018. This Amended and Restated Certificate of Incorporation of the Corporation, which amends, restates and integrates the provisions of the Original Certificate of Incorporation, was duly adopted in accordance with the provisions of Sections 242 and 245 of the General Corporation Law of the State of Delaware and by the written consent of the stockholders in accordance with Section 228 of the General Corporation Law of the State of Delaware. The Original Certificate of Incorporation of the Corporation is hereby amended and restated to read in its entirety as follows: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Name</w:t>
      </w:r>
      <w:r>
        <w:rPr>
          <w:rFonts w:ascii="Arial" w:cs="Arial" w:eastAsia="Arial" w:hAnsi="Arial"/>
          <w:sz w:val="16"/>
          <w:szCs w:val="16"/>
          <w:color w:val="auto"/>
        </w:rPr>
        <w:t>. The name of the Corporation is Tradeweb Markets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Address</w:t>
      </w:r>
      <w:r>
        <w:rPr>
          <w:rFonts w:ascii="Arial" w:cs="Arial" w:eastAsia="Arial" w:hAnsi="Arial"/>
          <w:sz w:val="18"/>
          <w:szCs w:val="18"/>
          <w:color w:val="auto"/>
        </w:rPr>
        <w:t>. The address of the Corporation’s registered office in the State of Delaware is 251 Little Falls Drive, in the City of Wilmington, County of New Castle, Delaware 19808. The name of its registered agent at such address is Corporation Service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Corporation is to engage in any lawful act or activity for which corporations may now or hereafter be organized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Capitalization</w:t>
      </w:r>
      <w:r>
        <w:rPr>
          <w:rFonts w:ascii="Arial" w:cs="Arial" w:eastAsia="Arial" w:hAnsi="Arial"/>
          <w:sz w:val="16"/>
          <w:szCs w:val="16"/>
          <w:color w:val="auto"/>
        </w:rPr>
        <w:t>. The total number of shares of all classes of stock that the Corporation shall have authority to issue is 2,350,000,000 shares, consisting of: (i) 250,000,000 shares of preferred stock, with the par value of $0.00001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and (ii) 2,100,000,000 shares of common stock, divided into (a) 1,000,000,000 shares of Class A common stock, with the par value of $0.00001 per share (the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w:t>
      </w:r>
    </w:p>
    <w:p>
      <w:pPr>
        <w:jc w:val="both"/>
        <w:ind w:firstLine="8"/>
        <w:spacing w:after="0" w:line="253"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450,000,000 shares of Class B common stock, with the par value of $0.00001 per share (the “</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and, together with Class A Common Stock, the “</w:t>
      </w:r>
      <w:r>
        <w:rPr>
          <w:rFonts w:ascii="Arial" w:cs="Arial" w:eastAsia="Arial" w:hAnsi="Arial"/>
          <w:sz w:val="18"/>
          <w:szCs w:val="18"/>
          <w:u w:val="single" w:color="auto"/>
          <w:color w:val="auto"/>
        </w:rPr>
        <w:t>Economic Common Stock</w:t>
      </w:r>
      <w:r>
        <w:rPr>
          <w:rFonts w:ascii="Arial" w:cs="Arial" w:eastAsia="Arial" w:hAnsi="Arial"/>
          <w:sz w:val="18"/>
          <w:szCs w:val="18"/>
          <w:color w:val="auto"/>
        </w:rPr>
        <w:t>”), (c) 350,000,000 shares of Class C common stock, with the par value of $0.00001 per share (the “</w:t>
      </w:r>
      <w:r>
        <w:rPr>
          <w:rFonts w:ascii="Arial" w:cs="Arial" w:eastAsia="Arial" w:hAnsi="Arial"/>
          <w:sz w:val="18"/>
          <w:szCs w:val="18"/>
          <w:u w:val="single" w:color="auto"/>
          <w:color w:val="auto"/>
        </w:rPr>
        <w:t>Class C</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Common Stock</w:t>
      </w:r>
      <w:r>
        <w:rPr>
          <w:rFonts w:ascii="Arial" w:cs="Arial" w:eastAsia="Arial" w:hAnsi="Arial"/>
          <w:sz w:val="18"/>
          <w:szCs w:val="18"/>
          <w:color w:val="auto"/>
        </w:rPr>
        <w:t>”), and (d) 300,000,000 shares of Class D common stock, with the par value of $0.00001 per share (the “</w:t>
      </w:r>
      <w:r>
        <w:rPr>
          <w:rFonts w:ascii="Arial" w:cs="Arial" w:eastAsia="Arial" w:hAnsi="Arial"/>
          <w:sz w:val="18"/>
          <w:szCs w:val="18"/>
          <w:u w:val="single" w:color="auto"/>
          <w:color w:val="auto"/>
        </w:rPr>
        <w:t>Class D Common Stock</w:t>
      </w:r>
      <w:r>
        <w:rPr>
          <w:rFonts w:ascii="Arial" w:cs="Arial" w:eastAsia="Arial" w:hAnsi="Arial"/>
          <w:sz w:val="18"/>
          <w:szCs w:val="18"/>
          <w:color w:val="auto"/>
        </w:rPr>
        <w:t>” and, together with the Class C Common Stock, the “</w:t>
      </w:r>
      <w:r>
        <w:rPr>
          <w:rFonts w:ascii="Arial" w:cs="Arial" w:eastAsia="Arial" w:hAnsi="Arial"/>
          <w:sz w:val="18"/>
          <w:szCs w:val="18"/>
          <w:u w:val="single" w:color="auto"/>
          <w:color w:val="auto"/>
        </w:rPr>
        <w:t>Non-Economic Common Stock</w:t>
      </w:r>
      <w:r>
        <w:rPr>
          <w:rFonts w:ascii="Arial" w:cs="Arial" w:eastAsia="Arial" w:hAnsi="Arial"/>
          <w:sz w:val="18"/>
          <w:szCs w:val="18"/>
          <w:color w:val="auto"/>
        </w:rPr>
        <w:t>” and collectively with the Class A Common Stock, the Class B Common Stock and the Class C Common Stock,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both"/>
        <w:ind w:firstLine="648"/>
        <w:spacing w:after="0" w:line="273" w:lineRule="auto"/>
        <w:rPr>
          <w:sz w:val="20"/>
          <w:szCs w:val="20"/>
          <w:color w:val="auto"/>
        </w:rPr>
      </w:pPr>
      <w:r>
        <w:rPr>
          <w:rFonts w:ascii="Arial" w:cs="Arial" w:eastAsia="Arial" w:hAnsi="Arial"/>
          <w:sz w:val="17"/>
          <w:szCs w:val="17"/>
          <w:color w:val="auto"/>
        </w:rPr>
        <w:t>Section 4.2 Subject to the rights of the holders of any one or more series of Preferred Stock then outstanding, the number of authorized shares of any class of the Common Stock or the Preferred Stock may be increased or decreased, in each case by the affirmative vote of the holders of a majority of the total voting power of the outstanding shares of capital stock of the Corporation entitled to vote thereon, voting together as a single class, irrespective of the provisions of Section 242(b)(2) of the DGCL (or any successor provision thereto), and no vote of the holders of any class of the Common Stock or the Preferred Stock voting separately as a class will be required therefor. Notwithstanding the immediately preceding sentence, the number of authorized shares of any particular class may not be decreased below the number of shares of such class then outstanding, plus:</w:t>
      </w:r>
    </w:p>
    <w:p>
      <w:pPr>
        <w:spacing w:after="0" w:line="178" w:lineRule="exact"/>
        <w:rPr>
          <w:sz w:val="20"/>
          <w:szCs w:val="20"/>
          <w:color w:val="auto"/>
        </w:rPr>
      </w:pPr>
    </w:p>
    <w:p>
      <w:pPr>
        <w:jc w:val="both"/>
        <w:ind w:left="660" w:firstLine="1293"/>
        <w:spacing w:after="0" w:line="302" w:lineRule="auto"/>
        <w:tabs>
          <w:tab w:leader="none" w:pos="2581"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case of Class A Common Stock, the number of shares of Class A Common Stock issuable in connection with (x) the voluntary exchange or automatic conversion of all outstanding shares of Class B Common Stock, (y) the redemption (or alternatively, exchange), pursuant to Article XI of the LLC Agreement, of all Common Units included in all outstanding Class C Paired Interests and Class D Paired Interests, and (z) the exercise of outstanding options, warrants, exchange rights, conversion rights or similar rights for Class A Common Stock;</w:t>
      </w:r>
    </w:p>
    <w:p>
      <w:pPr>
        <w:spacing w:after="0" w:line="154" w:lineRule="exact"/>
        <w:rPr>
          <w:rFonts w:ascii="Arial" w:cs="Arial" w:eastAsia="Arial" w:hAnsi="Arial"/>
          <w:sz w:val="16"/>
          <w:szCs w:val="16"/>
          <w:color w:val="auto"/>
        </w:rPr>
      </w:pPr>
    </w:p>
    <w:p>
      <w:pPr>
        <w:jc w:val="both"/>
        <w:ind w:left="660" w:right="20" w:firstLine="1293"/>
        <w:spacing w:after="0" w:line="264" w:lineRule="auto"/>
        <w:tabs>
          <w:tab w:leader="none" w:pos="2663"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case of Class B Common Stock, the number of shares of Class B Common Stock issuable in connection with the redemption (or alternatively, exchange), pursuant to Article XI of the LLC Agreement, of all Common Units included in all outstanding Class D Paired Interests; and</w:t>
      </w:r>
    </w:p>
    <w:p>
      <w:pPr>
        <w:spacing w:after="0" w:line="181" w:lineRule="exact"/>
        <w:rPr>
          <w:rFonts w:ascii="Arial" w:cs="Arial" w:eastAsia="Arial" w:hAnsi="Arial"/>
          <w:sz w:val="18"/>
          <w:szCs w:val="18"/>
          <w:color w:val="auto"/>
        </w:rPr>
      </w:pPr>
    </w:p>
    <w:p>
      <w:pPr>
        <w:ind w:left="660" w:firstLine="1293"/>
        <w:spacing w:after="0" w:line="277" w:lineRule="auto"/>
        <w:tabs>
          <w:tab w:leader="none" w:pos="266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case of Class C Common Stock, the number of shares of Class C Common Stock issuable in connection with the voluntary exchange or automatic conversion of all outstanding shares of Class D Common Stock.</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Preferred Stock</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2" w:lineRule="auto"/>
        <w:tabs>
          <w:tab w:leader="none" w:pos="198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Board of Directors of the Corporation (the “</w:t>
      </w:r>
      <w:r>
        <w:rPr>
          <w:rFonts w:ascii="Arial" w:cs="Arial" w:eastAsia="Arial" w:hAnsi="Arial"/>
          <w:sz w:val="17"/>
          <w:szCs w:val="17"/>
          <w:u w:val="single" w:color="auto"/>
          <w:color w:val="auto"/>
        </w:rPr>
        <w:t>Board</w:t>
      </w:r>
      <w:r>
        <w:rPr>
          <w:rFonts w:ascii="Arial" w:cs="Arial" w:eastAsia="Arial" w:hAnsi="Arial"/>
          <w:sz w:val="17"/>
          <w:szCs w:val="17"/>
          <w:color w:val="auto"/>
        </w:rPr>
        <w:t>”) is hereby expressly authorized, by resolution or resolutions, at any time and from time to time, to provide, out of the unissued shares of Preferred Stock, for one or more series of Preferred Stock and, with respect to each such series, to fix the number of shares constituting such series and the designation of such series, the voting powers (if any)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177" w:lineRule="exact"/>
        <w:rPr>
          <w:rFonts w:ascii="Arial" w:cs="Arial" w:eastAsia="Arial" w:hAnsi="Arial"/>
          <w:sz w:val="17"/>
          <w:szCs w:val="17"/>
          <w:color w:val="auto"/>
        </w:rPr>
      </w:pPr>
    </w:p>
    <w:p>
      <w:pPr>
        <w:jc w:val="both"/>
        <w:ind w:firstLine="1305"/>
        <w:spacing w:after="0" w:line="264" w:lineRule="auto"/>
        <w:tabs>
          <w:tab w:leader="none" w:pos="1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otherwise required by law, holders of a series of Preferred Stock, as such, shall be entitled only to such voting rights, if any, as shall expressly be granted thereto by this Amended and Restated Certificate of Incorporation (including any certificate of designation relating to such series of Preferred Stock).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left="660"/>
        <w:spacing w:after="0"/>
        <w:tabs>
          <w:tab w:leader="none" w:pos="190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225" w:lineRule="exact"/>
        <w:rPr>
          <w:sz w:val="20"/>
          <w:szCs w:val="20"/>
          <w:color w:val="auto"/>
        </w:rPr>
      </w:pPr>
    </w:p>
    <w:p>
      <w:pPr>
        <w:ind w:left="1920" w:hanging="615"/>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79" w:lineRule="auto"/>
        <w:tabs>
          <w:tab w:leader="none" w:pos="2605" w:val="left"/>
        </w:tabs>
        <w:numPr>
          <w:ilvl w:val="1"/>
          <w:numId w:val="8"/>
        </w:numPr>
        <w:rPr>
          <w:rFonts w:ascii="Arial" w:cs="Arial" w:eastAsia="Arial" w:hAnsi="Arial"/>
          <w:sz w:val="17"/>
          <w:szCs w:val="17"/>
          <w:color w:val="auto"/>
        </w:rPr>
      </w:pPr>
      <w:r>
        <w:rPr>
          <w:rFonts w:ascii="Arial" w:cs="Arial" w:eastAsia="Arial" w:hAnsi="Arial"/>
          <w:sz w:val="17"/>
          <w:szCs w:val="17"/>
          <w:color w:val="auto"/>
        </w:rPr>
        <w:t>Each holder of Class A Common Stock or Class C Common Stock, as such, will be entitled to one vote for each share of Class A Common Stock or Class C Common Stock held of record by such holder on all matters on which stockholders generally are entitled to vote, and each holder of Class B Common Stock or Class D Common Stock, as such, will be entitled to ten votes for each share of Class B Common Stock or Class D Common Stock held of record by such holder on all matters on which stockholders generally are entitled to vote.</w:t>
      </w:r>
    </w:p>
    <w:p>
      <w:pPr>
        <w:spacing w:after="0" w:line="171" w:lineRule="exact"/>
        <w:rPr>
          <w:rFonts w:ascii="Arial" w:cs="Arial" w:eastAsia="Arial" w:hAnsi="Arial"/>
          <w:sz w:val="17"/>
          <w:szCs w:val="17"/>
          <w:color w:val="auto"/>
        </w:rPr>
      </w:pPr>
    </w:p>
    <w:p>
      <w:pPr>
        <w:jc w:val="both"/>
        <w:ind w:firstLine="1953"/>
        <w:spacing w:after="0" w:line="287" w:lineRule="auto"/>
        <w:tabs>
          <w:tab w:leader="none" w:pos="2665" w:val="left"/>
        </w:tabs>
        <w:numPr>
          <w:ilvl w:val="1"/>
          <w:numId w:val="8"/>
        </w:numPr>
        <w:rPr>
          <w:rFonts w:ascii="Arial" w:cs="Arial" w:eastAsia="Arial" w:hAnsi="Arial"/>
          <w:sz w:val="16"/>
          <w:szCs w:val="16"/>
          <w:color w:val="auto"/>
        </w:rPr>
      </w:pPr>
      <w:r>
        <w:rPr>
          <w:rFonts w:ascii="Arial" w:cs="Arial" w:eastAsia="Arial" w:hAnsi="Arial"/>
          <w:sz w:val="16"/>
          <w:szCs w:val="16"/>
          <w:color w:val="auto"/>
        </w:rPr>
        <w:t xml:space="preserve">The holders of (a) the outstanding shares of Class A Common Stock and Class C Common Stock, voting together as a single class, shall be entitled to vote separately upon any amendment to this Amended and Restated Certificate of Incorporation (including by merger, consolidation, reorganization or similar event) that would alter or change the powers, preferences, or special rights of such classes of Common Stock in a manner that is disproportionately adverse as compared to the Class B Common Stock or Class D Common Stock and (b) the outstanding shares of Class B Common Stock and Class D Common Stock, voting together as a single class, shall be entitled to vote separately upon any amendment to this Amended and Restated Certificate of Incorporation (including by merger, consolidation, reorganization or similar event) that would alter or change the powers, preferences, or special rights of such classes of Common Stock in a manner that is disproportionately adverse as compared to the Class A Common Stock or Class C Common Stock, it being understood that any merger, consolidation or other business combination shall not be deemed an amendment hereof if such merger, consolidation or other business combination (x) constitutes a Disposition Event in which holders of Paired Interests are required to exchange such Paired Interests pursuant to Section 10.07 of the LLC Agreement in such Disposition Event and receive consideration in such Disposition Event in accordance with the terms of the LLC Agreement as in effect prior to such Disposition Event or (y) would be permitted by </w:t>
      </w:r>
      <w:r>
        <w:rPr>
          <w:rFonts w:ascii="Arial" w:cs="Arial" w:eastAsia="Arial" w:hAnsi="Arial"/>
          <w:sz w:val="16"/>
          <w:szCs w:val="16"/>
          <w:u w:val="single" w:color="auto"/>
          <w:color w:val="auto"/>
        </w:rPr>
        <w:t>Section 4.4(iv)</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jc w:val="both"/>
        <w:ind w:firstLine="1953"/>
        <w:spacing w:after="0" w:line="290" w:lineRule="auto"/>
        <w:tabs>
          <w:tab w:leader="none" w:pos="2650" w:val="left"/>
        </w:tabs>
        <w:numPr>
          <w:ilvl w:val="1"/>
          <w:numId w:val="8"/>
        </w:numPr>
        <w:rPr>
          <w:rFonts w:ascii="Arial" w:cs="Arial" w:eastAsia="Arial" w:hAnsi="Arial"/>
          <w:sz w:val="16"/>
          <w:szCs w:val="16"/>
          <w:color w:val="auto"/>
        </w:rPr>
      </w:pPr>
      <w:r>
        <w:rPr>
          <w:rFonts w:ascii="Arial" w:cs="Arial" w:eastAsia="Arial" w:hAnsi="Arial"/>
          <w:sz w:val="16"/>
          <w:szCs w:val="16"/>
          <w:color w:val="auto"/>
        </w:rPr>
        <w:t>Notwithstanding the foregoing, to the fullest extent permitted by law, holders of Common Stock, as such, shall have no voting power with respect to, and shall not be entitled to vote on, any amendment to this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Amended and Restated Certificate of Incorporation (including any certificate of designation relating to any series of Preferred Stock) or pursuant to the DGCL. Except as otherwise provided in this Amended and Restated Certificate of Incorporation or required by applicable law, the holders of Common Stock shall vote together as a single class (or, if the holders of one or more series of Preferred Stock are entitled to vote together with the holders of Common Stock, as a single class with the holders of such other series of Preferred Stock) on all matters submitted to a vote of the stockholders generally.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left="1920" w:hanging="615"/>
        <w:spacing w:after="0"/>
        <w:tabs>
          <w:tab w:leader="none" w:pos="19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Dividends; Stock Splits or Combinations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57" w:lineRule="auto"/>
        <w:tabs>
          <w:tab w:leader="none" w:pos="2599" w:val="left"/>
        </w:tabs>
        <w:numPr>
          <w:ilvl w:val="1"/>
          <w:numId w:val="9"/>
        </w:numPr>
        <w:rPr>
          <w:rFonts w:ascii="Arial" w:cs="Arial" w:eastAsia="Arial" w:hAnsi="Arial"/>
          <w:sz w:val="18"/>
          <w:szCs w:val="18"/>
          <w:color w:val="auto"/>
        </w:rPr>
      </w:pPr>
      <w:r>
        <w:rPr>
          <w:rFonts w:ascii="Arial" w:cs="Arial" w:eastAsia="Arial" w:hAnsi="Arial"/>
          <w:sz w:val="18"/>
          <w:szCs w:val="18"/>
          <w:color w:val="auto"/>
        </w:rPr>
        <w:t>Subject to applicable law and the rights, if any, of the holders of any outstanding series of Preferred Stock or any class or series of stock having a preference senior to or the right to participate with the Economic Common Stock with respect to the payment of dividends and other distributions in cash, property or shares of capital stock of the Corporation, dividends and other distributions may be declared and paid on the Economic Common Stock out of the assets of the Corporation that are by law available therefor, at the times and in the amounts as the Board in its discretion may determine.</w:t>
      </w:r>
    </w:p>
    <w:p>
      <w:pPr>
        <w:spacing w:after="0" w:line="188" w:lineRule="exact"/>
        <w:rPr>
          <w:rFonts w:ascii="Arial" w:cs="Arial" w:eastAsia="Arial" w:hAnsi="Arial"/>
          <w:sz w:val="18"/>
          <w:szCs w:val="18"/>
          <w:color w:val="auto"/>
        </w:rPr>
      </w:pPr>
    </w:p>
    <w:p>
      <w:pPr>
        <w:jc w:val="both"/>
        <w:ind w:firstLine="1953"/>
        <w:spacing w:after="0" w:line="272" w:lineRule="auto"/>
        <w:tabs>
          <w:tab w:leader="none" w:pos="2631" w:val="left"/>
        </w:tabs>
        <w:numPr>
          <w:ilvl w:val="1"/>
          <w:numId w:val="9"/>
        </w:numPr>
        <w:rPr>
          <w:rFonts w:ascii="Arial" w:cs="Arial" w:eastAsia="Arial" w:hAnsi="Arial"/>
          <w:sz w:val="17"/>
          <w:szCs w:val="17"/>
          <w:color w:val="auto"/>
        </w:rPr>
      </w:pPr>
      <w:r>
        <w:rPr>
          <w:rFonts w:ascii="Arial" w:cs="Arial" w:eastAsia="Arial" w:hAnsi="Arial"/>
          <w:sz w:val="17"/>
          <w:szCs w:val="17"/>
          <w:color w:val="auto"/>
        </w:rPr>
        <w:t>Dividends or distributions of cash, property or shares of capital stock of the Corporation may not be declared or paid on the Class A Common Stock unless a dividend or distribution of the same amount and same type of cash, property or shares of capital stock of the Corporation (or combination thereof) is concurrently declared or paid on the Class B Common Stock; provided, however, the dividends of Class A Common Stock of the Corporation may only be paid to holders of Class A Common Stock. Dividends or distributions of cash, property or shares of capital stock of the Corporation may not be declared or paid on the Class B Common Stock unless a dividend or distribution of the same amount and same type of cash, property or shares of capital stock of the Corporation (or combination thereof) is concurrently declared or paid on the Class A Common Stock; provided, however, the dividends of Class B Common Stock of the Corporation may only be paid to holders of Class B Common Stock.</w:t>
      </w:r>
    </w:p>
    <w:p>
      <w:pPr>
        <w:spacing w:after="0" w:line="177" w:lineRule="exact"/>
        <w:rPr>
          <w:rFonts w:ascii="Arial" w:cs="Arial" w:eastAsia="Arial" w:hAnsi="Arial"/>
          <w:sz w:val="17"/>
          <w:szCs w:val="17"/>
          <w:color w:val="auto"/>
        </w:rPr>
      </w:pPr>
    </w:p>
    <w:p>
      <w:pPr>
        <w:ind w:firstLine="1953"/>
        <w:spacing w:after="0" w:line="277" w:lineRule="auto"/>
        <w:tabs>
          <w:tab w:leader="none" w:pos="2672"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4.4(ii)(4)</w:t>
      </w:r>
      <w:r>
        <w:rPr>
          <w:rFonts w:ascii="Arial" w:cs="Arial" w:eastAsia="Arial" w:hAnsi="Arial"/>
          <w:sz w:val="18"/>
          <w:szCs w:val="18"/>
          <w:color w:val="auto"/>
        </w:rPr>
        <w:t xml:space="preserve"> with respect to stock dividends, dividends or distributions of cash, property or shares of capital stock of the Corporation may not be declared or paid on the Non-Economic Common Stock.</w:t>
      </w:r>
    </w:p>
    <w:p>
      <w:pPr>
        <w:spacing w:after="0" w:line="170" w:lineRule="exact"/>
        <w:rPr>
          <w:rFonts w:ascii="Arial" w:cs="Arial" w:eastAsia="Arial" w:hAnsi="Arial"/>
          <w:sz w:val="18"/>
          <w:szCs w:val="18"/>
          <w:color w:val="auto"/>
        </w:rPr>
      </w:pPr>
    </w:p>
    <w:p>
      <w:pPr>
        <w:jc w:val="both"/>
        <w:ind w:firstLine="1953"/>
        <w:spacing w:after="0" w:line="255" w:lineRule="auto"/>
        <w:tabs>
          <w:tab w:leader="none" w:pos="2652"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no event will any subdivision (by stock split, subdivision, exchange, stock dividend, reclassification or otherwise) or combination (by reverse stock split, exchange, reclassification or otherwise) or similar reclassification be declared or made on any class of Common Stock (each, a “</w:t>
      </w:r>
      <w:r>
        <w:rPr>
          <w:rFonts w:ascii="Arial" w:cs="Arial" w:eastAsia="Arial" w:hAnsi="Arial"/>
          <w:sz w:val="18"/>
          <w:szCs w:val="18"/>
          <w:u w:val="single" w:color="auto"/>
          <w:color w:val="auto"/>
        </w:rPr>
        <w:t>Stock Adjustment</w:t>
      </w:r>
      <w:r>
        <w:rPr>
          <w:rFonts w:ascii="Arial" w:cs="Arial" w:eastAsia="Arial" w:hAnsi="Arial"/>
          <w:sz w:val="18"/>
          <w:szCs w:val="18"/>
          <w:color w:val="auto"/>
        </w:rPr>
        <w:t xml:space="preserve">”) unless (a) a corresponding Stock Adjustment for all other classes of Common Stock not so adjusted at the time outstanding is made in the same proportion and the same manner and (b) the Stock Adjustment has been reflected in the same economically equivalent manner on all Common Units and in each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with corresponding changes made with respect to any other exchangeable or convertible securities. Subject to </w:t>
      </w:r>
      <w:r>
        <w:rPr>
          <w:rFonts w:ascii="Arial" w:cs="Arial" w:eastAsia="Arial" w:hAnsi="Arial"/>
          <w:sz w:val="18"/>
          <w:szCs w:val="18"/>
          <w:u w:val="single" w:color="auto"/>
          <w:color w:val="auto"/>
        </w:rPr>
        <w:t>Section 4.4(ii)(2)</w:t>
      </w:r>
      <w:r>
        <w:rPr>
          <w:rFonts w:ascii="Arial" w:cs="Arial" w:eastAsia="Arial" w:hAnsi="Arial"/>
          <w:sz w:val="18"/>
          <w:szCs w:val="18"/>
          <w:color w:val="auto"/>
        </w:rPr>
        <w:t xml:space="preserve"> above, stock dividends with respect to each class of Common Stock may only be paid with shares of stock of the same class of Common Stock.</w:t>
      </w:r>
    </w:p>
    <w:p>
      <w:pPr>
        <w:spacing w:after="0" w:line="189" w:lineRule="exact"/>
        <w:rPr>
          <w:rFonts w:ascii="Arial" w:cs="Arial" w:eastAsia="Arial" w:hAnsi="Arial"/>
          <w:sz w:val="18"/>
          <w:szCs w:val="18"/>
          <w:color w:val="auto"/>
        </w:rPr>
      </w:pPr>
    </w:p>
    <w:p>
      <w:pPr>
        <w:jc w:val="both"/>
        <w:ind w:firstLine="1953"/>
        <w:spacing w:after="0" w:line="259" w:lineRule="auto"/>
        <w:tabs>
          <w:tab w:leader="none" w:pos="2824" w:val="left"/>
        </w:tabs>
        <w:numPr>
          <w:ilvl w:val="1"/>
          <w:numId w:val="9"/>
        </w:numPr>
        <w:rPr>
          <w:rFonts w:ascii="Arial" w:cs="Arial" w:eastAsia="Arial" w:hAnsi="Arial"/>
          <w:sz w:val="18"/>
          <w:szCs w:val="18"/>
          <w:color w:val="auto"/>
        </w:rPr>
      </w:pPr>
      <w:r>
        <w:rPr>
          <w:rFonts w:ascii="Arial" w:cs="Arial" w:eastAsia="Arial" w:hAnsi="Arial"/>
          <w:sz w:val="18"/>
          <w:szCs w:val="18"/>
          <w:color w:val="auto"/>
        </w:rPr>
        <w:t>Notwithstanding anything to the contrary herein, if a dividend in the form of capital stock of a subsidiary of the Corporation is declared or paid on the Class A Common Stock and the Class B Common Stock, the relative per share voting rights of the capital stock of such subsidiary so distributed in respect of the Class A Common Stock and the Class B Common Stock shall be in the same proportion as the relative voting rights of a share of Class A Common Stock and a share of Class B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ind w:firstLine="1305"/>
        <w:spacing w:after="0" w:line="270" w:lineRule="auto"/>
        <w:tabs>
          <w:tab w:leader="none" w:pos="1998"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Liquidation, Dissolution or Winding Up</w:t>
      </w:r>
      <w:r>
        <w:rPr>
          <w:rFonts w:ascii="Arial" w:cs="Arial" w:eastAsia="Arial" w:hAnsi="Arial"/>
          <w:sz w:val="17"/>
          <w:szCs w:val="17"/>
          <w:color w:val="auto"/>
        </w:rPr>
        <w:t xml:space="preserve">. In the event of any voluntary or involuntary liquidation, dissolution or winding up of the affairs of the Corporation, after payment or provision for payment of the debts and other liabilities of the Corporation and of the preferential and other amounts, if any, to which the holders of Preferred Stock are entitled, if any, the holders of all outstanding shares of Common Stock will be entitled to receive, </w:t>
      </w:r>
      <w:r>
        <w:rPr>
          <w:rFonts w:ascii="Arial" w:cs="Arial" w:eastAsia="Arial" w:hAnsi="Arial"/>
          <w:sz w:val="17"/>
          <w:szCs w:val="17"/>
          <w:i w:val="1"/>
          <w:iCs w:val="1"/>
          <w:color w:val="auto"/>
        </w:rPr>
        <w:t>pari passu</w:t>
      </w:r>
      <w:r>
        <w:rPr>
          <w:rFonts w:ascii="Arial" w:cs="Arial" w:eastAsia="Arial" w:hAnsi="Arial"/>
          <w:sz w:val="17"/>
          <w:szCs w:val="17"/>
          <w:color w:val="auto"/>
        </w:rPr>
        <w:t>, an amount per share equal to the par value thereof, and thereafter the holders of all outstanding shares of Economic Common Stock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receive the remaining assets of the Corporation available for distribution ratably in proportion to the number of shares of Economic Common Stock held by each such holder. Without limiting the rights of the holders of Non-Economic Common Stock to have their Common Units redeemed (or alternatively, exchanged) for shares of Economic Common Stock in accordance with Article XI of the LLC Agreement (or for the consideration payable in respect of shares of Economic Common Stock in such voluntary or involuntary liquidation, dissolution or winding up), the holders of shares of Non-Economic Common Stock, as such, will not be entitled to receive, with respect to such shares, any assets of the Corporation in excess of the par value thereof, in the event of any voluntary or involuntary liquidation, dissolution or winding up of the affairs of the Corporation.</w:t>
      </w:r>
    </w:p>
    <w:p>
      <w:pPr>
        <w:spacing w:after="0" w:line="177" w:lineRule="exact"/>
        <w:rPr>
          <w:rFonts w:ascii="Arial" w:cs="Arial" w:eastAsia="Arial" w:hAnsi="Arial"/>
          <w:sz w:val="17"/>
          <w:szCs w:val="17"/>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Merger, Consolidation, Tender or Exchange Offer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64" w:lineRule="auto"/>
        <w:tabs>
          <w:tab w:leader="none" w:pos="2641"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Except as expressly provided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 the Economic Common Stock shall have the same rights and privileges and rank equally, share ratably and be identical in all respects as to all matters, and the Non-Economic Common Stock shall have the same rights and privileges and rank equally, share ratably and be identical in all respects as to all matters.</w:t>
      </w:r>
    </w:p>
    <w:p>
      <w:pPr>
        <w:spacing w:after="0" w:line="181" w:lineRule="exact"/>
        <w:rPr>
          <w:rFonts w:ascii="Arial" w:cs="Arial" w:eastAsia="Arial" w:hAnsi="Arial"/>
          <w:sz w:val="18"/>
          <w:szCs w:val="18"/>
          <w:color w:val="auto"/>
        </w:rPr>
      </w:pPr>
    </w:p>
    <w:p>
      <w:pPr>
        <w:ind w:left="2560" w:hanging="607"/>
        <w:spacing w:after="0"/>
        <w:tabs>
          <w:tab w:leader="none" w:pos="2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4.4(iv)(1)</w:t>
      </w:r>
      <w:r>
        <w:rPr>
          <w:rFonts w:ascii="Arial" w:cs="Arial" w:eastAsia="Arial" w:hAnsi="Arial"/>
          <w:sz w:val="18"/>
          <w:szCs w:val="18"/>
          <w:color w:val="auto"/>
        </w:rPr>
        <w:t>:</w:t>
      </w:r>
    </w:p>
    <w:p>
      <w:pPr>
        <w:spacing w:after="0" w:line="225" w:lineRule="exact"/>
        <w:rPr>
          <w:sz w:val="20"/>
          <w:szCs w:val="20"/>
          <w:color w:val="auto"/>
        </w:rPr>
      </w:pPr>
    </w:p>
    <w:p>
      <w:pPr>
        <w:jc w:val="both"/>
        <w:ind w:left="660" w:firstLine="1293"/>
        <w:spacing w:after="0" w:line="271" w:lineRule="auto"/>
        <w:tabs>
          <w:tab w:leader="none" w:pos="2837"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the event of a merger, consolidation or other business combination requiring the approval of the holders of the Corporation’s capital stock entitled to vote thereon (whether or not the Corporation is the surviving entity), the holders of the Class A Common Stock shall have the right to receive, or the right to elect to receive, the same form of consideration, if any, as the holders of the Class B Common Stock and the holders of the Class A Common Stock shall have the right to receive, or the right to elect to receive, at least the same amount of consideration, if any, on a per share basis as the holders of the Class B Common Stock, and the holders of the Class C Common Stock shall have the right to receive, or the right to elect to receive, the same form of consideration, if any, as the holders of the Class D Common Stock and the holders of the Class C Common Stock shall have the right to receive, or the right to elect to receive, at least the same amount of consideration, if any, on a per share basis as the holders of the Class D Common Stock; and</w:t>
      </w:r>
    </w:p>
    <w:p>
      <w:pPr>
        <w:spacing w:after="0" w:line="178" w:lineRule="exact"/>
        <w:rPr>
          <w:rFonts w:ascii="Arial" w:cs="Arial" w:eastAsia="Arial" w:hAnsi="Arial"/>
          <w:sz w:val="17"/>
          <w:szCs w:val="17"/>
          <w:color w:val="auto"/>
        </w:rPr>
      </w:pPr>
    </w:p>
    <w:p>
      <w:pPr>
        <w:jc w:val="both"/>
        <w:ind w:left="660" w:firstLine="1293"/>
        <w:spacing w:after="0" w:line="290" w:lineRule="auto"/>
        <w:tabs>
          <w:tab w:leader="none" w:pos="2616"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event of (a) any tender or exchange offer to acquire any shares of Common Stock by any third party pursuant to an agreement to which the Corporation is a party or (b) any tender or exchange offer by the Corporation to acquire any shares of Common Stock, pursuant to the terms of the applicable tender or exchange offer, the holders of the Class A Common Stock shall have the right to receive, or the right to elect to receive, the same form of consideration as the holders of the Class B Common Stock and the holders of the Class A Common Stock shall have the right to receive, or the right to elect to receive, at least the same amount of consideration on a per share basis as the holders of the Class B Common Stock, and the holders of the Class C Common Stock shall have the right to receive, or the right to elect to receive, the same form of consideration, if any, as the holders of the Class D Common Stock and the holders of the Class C Common Stock shall have the right to receive, or the right to elect to receive, at least the same amount of consideration, if any, on a per share basis as the holders of the Class D Common Stock;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left="660"/>
        <w:spacing w:after="0" w:line="287"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purposes of the foregoing clauses (i) and (ii) of this </w:t>
      </w:r>
      <w:r>
        <w:rPr>
          <w:rFonts w:ascii="Arial" w:cs="Arial" w:eastAsia="Arial" w:hAnsi="Arial"/>
          <w:sz w:val="16"/>
          <w:szCs w:val="16"/>
          <w:u w:val="single" w:color="auto"/>
          <w:color w:val="auto"/>
        </w:rPr>
        <w:t>Section 4.4(iv)(2)</w:t>
      </w:r>
      <w:r>
        <w:rPr>
          <w:rFonts w:ascii="Arial" w:cs="Arial" w:eastAsia="Arial" w:hAnsi="Arial"/>
          <w:sz w:val="16"/>
          <w:szCs w:val="16"/>
          <w:color w:val="auto"/>
        </w:rPr>
        <w:t xml:space="preserve"> and notwithstanding </w:t>
      </w:r>
      <w:r>
        <w:rPr>
          <w:rFonts w:ascii="Arial" w:cs="Arial" w:eastAsia="Arial" w:hAnsi="Arial"/>
          <w:sz w:val="16"/>
          <w:szCs w:val="16"/>
          <w:u w:val="single" w:color="auto"/>
          <w:color w:val="auto"/>
        </w:rPr>
        <w:t>Section 4.4(iv)(1)</w:t>
      </w:r>
      <w:r>
        <w:rPr>
          <w:rFonts w:ascii="Arial" w:cs="Arial" w:eastAsia="Arial" w:hAnsi="Arial"/>
          <w:sz w:val="16"/>
          <w:szCs w:val="16"/>
          <w:color w:val="auto"/>
        </w:rPr>
        <w:t xml:space="preserve">, (A) in the event any such consideration includes securities, (I) the consideration payable to holders of Class A Common Stock shall be deemed the same form of consideration and at least the same amount of consideration on a per share basis as the holders of Class B Common Stock on a per share basis if the only difference in the per share distribution to the holders of Class B Common Stock is that the securities distributed to such holders have not more than ten times the voting power of any securities distributed to the holders of Class A Common Stock and (II) the consideration payable to holders of Class C Common Stock shall be deemed the same form of consideration and at least the same amount of consideration on a per share basis as the holders of Class D Common Stock on a per share basis if the only difference in the per share distribution to the holders of Class D Common Stock is that the securities distributed to such holders have not more than ten times the voting power of any securities distributed to the holders of Class C Common Stock (in each case, so long as such securities issued to the holders of Class B Common Stock or the Class D Common Stock, as the case may be, remain subject to automatic conversion on terms no more favorable to such holders than those set forth in </w:t>
      </w:r>
      <w:r>
        <w:rPr>
          <w:rFonts w:ascii="Arial" w:cs="Arial" w:eastAsia="Arial" w:hAnsi="Arial"/>
          <w:sz w:val="16"/>
          <w:szCs w:val="16"/>
          <w:u w:val="single" w:color="auto"/>
          <w:color w:val="auto"/>
        </w:rPr>
        <w:t>Section 5.1(ii)</w:t>
      </w:r>
      <w:r>
        <w:rPr>
          <w:rFonts w:ascii="Arial" w:cs="Arial" w:eastAsia="Arial" w:hAnsi="Arial"/>
          <w:sz w:val="16"/>
          <w:szCs w:val="16"/>
          <w:color w:val="auto"/>
        </w:rPr>
        <w:t>) and (B) payments under or in respect of the tax receivable or similar agreement entered by the Corporation from time to time with any holders of Common Stock and/or securities of the Company shall not be considered part of the consideration payable in respect of any share of Common Stock.</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Voluntary Exchange, Automatic Conversion and Redemption</w:t>
      </w:r>
      <w:r>
        <w:rPr>
          <w:rFonts w:ascii="Arial" w:cs="Arial" w:eastAsia="Arial" w:hAnsi="Arial"/>
          <w:sz w:val="16"/>
          <w:szCs w:val="16"/>
          <w:color w:val="auto"/>
        </w:rPr>
        <w:t>.</w:t>
      </w:r>
    </w:p>
    <w:p>
      <w:pPr>
        <w:spacing w:after="0" w:line="225" w:lineRule="exact"/>
        <w:rPr>
          <w:sz w:val="20"/>
          <w:szCs w:val="20"/>
          <w:color w:val="auto"/>
        </w:rPr>
      </w:pPr>
    </w:p>
    <w:p>
      <w:pPr>
        <w:ind w:left="1960" w:hanging="655"/>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Voluntary Exchange of Class B Common Stock and Class D Common Stock.</w:t>
      </w:r>
    </w:p>
    <w:p>
      <w:pPr>
        <w:spacing w:after="0" w:line="225" w:lineRule="exact"/>
        <w:rPr>
          <w:rFonts w:ascii="Arial" w:cs="Arial" w:eastAsia="Arial" w:hAnsi="Arial"/>
          <w:sz w:val="18"/>
          <w:szCs w:val="18"/>
          <w:color w:val="auto"/>
        </w:rPr>
      </w:pPr>
    </w:p>
    <w:p>
      <w:pPr>
        <w:jc w:val="both"/>
        <w:ind w:firstLine="1953"/>
        <w:spacing w:after="0" w:line="267" w:lineRule="auto"/>
        <w:tabs>
          <w:tab w:leader="none" w:pos="2652" w:val="left"/>
        </w:tabs>
        <w:numPr>
          <w:ilvl w:val="1"/>
          <w:numId w:val="12"/>
        </w:numPr>
        <w:rPr>
          <w:rFonts w:ascii="Arial" w:cs="Arial" w:eastAsia="Arial" w:hAnsi="Arial"/>
          <w:sz w:val="17"/>
          <w:szCs w:val="17"/>
          <w:color w:val="auto"/>
        </w:rPr>
      </w:pPr>
      <w:r>
        <w:rPr>
          <w:rFonts w:ascii="Arial" w:cs="Arial" w:eastAsia="Arial" w:hAnsi="Arial"/>
          <w:sz w:val="17"/>
          <w:szCs w:val="17"/>
          <w:color w:val="auto"/>
        </w:rPr>
        <w:t>Each share of Class B Common Stock or Class D Common Stock may be voluntarily exchanged for one fully paid and non-assessable share of Class A Common Stock or Class C Common Stock, respectively, at any time at the option of the holder of such share of Class B Common Stock or Class D Common Stock. In order to exercise the voluntary exchange privilege, the holder of any shares of Class B Common Stock or Class D Common Stock to be exchanged shall present and surrender the certificate or certificates representing such shares (if certificated) during usual business hours at the principal executive offices of the Corporation or, if any agent for the registration or transfer of shares of Common Stock is then duly appointed and acting (the “</w:t>
      </w:r>
      <w:r>
        <w:rPr>
          <w:rFonts w:ascii="Arial" w:cs="Arial" w:eastAsia="Arial" w:hAnsi="Arial"/>
          <w:sz w:val="17"/>
          <w:szCs w:val="17"/>
          <w:u w:val="single" w:color="auto"/>
          <w:color w:val="auto"/>
        </w:rPr>
        <w:t>Transfer Agent</w:t>
      </w:r>
      <w:r>
        <w:rPr>
          <w:rFonts w:ascii="Arial" w:cs="Arial" w:eastAsia="Arial" w:hAnsi="Arial"/>
          <w:sz w:val="17"/>
          <w:szCs w:val="17"/>
          <w:color w:val="auto"/>
        </w:rPr>
        <w:t>”), at the office of the Transfer Agent accompanied by written notice that the holder elects to voluntarily exchange the shares of Class B Common Stock or Class D Common Stock, as applicable, represented by such certificate or certificates, to the extent specified in such notice. If required by the Corporation, any certificate for shares of Class B Common Stock or Class D Common Stock surrendered for exchange shall be accompanied by instruments of transfer, in form reasonably satisfactory to the Corporation and the Transfer Agent duly executed by the holder of such shares or such holder’s duly authorized representative. As promptly as practicable after the receipt of such notice and the surrender of the certificate or certificates representing such shares of Class B Common Stock or Class D Common Stock as aforesaid and in any event within three (3) Business Days of the receipt of such notice and certificates (such date, the “</w:t>
      </w:r>
      <w:r>
        <w:rPr>
          <w:rFonts w:ascii="Arial" w:cs="Arial" w:eastAsia="Arial" w:hAnsi="Arial"/>
          <w:sz w:val="17"/>
          <w:szCs w:val="17"/>
          <w:u w:val="single" w:color="auto"/>
          <w:color w:val="auto"/>
        </w:rPr>
        <w:t>Exchange Date</w:t>
      </w:r>
      <w:r>
        <w:rPr>
          <w:rFonts w:ascii="Arial" w:cs="Arial" w:eastAsia="Arial" w:hAnsi="Arial"/>
          <w:sz w:val="17"/>
          <w:szCs w:val="17"/>
          <w:color w:val="auto"/>
        </w:rPr>
        <w:t>”), if such shares are certificated, the Corporation shall issue and deliver at such office to such holder, or on such holder’s written order, the number of shares of Class A Common Stock or Class C Common Stock, as applicable, deliverable upon such exchange, registered in the name of such holder and if the Class A Common Stock or Class C Common Stock shares are certificated, a certificate representing such shares. To the extent such shares of Class B Common Stock or Class D Common Stock as aforesaid are settled through the facilities of The Depository Trust Company, the Corporation shall, upon such holder’s written order, issue and deliver on the Exchange Date the number of full shares of Class A Common Stock or Class C Common Stock, as applicable, issuable upon the exchange of such shares through the facilities of The Depository Trust Company to the account of the participant of The Depository Trust Company designated by such holder. Each exchange of shares of Class B Common Stock or Class D Common Stock shall be deemed to have been effected (i) immediately prior to the close of business on the Exchange Date, or (ii) such later date specified in or pursuant to such notice, and the Person or Persons in whose name or names any certificate or certificates for shares of Class A Common Stock or Class C Common Stock shall be issuable upon such exchange as aforesaid shall be deemed to have become on said date the holder or holders of record of the shares represented thereby.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ind w:firstLine="1953"/>
        <w:spacing w:after="0" w:line="286" w:lineRule="auto"/>
        <w:tabs>
          <w:tab w:leader="none" w:pos="2606"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5.1(i)</w:t>
      </w:r>
      <w:r>
        <w:rPr>
          <w:rFonts w:ascii="Arial" w:cs="Arial" w:eastAsia="Arial" w:hAnsi="Arial"/>
          <w:sz w:val="16"/>
          <w:szCs w:val="16"/>
          <w:color w:val="auto"/>
        </w:rPr>
        <w:t xml:space="preserve"> to the contrary, any holder may withdraw or amend a notice of exchange, in whole or in part, prior to the effectiveness of the exchange, at any time prior to 5:00 p.m., New York City time, on the Business Day immediately preceding the Exchange Date (or any such later time as may be required by applicable law) by delivery of a written notice of withdrawal to the Corporation or the Transfer Agent, as applicable, specifying (x) if applicable, the certificate numbers of the withdrawn shares of Class B Common Stock or Class D Common Stock, (y) the number of shares of Class B Common Stock or Class D Common Stock (if any) as to which the notice of exchange remains in effect and (z) if the holder so determines, a new exchange date or any other new or revised information permitted in a notice of exchange. A notice of exchange may specify that (I) in the case of an exchange of shares of Class B Common Stock or Class D Common Stock into shares of Class A Common Stock or Class C Common Stock, respectively, such exchange is to be contingent (including as to timing) on (A) the Corporation and/or the holder having entered into valid and binding agreement with a third party for the sale of such shares of Class A Common Stock or Class C Common Stock, which agreement is subject to customary closing conditions for delivery of such shares of Class A Common Stock or Class C Common Stock by the Corporation or the holder, as applicable, to such third party, and/or (B) the closing of an announced merger, consolidation or other transaction or event in which such shares of Class A Common Stock or Class C Common Stock would be exchanged or converted or become exchangeable or convertible into cash or other securities or property, and/or (II) in the case of an exchange of Class B Common Stock into shares of Class A Common Stock, such exchange is to be contingent (including as to timing) on the closing of an underwritten distribution of the shares of Class A Common Stock that may be issued in connection with such exchange.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ind w:left="1920" w:hanging="615"/>
        <w:spacing w:after="0"/>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Automatic Conversion of Class B Common Stock and/or Class D Common Stock.</w:t>
      </w:r>
    </w:p>
    <w:p>
      <w:pPr>
        <w:spacing w:after="0" w:line="225" w:lineRule="exact"/>
        <w:rPr>
          <w:rFonts w:ascii="Arial" w:cs="Arial" w:eastAsia="Arial" w:hAnsi="Arial"/>
          <w:sz w:val="18"/>
          <w:szCs w:val="18"/>
          <w:color w:val="auto"/>
        </w:rPr>
      </w:pPr>
    </w:p>
    <w:p>
      <w:pPr>
        <w:jc w:val="both"/>
        <w:ind w:firstLine="1953"/>
        <w:spacing w:after="0" w:line="257" w:lineRule="auto"/>
        <w:tabs>
          <w:tab w:leader="none" w:pos="26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Each outstanding share of Class B Common Stock and Class D Common Stock will, automatically and without further action on the part of the Corporation or any holder of Class B Common Stock or Class D Common Stock, convert into one fully paid and non-assessable share of Class A Common Stock and Class C Common Stock, respectively, (a) immediately prior to any Transfer of such Class B Common Stock or Class D Common Stock, as applicable, by the initial registered holder thereof, other than a Transfer to any Permitted Transferee of such holder, or (b) upon the occurrence of the Triggering Event.</w:t>
      </w:r>
    </w:p>
    <w:p>
      <w:pPr>
        <w:spacing w:after="0" w:line="188" w:lineRule="exact"/>
        <w:rPr>
          <w:rFonts w:ascii="Arial" w:cs="Arial" w:eastAsia="Arial" w:hAnsi="Arial"/>
          <w:sz w:val="18"/>
          <w:szCs w:val="18"/>
          <w:color w:val="auto"/>
        </w:rPr>
      </w:pPr>
    </w:p>
    <w:p>
      <w:pPr>
        <w:jc w:val="both"/>
        <w:ind w:firstLine="1953"/>
        <w:spacing w:after="0" w:line="279" w:lineRule="auto"/>
        <w:tabs>
          <w:tab w:leader="none" w:pos="2613"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Without prejudice to the provisions of </w:t>
      </w:r>
      <w:r>
        <w:rPr>
          <w:rFonts w:ascii="Arial" w:cs="Arial" w:eastAsia="Arial" w:hAnsi="Arial"/>
          <w:sz w:val="17"/>
          <w:szCs w:val="17"/>
          <w:u w:val="single" w:color="auto"/>
          <w:color w:val="auto"/>
        </w:rPr>
        <w:t>Section 5.1(ii)(1)</w:t>
      </w:r>
      <w:r>
        <w:rPr>
          <w:rFonts w:ascii="Arial" w:cs="Arial" w:eastAsia="Arial" w:hAnsi="Arial"/>
          <w:sz w:val="17"/>
          <w:szCs w:val="17"/>
          <w:color w:val="auto"/>
        </w:rPr>
        <w:t>, immediately prior to the occurrence of any Recalculation Event that would cause any BHC Holder that holds Class D Common Stock to hold Voting Securities in excess of the Voting Limit, the Required Amount of outstanding shares of Class D Common Stock of such BHC Holder will, automatically and without further action on the part of the Corporation or any holder, convert into an equivalent amount of fully paid and non-assessable shares of Class C Common Stock.</w:t>
      </w:r>
    </w:p>
    <w:p>
      <w:pPr>
        <w:spacing w:after="0" w:line="171" w:lineRule="exact"/>
        <w:rPr>
          <w:rFonts w:ascii="Arial" w:cs="Arial" w:eastAsia="Arial" w:hAnsi="Arial"/>
          <w:sz w:val="17"/>
          <w:szCs w:val="17"/>
          <w:color w:val="auto"/>
        </w:rPr>
      </w:pPr>
    </w:p>
    <w:p>
      <w:pPr>
        <w:jc w:val="both"/>
        <w:ind w:firstLine="1953"/>
        <w:spacing w:after="0" w:line="286" w:lineRule="auto"/>
        <w:tabs>
          <w:tab w:leader="none" w:pos="2633"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Upon any conversion pursuant to this </w:t>
      </w:r>
      <w:r>
        <w:rPr>
          <w:rFonts w:ascii="Arial" w:cs="Arial" w:eastAsia="Arial" w:hAnsi="Arial"/>
          <w:sz w:val="16"/>
          <w:szCs w:val="16"/>
          <w:u w:val="single" w:color="auto"/>
          <w:color w:val="auto"/>
        </w:rPr>
        <w:t>Section 5.1(ii)</w:t>
      </w:r>
      <w:r>
        <w:rPr>
          <w:rFonts w:ascii="Arial" w:cs="Arial" w:eastAsia="Arial" w:hAnsi="Arial"/>
          <w:sz w:val="16"/>
          <w:szCs w:val="16"/>
          <w:color w:val="auto"/>
        </w:rPr>
        <w:t xml:space="preserve">, the certificate or certificates that represented the shares of Class B Common Stock or Class D Common Stock immediately prior to their conversion, shall, automatically and without further action on the part of the Corporation, represent the same number of shares of Class A Common Stock or Class C Common Stock, respectively, without the need for surrender or exchange thereof. Without prejudice to the foregoing sentence, as promptly as practicable following a conversion pursuant to this </w:t>
      </w:r>
      <w:r>
        <w:rPr>
          <w:rFonts w:ascii="Arial" w:cs="Arial" w:eastAsia="Arial" w:hAnsi="Arial"/>
          <w:sz w:val="16"/>
          <w:szCs w:val="16"/>
          <w:u w:val="single" w:color="auto"/>
          <w:color w:val="auto"/>
        </w:rPr>
        <w:t>Section 5.1(ii)</w:t>
      </w:r>
      <w:r>
        <w:rPr>
          <w:rFonts w:ascii="Arial" w:cs="Arial" w:eastAsia="Arial" w:hAnsi="Arial"/>
          <w:sz w:val="16"/>
          <w:szCs w:val="16"/>
          <w:color w:val="auto"/>
        </w:rPr>
        <w:t xml:space="preserve">, and in any event no less frequently than once per calendar quarter and as of the record date of any vote of the stockholders of the Corporation or at the reasonable request of any stockholder, the Corporation shall cause the share registry of the Corporation to be updated to reflect any conversions that have occurred pursuant to this </w:t>
      </w:r>
      <w:r>
        <w:rPr>
          <w:rFonts w:ascii="Arial" w:cs="Arial" w:eastAsia="Arial" w:hAnsi="Arial"/>
          <w:sz w:val="16"/>
          <w:szCs w:val="16"/>
          <w:u w:val="single" w:color="auto"/>
          <w:color w:val="auto"/>
        </w:rPr>
        <w:t>Section 5.1(ii)</w:t>
      </w:r>
      <w:r>
        <w:rPr>
          <w:rFonts w:ascii="Arial" w:cs="Arial" w:eastAsia="Arial" w:hAnsi="Arial"/>
          <w:sz w:val="16"/>
          <w:szCs w:val="16"/>
          <w:color w:val="auto"/>
        </w:rPr>
        <w:t xml:space="preserve"> and shall deliver or cause to be delivered to any holder whose shares of Class B Common Stock or Class D Common Stock have been converted, the number of shares of Class A Common Stock or Class C Common Stock deliverable upon such conversion, as applicable, registered in the name of such holder and if the Class A Common Stock or Class C Common Stock shares are certificated, a certificate representing such shares. To the extent such shares are settled through the facilities of The Depository Trust Company, the Corporation will, upon the written instruction of such holder, deliver the shares of Class A Common Stock or Class C Common Stock deliverable to such holder, through the facilities of The Depository Trust Company, to the account of the participant of The Depository Trust Company designated by such holder. Each share of Class B Common Stock and Class D Common Stock that is converted pursuant to this </w:t>
      </w:r>
      <w:r>
        <w:rPr>
          <w:rFonts w:ascii="Arial" w:cs="Arial" w:eastAsia="Arial" w:hAnsi="Arial"/>
          <w:sz w:val="16"/>
          <w:szCs w:val="16"/>
          <w:u w:val="single" w:color="auto"/>
          <w:color w:val="auto"/>
        </w:rPr>
        <w:t>Section 5.1(ii)</w:t>
      </w:r>
      <w:r>
        <w:rPr>
          <w:rFonts w:ascii="Arial" w:cs="Arial" w:eastAsia="Arial" w:hAnsi="Arial"/>
          <w:sz w:val="16"/>
          <w:szCs w:val="16"/>
          <w:color w:val="auto"/>
        </w:rPr>
        <w:t xml:space="preserve"> shall thereupon be, automatically and without further action on the part of the Corporation or its holder, retired and may not be reissued and the Corporation shall make such filings with the State of Delaware as are necessary to cancel such shares.</w:t>
      </w:r>
    </w:p>
    <w:p>
      <w:pPr>
        <w:spacing w:after="0" w:line="171" w:lineRule="exact"/>
        <w:rPr>
          <w:rFonts w:ascii="Arial" w:cs="Arial" w:eastAsia="Arial" w:hAnsi="Arial"/>
          <w:sz w:val="16"/>
          <w:szCs w:val="16"/>
          <w:color w:val="auto"/>
        </w:rPr>
      </w:pPr>
    </w:p>
    <w:p>
      <w:pPr>
        <w:jc w:val="both"/>
        <w:ind w:firstLine="1953"/>
        <w:spacing w:after="0" w:line="297" w:lineRule="auto"/>
        <w:tabs>
          <w:tab w:leader="none" w:pos="2613"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Corporation may, from time to time, establish such policies and procedures relating to the conversion of the Class B Common Stock and Class D Common Stock and the general administration of its multi-class common stock structure, including the issuance of stock certificates with respect thereto, as it may deem necessary or advisable, and may request that holders of shares of Class B Common Stock or Class D Common Stock furnish affidavits or other proof to the Corporation as it deems necessary to verify the ownership of Class B Common Stock or Class D Common Stock, as applicable, and to confirm that a conversion to Class A Common Stock or Class C Common Stock, respectively, has not occurred.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firstLine="1305"/>
        <w:spacing w:after="0" w:line="257" w:lineRule="auto"/>
        <w:tabs>
          <w:tab w:leader="none" w:pos="204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Unexchanged or Unconverted Class B Common Stock and Class D Common Stock</w:t>
      </w:r>
      <w:r>
        <w:rPr>
          <w:rFonts w:ascii="Arial" w:cs="Arial" w:eastAsia="Arial" w:hAnsi="Arial"/>
          <w:sz w:val="18"/>
          <w:szCs w:val="18"/>
          <w:color w:val="auto"/>
        </w:rPr>
        <w:t>. If fewer than all of the shares of Class B Common Stock or Class D Common Stock evidenced by a certificate or certificates surrendered to the Corporation or Transfer Agent, as applicable, are voluntarily exchanged or converted, the Corporation shall execute and deliver to or cause to be delivered to, or upon the written order of, the holder of such certificate or certificates a new certificate or certificates evidencing the number of shares of Class B Common Stock or Class D Common Stock which are not exchanged or converted, without charge to the holder.</w:t>
      </w:r>
    </w:p>
    <w:p>
      <w:pPr>
        <w:spacing w:after="0" w:line="188" w:lineRule="exact"/>
        <w:rPr>
          <w:rFonts w:ascii="Arial" w:cs="Arial" w:eastAsia="Arial" w:hAnsi="Arial"/>
          <w:sz w:val="18"/>
          <w:szCs w:val="18"/>
          <w:color w:val="auto"/>
        </w:rPr>
      </w:pPr>
    </w:p>
    <w:p>
      <w:pPr>
        <w:jc w:val="both"/>
        <w:ind w:firstLine="1305"/>
        <w:spacing w:after="0" w:line="259" w:lineRule="auto"/>
        <w:tabs>
          <w:tab w:leader="none" w:pos="1957"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Retirement of Class B Common Stock and Class D Common Stock.</w:t>
      </w:r>
      <w:r>
        <w:rPr>
          <w:rFonts w:ascii="Arial" w:cs="Arial" w:eastAsia="Arial" w:hAnsi="Arial"/>
          <w:sz w:val="18"/>
          <w:szCs w:val="18"/>
          <w:color w:val="auto"/>
        </w:rPr>
        <w:t xml:space="preserve"> Upon a voluntary exchange or automatic conversion of Class B Common Stock or redemption of Common Units included in Class D Paired Interests, such Common Stock shall, automatically and without further action on the part of the Corporation or its holder, be retired and may not be reissued and the Corporation shall make such filings with the State of Delaware as are necessary to cancel such shares.</w:t>
      </w:r>
    </w:p>
    <w:p>
      <w:pPr>
        <w:spacing w:after="0" w:line="186" w:lineRule="exact"/>
        <w:rPr>
          <w:rFonts w:ascii="Arial" w:cs="Arial" w:eastAsia="Arial" w:hAnsi="Arial"/>
          <w:sz w:val="18"/>
          <w:szCs w:val="18"/>
          <w:color w:val="auto"/>
        </w:rPr>
      </w:pPr>
    </w:p>
    <w:p>
      <w:pPr>
        <w:ind w:right="20" w:firstLine="1305"/>
        <w:spacing w:after="0" w:line="277" w:lineRule="auto"/>
        <w:tabs>
          <w:tab w:leader="none" w:pos="204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 Conversion or Voluntary Exchange Rights of Class A Common Stock and Class C Common Stock</w:t>
      </w:r>
      <w:r>
        <w:rPr>
          <w:rFonts w:ascii="Arial" w:cs="Arial" w:eastAsia="Arial" w:hAnsi="Arial"/>
          <w:sz w:val="18"/>
          <w:szCs w:val="18"/>
          <w:color w:val="auto"/>
        </w:rPr>
        <w:t>. The Class A Common Stock and Class C Common Stock shall not have any voluntary exchange rights and shall not be convertible.</w:t>
      </w:r>
    </w:p>
    <w:p>
      <w:pPr>
        <w:spacing w:after="0" w:line="170" w:lineRule="exact"/>
        <w:rPr>
          <w:rFonts w:ascii="Arial" w:cs="Arial" w:eastAsia="Arial" w:hAnsi="Arial"/>
          <w:sz w:val="18"/>
          <w:szCs w:val="18"/>
          <w:color w:val="auto"/>
        </w:rPr>
      </w:pPr>
    </w:p>
    <w:p>
      <w:pPr>
        <w:jc w:val="both"/>
        <w:ind w:firstLine="1305"/>
        <w:spacing w:after="0" w:line="269" w:lineRule="auto"/>
        <w:tabs>
          <w:tab w:leader="none" w:pos="193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Reservation of Shares of Class A Common Stock</w:t>
      </w:r>
      <w:r>
        <w:rPr>
          <w:rFonts w:ascii="Arial" w:cs="Arial" w:eastAsia="Arial" w:hAnsi="Arial"/>
          <w:sz w:val="17"/>
          <w:szCs w:val="17"/>
          <w:color w:val="auto"/>
        </w:rPr>
        <w:t>. The Corporation will at all times reserve and keep available out of its authorized and unissued shares of Class A Common Stock, solely for the purposes of (I) voluntary exchanges or automatic conversions of Class B Common Stock, the number of shares of Class A Common Stock that are issuable upon voluntary exchange or automatic conversion of all outstanding shares of Class B Common Stock, (II) redemption (or alternatively, exchange), pursuant to Article XI of the LLC Agreement, of Common Units included in Class C Paired Interests, the number of shares of Class A Common Stock that are issuable upon redemption (or alternatively, exchange) of all Common Units included in all outstanding Class C Paired Interests, (III) redemption (or alternatively, exchange), pursuant to Article XI of the LLC Agreement, of Common Units included in Class D Paired Interests, the number of shares of Class A Common Stock that are issuable upon redemption (or alternatively, exchange) of all Common Units included in all outstanding Class D Paired Interests and (IV) the exercise of outstanding options, warrants and other exchange, conversion or similar rights for Class A Common Stock, the number of shares of Class A Common Stock that are then issuable upon the exercise of such options, warrants and other exchange, conversion or similar rights. The Corporation covenants that all the shares of Class A Common Stock that are issued upon such exchange or conversion of such Class B Common Stock, redemption (or alternatively, exchange) of Common Units and exercise of options, warrants and other rights will, upon issuance, be validly issued, fully paid and non-assessable.</w:t>
      </w:r>
    </w:p>
    <w:p>
      <w:pPr>
        <w:spacing w:after="0" w:line="179" w:lineRule="exact"/>
        <w:rPr>
          <w:rFonts w:ascii="Arial" w:cs="Arial" w:eastAsia="Arial" w:hAnsi="Arial"/>
          <w:sz w:val="17"/>
          <w:szCs w:val="17"/>
          <w:color w:val="auto"/>
        </w:rPr>
      </w:pPr>
    </w:p>
    <w:p>
      <w:pPr>
        <w:jc w:val="both"/>
        <w:ind w:firstLine="1305"/>
        <w:spacing w:after="0" w:line="255" w:lineRule="auto"/>
        <w:tabs>
          <w:tab w:leader="none" w:pos="193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Reservation of Shares of Class B Common Stock</w:t>
      </w:r>
      <w:r>
        <w:rPr>
          <w:rFonts w:ascii="Arial" w:cs="Arial" w:eastAsia="Arial" w:hAnsi="Arial"/>
          <w:sz w:val="18"/>
          <w:szCs w:val="18"/>
          <w:color w:val="auto"/>
        </w:rPr>
        <w:t>. The Corporation will at all times reserve and keep available out of its authorized and unissued shares of Class B Common Stock, solely for the purposes of redemption (or alternatively, exchange), pursuant to Article XI of the LLC Agreement, of Common Units included in Class D Paired Interests, the number of shares of Class B Common Stock that are issuable upon redemption (or alternatively, exchange) of all Common Units included in all outstanding Class D Paired Interests. The Corporation covenants that all the shares of Class B Common Stock that are issued upon such redemption (or alternatively, exchange) of Common Units will, upon issuance, be validly issued, fully paid and non-assessable.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ind w:firstLine="1305"/>
        <w:spacing w:after="0" w:line="257" w:lineRule="auto"/>
        <w:tabs>
          <w:tab w:leader="none" w:pos="192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Reservation of Shares of Class C Common Stock</w:t>
      </w:r>
      <w:r>
        <w:rPr>
          <w:rFonts w:ascii="Arial" w:cs="Arial" w:eastAsia="Arial" w:hAnsi="Arial"/>
          <w:sz w:val="18"/>
          <w:szCs w:val="18"/>
          <w:color w:val="auto"/>
        </w:rPr>
        <w:t>. The Corporation will at all times reserve and keep available out of its authorized and unissued shares of Class C Common Stock, solely for the purposes of voluntary exchange or automatic conversions of Class D Common Stock, the number of shares of Class C Common Stock that are issuable upon such exchange or conversion of all outstanding shares of Class D Common Stock. The Corporation covenants that all the shares of Class C Common Stock that are issued upon such exchange or conversion of Class D Common Stock will, upon issuance, be validly issued, fully paid and non-assessable.</w:t>
      </w:r>
    </w:p>
    <w:p>
      <w:pPr>
        <w:spacing w:after="0" w:line="188" w:lineRule="exact"/>
        <w:rPr>
          <w:rFonts w:ascii="Arial" w:cs="Arial" w:eastAsia="Arial" w:hAnsi="Arial"/>
          <w:sz w:val="18"/>
          <w:szCs w:val="18"/>
          <w:color w:val="auto"/>
        </w:rPr>
      </w:pPr>
    </w:p>
    <w:p>
      <w:pPr>
        <w:jc w:val="both"/>
        <w:ind w:firstLine="1305"/>
        <w:spacing w:after="0" w:line="270" w:lineRule="auto"/>
        <w:tabs>
          <w:tab w:leader="none" w:pos="2083"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Retirement of Non-Economic Common Stock</w:t>
      </w:r>
      <w:r>
        <w:rPr>
          <w:rFonts w:ascii="Arial" w:cs="Arial" w:eastAsia="Arial" w:hAnsi="Arial"/>
          <w:sz w:val="17"/>
          <w:szCs w:val="17"/>
          <w:color w:val="auto"/>
        </w:rPr>
        <w:t>. In the event that no Class D Paired Interests remain exchangeable for shares of Economic Common Stock, the Class D Common Stock shall automatically and without further action on the part of the Corporation or its holder be transferred to the Corporation for no consideration, and the Board shall take all necessary action to retire such shares. Shares of Class D Common Stock that are transferred, repurchased, exchanged or otherwise acquired by the Corporation shall not be reissued. In the event that no Class C Paired Interests remain exchangeable for shares of Class A Common Stock, the Class C Common Stock shall automatically and without further action on the part of the Corporation or its holder be transferred to the Corporation for no consideration, and the Board shall take all necessary action to retire such shares. Shares of Class C Common Stock that are transferred, repurchased, exchanged or otherwise acquired by the Corporation shall not be reissued. In the event that any outstanding share of Non-Economic Common Stock shall cease to be held by a holder of Common Units, such share shall automatically and without further action on the part of the Corporation or its holder be transferred to the Corporation for no consideration, and the Board shall take all necessary action to retire such shares and such shares shall cease to be outstanding and may not be reissued by the Corporation.</w:t>
      </w:r>
    </w:p>
    <w:p>
      <w:pPr>
        <w:spacing w:after="0" w:line="177" w:lineRule="exact"/>
        <w:rPr>
          <w:rFonts w:ascii="Arial" w:cs="Arial" w:eastAsia="Arial" w:hAnsi="Arial"/>
          <w:sz w:val="17"/>
          <w:szCs w:val="17"/>
          <w:color w:val="auto"/>
        </w:rPr>
      </w:pPr>
    </w:p>
    <w:p>
      <w:pPr>
        <w:jc w:val="both"/>
        <w:ind w:firstLine="1305"/>
        <w:spacing w:after="0" w:line="297" w:lineRule="auto"/>
        <w:tabs>
          <w:tab w:leader="none" w:pos="2091"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Distributions with Respect to Voluntarily Exchanged or Automatically Converted Shares</w:t>
      </w:r>
      <w:r>
        <w:rPr>
          <w:rFonts w:ascii="Arial" w:cs="Arial" w:eastAsia="Arial" w:hAnsi="Arial"/>
          <w:sz w:val="16"/>
          <w:szCs w:val="16"/>
          <w:color w:val="auto"/>
        </w:rPr>
        <w:t xml:space="preserve">. No voluntary exchange or automatic conversion pursuant to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impair the right of the exchanging or converting holder to receive any dividends or other distributions payable on shares so exchanged or converted in respect of a record date that occurs prior to the effective time for such exchange or conversion. For the avoidance of doubt, no exchanging or converting holder shall be entitled to receive, in respect of a single record date, dividends or other distributions both on shares that are exchanged or converted by such holder and on shares received by such holder in such exchange or conversion.</w:t>
      </w:r>
    </w:p>
    <w:p>
      <w:pPr>
        <w:spacing w:after="0" w:line="158" w:lineRule="exact"/>
        <w:rPr>
          <w:rFonts w:ascii="Arial" w:cs="Arial" w:eastAsia="Arial" w:hAnsi="Arial"/>
          <w:sz w:val="16"/>
          <w:szCs w:val="16"/>
          <w:color w:val="auto"/>
        </w:rPr>
      </w:pPr>
    </w:p>
    <w:p>
      <w:pPr>
        <w:jc w:val="both"/>
        <w:ind w:firstLine="1305"/>
        <w:spacing w:after="0" w:line="273" w:lineRule="auto"/>
        <w:tabs>
          <w:tab w:leader="none" w:pos="2123"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Redemption of Common Units Included in Class C Paired Interests or Class D Paired Interests</w:t>
      </w:r>
      <w:r>
        <w:rPr>
          <w:rFonts w:ascii="Arial" w:cs="Arial" w:eastAsia="Arial" w:hAnsi="Arial"/>
          <w:sz w:val="17"/>
          <w:szCs w:val="17"/>
          <w:color w:val="auto"/>
        </w:rPr>
        <w:t>. The Common Units that are included in a Class C Paired Interest or Class D Paired Interest may be redeemed (or alternatively, exchanged) at any time and from time to time for shares of Class A Common Stock or Class B Common Stock, as the case may be, in accordance with Article XI of the LLC Agreement. The shares of Class C Common Stock or Class D Common Stock corresponding with such Common Unit that is redeemed (or alternatively, exchanged), shall, automatically and without further action on the part of the Corporation or its holder, be transferred to the Corporation for no consideration, and the Board shall take all necessary action to retire such shares and such shares shall cease to be outstanding and may not be reissued by the Corporation.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ind w:firstLine="1305"/>
        <w:spacing w:after="0" w:line="312" w:lineRule="auto"/>
        <w:tabs>
          <w:tab w:leader="none" w:pos="2061"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The issuance of shares of Economic Common Stock upon the exercise by holders of shares of Non-Economic Common Stock of their right under Article XI of the LLC Agreement to redeem (or alternatively, exchange) Paired Interests will be made without charge to the holders of the shares of Non-Economic Common Stock for any transfer taxes, stamp taxes or duties or other similar tax in respect of the issuance.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Amendment of Certificate of Incorporation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Article IV</w:t>
      </w:r>
      <w:r>
        <w:rPr>
          <w:rFonts w:ascii="Arial" w:cs="Arial" w:eastAsia="Arial" w:hAnsi="Arial"/>
          <w:sz w:val="16"/>
          <w:szCs w:val="16"/>
          <w:color w:val="auto"/>
        </w:rPr>
        <w:t>, the Corporation reserves the right to amend, alter, change, repeal or rescind any provision contained in this Amended and Restated Certificate of Incorporation, in the manner now or hereafter prescribed by the DGCL, and all rights, preferences and privileges of whatsoever nature conferred upon stockholders, directors or any other Persons whomsoever by and pursuant to this Amended and Restated Certificate of Incorporation in its present form or as hereafter amended, are granted and held subject to this reservation. Notwithstanding anything to the contrary contained in this Amended and Restated Certificate of Incorporation or any provision of law that might otherwise</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permit a lesser vote of the stockholders, (1) the 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in voting power of all the then-outstanding shares of stock of the Corporation entitled to vote thereon, voting together as a single class, shall be required to amend, alter, change, repeal or rescind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this Amended and Restated Certificate of Incorporation, (2) if any BHC Holder holds any Class D Common Stock, the affirmative votes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in voting power of all the then-outstanding shares of Class D Common Stock that are held by the BHC Holders shall be required to amend, alter, change, repeal or rescind </w:t>
      </w:r>
      <w:r>
        <w:rPr>
          <w:rFonts w:ascii="Arial" w:cs="Arial" w:eastAsia="Arial" w:hAnsi="Arial"/>
          <w:sz w:val="16"/>
          <w:szCs w:val="16"/>
          <w:u w:val="single" w:color="auto"/>
          <w:color w:val="auto"/>
        </w:rPr>
        <w:t>Section 5.1(ii)(2)</w:t>
      </w:r>
      <w:r>
        <w:rPr>
          <w:rFonts w:ascii="Arial" w:cs="Arial" w:eastAsia="Arial" w:hAnsi="Arial"/>
          <w:sz w:val="16"/>
          <w:szCs w:val="16"/>
          <w:color w:val="auto"/>
        </w:rPr>
        <w:t xml:space="preserve"> of this Amended and Restated Certificate of Incorporation, and (3) at any time when the Refinitiv Equityholders beneficially own, in the aggregate, less than 50% in voting power of the stock of the Corporation entitled to vote generally in the election of directors, in addition to any vote required by applicable law,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IX, Article X, Article XI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of this Amended and Restated Certificate of Incorporation may be amended, altered, change, repealed or rescinded, in whole or in part, or any provision inconsistent therewith or herewith may be adopted, only by the 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in voting power of all the then-outstanding shares of stock of the Corporation entitled to vote thereon, voting together as a single class. For the purposes of this Amended and Restated Certificate of Incorporation, beneficial ownership of shares shall be determined in accordance with Rule 13d-3 promulgated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ind w:firstLine="648"/>
        <w:spacing w:after="0" w:line="284"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Amendment of Bylaws</w:t>
      </w:r>
      <w:r>
        <w:rPr>
          <w:rFonts w:ascii="Arial" w:cs="Arial" w:eastAsia="Arial" w:hAnsi="Arial"/>
          <w:sz w:val="16"/>
          <w:szCs w:val="16"/>
          <w:color w:val="auto"/>
        </w:rPr>
        <w:t>. The Board is expressly authorized to make, repeal, alter, amend and rescind, in whole or in part, the bylaws of the Corporation (as in effect from time to time, the “</w:t>
      </w:r>
      <w:r>
        <w:rPr>
          <w:rFonts w:ascii="Arial" w:cs="Arial" w:eastAsia="Arial" w:hAnsi="Arial"/>
          <w:sz w:val="16"/>
          <w:szCs w:val="16"/>
          <w:u w:val="single" w:color="auto"/>
          <w:color w:val="auto"/>
        </w:rPr>
        <w:t>Bylaws</w:t>
      </w:r>
      <w:r>
        <w:rPr>
          <w:rFonts w:ascii="Arial" w:cs="Arial" w:eastAsia="Arial" w:hAnsi="Arial"/>
          <w:sz w:val="16"/>
          <w:szCs w:val="16"/>
          <w:color w:val="auto"/>
        </w:rPr>
        <w:t>”) without the assent or vote of the stockholders in any manner not inconsistent with the laws of the State of Delaware or this Amended and Restated Certificate of Incorporation. Subject to the prior sentence but notwithstanding anything to the contrary contained in this Amended and Restated Certificate of Incorporation or any provision of law that might otherwise permit a lesser vote of the stockholders, at any time when the Refinitiv Equityholders beneficially own, in the aggregate, less than 50% in voting power of the stock of the Corporation entitled to vote generally in the election of directors, in addition to any vote of the holders of any class or series of capital stock of the Corporation required herein (including any certificate of designation relating to any series of Preferred Stock), the Bylaws or applicable law, the affirmative vote of the holders of</w:t>
      </w:r>
    </w:p>
    <w:p>
      <w:pPr>
        <w:spacing w:after="0" w:line="3"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at least 66</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Board of Directors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5" w:lineRule="auto"/>
        <w:tabs>
          <w:tab w:leader="none" w:pos="1966"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this Amended and Restated Certificate of Incorporation and the DGCL, the business and affairs of the Corporation shall be managed by or under the direction of the Board. Except as otherwise provided for or fixed pursuant to the provisions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(including any certificate of designation with respect to any series of Preferred Stock) and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relating to the rights of the holders of any series of Preferred Stock to elect additional directors and subject to the applicable requirements of the Stockholders Agreement, the total number of directors constituting the whole Board shall be determined from time to time exclusively by the Board.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shall initially serve for a term expiring at the first annual meeting of stockholders following the IPO Date, Class II directors shall initially serve for a term expiring at the second annual meeting of stockholders following the IPO Date and Class III directors shall initially serve for a term expiring at the third annual meeting of stockholders following the IPO Date. Commencing with the first annual meeting of stockholders following the IPO Date, the directors of the class to be elected at each annual meeting shall be elected for a three-year term. If the total number of such directors is changed, any such additional director of any class elected to fill a newly created directorship resulting from an increase in such class shall hold office for a term that shall coincide with the remaining term of that class, but in no case shall a decrease in the total number of directors remove or shorten the term of any incumbent director. Any such director shall hold office until the annual meeting at which his or her term expires and until his or her successor shall be elected and qualified, or his or her death, resignation, retirement, disqualification or removal from office. Subject to the applicable requirements of the Stockholders Agreement, the Board is authorized to assign members of the Board already in office to their respective class.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ind w:firstLine="1305"/>
        <w:spacing w:after="0" w:line="270" w:lineRule="auto"/>
        <w:tabs>
          <w:tab w:leader="none" w:pos="20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Subject to the rights granted to the holders of any one or more series of Preferred Stock then outstanding or the rights granted pursuant to the Stockholders Agreement, any newly created directorship on the Board that results from an increase in the total number of directors and any vacancy occurring on the Board (whether by death, resignation, disqualification, removal or other cause) shall be filled by the affirmative vote of a majority of the directors then in office (even if less than a quorum), by a sole remaining director or by the stockholders;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subject to the rights granted pursuant to the Stockholders Agreement, at any time when the Refinitiv Equityholders beneficially own, in the aggregate, less than 50% in voting power of the stock of the Corporation entitled to vote generally in the election of directors, any newly created directorship on the Board that results from an increase in the number of directors and any vacancy occurring on the Board shall be filled only by a majority of the directors then in office (even if less than a quorum), or by a sole remaining director (and not by stockholders).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disqualification or removal.</w:t>
      </w:r>
    </w:p>
    <w:p>
      <w:pPr>
        <w:spacing w:after="0" w:line="177" w:lineRule="exact"/>
        <w:rPr>
          <w:rFonts w:ascii="Arial" w:cs="Arial" w:eastAsia="Arial" w:hAnsi="Arial"/>
          <w:sz w:val="17"/>
          <w:szCs w:val="17"/>
          <w:color w:val="auto"/>
        </w:rPr>
      </w:pPr>
    </w:p>
    <w:p>
      <w:pPr>
        <w:jc w:val="both"/>
        <w:ind w:firstLine="1305"/>
        <w:spacing w:after="0" w:line="239" w:lineRule="auto"/>
        <w:tabs>
          <w:tab w:leader="none" w:pos="1986"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Any or all of the directors (other than the directors elected by the holders of any series of Preferred Stock, voting separately as a series or together with one or more other such series, as the case may be) may be removed at any time either with or without cause by the affirmative vote of a majority in voting power of all outstanding shares of stock of the Corporation entitled to vote thereon, voting together as a single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at any time when the Refinitiv Equityholders beneficially own, in the aggregate, less than 50% in voting power of the stock of the Corporation entitled to vote generally in the election of directors, any such director or all such directors may be removed only for cause and only by the affirmative vote of the holders of at least 66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in voting power of all the then-outstanding shares of stock of the Corporation entitled to vote thereon, voting together as a single class.</w:t>
      </w:r>
    </w:p>
    <w:p>
      <w:pPr>
        <w:spacing w:after="0" w:line="202" w:lineRule="exact"/>
        <w:rPr>
          <w:rFonts w:ascii="Arial" w:cs="Arial" w:eastAsia="Arial" w:hAnsi="Arial"/>
          <w:sz w:val="18"/>
          <w:szCs w:val="18"/>
          <w:color w:val="auto"/>
        </w:rPr>
      </w:pPr>
    </w:p>
    <w:p>
      <w:pPr>
        <w:jc w:val="both"/>
        <w:ind w:firstLine="1305"/>
        <w:spacing w:after="0" w:line="288" w:lineRule="auto"/>
        <w:tabs>
          <w:tab w:leader="none" w:pos="20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During any period when the holders of any series of Preferred Stock, voting separately as a series or together with one or more series, have the right to elect additional directors, then upon commencement and for the duration of the period during which such right continues: (A) the then otherwise total authorized number of directors of the Corporation shall automatically be increased by such specified number of directors, and the holders of such series of Preferred Stock shall be entitled to elect the additional directors so provided for or fixed pursuant to said provisions, and (B) each such additional director shall serve until such director’s successor shall have been duly elected and qualified, or until such director’s right to hold such office terminates pursuant to said provisions, whichever occurs earlier, subject to his or her earlier death, resignation, disqualification or removal. Except as so provided by the applicable certificate of designation relating to such series of Preferred Stock,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automatically be reduced accordingly.</w:t>
      </w:r>
    </w:p>
    <w:p>
      <w:pPr>
        <w:spacing w:after="0" w:line="169" w:lineRule="exact"/>
        <w:rPr>
          <w:rFonts w:ascii="Arial" w:cs="Arial" w:eastAsia="Arial" w:hAnsi="Arial"/>
          <w:sz w:val="16"/>
          <w:szCs w:val="16"/>
          <w:color w:val="auto"/>
        </w:rPr>
      </w:pPr>
    </w:p>
    <w:p>
      <w:pPr>
        <w:ind w:left="1920" w:hanging="615"/>
        <w:spacing w:after="0"/>
        <w:tabs>
          <w:tab w:leader="none" w:pos="1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Elections of directors need not be by written ballot unless the Bylaws shall so provide.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7"/>
          <w:szCs w:val="17"/>
          <w:u w:val="single" w:color="auto"/>
          <w:color w:val="auto"/>
        </w:rPr>
        <w:t>Limitation on Liability of Directors</w:t>
      </w:r>
      <w:r>
        <w:rPr>
          <w:rFonts w:ascii="Arial" w:cs="Arial" w:eastAsia="Arial" w:hAnsi="Arial"/>
          <w:sz w:val="17"/>
          <w:szCs w:val="17"/>
          <w:color w:val="auto"/>
        </w:rPr>
        <w:t>.</w:t>
      </w:r>
    </w:p>
    <w:p>
      <w:pPr>
        <w:spacing w:after="0" w:line="225" w:lineRule="exact"/>
        <w:rPr>
          <w:sz w:val="20"/>
          <w:szCs w:val="20"/>
          <w:color w:val="auto"/>
        </w:rPr>
      </w:pPr>
    </w:p>
    <w:p>
      <w:pPr>
        <w:ind w:firstLine="1305"/>
        <w:spacing w:after="0" w:line="342" w:lineRule="auto"/>
        <w:tabs>
          <w:tab w:leader="none" w:pos="197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the fullest extent permitted by the DGCL as it now exists or may hereafter be amended, a director of the Corporation shall not be personally liable to the Corporation or its stockholders for monetary damages for breach of fiduciary duty owed to the Corporation or its stockholders.</w:t>
      </w:r>
    </w:p>
    <w:p>
      <w:pPr>
        <w:spacing w:after="0" w:line="123" w:lineRule="exact"/>
        <w:rPr>
          <w:rFonts w:ascii="Arial" w:cs="Arial" w:eastAsia="Arial" w:hAnsi="Arial"/>
          <w:sz w:val="16"/>
          <w:szCs w:val="16"/>
          <w:color w:val="auto"/>
        </w:rPr>
      </w:pPr>
    </w:p>
    <w:p>
      <w:pPr>
        <w:jc w:val="both"/>
        <w:ind w:right="20" w:firstLine="1305"/>
        <w:spacing w:after="0" w:line="286" w:lineRule="auto"/>
        <w:tabs>
          <w:tab w:leader="none" w:pos="1952"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Neither the amendment nor repeal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nor the adoption of any provision of this Amended and Restated Certificate of Incorporation, nor, to the fullest extent permitted by the DGCL, any modification of law shall eliminate, reduce or otherwise adversely affect any right or protection of a current or former director of the Corporation existing at the time of such amendment, repeal, adoption or modification.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Consent of Stockholders in Lieu of Meeting</w:t>
      </w:r>
      <w:r>
        <w:rPr>
          <w:rFonts w:ascii="Arial" w:cs="Arial" w:eastAsia="Arial" w:hAnsi="Arial"/>
          <w:sz w:val="16"/>
          <w:szCs w:val="16"/>
          <w:color w:val="auto"/>
        </w:rPr>
        <w:t xml:space="preserve">. At any time when the Refinitiv Equityholders beneficially own, in the aggregate, at least 50% in voting power of the stock of the Corporation entitled to vote generally in the election of directors,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outstanding shares having not less than the minimum number of votes that would be necessary to authorize or take such action at a meeting at which all shares entitled to vote thereon were present and voted. Written consents may be signed through the use of facsimile, stamp or any other writing or symbol adopted by a person or entity with a present intention to authenticate a writing, and may be communicated by telegram, cablegram or other electronic transmission. At any time when the Refinitiv Equityholders beneficially own, in the aggregate, less than 50% in voting power of the stock of the Corporation entitled to vote generally in the election of directors, any action required or permitted to be taken by the stockholders of the Corporation must be effected at a duly called annual or special meeting of such holders and may not be effected by any consent in writing by such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16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Special Meetings of the Stockholders</w:t>
      </w:r>
      <w:r>
        <w:rPr>
          <w:rFonts w:ascii="Arial" w:cs="Arial" w:eastAsia="Arial" w:hAnsi="Arial"/>
          <w:sz w:val="16"/>
          <w:szCs w:val="16"/>
          <w:color w:val="auto"/>
        </w:rPr>
        <w:t xml:space="preserve">. Except as otherwise required by law and subject to the rights of the holders of any series of Preferred Stock, special meetings of the stockholders of the Corporation for any purpose or purposes may be called at any time only by or at the direction of the Board or the Chairman of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any time when the Refinitiv Equityholders beneficially own, in the aggregate, at least 50% in voting power of the stock of the Corporation entitled to vote generally in the election of directors, special meetings of the stockholders of the Corporation for any purpose or purposes shall also be called by or at the direction of the Board or the Chairman of the Board at the request of the Refinitiv Equityholders.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ind w:firstLine="648"/>
        <w:spacing w:after="0" w:line="264"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Annual Meetings of the Stockholders</w:t>
      </w:r>
      <w:r>
        <w:rPr>
          <w:rFonts w:ascii="Arial" w:cs="Arial" w:eastAsia="Arial" w:hAnsi="Arial"/>
          <w:sz w:val="18"/>
          <w:szCs w:val="18"/>
          <w:color w:val="auto"/>
        </w:rPr>
        <w:t>. 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(or in the manner determined by) the Board.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Competition and Corporate Opportunities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9" w:lineRule="auto"/>
        <w:tabs>
          <w:tab w:leader="none" w:pos="2024"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recognition and anticipation that (1) certain directors, principals, officers, employees and/or other representatives of Refinitiv Holdings Ltd. (the “</w:t>
      </w:r>
      <w:r>
        <w:rPr>
          <w:rFonts w:ascii="Arial" w:cs="Arial" w:eastAsia="Arial" w:hAnsi="Arial"/>
          <w:sz w:val="17"/>
          <w:szCs w:val="17"/>
          <w:u w:val="single" w:color="auto"/>
          <w:color w:val="auto"/>
        </w:rPr>
        <w:t>Sponsor</w:t>
      </w:r>
      <w:r>
        <w:rPr>
          <w:rFonts w:ascii="Arial" w:cs="Arial" w:eastAsia="Arial" w:hAnsi="Arial"/>
          <w:sz w:val="17"/>
          <w:szCs w:val="17"/>
          <w:color w:val="auto"/>
        </w:rPr>
        <w:t>”) and its Affiliates (as defined below) may serve as directors, officers or agents of the Corporation, (2) the Sponsor and its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or proposes to engage, and (3) members of the Board who are not employees of the Corporation or its subsidiaries (the “</w:t>
      </w:r>
      <w:r>
        <w:rPr>
          <w:rFonts w:ascii="Arial" w:cs="Arial" w:eastAsia="Arial" w:hAnsi="Arial"/>
          <w:sz w:val="17"/>
          <w:szCs w:val="17"/>
          <w:u w:val="single" w:color="auto"/>
          <w:color w:val="auto"/>
        </w:rPr>
        <w:t>Non-Employee Directors</w:t>
      </w:r>
      <w:r>
        <w:rPr>
          <w:rFonts w:ascii="Arial" w:cs="Arial" w:eastAsia="Arial" w:hAnsi="Arial"/>
          <w:sz w:val="17"/>
          <w:szCs w:val="17"/>
          <w:color w:val="auto"/>
        </w:rPr>
        <w:t xml:space="preserve">”) and their respective Affiliates and Affiliated Entities (as defined below)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or proposes to engage, the provisions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are set forth to regulate and define the conduct of certain affairs of the Corporation with respect to certain classes or categories of business opportunities as they may involve the Sponsor, the Non-Employee Directors or their respective Affiliates and Affiliated Entities, as applicable, and the powers, rights, duties and liabilities of the Corporation and its directors, officers and stockholders in connection therewith.</w:t>
      </w:r>
    </w:p>
    <w:p>
      <w:pPr>
        <w:spacing w:after="0" w:line="182" w:lineRule="exact"/>
        <w:rPr>
          <w:rFonts w:ascii="Arial" w:cs="Arial" w:eastAsia="Arial" w:hAnsi="Arial"/>
          <w:sz w:val="17"/>
          <w:szCs w:val="17"/>
          <w:color w:val="auto"/>
        </w:rPr>
      </w:pPr>
    </w:p>
    <w:p>
      <w:pPr>
        <w:jc w:val="both"/>
        <w:ind w:firstLine="1305"/>
        <w:spacing w:after="0" w:line="268" w:lineRule="auto"/>
        <w:tabs>
          <w:tab w:leader="none" w:pos="2013"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None of (1) the Sponsor or any of its Affiliates, or (2) any Non-Employee Director (including any Non-Employee Director who serves as an officer of the Corporation in both his or her director and officer capacities) or his or her Affiliates or Affiliated Entities (the Persons (as defined below) identified in (1) and (2) above being referred to, collectively, as “</w:t>
      </w:r>
      <w:r>
        <w:rPr>
          <w:rFonts w:ascii="Arial" w:cs="Arial" w:eastAsia="Arial" w:hAnsi="Arial"/>
          <w:sz w:val="17"/>
          <w:szCs w:val="17"/>
          <w:u w:val="single" w:color="auto"/>
          <w:color w:val="auto"/>
        </w:rPr>
        <w:t>Identified Persons</w:t>
      </w:r>
      <w:r>
        <w:rPr>
          <w:rFonts w:ascii="Arial" w:cs="Arial" w:eastAsia="Arial" w:hAnsi="Arial"/>
          <w:sz w:val="17"/>
          <w:szCs w:val="17"/>
          <w:color w:val="auto"/>
        </w:rPr>
        <w:t>” and, individually, as an “</w:t>
      </w:r>
      <w:r>
        <w:rPr>
          <w:rFonts w:ascii="Arial" w:cs="Arial" w:eastAsia="Arial" w:hAnsi="Arial"/>
          <w:sz w:val="17"/>
          <w:szCs w:val="17"/>
          <w:u w:val="single" w:color="auto"/>
          <w:color w:val="auto"/>
        </w:rPr>
        <w:t>Identified Person</w:t>
      </w:r>
      <w:r>
        <w:rPr>
          <w:rFonts w:ascii="Arial" w:cs="Arial" w:eastAsia="Arial" w:hAnsi="Arial"/>
          <w:sz w:val="17"/>
          <w:szCs w:val="17"/>
          <w:color w:val="auto"/>
        </w:rPr>
        <w:t xml:space="preserve">”) shall, to the fullest extent permitted by law, have any duty to refrain from, directly or indirectly, (A) engaging in the same or similar business activities or lines of business in which the Corporation or any of its Affiliates now engages or proposes to engage or (B)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that may be a corporate opportunity for an Identified Person and the Corporation or any of its Affiliates, except as provided in </w:t>
      </w:r>
      <w:r>
        <w:rPr>
          <w:rFonts w:ascii="Arial" w:cs="Arial" w:eastAsia="Arial" w:hAnsi="Arial"/>
          <w:sz w:val="17"/>
          <w:szCs w:val="17"/>
          <w:u w:val="single" w:color="auto"/>
          <w:color w:val="auto"/>
        </w:rPr>
        <w:t>Section 10.1(iii)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10.1(iii)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X</w:t>
      </w:r>
      <w:r>
        <w:rPr>
          <w:rFonts w:ascii="Arial" w:cs="Arial" w:eastAsia="Arial" w:hAnsi="Arial"/>
          <w:sz w:val="17"/>
          <w:szCs w:val="17"/>
          <w:color w:val="auto"/>
        </w:rPr>
        <w:t>, in the event that any Identified Person acquires knowledge of a potential transaction or other business opportunity that may be a corporate opportunity for itself, herself or himself and the Corporation or any of its Affiliates, such Identified Person shall, to the fullest extent permitted by law, have no duty to communicate or offer such transaction or other business opportunity to the Corporation or any of its Affiliates and, to the fullest extent permitted by law,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or offers or directs such corporate opportunity to another Person or does not communicate information regarding such corporate opportunity to the Corporation.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ind w:firstLine="1305"/>
        <w:spacing w:after="0" w:line="259" w:lineRule="auto"/>
        <w:tabs>
          <w:tab w:leader="none" w:pos="2181"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set forth herein, the Corporation does not renounce its interest in any corporate opportunity offered to any Non-Employee Director (including any Non-Employee Director who serves as an officer of this Corporation) if such opportunity is offered to such person solely in his or her capacity as a director or officer of the Corporation, and the provisions of </w:t>
      </w:r>
      <w:r>
        <w:rPr>
          <w:rFonts w:ascii="Arial" w:cs="Arial" w:eastAsia="Arial" w:hAnsi="Arial"/>
          <w:sz w:val="18"/>
          <w:szCs w:val="18"/>
          <w:u w:val="single" w:color="auto"/>
          <w:color w:val="auto"/>
        </w:rPr>
        <w:t>Section 10.1(ii)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not apply to any such corporate opportunity.</w:t>
      </w:r>
    </w:p>
    <w:p>
      <w:pPr>
        <w:spacing w:after="0" w:line="186" w:lineRule="exact"/>
        <w:rPr>
          <w:rFonts w:ascii="Arial" w:cs="Arial" w:eastAsia="Arial" w:hAnsi="Arial"/>
          <w:sz w:val="18"/>
          <w:szCs w:val="18"/>
          <w:color w:val="auto"/>
        </w:rPr>
      </w:pPr>
    </w:p>
    <w:p>
      <w:pPr>
        <w:jc w:val="both"/>
        <w:ind w:firstLine="1305"/>
        <w:spacing w:after="0" w:line="279" w:lineRule="auto"/>
        <w:tabs>
          <w:tab w:leader="none" w:pos="203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In addition to and notwithstanding the foregoing provisions of this </w:t>
      </w:r>
      <w:r>
        <w:rPr>
          <w:rFonts w:ascii="Arial" w:cs="Arial" w:eastAsia="Arial" w:hAnsi="Arial"/>
          <w:sz w:val="17"/>
          <w:szCs w:val="17"/>
          <w:u w:val="single" w:color="auto"/>
          <w:color w:val="auto"/>
        </w:rPr>
        <w:t>Article X</w:t>
      </w:r>
      <w:r>
        <w:rPr>
          <w:rFonts w:ascii="Arial" w:cs="Arial" w:eastAsia="Arial" w:hAnsi="Arial"/>
          <w:sz w:val="17"/>
          <w:szCs w:val="17"/>
          <w:color w:val="auto"/>
        </w:rPr>
        <w:t>, to the fullest extent permitted by law, a potential corporate opportunity shall not be deemed to be a corporate opportunity for the Corporation if it is a business opportunity that (1) the Corporation is neither financially or legally able, nor contractually permitted to undertake, (2) from its nature, is not in the line of the Corporation’s business or is of no practical advantage to the Corporation, or (3) is one in which the Corporation has no interest or reasonable expectancy.</w:t>
      </w:r>
    </w:p>
    <w:p>
      <w:pPr>
        <w:spacing w:after="0" w:line="171" w:lineRule="exact"/>
        <w:rPr>
          <w:rFonts w:ascii="Arial" w:cs="Arial" w:eastAsia="Arial" w:hAnsi="Arial"/>
          <w:sz w:val="17"/>
          <w:szCs w:val="17"/>
          <w:color w:val="auto"/>
        </w:rPr>
      </w:pPr>
    </w:p>
    <w:p>
      <w:pPr>
        <w:ind w:left="1920" w:hanging="615"/>
        <w:spacing w:after="0"/>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97" w:lineRule="auto"/>
        <w:tabs>
          <w:tab w:leader="none" w:pos="2641" w:val="left"/>
        </w:tabs>
        <w:numPr>
          <w:ilvl w:val="1"/>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(a) in respect of the Sponsor, any Person that, directly or indirectly, is controlled by the Sponsor, controls the Sponsor or is under common control with the Sponsor and shall include any principal, member, director, partner, stockholder, officer, employee or other representative of any of the foregoing (other than the Corporation and any entity that is controlled by the Corporation), (b) in respect of a Non-Employee Director, any Person that, directly or indirectly, is controlled by such Non-Employee Director (other than the Corporation and any entity that is controlled by the Corporation), and (c) in respect of the Corporation, any Person that, directly or indirectly, is controlled by the Corporation.</w:t>
      </w:r>
    </w:p>
    <w:p>
      <w:pPr>
        <w:spacing w:after="0" w:line="158" w:lineRule="exact"/>
        <w:rPr>
          <w:rFonts w:ascii="Arial" w:cs="Arial" w:eastAsia="Arial" w:hAnsi="Arial"/>
          <w:sz w:val="16"/>
          <w:szCs w:val="16"/>
          <w:color w:val="auto"/>
        </w:rPr>
      </w:pPr>
    </w:p>
    <w:p>
      <w:pPr>
        <w:jc w:val="both"/>
        <w:ind w:firstLine="1953"/>
        <w:spacing w:after="0" w:line="257" w:lineRule="auto"/>
        <w:tabs>
          <w:tab w:leader="none" w:pos="2587"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Entity</w:t>
      </w:r>
      <w:r>
        <w:rPr>
          <w:rFonts w:ascii="Arial" w:cs="Arial" w:eastAsia="Arial" w:hAnsi="Arial"/>
          <w:sz w:val="18"/>
          <w:szCs w:val="18"/>
          <w:color w:val="auto"/>
        </w:rPr>
        <w:t>” shall mean (A) any Person of which a Non-Employee Director serves as an officer, director, employee or other representative (other than the Corporation and any entity that is controlled by the Corporation), (B) any direct or indirect partner, stockholder, member, manager or other representative of such Person or (C) with respect to the foregoing Persons, any other Person that, directly or indirectly, is controlled by any such Person, controls any such Person or is under common control with any such Person (other than the Corporation and any entity that is controlled by the Corporation).</w:t>
      </w:r>
    </w:p>
    <w:p>
      <w:pPr>
        <w:spacing w:after="0" w:line="188" w:lineRule="exact"/>
        <w:rPr>
          <w:rFonts w:ascii="Arial" w:cs="Arial" w:eastAsia="Arial" w:hAnsi="Arial"/>
          <w:sz w:val="18"/>
          <w:szCs w:val="18"/>
          <w:color w:val="auto"/>
        </w:rPr>
      </w:pPr>
    </w:p>
    <w:p>
      <w:pPr>
        <w:ind w:left="2640" w:hanging="687"/>
        <w:spacing w:after="0"/>
        <w:tabs>
          <w:tab w:leader="none" w:pos="26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mean any individual, corporation, general or limited partnership, limited liability company, joint venture,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 association or any other entity.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firstLine="1305"/>
        <w:spacing w:after="0" w:line="277" w:lineRule="auto"/>
        <w:tabs>
          <w:tab w:leader="none" w:pos="19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To the fullest extent permitted by law, any Person purchasing or otherwise acquiring or holding any interest in any shares of capital stock of the Corporation shall be deemed to have notice of and to have consented to the provisions of this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20" w:hanging="615"/>
        <w:spacing w:after="0"/>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be subject to the restrictions contained in the Restrictive Covenants Agreement.</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u w:val="single" w:color="auto"/>
          <w:color w:val="auto"/>
        </w:rPr>
        <w:t>DGCL Section 203 and Business Combinations</w:t>
      </w:r>
      <w:r>
        <w:rPr>
          <w:rFonts w:ascii="Arial" w:cs="Arial" w:eastAsia="Arial" w:hAnsi="Arial"/>
          <w:sz w:val="16"/>
          <w:szCs w:val="16"/>
          <w:color w:val="auto"/>
        </w:rPr>
        <w:t>.</w:t>
      </w:r>
    </w:p>
    <w:p>
      <w:pPr>
        <w:spacing w:after="0" w:line="225" w:lineRule="exact"/>
        <w:rPr>
          <w:sz w:val="20"/>
          <w:szCs w:val="20"/>
          <w:color w:val="auto"/>
        </w:rPr>
      </w:pPr>
    </w:p>
    <w:p>
      <w:pPr>
        <w:ind w:left="1920" w:hanging="615"/>
        <w:spacing w:after="0"/>
        <w:tabs>
          <w:tab w:leader="none" w:pos="1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Corporation hereby expressly elects not to be governed by Section 203 of the DGCL.</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998"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Notwithstanding the foregoing, the Corporation shall not engage in any business combination (as defined below), at any point in time at which the Corporation’s Common Stock is registered under Section 12(b) or 12(g) of the Exchange Act, with any interested stockholder (as defined below) for a period of three years following the time that such stockholder became an interested stockholder, unless:</w:t>
      </w:r>
    </w:p>
    <w:p>
      <w:pPr>
        <w:spacing w:after="0" w:line="181" w:lineRule="exact"/>
        <w:rPr>
          <w:rFonts w:ascii="Arial" w:cs="Arial" w:eastAsia="Arial" w:hAnsi="Arial"/>
          <w:sz w:val="18"/>
          <w:szCs w:val="18"/>
          <w:color w:val="auto"/>
        </w:rPr>
      </w:pPr>
    </w:p>
    <w:p>
      <w:pPr>
        <w:ind w:left="2640" w:hanging="687"/>
        <w:spacing w:after="0"/>
        <w:tabs>
          <w:tab w:leader="none" w:pos="26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prior to such time, the Board approved either the business combination or the transaction that resulted in the stockholder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becoming an interested stockholder;</w:t>
      </w:r>
    </w:p>
    <w:p>
      <w:pPr>
        <w:spacing w:after="0" w:line="210" w:lineRule="exact"/>
        <w:rPr>
          <w:rFonts w:ascii="Arial" w:cs="Arial" w:eastAsia="Arial" w:hAnsi="Arial"/>
          <w:sz w:val="16"/>
          <w:szCs w:val="16"/>
          <w:color w:val="auto"/>
        </w:rPr>
      </w:pPr>
    </w:p>
    <w:p>
      <w:pPr>
        <w:jc w:val="both"/>
        <w:ind w:firstLine="1953"/>
        <w:spacing w:after="0" w:line="276" w:lineRule="auto"/>
        <w:tabs>
          <w:tab w:leader="none" w:pos="2626" w:val="left"/>
        </w:tabs>
        <w:numPr>
          <w:ilvl w:val="1"/>
          <w:numId w:val="24"/>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(A) by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72" w:lineRule="exact"/>
        <w:rPr>
          <w:rFonts w:ascii="Arial" w:cs="Arial" w:eastAsia="Arial" w:hAnsi="Arial"/>
          <w:sz w:val="17"/>
          <w:szCs w:val="17"/>
          <w:color w:val="auto"/>
        </w:rPr>
      </w:pPr>
    </w:p>
    <w:p>
      <w:pPr>
        <w:jc w:val="both"/>
        <w:ind w:firstLine="1953"/>
        <w:spacing w:after="0" w:line="226" w:lineRule="auto"/>
        <w:tabs>
          <w:tab w:leader="none" w:pos="2631"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at or subsequent to such time, the business combination is approved by the Board and authorized at an annual or special meeting of stockholders, and not by written consent, by the affirmative vote of at least 66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of the outstanding voting stock of the Corporation that is not owned by the interested stockholder.</w:t>
      </w:r>
    </w:p>
    <w:p>
      <w:pPr>
        <w:spacing w:after="0" w:line="203" w:lineRule="exact"/>
        <w:rPr>
          <w:rFonts w:ascii="Arial" w:cs="Arial" w:eastAsia="Arial" w:hAnsi="Arial"/>
          <w:sz w:val="18"/>
          <w:szCs w:val="18"/>
          <w:color w:val="auto"/>
        </w:rPr>
      </w:pPr>
    </w:p>
    <w:p>
      <w:pPr>
        <w:ind w:left="1940" w:hanging="635"/>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references to:</w:t>
      </w:r>
    </w:p>
    <w:p>
      <w:pPr>
        <w:spacing w:after="0" w:line="225" w:lineRule="exact"/>
        <w:rPr>
          <w:rFonts w:ascii="Arial" w:cs="Arial" w:eastAsia="Arial" w:hAnsi="Arial"/>
          <w:sz w:val="18"/>
          <w:szCs w:val="18"/>
          <w:color w:val="auto"/>
        </w:rPr>
      </w:pPr>
    </w:p>
    <w:p>
      <w:pPr>
        <w:ind w:firstLine="1953"/>
        <w:spacing w:after="0" w:line="277" w:lineRule="auto"/>
        <w:tabs>
          <w:tab w:leader="none" w:pos="2573"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70" w:lineRule="exact"/>
        <w:rPr>
          <w:rFonts w:ascii="Arial" w:cs="Arial" w:eastAsia="Arial" w:hAnsi="Arial"/>
          <w:sz w:val="18"/>
          <w:szCs w:val="18"/>
          <w:color w:val="auto"/>
        </w:rPr>
      </w:pPr>
    </w:p>
    <w:p>
      <w:pPr>
        <w:jc w:val="both"/>
        <w:ind w:firstLine="1953"/>
        <w:spacing w:after="0" w:line="302" w:lineRule="auto"/>
        <w:tabs>
          <w:tab w:leader="none" w:pos="2587" w:val="left"/>
        </w:tabs>
        <w:numPr>
          <w:ilvl w:val="1"/>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associate</w:t>
      </w:r>
      <w:r>
        <w:rPr>
          <w:rFonts w:ascii="Arial" w:cs="Arial" w:eastAsia="Arial" w:hAnsi="Arial"/>
          <w:sz w:val="16"/>
          <w:szCs w:val="16"/>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left="2680" w:hanging="727"/>
        <w:spacing w:after="0"/>
        <w:tabs>
          <w:tab w:leader="none" w:pos="2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when used in reference to the Corporation and any interested stockholder of the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ind w:left="2700" w:hanging="747"/>
        <w:spacing w:after="0"/>
        <w:tabs>
          <w:tab w:leader="none" w:pos="27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merger or consolidation of the Corporation or any direct or indirect majority-owned subsidiary of the Corporation</w:t>
      </w:r>
    </w:p>
    <w:p>
      <w:pPr>
        <w:spacing w:after="0" w:line="34" w:lineRule="exact"/>
        <w:rPr>
          <w:rFonts w:ascii="Arial" w:cs="Arial" w:eastAsia="Arial" w:hAnsi="Arial"/>
          <w:sz w:val="17"/>
          <w:szCs w:val="17"/>
          <w:color w:val="auto"/>
        </w:rPr>
      </w:pPr>
    </w:p>
    <w:p>
      <w:pPr>
        <w:jc w:val="both"/>
        <w:ind w:left="660" w:hanging="4"/>
        <w:spacing w:after="0" w:line="255" w:lineRule="auto"/>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with the interested stockholder, or (b) with any other corporation, partnership, unincorporated association or other entity if the merger or consolidation is caused by the interested stockholder and as a result of such merger or consolidation </w:t>
      </w:r>
      <w:r>
        <w:rPr>
          <w:rFonts w:ascii="Arial" w:cs="Arial" w:eastAsia="Arial" w:hAnsi="Arial"/>
          <w:sz w:val="18"/>
          <w:szCs w:val="18"/>
          <w:u w:val="single" w:color="auto"/>
          <w:color w:val="auto"/>
        </w:rPr>
        <w:t>Section 11.1(ii)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is not applicable to the surviving entity;</w:t>
      </w:r>
    </w:p>
    <w:p>
      <w:pPr>
        <w:spacing w:after="0" w:line="190" w:lineRule="exact"/>
        <w:rPr>
          <w:rFonts w:ascii="Arial" w:cs="Arial" w:eastAsia="Arial" w:hAnsi="Arial"/>
          <w:sz w:val="18"/>
          <w:szCs w:val="18"/>
          <w:color w:val="auto"/>
        </w:rPr>
      </w:pPr>
    </w:p>
    <w:p>
      <w:pPr>
        <w:jc w:val="both"/>
        <w:ind w:left="660" w:firstLine="1293"/>
        <w:spacing w:after="0" w:line="257" w:lineRule="auto"/>
        <w:tabs>
          <w:tab w:leader="none" w:pos="2666"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88" w:lineRule="exact"/>
        <w:rPr>
          <w:sz w:val="20"/>
          <w:szCs w:val="20"/>
          <w:color w:val="auto"/>
        </w:rPr>
      </w:pPr>
    </w:p>
    <w:p>
      <w:pPr>
        <w:jc w:val="both"/>
        <w:ind w:left="660" w:firstLine="1293"/>
        <w:spacing w:after="0" w:line="269" w:lineRule="auto"/>
        <w:tabs>
          <w:tab w:leader="none" w:pos="2724"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any transaction that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case under items (c) through (e) of this subsection (iii)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182" w:lineRule="exact"/>
        <w:rPr>
          <w:rFonts w:ascii="Arial" w:cs="Arial" w:eastAsia="Arial" w:hAnsi="Arial"/>
          <w:sz w:val="17"/>
          <w:szCs w:val="17"/>
          <w:color w:val="auto"/>
        </w:rPr>
      </w:pPr>
    </w:p>
    <w:p>
      <w:pPr>
        <w:jc w:val="both"/>
        <w:ind w:left="660" w:firstLine="1293"/>
        <w:spacing w:after="0" w:line="257" w:lineRule="auto"/>
        <w:tabs>
          <w:tab w:leader="none" w:pos="2622"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that has the effect, directly or indirectly, of increasing the proportionate share of the stock of any class or series, or securities convertible into the stock of any class or series, of the Corporation or of any such subsidiary that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left="4" w:firstLine="1293"/>
        <w:spacing w:after="0" w:line="291" w:lineRule="auto"/>
        <w:tabs>
          <w:tab w:leader="none" w:pos="1995"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w:t>
      </w:r>
    </w:p>
    <w:p>
      <w:pPr>
        <w:ind w:left="224" w:hanging="224"/>
        <w:spacing w:after="0"/>
        <w:tabs>
          <w:tab w:leader="none" w:pos="2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through (iv) above) provided by or through the Corporation or any direct or indirect majority-owned subsidiary.</w:t>
      </w:r>
    </w:p>
    <w:p>
      <w:pPr>
        <w:spacing w:after="0" w:line="211" w:lineRule="exact"/>
        <w:rPr>
          <w:sz w:val="20"/>
          <w:szCs w:val="20"/>
          <w:color w:val="auto"/>
        </w:rPr>
      </w:pPr>
    </w:p>
    <w:p>
      <w:pPr>
        <w:jc w:val="both"/>
        <w:ind w:left="-656" w:firstLine="1953"/>
        <w:spacing w:after="0" w:line="293" w:lineRule="auto"/>
        <w:tabs>
          <w:tab w:leader="none" w:pos="2025" w:val="left"/>
        </w:tabs>
        <w:numPr>
          <w:ilvl w:val="0"/>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including the terms “</w:t>
      </w:r>
      <w:r>
        <w:rPr>
          <w:rFonts w:ascii="Arial" w:cs="Arial" w:eastAsia="Arial" w:hAnsi="Arial"/>
          <w:sz w:val="16"/>
          <w:szCs w:val="16"/>
          <w:u w:val="single" w:color="auto"/>
          <w:color w:val="auto"/>
        </w:rPr>
        <w:t>controlling</w:t>
      </w:r>
      <w:r>
        <w:rPr>
          <w:rFonts w:ascii="Arial" w:cs="Arial" w:eastAsia="Arial" w:hAnsi="Arial"/>
          <w:sz w:val="16"/>
          <w:szCs w:val="16"/>
          <w:color w:val="auto"/>
        </w:rPr>
        <w:t>,”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xml:space="preserve">,”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w:t>
      </w:r>
      <w:r>
        <w:rPr>
          <w:rFonts w:ascii="Arial" w:cs="Arial" w:eastAsia="Arial" w:hAnsi="Arial"/>
          <w:sz w:val="16"/>
          <w:szCs w:val="16"/>
          <w:u w:val="single" w:color="auto"/>
          <w:color w:val="auto"/>
        </w:rPr>
        <w:t>Article XI</w:t>
      </w:r>
      <w:r>
        <w:rPr>
          <w:rFonts w:ascii="Arial" w:cs="Arial" w:eastAsia="Arial" w:hAnsi="Arial"/>
          <w:sz w:val="16"/>
          <w:szCs w:val="16"/>
          <w:color w:val="auto"/>
        </w:rPr>
        <w:t>, as an agent, bank, broker, nominee, custodian or trustee for one or more owners who do not individually or as a group have control of such entity.</w:t>
      </w:r>
    </w:p>
    <w:p>
      <w:pPr>
        <w:spacing w:after="0" w:line="164" w:lineRule="exact"/>
        <w:rPr>
          <w:rFonts w:ascii="Arial" w:cs="Arial" w:eastAsia="Arial" w:hAnsi="Arial"/>
          <w:sz w:val="16"/>
          <w:szCs w:val="16"/>
          <w:color w:val="auto"/>
        </w:rPr>
      </w:pPr>
    </w:p>
    <w:p>
      <w:pPr>
        <w:jc w:val="both"/>
        <w:ind w:left="-656" w:firstLine="1953"/>
        <w:spacing w:after="0" w:line="287" w:lineRule="auto"/>
        <w:tabs>
          <w:tab w:leader="none" w:pos="1917" w:val="left"/>
        </w:tabs>
        <w:numPr>
          <w:ilvl w:val="0"/>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interested stockholder</w:t>
      </w:r>
      <w:r>
        <w:rPr>
          <w:rFonts w:ascii="Arial" w:cs="Arial" w:eastAsia="Arial" w:hAnsi="Arial"/>
          <w:sz w:val="16"/>
          <w:szCs w:val="16"/>
          <w:color w:val="auto"/>
        </w:rPr>
        <w:t xml:space="preserve">”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year period immediately prior to the date on which it is sought to be determined whether such person is an interested stockholder; and the affiliates and associates of such person; but “interested stockholder” shall not include (a) any Refinitiv Equityholder, any Refinitiv Direct Transferee, any Refinitiv Indirect Transferee or any of their respective affiliates or successors or any “group”, or any member of any such group, to which such persons are a party under Rule 13d-5 of the Exchange Act, or (b) any person whose ownership of shares in excess of the 15% limitation set forth herein is the result of any action taken solely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 (b),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that may be issuable pursuant to any agreement, arrangement or understanding, or upon exercise of conversion rights, warrants or options, or otherwise.</w:t>
      </w:r>
    </w:p>
    <w:p>
      <w:pPr>
        <w:spacing w:after="0" w:line="168" w:lineRule="exact"/>
        <w:rPr>
          <w:rFonts w:ascii="Arial" w:cs="Arial" w:eastAsia="Arial" w:hAnsi="Arial"/>
          <w:sz w:val="16"/>
          <w:szCs w:val="16"/>
          <w:color w:val="auto"/>
        </w:rPr>
      </w:pPr>
    </w:p>
    <w:p>
      <w:pPr>
        <w:ind w:left="-656" w:firstLine="1953"/>
        <w:spacing w:after="0" w:line="277" w:lineRule="auto"/>
        <w:tabs>
          <w:tab w:leader="none" w:pos="1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own</w:t>
      </w:r>
      <w:r>
        <w:rPr>
          <w:rFonts w:ascii="Arial" w:cs="Arial" w:eastAsia="Arial" w:hAnsi="Arial"/>
          <w:sz w:val="18"/>
          <w:szCs w:val="18"/>
          <w:color w:val="auto"/>
        </w:rPr>
        <w:t>” and “</w:t>
      </w:r>
      <w:r>
        <w:rPr>
          <w:rFonts w:ascii="Arial" w:cs="Arial" w:eastAsia="Arial" w:hAnsi="Arial"/>
          <w:sz w:val="18"/>
          <w:szCs w:val="18"/>
          <w:u w:val="single" w:color="auto"/>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170" w:lineRule="exact"/>
        <w:rPr>
          <w:sz w:val="20"/>
          <w:szCs w:val="20"/>
          <w:color w:val="auto"/>
        </w:rPr>
      </w:pPr>
    </w:p>
    <w:p>
      <w:pPr>
        <w:ind w:left="4964" w:right="4960" w:hanging="3667"/>
        <w:spacing w:after="0" w:line="838" w:lineRule="auto"/>
        <w:tabs>
          <w:tab w:leader="none" w:pos="1913" w:val="left"/>
        </w:tabs>
        <w:numPr>
          <w:ilvl w:val="0"/>
          <w:numId w:val="32"/>
        </w:numPr>
        <w:rPr>
          <w:rFonts w:ascii="Arial" w:cs="Arial" w:eastAsia="Arial" w:hAnsi="Arial"/>
          <w:sz w:val="17"/>
          <w:szCs w:val="17"/>
          <w:color w:val="auto"/>
        </w:rPr>
      </w:pPr>
      <w:r>
        <w:rPr>
          <w:rFonts w:ascii="Arial" w:cs="Arial" w:eastAsia="Arial" w:hAnsi="Arial"/>
          <w:sz w:val="17"/>
          <w:szCs w:val="17"/>
          <w:color w:val="auto"/>
        </w:rPr>
        <w:t>beneficially owns such stock, directly or indirectly; or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-307975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4" w:name="page25"/>
    <w:bookmarkEnd w:id="24"/>
    <w:p>
      <w:pPr>
        <w:jc w:val="both"/>
        <w:ind w:left="660" w:firstLine="1293"/>
        <w:spacing w:after="0" w:line="272" w:lineRule="auto"/>
        <w:tabs>
          <w:tab w:leader="none" w:pos="2678"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or more persons; or</w:t>
      </w:r>
    </w:p>
    <w:p>
      <w:pPr>
        <w:spacing w:after="0" w:line="177" w:lineRule="exact"/>
        <w:rPr>
          <w:rFonts w:ascii="Arial" w:cs="Arial" w:eastAsia="Arial" w:hAnsi="Arial"/>
          <w:sz w:val="17"/>
          <w:szCs w:val="17"/>
          <w:color w:val="auto"/>
        </w:rPr>
      </w:pPr>
    </w:p>
    <w:p>
      <w:pPr>
        <w:jc w:val="both"/>
        <w:ind w:left="660" w:firstLine="1293"/>
        <w:spacing w:after="0" w:line="264" w:lineRule="auto"/>
        <w:tabs>
          <w:tab w:leader="none" w:pos="2609"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181" w:lineRule="exact"/>
        <w:rPr>
          <w:sz w:val="20"/>
          <w:szCs w:val="20"/>
          <w:color w:val="auto"/>
        </w:rPr>
      </w:pPr>
    </w:p>
    <w:p>
      <w:pPr>
        <w:ind w:left="2560" w:hanging="607"/>
        <w:spacing w:after="0"/>
        <w:tabs>
          <w:tab w:leader="none" w:pos="2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unincorporated association or other entity.</w:t>
      </w:r>
    </w:p>
    <w:p>
      <w:pPr>
        <w:spacing w:after="0" w:line="225" w:lineRule="exact"/>
        <w:rPr>
          <w:rFonts w:ascii="Arial" w:cs="Arial" w:eastAsia="Arial" w:hAnsi="Arial"/>
          <w:sz w:val="18"/>
          <w:szCs w:val="18"/>
          <w:color w:val="auto"/>
        </w:rPr>
      </w:pPr>
    </w:p>
    <w:p>
      <w:pPr>
        <w:jc w:val="both"/>
        <w:ind w:firstLine="1953"/>
        <w:spacing w:after="0" w:line="286" w:lineRule="auto"/>
        <w:tabs>
          <w:tab w:leader="none" w:pos="2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Refinitiv Direct Transferee</w:t>
      </w:r>
      <w:r>
        <w:rPr>
          <w:rFonts w:ascii="Arial" w:cs="Arial" w:eastAsia="Arial" w:hAnsi="Arial"/>
          <w:sz w:val="17"/>
          <w:szCs w:val="17"/>
          <w:color w:val="auto"/>
        </w:rPr>
        <w:t>” means any person that acquires (other than in a registered public offering) directly from the Refinitiv Equityholders or any of its affiliates or any of their successors or any “group,” or any member of any such group, of which such persons are a party under Rule 13d-5 of the Exchange Act beneficial ownership of 15% or more of the then outstanding voting stock of the Corporation.</w:t>
      </w:r>
    </w:p>
    <w:p>
      <w:pPr>
        <w:spacing w:after="0" w:line="165" w:lineRule="exact"/>
        <w:rPr>
          <w:rFonts w:ascii="Arial" w:cs="Arial" w:eastAsia="Arial" w:hAnsi="Arial"/>
          <w:sz w:val="17"/>
          <w:szCs w:val="17"/>
          <w:color w:val="auto"/>
        </w:rPr>
      </w:pPr>
    </w:p>
    <w:p>
      <w:pPr>
        <w:jc w:val="both"/>
        <w:ind w:firstLine="1953"/>
        <w:spacing w:after="0" w:line="264" w:lineRule="auto"/>
        <w:tabs>
          <w:tab w:leader="none" w:pos="2654"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Indirect Transferee</w:t>
      </w:r>
      <w:r>
        <w:rPr>
          <w:rFonts w:ascii="Arial" w:cs="Arial" w:eastAsia="Arial" w:hAnsi="Arial"/>
          <w:sz w:val="18"/>
          <w:szCs w:val="18"/>
          <w:color w:val="auto"/>
        </w:rPr>
        <w:t>” means any person that acquires (other than in a registered public offering) directly from any Refinitiv Direct Transferee or any other Refinitiv Indirect Transferee beneficial ownership of 15% or more of the then outstanding voting stock of the Corporation.</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w:t>
      </w:r>
      <w:r>
        <w:rPr>
          <w:rFonts w:ascii="Arial" w:cs="Arial" w:eastAsia="Arial" w:hAnsi="Arial"/>
          <w:sz w:val="17"/>
          <w:szCs w:val="17"/>
          <w:color w:val="auto"/>
        </w:rPr>
        <w:t>” means, with respect to any corporation, capital stock and, with respect to any other entity, any equity interest.</w:t>
      </w:r>
    </w:p>
    <w:p>
      <w:pPr>
        <w:spacing w:after="0" w:line="236" w:lineRule="exact"/>
        <w:rPr>
          <w:rFonts w:ascii="Arial" w:cs="Arial" w:eastAsia="Arial" w:hAnsi="Arial"/>
          <w:sz w:val="17"/>
          <w:szCs w:val="17"/>
          <w:color w:val="auto"/>
        </w:rPr>
      </w:pPr>
    </w:p>
    <w:p>
      <w:pPr>
        <w:jc w:val="both"/>
        <w:ind w:firstLine="1953"/>
        <w:spacing w:after="0" w:line="264" w:lineRule="auto"/>
        <w:tabs>
          <w:tab w:leader="none" w:pos="26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Amended and Restated Certificate of Incorporation (including, without limitation, each portion of any paragraph of this Amended and Restated Certificate of Incorporation containing any such provision held to be invalid, illegal or unenforceable that is not itself held to be invalid, illegal or unenforceable) shall not, to the fullest extent permitted by applicable law, in any way be affected or impaired thereby and</w:t>
      </w:r>
    </w:p>
    <w:p>
      <w:pPr>
        <w:spacing w:after="0" w:line="2" w:lineRule="exact"/>
        <w:rPr>
          <w:sz w:val="20"/>
          <w:szCs w:val="20"/>
          <w:color w:val="auto"/>
        </w:rPr>
      </w:pPr>
    </w:p>
    <w:p>
      <w:pPr>
        <w:jc w:val="both"/>
        <w:ind w:firstLine="8"/>
        <w:spacing w:after="0" w:line="254" w:lineRule="auto"/>
        <w:tabs>
          <w:tab w:leader="none" w:pos="27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the provisions of this Amended and Restated Certificate of Incorporation (including, without limitation, each such portion of any paragraph of this Amended and Restated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19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12.2</w:t>
      </w:r>
      <w:r>
        <w:rPr>
          <w:sz w:val="20"/>
          <w:szCs w:val="20"/>
          <w:color w:val="auto"/>
        </w:rPr>
        <w:tab/>
      </w:r>
      <w:r>
        <w:rPr>
          <w:rFonts w:ascii="Arial" w:cs="Arial" w:eastAsia="Arial" w:hAnsi="Arial"/>
          <w:sz w:val="16"/>
          <w:szCs w:val="16"/>
          <w:u w:val="single" w:color="auto"/>
          <w:color w:val="auto"/>
        </w:rPr>
        <w:t>Forum</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0" w:lineRule="auto"/>
        <w:tabs>
          <w:tab w:leader="none" w:pos="19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Unless the Corporation consents in writing to the selection of an alternative forum, (1) any derivative action or proceeding brought on behalf of the Corporation, (2) any action asserting a claim of breach of a fiduciary duty owed by any director, officer, stockholder or employee of the Corporation to the Corporation or the Corporation’s stockholders, (3) any action asserting a claim against the Corporation or any director, officer or stockholder of the Corporation arising pursuant to any provision of the DGCL or this Amended and Restated Certificate of Incorporation or the Bylaws (as either may be amended and/or restated from time to time), or (4) any action asserting a claim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the foregoing exclusive forum provision of this </w:t>
      </w:r>
      <w:r>
        <w:rPr>
          <w:rFonts w:ascii="Arial" w:cs="Arial" w:eastAsia="Arial" w:hAnsi="Arial"/>
          <w:sz w:val="17"/>
          <w:szCs w:val="17"/>
          <w:u w:val="single" w:color="auto"/>
          <w:color w:val="auto"/>
        </w:rPr>
        <w:t>Section 12.2(i)</w:t>
      </w:r>
      <w:r>
        <w:rPr>
          <w:rFonts w:ascii="Arial" w:cs="Arial" w:eastAsia="Arial" w:hAnsi="Arial"/>
          <w:sz w:val="17"/>
          <w:szCs w:val="17"/>
          <w:color w:val="auto"/>
        </w:rPr>
        <w:t xml:space="preserve"> shall not apply to any action brought to enforce any liability or duty created by the Exchange Act, the Securities Act of 1933, as amended, or any other claim for which the federal courts have exclusive jurisdiction.</w:t>
      </w:r>
    </w:p>
    <w:p>
      <w:pPr>
        <w:spacing w:after="0" w:line="181" w:lineRule="exact"/>
        <w:rPr>
          <w:rFonts w:ascii="Arial" w:cs="Arial" w:eastAsia="Arial" w:hAnsi="Arial"/>
          <w:sz w:val="17"/>
          <w:szCs w:val="17"/>
          <w:color w:val="auto"/>
        </w:rPr>
      </w:pPr>
    </w:p>
    <w:p>
      <w:pPr>
        <w:ind w:right="20" w:firstLine="1305"/>
        <w:spacing w:after="0" w:line="277" w:lineRule="auto"/>
        <w:tabs>
          <w:tab w:leader="none" w:pos="19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To the fullest extent permitted by law, any Person purchasing or otherwise acquiring or holding any interest in any shares of capital stock of the Corporation shall be deemed to have notice of and to have consented to the provisions of this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Amended and Restated Certificate of Incorporation, unless the context otherwise requires or as set forth in another Article or Section of this Amended and Restated Certificate of Incorporation, the term:</w:t>
      </w:r>
    </w:p>
    <w:p>
      <w:pPr>
        <w:spacing w:after="0" w:line="170" w:lineRule="exact"/>
        <w:rPr>
          <w:sz w:val="20"/>
          <w:szCs w:val="20"/>
          <w:color w:val="auto"/>
        </w:rPr>
      </w:pPr>
    </w:p>
    <w:p>
      <w:pPr>
        <w:jc w:val="both"/>
        <w:ind w:firstLine="1953"/>
        <w:spacing w:after="0" w:line="255" w:lineRule="auto"/>
        <w:tabs>
          <w:tab w:leader="none" w:pos="2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(and, with a correlative meaning, “</w:t>
      </w:r>
      <w:r>
        <w:rPr>
          <w:rFonts w:ascii="Arial" w:cs="Arial" w:eastAsia="Arial" w:hAnsi="Arial"/>
          <w:sz w:val="18"/>
          <w:szCs w:val="18"/>
          <w:u w:val="single" w:color="auto"/>
          <w:color w:val="auto"/>
        </w:rPr>
        <w:t>Affiliated</w:t>
      </w:r>
      <w:r>
        <w:rPr>
          <w:rFonts w:ascii="Arial" w:cs="Arial" w:eastAsia="Arial" w:hAnsi="Arial"/>
          <w:sz w:val="18"/>
          <w:szCs w:val="18"/>
          <w:color w:val="auto"/>
        </w:rPr>
        <w:t>”) means, with respect to a specified Person, each other Person that directly, or indirectly through one or more intermediaries, controls, is controlled by, or is under common control with, the Person specified. As used in this definition, “control” (including with correlative meanings, “controlled by” and “under common control with”) means possession, directly or indirectly, of the power to direct or cause the direction of management or policies of a Person (whether through ownership of voting securities, by contract or otherwise, including, the ownership, directly or indirectly, of securities having the power to elect a majority of the board of directors or similar body governing the affairs of such Person).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ind w:firstLine="1953"/>
        <w:spacing w:after="0" w:line="264" w:lineRule="auto"/>
        <w:tabs>
          <w:tab w:leader="none" w:pos="27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Holding Company</w:t>
      </w:r>
      <w:r>
        <w:rPr>
          <w:rFonts w:ascii="Arial" w:cs="Arial" w:eastAsia="Arial" w:hAnsi="Arial"/>
          <w:sz w:val="18"/>
          <w:szCs w:val="18"/>
          <w:color w:val="auto"/>
        </w:rPr>
        <w:t>” means any company that is a bank holding company as defined in the BHC Act and its implementing regulations, and any company that is treated as a bank holding company for purposes of section 8 of the International Banking Act of 1978 (12 U.S.C. § 3106).</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w:t>
      </w:r>
      <w:r>
        <w:rPr>
          <w:rFonts w:ascii="Arial" w:cs="Arial" w:eastAsia="Arial" w:hAnsi="Arial"/>
          <w:sz w:val="18"/>
          <w:szCs w:val="18"/>
          <w:color w:val="auto"/>
        </w:rPr>
        <w:t>” means the Bank Holding Company Act of 1956, as amended, 12 U.S.C. § 1841 et seq.</w:t>
      </w:r>
    </w:p>
    <w:p>
      <w:pPr>
        <w:spacing w:after="0" w:line="225" w:lineRule="exact"/>
        <w:rPr>
          <w:rFonts w:ascii="Arial" w:cs="Arial" w:eastAsia="Arial" w:hAnsi="Arial"/>
          <w:sz w:val="18"/>
          <w:szCs w:val="18"/>
          <w:color w:val="auto"/>
        </w:rPr>
      </w:pPr>
    </w:p>
    <w:p>
      <w:pPr>
        <w:ind w:firstLine="1953"/>
        <w:spacing w:after="0" w:line="277" w:lineRule="auto"/>
        <w:tabs>
          <w:tab w:leader="none" w:pos="2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Holder</w:t>
      </w:r>
      <w:r>
        <w:rPr>
          <w:rFonts w:ascii="Arial" w:cs="Arial" w:eastAsia="Arial" w:hAnsi="Arial"/>
          <w:sz w:val="18"/>
          <w:szCs w:val="18"/>
          <w:color w:val="auto"/>
        </w:rPr>
        <w:t>” means a holder of Common Stock that is a Bank Holding Company or an affiliate of a Bank Holding Company within the meaning of the BHC Act or Regulation Y of the Board of Governors of the Federal Reserve, 12 C.F.R. § 225.2(a).</w:t>
      </w:r>
    </w:p>
    <w:p>
      <w:pPr>
        <w:spacing w:after="0" w:line="170" w:lineRule="exact"/>
        <w:rPr>
          <w:rFonts w:ascii="Arial" w:cs="Arial" w:eastAsia="Arial" w:hAnsi="Arial"/>
          <w:sz w:val="18"/>
          <w:szCs w:val="18"/>
          <w:color w:val="auto"/>
        </w:rPr>
      </w:pPr>
    </w:p>
    <w:p>
      <w:pPr>
        <w:ind w:firstLine="1953"/>
        <w:spacing w:after="0" w:line="277" w:lineRule="auto"/>
        <w:tabs>
          <w:tab w:leader="none" w:pos="2699"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or a Sunday or a day on which banks located in New York City, New York generally are authorized or required by law to close.</w:t>
      </w:r>
    </w:p>
    <w:p>
      <w:pPr>
        <w:spacing w:after="0" w:line="170" w:lineRule="exact"/>
        <w:rPr>
          <w:rFonts w:ascii="Arial" w:cs="Arial" w:eastAsia="Arial" w:hAnsi="Arial"/>
          <w:sz w:val="18"/>
          <w:szCs w:val="18"/>
          <w:color w:val="auto"/>
        </w:rPr>
      </w:pPr>
    </w:p>
    <w:p>
      <w:pPr>
        <w:ind w:firstLine="1953"/>
        <w:spacing w:after="0" w:line="277" w:lineRule="auto"/>
        <w:tabs>
          <w:tab w:leader="none" w:pos="2776"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Paired Interest</w:t>
      </w:r>
      <w:r>
        <w:rPr>
          <w:rFonts w:ascii="Arial" w:cs="Arial" w:eastAsia="Arial" w:hAnsi="Arial"/>
          <w:sz w:val="18"/>
          <w:szCs w:val="18"/>
          <w:color w:val="auto"/>
        </w:rPr>
        <w:t>” means one Common Unit together with one share of Class C Common Stock, subject to adjustment pursuant to Section 11.01(f) of the LLC Agreement.</w:t>
      </w:r>
    </w:p>
    <w:p>
      <w:pPr>
        <w:spacing w:after="0" w:line="170" w:lineRule="exact"/>
        <w:rPr>
          <w:rFonts w:ascii="Arial" w:cs="Arial" w:eastAsia="Arial" w:hAnsi="Arial"/>
          <w:sz w:val="18"/>
          <w:szCs w:val="18"/>
          <w:color w:val="auto"/>
        </w:rPr>
      </w:pPr>
    </w:p>
    <w:p>
      <w:pPr>
        <w:ind w:right="20" w:firstLine="1953"/>
        <w:spacing w:after="0" w:line="277" w:lineRule="auto"/>
        <w:tabs>
          <w:tab w:leader="none" w:pos="2776"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D Paired Interest</w:t>
      </w:r>
      <w:r>
        <w:rPr>
          <w:rFonts w:ascii="Arial" w:cs="Arial" w:eastAsia="Arial" w:hAnsi="Arial"/>
          <w:sz w:val="18"/>
          <w:szCs w:val="18"/>
          <w:color w:val="auto"/>
        </w:rPr>
        <w:t>” means one Common Unit together with one share of Class D Common Stock, subject to adjustment pursuant to Section 11.01(g) of the LLC Agreement.</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Unit</w:t>
      </w:r>
      <w:r>
        <w:rPr>
          <w:rFonts w:ascii="Arial" w:cs="Arial" w:eastAsia="Arial" w:hAnsi="Arial"/>
          <w:sz w:val="18"/>
          <w:szCs w:val="18"/>
          <w:color w:val="auto"/>
        </w:rPr>
        <w:t>” means a common interest unit of TWM LLC.</w:t>
      </w:r>
    </w:p>
    <w:p>
      <w:pPr>
        <w:spacing w:after="0" w:line="225" w:lineRule="exact"/>
        <w:rPr>
          <w:rFonts w:ascii="Arial" w:cs="Arial" w:eastAsia="Arial" w:hAnsi="Arial"/>
          <w:sz w:val="18"/>
          <w:szCs w:val="18"/>
          <w:color w:val="auto"/>
        </w:rPr>
      </w:pPr>
    </w:p>
    <w:p>
      <w:pPr>
        <w:jc w:val="both"/>
        <w:ind w:firstLine="1953"/>
        <w:spacing w:after="0" w:line="255" w:lineRule="auto"/>
        <w:tabs>
          <w:tab w:leader="none" w:pos="2857"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 Event</w:t>
      </w:r>
      <w:r>
        <w:rPr>
          <w:rFonts w:ascii="Arial" w:cs="Arial" w:eastAsia="Arial" w:hAnsi="Arial"/>
          <w:sz w:val="18"/>
          <w:szCs w:val="18"/>
          <w:color w:val="auto"/>
        </w:rPr>
        <w:t>” means any merger, consolidation or other business combination of the Corporation, whether effectuated through one transaction or series of related transactions, unless, following such transaction, all or substantially all of the holders of the voting power of all outstanding classes of Common Stock and series of Preferred Stock that are generally entitled to vote in the election of directors prior to such transaction or series of transactions, continue to hold a majority of the voting power of the surviving entity (or its parent) resulting from such transaction or series of transactions in substantially the same proportions relative to the other holders of Common Stock and Preferred Stock as immediately prior to such transaction or series of transactions.</w:t>
      </w:r>
    </w:p>
    <w:p>
      <w:pPr>
        <w:spacing w:after="0" w:line="193" w:lineRule="exact"/>
        <w:rPr>
          <w:rFonts w:ascii="Arial" w:cs="Arial" w:eastAsia="Arial" w:hAnsi="Arial"/>
          <w:sz w:val="18"/>
          <w:szCs w:val="18"/>
          <w:color w:val="auto"/>
        </w:rPr>
      </w:pPr>
    </w:p>
    <w:p>
      <w:pPr>
        <w:jc w:val="both"/>
        <w:ind w:firstLine="1953"/>
        <w:spacing w:after="0" w:line="259" w:lineRule="auto"/>
        <w:tabs>
          <w:tab w:leader="none" w:pos="2686"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 the United States of America, (b) any other sovereign nation, (c) any state, province, district, territory or other political subdivision of clause (a) or (b) of this definition, including any county, municipal or other local subdivision of the foregoing, or (d) any entity exercising executive, legislative, judicial, regulatory or administrative functions of government on behalf of clause (a), (b) or (c) of this definition.</w:t>
      </w:r>
    </w:p>
    <w:p>
      <w:pPr>
        <w:spacing w:after="0" w:line="186" w:lineRule="exact"/>
        <w:rPr>
          <w:rFonts w:ascii="Arial" w:cs="Arial" w:eastAsia="Arial" w:hAnsi="Arial"/>
          <w:sz w:val="18"/>
          <w:szCs w:val="18"/>
          <w:color w:val="auto"/>
        </w:rPr>
      </w:pPr>
    </w:p>
    <w:p>
      <w:pPr>
        <w:ind w:left="2760" w:hanging="807"/>
        <w:spacing w:after="0"/>
        <w:tabs>
          <w:tab w:leader="none" w:pos="27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IPO Date</w:t>
      </w:r>
      <w:r>
        <w:rPr>
          <w:rFonts w:ascii="Arial" w:cs="Arial" w:eastAsia="Arial" w:hAnsi="Arial"/>
          <w:sz w:val="17"/>
          <w:szCs w:val="17"/>
          <w:color w:val="auto"/>
        </w:rPr>
        <w:t>” means the date of the initial closing of the registered initial underwritten public offering of the Class 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Common Stock.</w:t>
      </w:r>
    </w:p>
    <w:p>
      <w:pPr>
        <w:spacing w:after="0" w:line="210" w:lineRule="exact"/>
        <w:rPr>
          <w:rFonts w:ascii="Arial" w:cs="Arial" w:eastAsia="Arial" w:hAnsi="Arial"/>
          <w:sz w:val="17"/>
          <w:szCs w:val="17"/>
          <w:color w:val="auto"/>
        </w:rPr>
      </w:pPr>
    </w:p>
    <w:p>
      <w:pPr>
        <w:jc w:val="both"/>
        <w:ind w:firstLine="1953"/>
        <w:spacing w:after="0" w:line="264" w:lineRule="auto"/>
        <w:tabs>
          <w:tab w:leader="none" w:pos="26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Agreement</w:t>
      </w:r>
      <w:r>
        <w:rPr>
          <w:rFonts w:ascii="Arial" w:cs="Arial" w:eastAsia="Arial" w:hAnsi="Arial"/>
          <w:sz w:val="18"/>
          <w:szCs w:val="18"/>
          <w:color w:val="auto"/>
        </w:rPr>
        <w:t>” means the Fifth Amended and Restated Limited Liability Company Agreement of Tradeweb Markets LLC, by and among TWM LLC, the Corporation and the holders of Common Units and shares of Class C Common Stock and Class D Common Stock, as the same may be amended, restated, supplemented and/or otherwise modified, from time to time.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left="2620" w:hanging="667"/>
        <w:spacing w:after="0"/>
        <w:tabs>
          <w:tab w:leader="none" w:pos="2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Paired Interest</w:t>
      </w:r>
      <w:r>
        <w:rPr>
          <w:rFonts w:ascii="Arial" w:cs="Arial" w:eastAsia="Arial" w:hAnsi="Arial"/>
          <w:sz w:val="18"/>
          <w:szCs w:val="18"/>
          <w:color w:val="auto"/>
        </w:rPr>
        <w:t>” means one Class C Paired Interest or one Class D Paired Interest.</w:t>
      </w:r>
    </w:p>
    <w:p>
      <w:pPr>
        <w:spacing w:after="0" w:line="225" w:lineRule="exact"/>
        <w:rPr>
          <w:rFonts w:ascii="Arial" w:cs="Arial" w:eastAsia="Arial" w:hAnsi="Arial"/>
          <w:sz w:val="18"/>
          <w:szCs w:val="18"/>
          <w:color w:val="auto"/>
        </w:rPr>
      </w:pPr>
    </w:p>
    <w:p>
      <w:pPr>
        <w:jc w:val="both"/>
        <w:ind w:firstLine="1953"/>
        <w:spacing w:after="0" w:line="293" w:lineRule="auto"/>
        <w:tabs>
          <w:tab w:leader="none" w:pos="2632" w:val="left"/>
        </w:tabs>
        <w:numPr>
          <w:ilvl w:val="0"/>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Transferees</w:t>
      </w:r>
      <w:r>
        <w:rPr>
          <w:rFonts w:ascii="Arial" w:cs="Arial" w:eastAsia="Arial" w:hAnsi="Arial"/>
          <w:sz w:val="16"/>
          <w:szCs w:val="16"/>
          <w:color w:val="auto"/>
        </w:rPr>
        <w:t>” means with respect to any holder of Class B Common Stock or Class D Common Stock, (i) who is an entity, such holder’s Affiliates, members, partners, other equity holders or Affiliated investment fund, vehicle or account of such holder (which may include special purpose investment funds, vehicles or accounts controlled by one or more Affiliated investment funds, vehicles or accounts but shall not include portfolio companies other than the Refinitiv Equityholder or its subsidiaries), or (ii) who is an individual, (1) such holder’s spouse, any lineal ascendants or descendants or trusts or other entities in which such holder or holder’s spouse, lineal ascendants or descendants hold (and continue to hold while such trusts or other entities hold Common Units) 50% or more of such entity’s beneficial interests, or (2) by way of bequest or inheritance upon death.</w:t>
      </w:r>
    </w:p>
    <w:p>
      <w:pPr>
        <w:spacing w:after="0" w:line="164" w:lineRule="exact"/>
        <w:rPr>
          <w:rFonts w:ascii="Arial" w:cs="Arial" w:eastAsia="Arial" w:hAnsi="Arial"/>
          <w:sz w:val="16"/>
          <w:szCs w:val="16"/>
          <w:color w:val="auto"/>
        </w:rPr>
      </w:pPr>
    </w:p>
    <w:p>
      <w:pPr>
        <w:ind w:right="20" w:firstLine="1953"/>
        <w:spacing w:after="0" w:line="277" w:lineRule="auto"/>
        <w:tabs>
          <w:tab w:leader="none" w:pos="29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firm, limited liability company, trust, unincorporated organization, association, joint-stock company, joint venture or any Governmental Entity or other entity.</w:t>
      </w:r>
    </w:p>
    <w:p>
      <w:pPr>
        <w:spacing w:after="0" w:line="170" w:lineRule="exact"/>
        <w:rPr>
          <w:rFonts w:ascii="Arial" w:cs="Arial" w:eastAsia="Arial" w:hAnsi="Arial"/>
          <w:sz w:val="18"/>
          <w:szCs w:val="18"/>
          <w:color w:val="auto"/>
        </w:rPr>
      </w:pPr>
    </w:p>
    <w:p>
      <w:pPr>
        <w:jc w:val="both"/>
        <w:ind w:firstLine="1953"/>
        <w:spacing w:after="0" w:line="276" w:lineRule="auto"/>
        <w:tabs>
          <w:tab w:leader="none" w:pos="2821"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Recalculation Event</w:t>
      </w:r>
      <w:r>
        <w:rPr>
          <w:rFonts w:ascii="Arial" w:cs="Arial" w:eastAsia="Arial" w:hAnsi="Arial"/>
          <w:sz w:val="17"/>
          <w:szCs w:val="17"/>
          <w:color w:val="auto"/>
        </w:rPr>
        <w:t>” means the following events or actions (i) the voluntary exchange of any shares of Class B Common Stock for, or automatic conversion of any shares of Class B Common Stock to, shares of Class A Common Stock, (ii) the voluntary exchange of any Class D Common Stock for, or automatic conversion of any shares of Class D Common Stock to, shares of Class C Common Stock, (iii) the redemption (or alternatively, exchange), pursuant to Article XI of the LLC Agreement, of Common Units included in Class D Paired Interests for shares of Class A Common Stock, or (iv) any other event that would cause the Voting Securities held by BHC Holder to exceed the Voting Limit.</w:t>
      </w:r>
    </w:p>
    <w:p>
      <w:pPr>
        <w:spacing w:after="0" w:line="172" w:lineRule="exact"/>
        <w:rPr>
          <w:rFonts w:ascii="Arial" w:cs="Arial" w:eastAsia="Arial" w:hAnsi="Arial"/>
          <w:sz w:val="17"/>
          <w:szCs w:val="17"/>
          <w:color w:val="auto"/>
        </w:rPr>
      </w:pPr>
    </w:p>
    <w:p>
      <w:pPr>
        <w:jc w:val="both"/>
        <w:ind w:firstLine="1953"/>
        <w:spacing w:after="0" w:line="259" w:lineRule="auto"/>
        <w:tabs>
          <w:tab w:leader="none" w:pos="2659"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Equityholder</w:t>
      </w:r>
      <w:r>
        <w:rPr>
          <w:rFonts w:ascii="Arial" w:cs="Arial" w:eastAsia="Arial" w:hAnsi="Arial"/>
          <w:sz w:val="18"/>
          <w:szCs w:val="18"/>
          <w:color w:val="auto"/>
        </w:rPr>
        <w:t>” means Refinitiv Holdings Ltd., an exempted company incorporated with limited liability under the laws of the Cayman Islands, and certain of its direct or indirect subsidiaries (but excluding the Corporation and its subsidiaries) that beneficially own Class B Common Stock and Class D Common Stock as of the date hereof, and any Permitted Transferee of a Refinitiv Equityholder that beneficially owns shares of Common Stock.</w:t>
      </w:r>
    </w:p>
    <w:p>
      <w:pPr>
        <w:spacing w:after="0" w:line="186" w:lineRule="exact"/>
        <w:rPr>
          <w:rFonts w:ascii="Arial" w:cs="Arial" w:eastAsia="Arial" w:hAnsi="Arial"/>
          <w:sz w:val="18"/>
          <w:szCs w:val="18"/>
          <w:color w:val="auto"/>
        </w:rPr>
      </w:pPr>
    </w:p>
    <w:p>
      <w:pPr>
        <w:jc w:val="both"/>
        <w:ind w:firstLine="1953"/>
        <w:spacing w:after="0" w:line="264" w:lineRule="auto"/>
        <w:tabs>
          <w:tab w:leader="none" w:pos="26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Restrictive Covenant Agreement</w:t>
      </w:r>
      <w:r>
        <w:rPr>
          <w:rFonts w:ascii="Arial" w:cs="Arial" w:eastAsia="Arial" w:hAnsi="Arial"/>
          <w:sz w:val="18"/>
          <w:szCs w:val="18"/>
          <w:color w:val="auto"/>
        </w:rPr>
        <w:t>” means that certain Restrictive Covenant Agreement, dated as of the IPO Date, by and among the Corporation, the Company and the other parties named therein, as the same may be amended, restated, supplemented and/or otherwise modified, from time to time.</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6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Amount</w:t>
      </w:r>
      <w:r>
        <w:rPr>
          <w:rFonts w:ascii="Arial" w:cs="Arial" w:eastAsia="Arial" w:hAnsi="Arial"/>
          <w:sz w:val="18"/>
          <w:szCs w:val="18"/>
          <w:color w:val="auto"/>
        </w:rPr>
        <w:t>” means the minimum amount of outstanding shares of Class D Common Stock of a BHC Holder that would need to convert into shares of Class C Common Stock such that the Voting Securities held by the BHC Holder as on the date of such determination after giving effect to the Recalculation Event do not exceed the Voting Limit.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firstLine="1953"/>
        <w:spacing w:after="0" w:line="264" w:lineRule="auto"/>
        <w:tabs>
          <w:tab w:leader="none" w:pos="2753"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means that certain Stockholders Agreement, dated as of the IPO Date, by and among the Corporation and the other parties named therein (together with any joinder thereto from time to time by any successor or assign to any party to such agreement), as the same may be amended, restated, supplemented and/or otherwise modified, from time to time.</w:t>
      </w:r>
    </w:p>
    <w:p>
      <w:pPr>
        <w:spacing w:after="0" w:line="181" w:lineRule="exact"/>
        <w:rPr>
          <w:rFonts w:ascii="Arial" w:cs="Arial" w:eastAsia="Arial" w:hAnsi="Arial"/>
          <w:sz w:val="18"/>
          <w:szCs w:val="18"/>
          <w:color w:val="auto"/>
        </w:rPr>
      </w:pPr>
    </w:p>
    <w:p>
      <w:pPr>
        <w:jc w:val="both"/>
        <w:ind w:firstLine="1953"/>
        <w:spacing w:after="0" w:line="285" w:lineRule="auto"/>
        <w:tabs>
          <w:tab w:leader="none" w:pos="2767" w:val="left"/>
        </w:tabs>
        <w:numPr>
          <w:ilvl w:val="1"/>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of a share of Class B Common Stock or Class D Common Stock means, directly or indirectly, any sale, assignment, transfer, exchange, gift, bequest, pledge, hypothecation or other disposition or encumbrance of such share or any legal or beneficial interest in such share, in whole or in part, whether or not for value and whether voluntary or involuntary or by operation of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following shall not be considered a “Transfer”: (i) the granting of a revocable proxy to officers or directors of the Corporation at the request of the Board in connection with actions to be taken at annual or special meetings of stockholders or in connection with any action by written consent of the stockholders solicited by the Board (at such times as action by written consent of stockholders is permitted under this Amended and Restated Certificate of Incorporation); (ii) entering into a voting trust, agreement or arrangement (with or without granting a proxy) solely with the Corporation and/or its stockholders that (x) is disclosed either in a Schedule 13D filed with the Securities and Exchange Commission or in writing to the Secretary of the Corporation, (y) either has a term not exceeding one (1) year or is terminable by the holder of the shares subject thereto at any time and (z) does not involve any payment of cash, securities, property or other consideration to the holder of the shares subject thereto other than the mutual promise to vote shares in a designated manner; (iii) entering into a customary voting or support agreement (with or without granting a proxy) in connection with any merger, consolidation or other business combination of the Corporation that is approved by the Board, whether effectuated through one transaction or series of related transactions; (iv) the pledge of shares of capital stock of the Corporation by a stockholder that creates a mere security interest in such shares pursuant to a bona fide loan or indebtedness transaction so long as such stockholder continues to exercise sole voting control over such pledged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foreclosure on such shares or other similar action by the pledgee shall constitute a “Transfer” or (v) the fact that the spouse of any holder of Class B Common Stock or Class D Common Stock possesses or obtains an interest in such holder’s shares of Class B Common Stock or Class D Common Stock arising solely by reason of the application of the community property laws of any jurisdiction, so long as no other event or circumstance shall exist or have occurred that constitutes a “Transfer” of such shares of Class B Common Stock or Class D Common Stock.</w:t>
      </w:r>
    </w:p>
    <w:p>
      <w:pPr>
        <w:spacing w:after="0" w:line="391" w:lineRule="exact"/>
        <w:rPr>
          <w:rFonts w:ascii="Arial" w:cs="Arial" w:eastAsia="Arial" w:hAnsi="Arial"/>
          <w:sz w:val="16"/>
          <w:szCs w:val="16"/>
          <w:color w:val="auto"/>
        </w:rPr>
      </w:pPr>
    </w:p>
    <w:p>
      <w:pPr>
        <w:jc w:val="both"/>
        <w:ind w:firstLine="1953"/>
        <w:spacing w:after="0" w:line="288" w:lineRule="auto"/>
        <w:tabs>
          <w:tab w:leader="none" w:pos="2686" w:val="left"/>
        </w:tabs>
        <w:numPr>
          <w:ilvl w:val="1"/>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Triggering Event</w:t>
      </w:r>
      <w:r>
        <w:rPr>
          <w:rFonts w:ascii="Arial" w:cs="Arial" w:eastAsia="Arial" w:hAnsi="Arial"/>
          <w:sz w:val="16"/>
          <w:szCs w:val="16"/>
          <w:color w:val="auto"/>
        </w:rPr>
        <w:t>” means the first date on which the Refinitiv Equityholders cease collectively to beneficially own (as such term is defined in Rule 13d-3 and Rule 13d-5 under the Exchange Act) (i) Common Units (other than Common Units held by the Corporation or its controlled affiliates), and (ii) Common Units corresponding to the shares of Economic Common Stock held in the Corporation, in the case of clauses (i) and</w:t>
      </w: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in the aggregate, represent at least ten percent (10%) of the total issued and outstanding Common Units.</w:t>
      </w:r>
    </w:p>
    <w:p>
      <w:pPr>
        <w:spacing w:after="0" w:line="210" w:lineRule="exact"/>
        <w:rPr>
          <w:rFonts w:ascii="Arial" w:cs="Arial" w:eastAsia="Arial" w:hAnsi="Arial"/>
          <w:sz w:val="18"/>
          <w:szCs w:val="18"/>
          <w:color w:val="auto"/>
        </w:rPr>
      </w:pPr>
    </w:p>
    <w:p>
      <w:pPr>
        <w:ind w:left="2620" w:hanging="667"/>
        <w:spacing w:after="0"/>
        <w:tabs>
          <w:tab w:leader="none" w:pos="2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TWM LLC</w:t>
      </w:r>
      <w:r>
        <w:rPr>
          <w:rFonts w:ascii="Arial" w:cs="Arial" w:eastAsia="Arial" w:hAnsi="Arial"/>
          <w:sz w:val="18"/>
          <w:szCs w:val="18"/>
          <w:color w:val="auto"/>
        </w:rPr>
        <w:t>” means Tradeweb Markets LLC, a Delaware limited liability company, or any successor thereto.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ind w:firstLine="1953"/>
        <w:spacing w:after="0" w:line="259" w:lineRule="auto"/>
        <w:tabs>
          <w:tab w:leader="none" w:pos="2686"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Limit</w:t>
      </w:r>
      <w:r>
        <w:rPr>
          <w:rFonts w:ascii="Arial" w:cs="Arial" w:eastAsia="Arial" w:hAnsi="Arial"/>
          <w:sz w:val="18"/>
          <w:szCs w:val="18"/>
          <w:color w:val="auto"/>
        </w:rPr>
        <w:t>” means 4.9% of the combined voting power of the outstanding shares of Voting Securities issued by the Corporation that vote together as a single class on all matters for which the shares have voting rights other than matters that affect solely the rights or preferences of the shares, as calculated under the BHC Act and the Federal Reserve Board’s Regulation Y and including shares held by any affiliates as defined in the BHC Act.</w:t>
      </w:r>
    </w:p>
    <w:p>
      <w:pPr>
        <w:spacing w:after="0" w:line="186" w:lineRule="exact"/>
        <w:rPr>
          <w:rFonts w:ascii="Arial" w:cs="Arial" w:eastAsia="Arial" w:hAnsi="Arial"/>
          <w:sz w:val="18"/>
          <w:szCs w:val="18"/>
          <w:color w:val="auto"/>
        </w:rPr>
      </w:pPr>
    </w:p>
    <w:p>
      <w:pPr>
        <w:ind w:firstLine="1953"/>
        <w:spacing w:after="0" w:line="342" w:lineRule="auto"/>
        <w:tabs>
          <w:tab w:leader="none" w:pos="2605" w:val="left"/>
        </w:tabs>
        <w:numPr>
          <w:ilvl w:val="0"/>
          <w:numId w:val="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Securities</w:t>
      </w:r>
      <w:r>
        <w:rPr>
          <w:rFonts w:ascii="Arial" w:cs="Arial" w:eastAsia="Arial" w:hAnsi="Arial"/>
          <w:sz w:val="16"/>
          <w:szCs w:val="16"/>
          <w:color w:val="auto"/>
        </w:rPr>
        <w:t>” means, at any time, the outstanding shares of any class of shares of Common Stock of the Corporation and any and all other equity securities of the Corporation that may be issued from time to time, which are then entitled to vote in the election of directors.</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12.4. </w:t>
      </w:r>
      <w:r>
        <w:rPr>
          <w:rFonts w:ascii="Arial" w:cs="Arial" w:eastAsia="Arial" w:hAnsi="Arial"/>
          <w:sz w:val="16"/>
          <w:szCs w:val="16"/>
          <w:u w:val="single" w:color="auto"/>
          <w:color w:val="auto"/>
        </w:rPr>
        <w:t>General</w:t>
      </w:r>
      <w:r>
        <w:rPr>
          <w:rFonts w:ascii="Arial" w:cs="Arial" w:eastAsia="Arial" w:hAnsi="Arial"/>
          <w:sz w:val="16"/>
          <w:szCs w:val="16"/>
          <w:color w:val="auto"/>
        </w:rPr>
        <w:t>. When the terms of this Amended and Restated Certificate of Incorporation refer to a specific agreement or other document or a decision by any Person that determines the meaning or operation of a provision hereof, the Corporation shall maintain a copy of such agreement, document or decision at the principal executive offices of the Corporation and a copy thereof will be provided free of charge to any stockholder who makes a request therefor. Unless expressly provided herein or the context otherwise requires,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w:t>
      </w:r>
    </w:p>
    <w:p>
      <w:pPr>
        <w:spacing w:after="0" w:line="165" w:lineRule="exact"/>
        <w:rPr>
          <w:sz w:val="20"/>
          <w:szCs w:val="20"/>
          <w:color w:val="auto"/>
        </w:rPr>
      </w:pPr>
    </w:p>
    <w:p>
      <w:pPr>
        <w:jc w:val="center"/>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firstLine="648"/>
        <w:spacing w:after="0" w:line="280" w:lineRule="auto"/>
        <w:rPr>
          <w:sz w:val="20"/>
          <w:szCs w:val="20"/>
          <w:color w:val="auto"/>
        </w:rPr>
      </w:pPr>
      <w:r>
        <w:rPr>
          <w:rFonts w:ascii="Arial" w:cs="Arial" w:eastAsia="Arial" w:hAnsi="Arial"/>
          <w:sz w:val="18"/>
          <w:szCs w:val="18"/>
          <w:color w:val="auto"/>
        </w:rPr>
        <w:t>IN WITNESS WHEREOF, the Corporation has caused this Amended and Restated Certificate of Incorporation to be signed by its duly authorized officer this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day of April, 2019.</w:t>
      </w:r>
    </w:p>
    <w:p>
      <w:pPr>
        <w:spacing w:after="0" w:line="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TRADEWEB MARKETS INC.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Lee Olesky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[Tradeweb Markets Inc.– Signature Page to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908" w:right="4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and registered agent of Tradeweb Markets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in the State of Delaware shall be as set forth in the Corporation’s certificate of incorporation as then in effect (as the same may be amended and/or restated from time to time, the “</w:t>
      </w:r>
      <w:r>
        <w:rPr>
          <w:rFonts w:ascii="Arial" w:cs="Arial" w:eastAsia="Arial" w:hAnsi="Arial"/>
          <w:sz w:val="18"/>
          <w:szCs w:val="18"/>
          <w:u w:val="single" w:color="auto"/>
          <w:color w:val="auto"/>
        </w:rPr>
        <w:t>Amended and Restated Certificate of Incorporation</w:t>
      </w:r>
      <w:r>
        <w:rPr>
          <w:rFonts w:ascii="Arial" w:cs="Arial" w:eastAsia="Arial" w:hAnsi="Arial"/>
          <w:sz w:val="18"/>
          <w:szCs w:val="18"/>
          <w:color w:val="auto"/>
        </w:rPr>
        <w:t>”). The Corporation may also have offices in such other places in the United States or elsewhere (and may change the Corporation’s registered agent) as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may, from time to time, determine or as the business of the Corporation may require as determined by any officer of the Corporation.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Annual Meetings</w:t>
      </w:r>
      <w:r>
        <w:rPr>
          <w:rFonts w:ascii="Arial" w:cs="Arial" w:eastAsia="Arial" w:hAnsi="Arial"/>
          <w:sz w:val="17"/>
          <w:szCs w:val="17"/>
          <w:color w:val="auto"/>
        </w:rPr>
        <w:t xml:space="preserve">. Annual meetings of stockholders may be held at such place, if any, either within or without the State of Delaware, and at such time and date as the Board (or its designee) shall determine and state in the notice of meeting. The Board may, in its sole discretion, determine that annual meetings of stockholders shall not be held at any place, but may instead be held solely by means of remote communication as described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 accordance with Section 211(a)(2)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The Board may postpone, reschedule or cancel any annual meeting of stockholders previously scheduled by the Board.</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Special Meetings</w:t>
      </w:r>
      <w:r>
        <w:rPr>
          <w:rFonts w:ascii="Arial" w:cs="Arial" w:eastAsia="Arial" w:hAnsi="Arial"/>
          <w:sz w:val="18"/>
          <w:szCs w:val="18"/>
          <w:color w:val="auto"/>
        </w:rPr>
        <w:t xml:space="preserve">. Special meetings of the stockholders may only be called in the manner provided in the Amended and Restated Certificate of Incorporation and may be held at such place, if any, either within or without the State of Delaware, and at such time and date as the Board or the Chairman of the Board shall determine and state in the notice of such meeting. The Board may, in its sole discretion, determine that special meetings of stockholders shall not be held at any place, but may instead be held solely by means of remote communication as described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accordance with Section 211(a)(2) of the DGCL. The Board may postpone, reschedule or cancel any special meeting of stockholders previously scheduled by the Board or the Chairman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special meeting of stockholders previously scheduled by the Board or the Chairman of the Board at the request of the Refinitiv Equityholders (as defined in the Amended and Restated Certificate of Incorporation), except as otherwise provided by law, the Board shall not postpone, reschedule or cancel such special meeting without the prior written consent of the Refinitiv Equityholders.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2" w:name="page33"/>
    <w:bookmarkEnd w:id="32"/>
    <w:p>
      <w:pPr>
        <w:ind w:left="660"/>
        <w:spacing w:after="0"/>
        <w:tabs>
          <w:tab w:leader="none" w:pos="19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Notice of Stockholder Business and Nominations</w:t>
      </w:r>
      <w:r>
        <w:rPr>
          <w:rFonts w:ascii="Arial" w:cs="Arial" w:eastAsia="Arial" w:hAnsi="Arial"/>
          <w:sz w:val="16"/>
          <w:szCs w:val="16"/>
          <w:color w:val="auto"/>
        </w:rPr>
        <w:t>.</w:t>
      </w:r>
    </w:p>
    <w:p>
      <w:pPr>
        <w:spacing w:after="0" w:line="225" w:lineRule="exact"/>
        <w:rPr>
          <w:sz w:val="20"/>
          <w:szCs w:val="20"/>
          <w:color w:val="auto"/>
        </w:rPr>
      </w:pPr>
    </w:p>
    <w:p>
      <w:pPr>
        <w:ind w:left="1980" w:hanging="675"/>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55" w:lineRule="auto"/>
        <w:tabs>
          <w:tab w:leader="none" w:pos="2607"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Nominations of persons for election to the Board and the proposal of other business to be considered by the stockholders may be made at an annual meeting of stockholders only (a) as provided in the Stockholders Agreement (as defined in the Amended and Restated Certificate of Incorporation) (with respect to nominations of persons for election to the Board only), (b) pursuant to the Corporation’s notice of meeting (or any supplement thereto) delivered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(c) by or at the direction of the Board or any authorized committee thereof or (d) by any stockholder of the Corporation who is entitled to vote at the meeting, who, subject to </w:t>
      </w:r>
      <w:r>
        <w:rPr>
          <w:rFonts w:ascii="Arial" w:cs="Arial" w:eastAsia="Arial" w:hAnsi="Arial"/>
          <w:sz w:val="18"/>
          <w:szCs w:val="18"/>
          <w:u w:val="single" w:color="auto"/>
          <w:color w:val="auto"/>
        </w:rPr>
        <w:t>paragraph (C)(4)</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complied with the notice procedures set forth in </w:t>
      </w:r>
      <w:r>
        <w:rPr>
          <w:rFonts w:ascii="Arial" w:cs="Arial" w:eastAsia="Arial" w:hAnsi="Arial"/>
          <w:sz w:val="18"/>
          <w:szCs w:val="18"/>
          <w:u w:val="single" w:color="auto"/>
          <w:color w:val="auto"/>
        </w:rPr>
        <w:t>paragraph (A)(2)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paragraph (A)(3)</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and who was a stockholder of record at the time such notice is delivered to the Secretary of the Corporation.</w:t>
      </w:r>
    </w:p>
    <w:p>
      <w:pPr>
        <w:spacing w:after="0" w:line="189" w:lineRule="exact"/>
        <w:rPr>
          <w:rFonts w:ascii="Arial" w:cs="Arial" w:eastAsia="Arial" w:hAnsi="Arial"/>
          <w:sz w:val="18"/>
          <w:szCs w:val="18"/>
          <w:color w:val="auto"/>
        </w:rPr>
      </w:pPr>
    </w:p>
    <w:p>
      <w:pPr>
        <w:jc w:val="both"/>
        <w:ind w:firstLine="1953"/>
        <w:spacing w:after="0" w:line="283" w:lineRule="auto"/>
        <w:tabs>
          <w:tab w:leader="none" w:pos="2569"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For nominations or other business to be properly brought before an annual meeting by a stockholder pursuant to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paragraph (A)(1)</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the stockholder must have given timely notice thereof in writing to the Secretary of the Corporation, and, in the case of business other than nominations of persons for election to the Board, such other business must constitute a proper matter for stockholder action. To be timely, a stockholder’s notice shall be delivered to the Secretary of the Corporation at the principal executive offices of the Corporation not less than ninety (90) days nor more than one hundred and twenty (120) days prior to the first anniversary of the preceding year’s annual meeting (which date shall, for purposes of the Corporation’s first annual meeting of stockholders after its shares of Class A Common Stock (as defined herein) are first publicly traded, be deemed to have occurred on April 30, 2019);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date of the annual meeting is advanced by more than thirty (30) days, or delayed by more than seventy (70) days, from the anniversary date of the previous year’s meeting, or except in the case of the first annual meeting of stockholders after its shares of Class A Common Stock are first publicly traded, if no annual meeting was held in the preceding year, notice by the stockholder to be timely must be so delivered not earlier than the close of business on the one hundred and twentieth (120th) day prior to such annual meeting and not later than the close of</w:t>
      </w:r>
    </w:p>
    <w:p>
      <w:pPr>
        <w:spacing w:after="0" w:line="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business on the later of the ninetieth (90th) day prior to such annual meeting or the tenth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(as defined herein) of the date of such meeting is first made by the Corporation. Public announcement of an adjournment or postponement of an annual meeting shall not commence a new time period (or extend any time period) for the giving of a stockholder’s notice. Notwithstanding anything in this </w:t>
      </w:r>
      <w:r>
        <w:rPr>
          <w:rFonts w:ascii="Arial" w:cs="Arial" w:eastAsia="Arial" w:hAnsi="Arial"/>
          <w:sz w:val="16"/>
          <w:szCs w:val="16"/>
          <w:u w:val="single" w:color="auto"/>
          <w:color w:val="auto"/>
        </w:rPr>
        <w:t>Section 3(A)(2)</w:t>
      </w:r>
      <w:r>
        <w:rPr>
          <w:rFonts w:ascii="Arial" w:cs="Arial" w:eastAsia="Arial" w:hAnsi="Arial"/>
          <w:sz w:val="16"/>
          <w:szCs w:val="16"/>
          <w:color w:val="auto"/>
        </w:rPr>
        <w:t xml:space="preserve"> to the contrary, if the number of directors to be elected to the Board at an annual meeting is increased, and there is no public announcement by the Corporation naming all of the nominees for director or specifying the size of the increased Board at least one hundred (100) calendar days prior to the first anniversary of the prior year’s annual meeting of stockholders, then a stockholder’s notice required by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be considered timely, but only with respect to nominees for any new positions created by such increase, if it is received by the Secretary of the Corporation not later than the close of business on the tenth (10</w:t>
      </w:r>
      <w:r>
        <w:rPr>
          <w:rFonts w:ascii="Arial" w:cs="Arial" w:eastAsia="Arial" w:hAnsi="Arial"/>
          <w:sz w:val="26"/>
          <w:szCs w:val="26"/>
          <w:color w:val="auto"/>
          <w:vertAlign w:val="superscript"/>
        </w:rPr>
        <w:t>th</w:t>
      </w:r>
      <w:r>
        <w:rPr>
          <w:rFonts w:ascii="Arial" w:cs="Arial" w:eastAsia="Arial" w:hAnsi="Arial"/>
          <w:sz w:val="16"/>
          <w:szCs w:val="16"/>
          <w:color w:val="auto"/>
        </w:rPr>
        <w:t>) calendar day following the day on which such public announcement is first made by the Corporation.</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ind w:left="-8" w:firstLine="1953"/>
        <w:spacing w:after="0" w:line="283" w:lineRule="auto"/>
        <w:tabs>
          <w:tab w:leader="none" w:pos="2671"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A stockholder’s notice delivered pursuant to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set forth: (a) 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Section 14(a)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promulgated thereunder, including such person’s written consent to being named in the proxy statement as a nominee of the stockholder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 such business of such stockholder and the beneficial owner, if any, on whose behalf the proposal is made; (c) as to the stockholder giving the notice and the beneficial owner, if any, on whose behalf the nomination or proposal is made</w:t>
      </w:r>
    </w:p>
    <w:p>
      <w:pPr>
        <w:spacing w:after="0" w:line="6" w:lineRule="exact"/>
        <w:rPr>
          <w:rFonts w:ascii="Arial" w:cs="Arial" w:eastAsia="Arial" w:hAnsi="Arial"/>
          <w:sz w:val="16"/>
          <w:szCs w:val="16"/>
          <w:color w:val="auto"/>
        </w:rPr>
      </w:pPr>
    </w:p>
    <w:p>
      <w:pPr>
        <w:jc w:val="both"/>
        <w:ind w:left="-8" w:firstLine="8"/>
        <w:spacing w:after="0" w:line="283" w:lineRule="auto"/>
        <w:tabs>
          <w:tab w:leader="none" w:pos="211"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name and address of such stockholder, as they appear on the Corporation’s books and records, and of such beneficial owner, (ii) the class or series and number of shares of capital stock of the Corporation that are owned, directly or indirectly, beneficially and of record by such stockholder and such beneficial owner, (iii) a representation that the stockholder is a holder of record of the stock of the Corporation at the time of the giving of the notice, will be entitled to vote at such meeting and will appear in person or by proxy at the meeting to propose such business or nomination, (iv) a representation whether the stockholder or the beneficial owner, if any, will be or is part of a group that will (x) deliver a proxy statement and/or form of proxy to holders of at least the percentage of the voting power of the Corporation’s outstanding capital stock required to approve or adopt the proposal or elect the nominee and/or (y) otherwise solicit proxies or votes from stockholders in support of such proposal or nomination, (v) a certification regarding whether such stockholder and beneficial owner, if any, have complied with all applicable federal, state and other legal requirements in connection with the stockholder’s and/or beneficial owner’s acquisition of shares of capital stock or other securities of the Corporation and/or the stockholder’s and/or beneficial owner’s acts or omissions as a stockholder of the Corporation and (vi)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(d) a description of any agreement, arrangement or understanding with respect to the nomination or proposal and/or the voting of shares of any class or series of stock of the Corporation between or among the stockholder giving the notice, the beneficial owner, if any, on whose behalf the nomination or proposal is made, any of their respective affiliates or associates and/or any others acting in concert with any of the foregoing (collectively, “</w:t>
      </w:r>
      <w:r>
        <w:rPr>
          <w:rFonts w:ascii="Arial" w:cs="Arial" w:eastAsia="Arial" w:hAnsi="Arial"/>
          <w:sz w:val="16"/>
          <w:szCs w:val="16"/>
          <w:u w:val="single" w:color="auto"/>
          <w:color w:val="auto"/>
        </w:rPr>
        <w:t>proponent persons</w:t>
      </w:r>
      <w:r>
        <w:rPr>
          <w:rFonts w:ascii="Arial" w:cs="Arial" w:eastAsia="Arial" w:hAnsi="Arial"/>
          <w:sz w:val="16"/>
          <w:szCs w:val="16"/>
          <w:color w:val="auto"/>
        </w:rPr>
        <w:t xml:space="preserve">”); and (e) a description of any agreement, arrangement or understanding (including without limitation any contract to purchase or sell, acquisition or grant of any option, right or warrant to purchase or sell, swap or other instrument) to which any proponent person is a party, the intent or effect of which may be (i) to transfer to or from any proponent person, in whole or in part, any of the economic consequences of ownership of any security of the Corporation, (ii) to increase or decrease the voting power of any proponent person with respect to shares of any class or series of stock of the Corporation and/or (iii) to provide any proponent person, directly or indirectly, with the opportunity to profit or share in any profit derived from, or to otherwise benefit economically from, any increase or decrease in the value of any security of the Corporation. A stockholder providing notice of a proposed nomination for election to the Board or other business proposed to be brought before a meeting (whether given pursuant to this </w:t>
      </w:r>
      <w:r>
        <w:rPr>
          <w:rFonts w:ascii="Arial" w:cs="Arial" w:eastAsia="Arial" w:hAnsi="Arial"/>
          <w:sz w:val="16"/>
          <w:szCs w:val="16"/>
          <w:u w:val="single" w:color="auto"/>
          <w:color w:val="auto"/>
        </w:rPr>
        <w:t>paragraph (A)(3)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update and supplement such notice from time to time to the extent necessary so that the information provided or required to be provided in such notice shall be true and correct (x) as of the record date for determining the stockholders entitled to notice of the meeting and (y) as of the date that is fifteen (15) days prior to the meeting or any adjournment or postponement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record date for determining the stockholders entitled to vote at the meeting is less than fifteen (15) days prior to the meeting or any adjournment or postponement thereof, the information shall be supplemented and updated as of such later date. Any such update and supplement shall be delivered in writing to the Secretary of the Corporation at the principal executive offices of the Corporation not later than five (5) days after the record date for determining the stockholders entitled to notice of the meeting (in the case of any update and supplement required to be made as of the record date for determining the stockholders entitled to notice of the meeting), not later than ten (10) days prior to the date for the meeting or any adjournment or postponement thereof (in the case of any update or supplement required to be made as of fifteen (15) days prior to the meeting or adjournment or postponement thereof) and not later than five (5) days after the record date for determining the stockholders entitled to vote at the meeting, but no later than the day prior to the meeting or any adjournment or postponement thereof (in the case of any update and supplement required to be made as of a date less than fifteen (15) days prior to the date of the meeting or any adjournment or postponement thereof). The Corporation may require any proposed nominee to furnish such other information as it may reasonably require to determine the eligibility of such proposed nominee to serve as a director of the Corporation and to determine the independence of such director under the Exchange Act and rules and regulations thereunder and applicable stock exchange rules.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4" w:name="page35"/>
    <w:bookmarkEnd w:id="34"/>
    <w:p>
      <w:pPr>
        <w:jc w:val="both"/>
        <w:ind w:firstLine="1305"/>
        <w:spacing w:after="0" w:line="283" w:lineRule="auto"/>
        <w:tabs>
          <w:tab w:leader="none" w:pos="2091"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xml:space="preserve">. Only such business (including the election of specific individuals to fill vacancies or newly created directorships on the Board, subject to Section 7.1(ii) of the Amended and Restated Certificate of Incorporation)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(1) as provided in the Stockholders Agreement, (2) by or at the direction of the Board or any committee thereof or (3) provided that the Board (at the request of the Refinitiv Equityholders pursuant to Section 9.2 of Article IX of the Amended and Restated Certificate of Incorporation) has determined that directors shall be elected at such meeting, by any stockholder of the Corporation who is entitled to vote at the meeting, who (subject to </w:t>
      </w:r>
      <w:r>
        <w:rPr>
          <w:rFonts w:ascii="Arial" w:cs="Arial" w:eastAsia="Arial" w:hAnsi="Arial"/>
          <w:sz w:val="16"/>
          <w:szCs w:val="16"/>
          <w:u w:val="single" w:color="auto"/>
          <w:color w:val="auto"/>
        </w:rPr>
        <w:t>paragraph (C)(4)</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complies with the notice procedures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and who is a stockholder of record at the time such notice is delivered to the Secretary of the Corporation. In the event the Corporation calls a special meeting of stockholders for the purpose of electing one or more directors to the Board, any such stockholder entitled to vote in such election of directors may nominate a person or persons (as the case may be) for election to such position(s) as specified in the Corporation’s notice of meeting if the stockholder’s notice as required by </w:t>
      </w:r>
      <w:r>
        <w:rPr>
          <w:rFonts w:ascii="Arial" w:cs="Arial" w:eastAsia="Arial" w:hAnsi="Arial"/>
          <w:sz w:val="16"/>
          <w:szCs w:val="16"/>
          <w:u w:val="single" w:color="auto"/>
          <w:color w:val="auto"/>
        </w:rPr>
        <w:t>paragraph (A)(2)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be delivered to the Secretary at the principal executive offices of the Corporation not earlier than the close of business on the one hundred and twentieth (120th) day prior to such special meeting</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and not later than the close of business on the later of the ninetieth (90th) day prior to such special meeting or the tenth (10</w:t>
      </w:r>
      <w:r>
        <w:rPr>
          <w:rFonts w:ascii="Arial" w:cs="Arial" w:eastAsia="Arial" w:hAnsi="Arial"/>
          <w:sz w:val="30"/>
          <w:szCs w:val="30"/>
          <w:color w:val="auto"/>
          <w:vertAlign w:val="superscript"/>
        </w:rPr>
        <w:t>th</w:t>
      </w:r>
      <w:r>
        <w:rPr>
          <w:rFonts w:ascii="Arial" w:cs="Arial" w:eastAsia="Arial" w:hAnsi="Arial"/>
          <w:sz w:val="18"/>
          <w:szCs w:val="18"/>
          <w:color w:val="auto"/>
        </w:rPr>
        <w:t>) day following the day on which the Corporation first makes a public announcement of the date of the special meeting and of the nominees proposed by the Board to be elected at such meeting. In no event shall the public announcement of an adjournment or postponement of a special meeting commence a new time period (or extend any time period) for the giving of a stockholder’s notice as described above.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left="1952" w:hanging="655"/>
        <w:spacing w:after="0"/>
        <w:tabs>
          <w:tab w:leader="none" w:pos="1952"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1953"/>
        <w:spacing w:after="0" w:line="283" w:lineRule="auto"/>
        <w:tabs>
          <w:tab w:leader="none" w:pos="2655" w:val="left"/>
        </w:tabs>
        <w:numPr>
          <w:ilvl w:val="2"/>
          <w:numId w:val="47"/>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paragraph (C)(4)</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only such persons who are nominated in accordance with the procedures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the Stockholders Agreement shall be eligible to serve as directors and only such business shall be conducted at an annual or special meeting of stockholders as shall have been brought before the meeting in accordance with the procedures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Except as otherwise provided by law, the Amended and Restated Certificate of Incorporation or these Bylaws, the chairman of the meeting shall, in addition to making any other determination that may be appropriate for the conduct of the meeting,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be disregarded. The date and time of the opening and the closing of the polls for each matter upon which the stockholders will vote at a meeting shall be announced at the meeting by the chairman of the meeting. The Board may adopt by resolution such rules and regulations for the conduct of the meeting of stockholders as it shall deem appropriate. Except to the extent inconsistent with such rules and regulations as adopted by the Board, the chairman of the meeting shall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chairman of the meeting shall determine; (iv) restrictions on entry to the meeting after the time fixed for the commencement thereof; and</w:t>
      </w:r>
    </w:p>
    <w:p>
      <w:pPr>
        <w:jc w:val="both"/>
        <w:ind w:left="-8" w:firstLine="8"/>
        <w:spacing w:after="0" w:line="268" w:lineRule="auto"/>
        <w:tabs>
          <w:tab w:leader="none" w:pos="256"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limitations on the time allotted to questions or comments by participants and on shareholder approvals. Notwithstanding the foregoing provisions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unless otherwise required by law,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 For purposes of this </w:t>
      </w:r>
      <w:r>
        <w:rPr>
          <w:rFonts w:ascii="Arial" w:cs="Arial" w:eastAsia="Arial" w:hAnsi="Arial"/>
          <w:sz w:val="17"/>
          <w:szCs w:val="17"/>
          <w:u w:val="single" w:color="auto"/>
          <w:color w:val="auto"/>
        </w:rPr>
        <w:t>Section 3</w:t>
      </w:r>
      <w:r>
        <w:rPr>
          <w:rFonts w:ascii="Arial" w:cs="Arial" w:eastAsia="Arial" w:hAnsi="Arial"/>
          <w:sz w:val="17"/>
          <w:szCs w:val="17"/>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Unless and to the extent determined by the Board or the chairman of the meeting, the meeting of stockholders shall not be required to be held in accordance with the rules of parliamentary procedure.</w:t>
      </w:r>
    </w:p>
    <w:p>
      <w:pPr>
        <w:spacing w:after="0" w:line="182" w:lineRule="exact"/>
        <w:rPr>
          <w:rFonts w:ascii="Arial" w:cs="Arial" w:eastAsia="Arial" w:hAnsi="Arial"/>
          <w:sz w:val="17"/>
          <w:szCs w:val="17"/>
          <w:color w:val="auto"/>
        </w:rPr>
      </w:pPr>
    </w:p>
    <w:p>
      <w:pPr>
        <w:jc w:val="both"/>
        <w:ind w:left="-8" w:firstLine="1953"/>
        <w:spacing w:after="0" w:line="302" w:lineRule="auto"/>
        <w:tabs>
          <w:tab w:leader="none" w:pos="2731" w:val="left"/>
        </w:tabs>
        <w:numPr>
          <w:ilvl w:val="2"/>
          <w:numId w:val="48"/>
        </w:numPr>
        <w:rPr>
          <w:rFonts w:ascii="Arial" w:cs="Arial" w:eastAsia="Arial" w:hAnsi="Arial"/>
          <w:sz w:val="16"/>
          <w:szCs w:val="16"/>
          <w:color w:val="auto"/>
        </w:rPr>
      </w:pPr>
      <w:r>
        <w:rPr>
          <w:rFonts w:ascii="Arial" w:cs="Arial" w:eastAsia="Arial" w:hAnsi="Arial"/>
          <w:sz w:val="16"/>
          <w:szCs w:val="16"/>
          <w:color w:val="auto"/>
        </w:rPr>
        <w:t>Whenever used in these Bylaws, “</w:t>
      </w:r>
      <w:r>
        <w:rPr>
          <w:rFonts w:ascii="Arial" w:cs="Arial" w:eastAsia="Arial" w:hAnsi="Arial"/>
          <w:sz w:val="16"/>
          <w:szCs w:val="16"/>
          <w:u w:val="single" w:color="auto"/>
          <w:color w:val="auto"/>
        </w:rPr>
        <w:t>public announcement</w:t>
      </w:r>
      <w:r>
        <w:rPr>
          <w:rFonts w:ascii="Arial" w:cs="Arial" w:eastAsia="Arial" w:hAnsi="Arial"/>
          <w:sz w:val="16"/>
          <w:szCs w:val="16"/>
          <w:color w:val="auto"/>
        </w:rPr>
        <w:t xml:space="preserve">” shall mean disclosure (a) in a press release released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press release is released by the Corporation following its customary procedures, is reported by the Dow Jones News Service, Associated Press or comparable national news service, or is generally available on internet news sites, or (b) in a document publicly filed by the Corporation with the Securities and Exchange Commission pursuant to Section 13, 14 or 15(d) of the Exchange Act and the rules and regulations promulgated thereunder.</w:t>
      </w:r>
    </w:p>
    <w:p>
      <w:pPr>
        <w:spacing w:after="0" w:line="3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6" w:name="page37"/>
    <w:bookmarkEnd w:id="36"/>
    <w:p>
      <w:pPr>
        <w:jc w:val="both"/>
        <w:ind w:firstLine="1953"/>
        <w:spacing w:after="0" w:line="271" w:lineRule="auto"/>
        <w:tabs>
          <w:tab w:leader="none" w:pos="2892"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Notwithstanding the foregoing provisions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 stockholder shall also comply with all applicable requirements of the Exchange Act and the rules and regulations promulgated thereunder with respect to the matters set forth in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fullest extent permitted by law, any references in these Bylaws to the Exchange Act or the rules and regulations promulgated thereunder are not intended to and shall not limit any requirements applicable to nominations or proposals as to any other business to be considered pursuant to these Bylaws (including </w:t>
      </w:r>
      <w:r>
        <w:rPr>
          <w:rFonts w:ascii="Arial" w:cs="Arial" w:eastAsia="Arial" w:hAnsi="Arial"/>
          <w:sz w:val="17"/>
          <w:szCs w:val="17"/>
          <w:u w:val="single" w:color="auto"/>
          <w:color w:val="auto"/>
        </w:rPr>
        <w:t>paragraph (A)(1)(d)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and compliance with </w:t>
      </w:r>
      <w:r>
        <w:rPr>
          <w:rFonts w:ascii="Arial" w:cs="Arial" w:eastAsia="Arial" w:hAnsi="Arial"/>
          <w:sz w:val="17"/>
          <w:szCs w:val="17"/>
          <w:u w:val="single" w:color="auto"/>
          <w:color w:val="auto"/>
        </w:rPr>
        <w:t>paragraph (A)(1)(d)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these Bylaws shall be the exclusive means for a stockholder to make nominations or submit other business. Nothing in these Bylaws shall be deemed to affect any rights of the holders of any class or series of stock having a preference over the Common Stock (as defined in the Amended and Restated Certificate of Incorporation) as to dividends or upon liquidation to elect directors under specified circumstances.</w:t>
      </w:r>
    </w:p>
    <w:p>
      <w:pPr>
        <w:spacing w:after="0" w:line="178" w:lineRule="exact"/>
        <w:rPr>
          <w:rFonts w:ascii="Arial" w:cs="Arial" w:eastAsia="Arial" w:hAnsi="Arial"/>
          <w:sz w:val="17"/>
          <w:szCs w:val="17"/>
          <w:color w:val="auto"/>
        </w:rPr>
      </w:pPr>
    </w:p>
    <w:p>
      <w:pPr>
        <w:jc w:val="both"/>
        <w:ind w:firstLine="1953"/>
        <w:spacing w:after="0" w:line="259" w:lineRule="auto"/>
        <w:tabs>
          <w:tab w:leader="none" w:pos="26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for as long as the Stockholders Agreement remains in effect with respect to the Refinitiv Equityholders, the Refinitiv Equityholders (to the extent then subject to the Stockholders Agreement) shall not be subject to the notice procedures set forth in </w:t>
      </w:r>
      <w:r>
        <w:rPr>
          <w:rFonts w:ascii="Arial" w:cs="Arial" w:eastAsia="Arial" w:hAnsi="Arial"/>
          <w:sz w:val="18"/>
          <w:szCs w:val="18"/>
          <w:u w:val="single" w:color="auto"/>
          <w:color w:val="auto"/>
        </w:rPr>
        <w:t>paragraph (A)(2)</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paragraph (A)(3)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with respect to any annual or special meeting of stockholders.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Notice of Meetings</w:t>
      </w:r>
      <w:r>
        <w:rPr>
          <w:rFonts w:ascii="Arial" w:cs="Arial" w:eastAsia="Arial" w:hAnsi="Arial"/>
          <w:sz w:val="17"/>
          <w:szCs w:val="17"/>
          <w:color w:val="auto"/>
        </w:rPr>
        <w:t>. Whenever stockholders are required or permitted to take any action at a meeting, a timely notice in writing or by electronic transmission, in the manner provided in Section 232 of the DGCL, of the meeting, which shall state the place, if any, date and time of the meeting, the means of remote communications, if any, by which stockholders and proxyholders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purposes for which the meeting is called, shall be mailed to or, if permitted by law, transmitted electronically by the Corporation to each stockholder of record entitled to vote thereat as of the record date for determining the stockholders entitled to notice of the meeting. Unless otherwise provided by law, the Amended and Restated Certificate of Incorporation or these Bylaws, the notice of any meeting shall be given not less than ten (10) nor more than sixty (60) days before the date of the meeting to each stockholder entitled to vote at such meeting as of the record date for determining the stockholders entitled to notice of the meeting.</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Quorum</w:t>
      </w:r>
      <w:r>
        <w:rPr>
          <w:rFonts w:ascii="Arial" w:cs="Arial" w:eastAsia="Arial" w:hAnsi="Arial"/>
          <w:sz w:val="18"/>
          <w:szCs w:val="18"/>
          <w:color w:val="auto"/>
        </w:rPr>
        <w:t>. Unless otherwise required by law, the Amended and Restated Certificate of Incorporation or the rules of any stock exchange upon which the Corporation’s securities are listed, the holders of record of a majority of the voting power of the issued and outstanding shares of capital stock of the Corporation entitled to vote thereat, present in person or represented by proxy, shall constitute a quorum for the transaction of business at all meetings of stockholders.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the vote on that matter. Once a quorum is present to organize a meeting, it shall not be broken by the subsequent withdrawal of any stockholders.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ind w:firstLine="648"/>
        <w:spacing w:after="0" w:line="267"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Voting</w:t>
      </w:r>
      <w:r>
        <w:rPr>
          <w:rFonts w:ascii="Arial" w:cs="Arial" w:eastAsia="Arial" w:hAnsi="Arial"/>
          <w:sz w:val="17"/>
          <w:szCs w:val="17"/>
          <w:color w:val="auto"/>
        </w:rPr>
        <w:t>. Each holder of Class A common stock, with the par value of $0.00001 per share (the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or Class C common stock, with the par value of $0.00001 per share (the “</w:t>
      </w:r>
      <w:r>
        <w:rPr>
          <w:rFonts w:ascii="Arial" w:cs="Arial" w:eastAsia="Arial" w:hAnsi="Arial"/>
          <w:sz w:val="17"/>
          <w:szCs w:val="17"/>
          <w:u w:val="single" w:color="auto"/>
          <w:color w:val="auto"/>
        </w:rPr>
        <w:t>Class C Common Stock</w:t>
      </w:r>
      <w:r>
        <w:rPr>
          <w:rFonts w:ascii="Arial" w:cs="Arial" w:eastAsia="Arial" w:hAnsi="Arial"/>
          <w:sz w:val="17"/>
          <w:szCs w:val="17"/>
          <w:color w:val="auto"/>
        </w:rPr>
        <w:t>”), as such, will be entitled to one vote for each share of Class A Common Stock or Class C Common Stock held of record by such holder on all matters on which stockholders generally are entitled to vote, and each holder of Class B common stock, with the par value of $0.00001 per share (the “</w:t>
      </w:r>
      <w:r>
        <w:rPr>
          <w:rFonts w:ascii="Arial" w:cs="Arial" w:eastAsia="Arial" w:hAnsi="Arial"/>
          <w:sz w:val="17"/>
          <w:szCs w:val="17"/>
          <w:u w:val="single" w:color="auto"/>
          <w:color w:val="auto"/>
        </w:rPr>
        <w:t>Class B Common Stock</w:t>
      </w:r>
      <w:r>
        <w:rPr>
          <w:rFonts w:ascii="Arial" w:cs="Arial" w:eastAsia="Arial" w:hAnsi="Arial"/>
          <w:sz w:val="17"/>
          <w:szCs w:val="17"/>
          <w:color w:val="auto"/>
        </w:rPr>
        <w:t>”) or Class D common stock, with the par value of $0.00001 per share (the “</w:t>
      </w:r>
      <w:r>
        <w:rPr>
          <w:rFonts w:ascii="Arial" w:cs="Arial" w:eastAsia="Arial" w:hAnsi="Arial"/>
          <w:sz w:val="17"/>
          <w:szCs w:val="17"/>
          <w:u w:val="single" w:color="auto"/>
          <w:color w:val="auto"/>
        </w:rPr>
        <w:t>Class D Common Stock</w:t>
      </w:r>
      <w:r>
        <w:rPr>
          <w:rFonts w:ascii="Arial" w:cs="Arial" w:eastAsia="Arial" w:hAnsi="Arial"/>
          <w:sz w:val="17"/>
          <w:szCs w:val="17"/>
          <w:color w:val="auto"/>
        </w:rPr>
        <w:t>”), as such, will be entitled to ten votes for each share of Class B Common Stock or Class D Common Stock held of record by such holder on all matters on which stockholders generally are entitled to vote. Each stockholder entitled to vote at a meeting of stockholders or to express consent to corporate action in writing without a meeting may authorize another person or persons to act for such stockholder by proxy in any manner provided by applicable law,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of the Corporation a revocation of the proxy or a new proxy bearing a later date. Unless required by the Amended and Restated Certificate of Incorporation or applicable law, or determined by the chairman of the meeting to be advisable, the vote on any question need not be by ballot. On a vote by ballot, each ballot shall be signed by the stockholder voting, or by such stockholder’s proxy, if there be such proxy. When a quorum is present or represented at any meeting, the vote of the holders of a majority of the voting power of the shares of stock present in person or represented by proxy and entitled to vote on the subject matter shall decide any question brought before such meeting, unless the question is one upon which, by express provision of applicable law, of the rules or regulations of any stock exchange applicable to the Corporation, of any regulation applicable to the Corporation or its securities, of the Amended and Restated Certificate of Incorporation or of these Bylaws, a different vote is required, in which case such express provision shall govern and control the decision of such question. Notwithstanding the foregoing sentence and subject to the Amended and Restated Certificate of Incorporation, all elections of directors shall be determined by a plurality of the votes cast in respect of the shares present in person or represented by proxy at the meeting and entitled to vote on the election of directors.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Chairman of Meetings</w:t>
      </w:r>
      <w:r>
        <w:rPr>
          <w:rFonts w:ascii="Arial" w:cs="Arial" w:eastAsia="Arial" w:hAnsi="Arial"/>
          <w:sz w:val="18"/>
          <w:szCs w:val="18"/>
          <w:color w:val="auto"/>
        </w:rPr>
        <w:t>. Such person as the Board may have designated, or in the absence of such a person, the Chairman of the Board, if one is elected, or, in his or her absence or disability, the Chief Executive Officer or the President of the Corporation, or in the absence of the Chairman of the Board, the Chief Executive Officer and the President, a person designated by the Board, shall be the chairman of the meeting and, as such, preside at all meetings of the stockholders.</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Secretary of Meetings</w:t>
      </w:r>
      <w:r>
        <w:rPr>
          <w:rFonts w:ascii="Arial" w:cs="Arial" w:eastAsia="Arial" w:hAnsi="Arial"/>
          <w:sz w:val="16"/>
          <w:szCs w:val="16"/>
          <w:color w:val="auto"/>
        </w:rPr>
        <w:t>. The Secretary of the Corporation shall act as secretary at all meetings of the stockholders. In the absence or disability of the Secretary, the Chairman of the Board, the Chief Executive Officer or the President shall appoint a person to act as Secretary at such meetings.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ind w:firstLine="648"/>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Consent of Stockholders in Lieu of Meeting</w:t>
      </w:r>
      <w:r>
        <w:rPr>
          <w:rFonts w:ascii="Arial" w:cs="Arial" w:eastAsia="Arial" w:hAnsi="Arial"/>
          <w:sz w:val="18"/>
          <w:szCs w:val="18"/>
          <w:color w:val="auto"/>
        </w:rPr>
        <w:t>. Any action required or permitted to be taken at any annual or special meeting of stockholders of the Corporation may be taken without a meeting, without prior notice and without a vote only to the extent permitted by and in the manner provided in the Amended and Restated Certificate of Incorporation and in accordance with applicable law.</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Adjournment</w:t>
      </w:r>
      <w:r>
        <w:rPr>
          <w:rFonts w:ascii="Arial" w:cs="Arial" w:eastAsia="Arial" w:hAnsi="Arial"/>
          <w:sz w:val="17"/>
          <w:szCs w:val="17"/>
          <w:color w:val="auto"/>
        </w:rPr>
        <w:t>. At any meeting of stockholders of the Corporation, the meeting may be adjourned from time to time by the chairman of the meeting or by the affirmative vote of the stockholders holding a majority in voting power of the shares of stock of the Corporation, present in person or by proxy and entitled to vote thereat. Any business may be transacted at the adjourned meeting that might have been transacted at the meeting originally noticed.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w:t>
      </w:r>
    </w:p>
    <w:p>
      <w:pPr>
        <w:spacing w:after="0" w:line="17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Remote Communication</w:t>
      </w:r>
      <w:r>
        <w:rPr>
          <w:rFonts w:ascii="Arial" w:cs="Arial" w:eastAsia="Arial" w:hAnsi="Arial"/>
          <w:sz w:val="16"/>
          <w:szCs w:val="16"/>
          <w:color w:val="auto"/>
        </w:rPr>
        <w:t>. If authorized by the Board in its sole discretion, and subject to such guidelines and procedures as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may adopt, stockholders and proxyholders not physically present at a meeting of stockholders may, by means of remote communication:</w:t>
      </w:r>
    </w:p>
    <w:p>
      <w:pPr>
        <w:spacing w:after="0" w:line="211" w:lineRule="exact"/>
        <w:rPr>
          <w:sz w:val="20"/>
          <w:szCs w:val="20"/>
          <w:color w:val="auto"/>
        </w:rPr>
      </w:pPr>
    </w:p>
    <w:p>
      <w:pPr>
        <w:ind w:left="1980" w:hanging="675"/>
        <w:spacing w:after="0"/>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225" w:lineRule="exact"/>
        <w:rPr>
          <w:rFonts w:ascii="Arial" w:cs="Arial" w:eastAsia="Arial" w:hAnsi="Arial"/>
          <w:sz w:val="18"/>
          <w:szCs w:val="18"/>
          <w:color w:val="auto"/>
        </w:rPr>
      </w:pPr>
    </w:p>
    <w:p>
      <w:pPr>
        <w:ind w:firstLine="1305"/>
        <w:spacing w:after="0" w:line="277" w:lineRule="auto"/>
        <w:tabs>
          <w:tab w:leader="none" w:pos="2083"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be deemed present in person and vote at a meeting of stockholders whether such meeting is to be held at a designated place or solely by means of remote communication;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70" w:lineRule="exact"/>
        <w:rPr>
          <w:rFonts w:ascii="Arial" w:cs="Arial" w:eastAsia="Arial" w:hAnsi="Arial"/>
          <w:sz w:val="18"/>
          <w:szCs w:val="18"/>
          <w:color w:val="auto"/>
        </w:rPr>
      </w:pPr>
    </w:p>
    <w:p>
      <w:pPr>
        <w:ind w:firstLine="1953"/>
        <w:spacing w:after="0" w:line="277" w:lineRule="auto"/>
        <w:tabs>
          <w:tab w:leader="none" w:pos="2625"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Corporation shall implement reasonable measures to verify that each person deemed present and permitted to vote at the meeting by means of remote communication is a stockholder or proxyholder;</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2819"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w:t>
      </w:r>
    </w:p>
    <w:p>
      <w:pPr>
        <w:spacing w:after="0" w:line="181" w:lineRule="exact"/>
        <w:rPr>
          <w:rFonts w:ascii="Arial" w:cs="Arial" w:eastAsia="Arial" w:hAnsi="Arial"/>
          <w:sz w:val="18"/>
          <w:szCs w:val="18"/>
          <w:color w:val="auto"/>
        </w:rPr>
      </w:pPr>
    </w:p>
    <w:p>
      <w:pPr>
        <w:ind w:firstLine="1953"/>
        <w:spacing w:after="0" w:line="277" w:lineRule="auto"/>
        <w:tabs>
          <w:tab w:leader="none" w:pos="2599" w:val="left"/>
        </w:tabs>
        <w:numPr>
          <w:ilvl w:val="1"/>
          <w:numId w:val="50"/>
        </w:numPr>
        <w:rPr>
          <w:rFonts w:ascii="Arial" w:cs="Arial" w:eastAsia="Arial" w:hAnsi="Arial"/>
          <w:sz w:val="18"/>
          <w:szCs w:val="18"/>
          <w:color w:val="auto"/>
        </w:rPr>
      </w:pPr>
      <w:r>
        <w:rPr>
          <w:rFonts w:ascii="Arial" w:cs="Arial" w:eastAsia="Arial" w:hAnsi="Arial"/>
          <w:sz w:val="18"/>
          <w:szCs w:val="18"/>
          <w:color w:val="auto"/>
        </w:rPr>
        <w:t>if any stockholder or proxyholder votes or takes other action at the meeting by means of remote communication, a record of such vote or other action shall be maintained by the Corporation.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ind w:firstLine="648"/>
        <w:spacing w:after="0" w:line="268"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Inspectors of Election</w:t>
      </w:r>
      <w:r>
        <w:rPr>
          <w:rFonts w:ascii="Arial" w:cs="Arial" w:eastAsia="Arial" w:hAnsi="Arial"/>
          <w:sz w:val="17"/>
          <w:szCs w:val="17"/>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chairman of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88"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BOARD OF DIRECTORS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Powers</w:t>
      </w:r>
      <w:r>
        <w:rPr>
          <w:rFonts w:ascii="Arial" w:cs="Arial" w:eastAsia="Arial" w:hAnsi="Arial"/>
          <w:sz w:val="18"/>
          <w:szCs w:val="18"/>
          <w:color w:val="auto"/>
        </w:rPr>
        <w:t>. Except as otherwise provided by the Amended and Restated Certificate of Incorporation or the DGCL, the business and affairs of the Corporation shall be managed by or under the direction of its Board. The Board may exercise all such authority and powers of the Corporation and do all such lawful acts and things as are not by the DGCL or the Amended and Restated Certificate of Incorporation directed or required to be exercised or done by the stockholders.</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Number and Term; Chairman</w:t>
      </w:r>
      <w:r>
        <w:rPr>
          <w:rFonts w:ascii="Arial" w:cs="Arial" w:eastAsia="Arial" w:hAnsi="Arial"/>
          <w:sz w:val="17"/>
          <w:szCs w:val="17"/>
          <w:color w:val="auto"/>
        </w:rPr>
        <w:t>. The number of directors shall be determined as set forth in Article VII, Section 7.1(i) of the Amended and Restated Certificate of Incorporation. Directors shall be elected by the stockholders at their annual meeting, and the term of each director shall be as set forth in the Amended and Restated Certificate of Incorporation. Directors need not be stockholders. The Board shall elect from its ranks a Chairman of the Board, who shall have the powers and perform such duties as provided in these Bylaws and as the Board may from time to time prescribe. The Chairman of the Board shall preside at all meetings of the Board at which he or she is present. If the Chairman of the Board is not present at a meeting of the Board, the Chief Executive Officer or the President (if the Chief Executive Officer or the President, as the case may be, is a director and is not also the Chairman of the Board) shall preside at such meeting, and, if the Chief Executive Officer or the President is not present at such meeting or is not a director, a majority of the directors present at such meeting shall elect one (1) of their members to preside over such meeting.</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may resign at any time upon notice given in writing or by electronic transmission to the Board, the Chairman of the Board, the Chief Executive Officer, the President or the Secretary of the Corporation. The resignation shall take effect at the time or upon the happening of any event specified therein, and if no specification is so made, at the time of its receipt. The acceptance of a resignation shall not be necessary to make it effective unless otherwise expressly provided in the resignation.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Removal</w:t>
      </w:r>
      <w:r>
        <w:rPr>
          <w:rFonts w:ascii="Arial" w:cs="Arial" w:eastAsia="Arial" w:hAnsi="Arial"/>
          <w:sz w:val="18"/>
          <w:szCs w:val="18"/>
          <w:color w:val="auto"/>
        </w:rPr>
        <w:t>. Directors of the Corporation may be removed in the manner provided in the Amended and Restated Certificate of Incorporation and applicable law.</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Vacancies and Newly Created Directorships</w:t>
      </w:r>
      <w:r>
        <w:rPr>
          <w:rFonts w:ascii="Arial" w:cs="Arial" w:eastAsia="Arial" w:hAnsi="Arial"/>
          <w:sz w:val="16"/>
          <w:szCs w:val="16"/>
          <w:color w:val="auto"/>
        </w:rPr>
        <w:t>. Except as otherwise provided by law and subject to the Stockholders Agreement, vacancies occurring in any directorship (whether by death, resignation, retirement, disqualification, removal or other cause) and newly created directorships resulting from any increase in the number of directors shall be filled in accordance with the Amended and Restated Certificate of Incorporation.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Meetings</w:t>
      </w:r>
      <w:r>
        <w:rPr>
          <w:rFonts w:ascii="Arial" w:cs="Arial" w:eastAsia="Arial" w:hAnsi="Arial"/>
          <w:sz w:val="18"/>
          <w:szCs w:val="18"/>
          <w:color w:val="auto"/>
        </w:rPr>
        <w:t xml:space="preserve">. Regular meetings of the Board may be held at such places and times as shall be determined from time to time by the Board. Special meetings of the Board may be called by the Chief Executive Officer or the President of the Corporation or the Chairman of the Board, and shall be called by the Chief Executive Officer, the President or the Secretary of the Corporation if directed by a majority of the Board and shall be at such places and times as they or he or she shall fix. Notice need not be given of regular meetings of the Board. At least twenty-four (24) hours before each special meeting of the Board, either written notice, notice by electronic transmission or oral notice (either in person or by telephone) of the time, date and place, if any, of the meeting shall be given to each director;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written notice is given only by United States mail, such notice be deposited in the United States mail, postage prepaid at least five (5) days before such special meeting of the Board. Unless otherwise indicated in the notice thereof, any and all business may be transacted at a special meeting.</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Quorum, Voting and Adjournment</w:t>
      </w:r>
      <w:r>
        <w:rPr>
          <w:rFonts w:ascii="Arial" w:cs="Arial" w:eastAsia="Arial" w:hAnsi="Arial"/>
          <w:sz w:val="17"/>
          <w:szCs w:val="17"/>
          <w:color w:val="auto"/>
        </w:rPr>
        <w:t>. Unless otherwise provided by the DGCL, the Amended and Restated Certificate of Incorporation or these Bylaws, a majority of the total number of directors then in office, whether or not there exist any vacancies in previously authorized directorships, shall constitute a quorum for the transaction of business. Except as otherwise provided by law, the Amended and Restated Certificate of Incorporation or these Bylaws, the act of a majority of the directors present at a meeting at which a quorum is present shall be the act of the Board. In the absence of a quorum, a majority of the directors present thereat may adjourn such meeting to another time and place. Notice of such adjourned meeting need not be given if the time and place of such adjourned meeting are announced at the meeting so adjourned.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firstLine="648"/>
        <w:spacing w:after="0" w:line="286"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Committees; Committee Rules</w:t>
      </w:r>
      <w:r>
        <w:rPr>
          <w:rFonts w:ascii="Arial" w:cs="Arial" w:eastAsia="Arial" w:hAnsi="Arial"/>
          <w:sz w:val="16"/>
          <w:szCs w:val="16"/>
          <w:color w:val="auto"/>
        </w:rPr>
        <w:t xml:space="preserve">. The Board may designate one or more committees, including but not limited to an Audit Committee, a Compensation Committee and a Corporate Governance and Nominating Committee, each such committee to consist of one or more of the directors of the Corporation. The Board may designate one or more directors as alternate members of any committee to replace any absent or disqualified member at any meeting of the committee. Any such committee, to the extent provided in the resolution of the Board establishing such committee, shall have and may exercise all the powers and authority of the Board in the management of the business and affairs of the Corporation, and may authorize the seal of the Corporation to be affixed to all papers that may require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these Bylaws. Each committee of the Board may fix its own rules of procedure and shall hold its meetings as provided by such rules, except as may otherwise be provided by a resolution of the Board designating such committee. Unless otherwise provided in such a resolution, the presence of at least a majority of the members of the committee shall be necessary to constitute a quorum unless the committee shall consist of one or two members, in which event one member shall constitute a quorum; and all matters shall be determined by a majority vote of the members present at a meeting of the committee at which a quorum is present. Unless otherwise provided in such a resolution, in the event that a member and that member’s alternate, if alternates are designated by the Board, of such committee is or are absent or disqualified, the member or members thereof present at any meeting and not disqualified from voting, whether or not such member or members constitute a quorum, may unanimously appoint another member of the Board to act at the meeting in place of any such absent or disqualified member.</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Unless otherwise restricted by the Amended and Restated Certificate of Incorporation, any action required or permitted to be taken at any meeting of the Board or of any committee thereof may be taken without a meeting if all members of the Board or any committee thereof, as the case may be, consent thereto in writing or by electronic transmission, and the writing or writings or electronic transmission or transmissions are filed in the minutes of proceedings of the Board. Such filing shall be in paper form if the minutes are maintained in paper form or shall be in electronic form if the minutes are maintained in electronic form.</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Remote Meeting</w:t>
      </w:r>
      <w:r>
        <w:rPr>
          <w:rFonts w:ascii="Arial" w:cs="Arial" w:eastAsia="Arial" w:hAnsi="Arial"/>
          <w:sz w:val="18"/>
          <w:szCs w:val="18"/>
          <w:color w:val="auto"/>
        </w:rPr>
        <w:t>. Unless otherwise restricted by the Amended and Restated Certificate of Incorporation, members of the Board, or any committee designated by the Board, may participate in a meeting by means of conference telephone or other communications equipment in which all persons participating in the meeting can hear each other. Participation in a meeting by means of conference telephone or other communications equipment shall constitute presence in person at such meeting.</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Compensation</w:t>
      </w:r>
      <w:r>
        <w:rPr>
          <w:rFonts w:ascii="Arial" w:cs="Arial" w:eastAsia="Arial" w:hAnsi="Arial"/>
          <w:sz w:val="18"/>
          <w:szCs w:val="18"/>
          <w:color w:val="auto"/>
        </w:rPr>
        <w:t>. Subject to the provisions of the Stockholders Agreement, the Board shall have the authority to fix the compensation, including fees and reimbursement of expenses, of directors for services to the Corporation in any capacity.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Reliance on Books and Records</w:t>
      </w:r>
      <w:r>
        <w:rPr>
          <w:rFonts w:ascii="Arial" w:cs="Arial" w:eastAsia="Arial" w:hAnsi="Arial"/>
          <w:sz w:val="18"/>
          <w:szCs w:val="18"/>
          <w:color w:val="auto"/>
        </w:rPr>
        <w:t>. A member of the Board, or a member of any committee designated by the Board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Number</w:t>
      </w:r>
      <w:r>
        <w:rPr>
          <w:rFonts w:ascii="Arial" w:cs="Arial" w:eastAsia="Arial" w:hAnsi="Arial"/>
          <w:sz w:val="17"/>
          <w:szCs w:val="17"/>
          <w:color w:val="auto"/>
        </w:rPr>
        <w:t>. The officers of the Corporation shall include a Chief Executive Officer, a President and a Secretary, each of whom shall be elected by the Board and who shall hold office for such terms as shall be determined by the Board and until their successors are elected and qualify or until their earlier resignation or removal. In addition, the Board may elect one or more Vice Presidents, including one or more Executive Vice Presidents, Senior Vice Presidents, a Treasurer and one or more Assistant Treasurers and one or more Assistant Secretaries and any other additional officers as the Board deems necessary or advisable, who shall hold their office for such terms and shall exercise such powers and perform such duties as shall be determined from time to time by the Board. Any number of offices may be held by the same person.</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Other Officers and Agents</w:t>
      </w:r>
      <w:r>
        <w:rPr>
          <w:rFonts w:ascii="Arial" w:cs="Arial" w:eastAsia="Arial" w:hAnsi="Arial"/>
          <w:sz w:val="18"/>
          <w:szCs w:val="18"/>
          <w:color w:val="auto"/>
        </w:rPr>
        <w:t>. The Board may appoint such other officers and agents as it deems advisable, who shall hold their office for such terms and shall exercise and perform such powers and duties as shall be determined from time to time by the Board.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subject to the determination of the Board, shall have general executive charge, management, and control of the properties and operations of the Corporation in the ordinary course of its business, with all such powers with respect to such properties and operations as may be reasonably incident to such responsibilities. If the Board has not elected a Chairman of the Board or in the absence or inability to act as the Chairman of the Board, either the Chief Executive Officer, if available, or the President, if the Chief Executive Officer is not available, shall exercise all of the powers and discharge all of the duties of the Chairman of the Board, but only if, in such a case, the Chief Executive Officer or the President, as the case may be, is a director of the Corporation.</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subject to the determination of the Board, shall have general charge and control of all the operations of the Corporation and shall perform all duties incident to the officer of President. If the Board has not elected a Chairman of the Board or in the absence or inability to act as the Chairman of the Board, either the Chief Executive Officer, if available, or the President, if the Chief Executive Officer is not available, shall exercise all of the powers and discharge all of the duties of the Chairman of the Board, but only if, in such a case, the Chief Executive Officer or the President, as the case may be, is a director of the Corporation.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Vice Presidents</w:t>
      </w:r>
      <w:r>
        <w:rPr>
          <w:rFonts w:ascii="Arial" w:cs="Arial" w:eastAsia="Arial" w:hAnsi="Arial"/>
          <w:sz w:val="18"/>
          <w:szCs w:val="18"/>
          <w:color w:val="auto"/>
        </w:rPr>
        <w:t>. Each Vice President, if any are elected, of whom one or more may be designated an Executive Vice President or Senior Vice President, shall have such powers and shall perform such duties as shall be assigned to him or her by the Chief Executive Officer, the President or the Board.</w:t>
      </w:r>
    </w:p>
    <w:p>
      <w:pPr>
        <w:spacing w:after="0" w:line="18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5"/>
          <w:szCs w:val="15"/>
          <w:u w:val="single" w:color="auto"/>
          <w:color w:val="auto"/>
        </w:rPr>
        <w:t>Treasurer</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93" w:lineRule="auto"/>
        <w:tabs>
          <w:tab w:leader="none" w:pos="2271"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Treasurer shall have custody of the corporate funds, securities, evidences of indebtedness and other valuables of the Corporation and shall keep full and accurate accounts of receipts and disbursements in books belonging to the Corporation. The Treasurer shall deposit all moneys and other valuables in the name and to the credit of the Corporation in such depositories as may be designated by the Board or its designees selected for such purposes. The Treasurer shall disburse the funds of the Corporation, taking proper vouchers therefor. The Treasurer shall render to the Chief Executive Officer or the President, and the Board, upon their request, a report of the financial condition of the Corporation. If required by the Board, the Treasurer shall give the Corporation a bond for the faithful discharge of his or her duties in such amount and with such surety as the Board shall prescribe.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firstLine="1305"/>
        <w:spacing w:after="0" w:line="277" w:lineRule="auto"/>
        <w:tabs>
          <w:tab w:leader="none" w:pos="2003"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addition, the Treasurer shall have such further powers and perform such other duties incident to the office of Treasurer as from time to time are assigned to him or her by the Chief Executive Officer, the President or the Board.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(A) cause minutes of all meetings of the stockholders and directors to be recorded and kept properly; (B) cause all notices required by these Bylaws or otherwise to be given properly; (C) see that the minute books, stock books, and other nonfinancial books, records and papers of the Corporation are kept properly; and (D) cause all reports, statements, returns, certificates and other documents to be prepared and filed when and as required. The Secretary shall have such further powers and perform such other duties as prescribed from time to time by the Chief Executive Officer, the President or the Board.</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Assistant Treasurers and Assistant Secretaries</w:t>
      </w:r>
      <w:r>
        <w:rPr>
          <w:rFonts w:ascii="Arial" w:cs="Arial" w:eastAsia="Arial" w:hAnsi="Arial"/>
          <w:sz w:val="16"/>
          <w:szCs w:val="16"/>
          <w:color w:val="auto"/>
        </w:rPr>
        <w:t>. Each Assistant Treasurer and each Assistant Secretary, if any are elected, shall be vested with all the powers and shall perform all the duties of the Treasurer and Secretary, respectively, in the absence or disability of such officer, unless or until the Chief Executive Officer, the President or the Board shall otherwise determine. In addition, Assistant Treasurers and Assistant Secretaries shall have such powers and shall perform such duties as shall be assigned to them by the Chief Executive Officer, the President or the Board.</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Corporate Funds and Checks</w:t>
      </w:r>
      <w:r>
        <w:rPr>
          <w:rFonts w:ascii="Arial" w:cs="Arial" w:eastAsia="Arial" w:hAnsi="Arial"/>
          <w:sz w:val="18"/>
          <w:szCs w:val="18"/>
          <w:color w:val="auto"/>
        </w:rPr>
        <w:t>. The funds of the Corporation shall be kept in such depositories as shall from time to time be prescribed by the Board or its designees selected for such purposes. All checks or other orders for the payment of money shall be signed by the Chief Executive Officer, the President, a Vice President, the Treasurer or the Secretary or such other person or agent as may from time to time be authorized and with such countersignature, if any, as may be required by the Board.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Contracts and Other Documents</w:t>
      </w:r>
      <w:r>
        <w:rPr>
          <w:rFonts w:ascii="Arial" w:cs="Arial" w:eastAsia="Arial" w:hAnsi="Arial"/>
          <w:sz w:val="18"/>
          <w:szCs w:val="18"/>
          <w:color w:val="auto"/>
        </w:rPr>
        <w:t>. The Chief Executive Officer, the President and the Secretary, or such other officer or officers as may from time to time be authorized by the Board or any other committee given specific authority in the premises by the Board during the intervals between the meetings of the Board, shall have power to sign and execute on behalf of the Corporation deeds, conveyances and contracts, and any and all other documents requiring execution by the Corporation.</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Ownership of Equity Interests or other Securities of Another Entity</w:t>
      </w:r>
      <w:r>
        <w:rPr>
          <w:rFonts w:ascii="Arial" w:cs="Arial" w:eastAsia="Arial" w:hAnsi="Arial"/>
          <w:sz w:val="17"/>
          <w:szCs w:val="17"/>
          <w:color w:val="auto"/>
        </w:rPr>
        <w:t>. Unless otherwise directed by the Board, the Chief Executive Officer, the President, a Vice President, the Treasurer or the Secretary, or such other officer or agent as shall be authorized by the Board, shall have the power and authority, on behalf of the Corporation, to attend and to vote at any meeting of securityholders of any entity in which the Corporation holds securities or equity interests and may exercise, on behalf of the Corporation, any and all of the rights and powers incident to the ownership of such securities or equity interests at any such meeting, including the authority to execute and deliver proxies and consents on behalf of the Corporation.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firstLine="648"/>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xml:space="preserve">. In the absence, disability or refusal of any officer to exercise and perform his or her duties, the Board may delegate to another officer such powers or duties. The Board may delegate to any officer or officers the power to take any action required by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to be taken or authorized by the Board.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Resignation and Removal</w:t>
      </w:r>
      <w:r>
        <w:rPr>
          <w:rFonts w:ascii="Arial" w:cs="Arial" w:eastAsia="Arial" w:hAnsi="Arial"/>
          <w:sz w:val="18"/>
          <w:szCs w:val="18"/>
          <w:color w:val="auto"/>
        </w:rPr>
        <w:t xml:space="preserve">. Any officer of the Corporation may be removed from office for or without cause at any time by the Board. Any officer may resign at any time in the same manner prescribed under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these Bylaws.</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Vacancies</w:t>
      </w:r>
      <w:r>
        <w:rPr>
          <w:rFonts w:ascii="Arial" w:cs="Arial" w:eastAsia="Arial" w:hAnsi="Arial"/>
          <w:sz w:val="16"/>
          <w:szCs w:val="16"/>
          <w:color w:val="auto"/>
        </w:rPr>
        <w:t>. The Board shall have the power to fill vacancies occurring in any office.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Certificated Shares</w:t>
      </w:r>
      <w:r>
        <w:rPr>
          <w:rFonts w:ascii="Arial" w:cs="Arial" w:eastAsia="Arial" w:hAnsi="Arial"/>
          <w:sz w:val="17"/>
          <w:szCs w:val="17"/>
          <w:color w:val="auto"/>
        </w:rPr>
        <w:t xml:space="preserve">. The shares of stock of the Corporation shall be represented by certificates;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any two authorized officers of the Corporation (it being understood that each of the Chairman of the Board, the Chief Executive Officer, the General Counsel, the President or a Vice President, the Treasurer, any Assistant Treasurer, the Secretary or any Assistant Secretary of the Corporation shall be an authorized officer for such purpose), representing the number of shares registered in certificate form. Any or all of the signatures on the certificate may be a facsimile or electronic signature. The Board shall have the power to appoint one or more transfer agents and/or registrars for the transfer or registration of certificates of stock of any class, and may require stock certificates to be countersigned or registered by one or more of such transfer agents and/or registrars.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Uncertificated Shares</w:t>
      </w:r>
      <w:r>
        <w:rPr>
          <w:rFonts w:ascii="Arial" w:cs="Arial" w:eastAsia="Arial" w:hAnsi="Arial"/>
          <w:sz w:val="18"/>
          <w:szCs w:val="18"/>
          <w:color w:val="auto"/>
        </w:rPr>
        <w:t xml:space="preserve">. If the Board chooses to issue uncertificated shares, the Corporation, if required by the DGCL, shall, within a reasonable time after the issue or transfer of uncertificated shares, send the stockholder a written statement of the information required by the DGCL. The Corporation may adopt a system of issuance, recordation and transfer of its shares of stock by electronic or other means not involving the issuance of certificates;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use of such system by the Corporation is permitted by applicable law.</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Transfer of Shares</w:t>
      </w:r>
      <w:r>
        <w:rPr>
          <w:rFonts w:ascii="Arial" w:cs="Arial" w:eastAsia="Arial" w:hAnsi="Arial"/>
          <w:sz w:val="17"/>
          <w:szCs w:val="17"/>
          <w:color w:val="auto"/>
        </w:rPr>
        <w:t>. Shares of stock of the Corporation represented by certificates shall be transferable upon its books by the holders thereof, in person or by their duly authorized attorneys or legal representatives, upon surrender to the Corporation by delivery thereof to the person in charge of the stock and transfer books and ledgers. Certificates representing such shares, if any, shall be cancelled and new certificates, if the shares are to be certificated, shall thereupon be issued. Shares of capital stock of the Corporation that are not represented by a certificate shall be transferred in accordance with any procedures adopted by the Corporation or its agents and applicable law. A record shall be made of each transfer. Whenever any transfer of shares shall be made for collateral security, and not absolutely, it shall be so expressed in the entry of the transfer if, when the certificates are presented to the Corporation for transfer or uncertificated shares requested to be transferred, both the transferor and transferee request the Corporation do so. The Corporation shall have power and authority to make such rules and regulations as it may deem necessary or proper concerning the issue, transfer and registration of certificates representing shares of stock of the Corporation and uncertificated shares.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ind w:firstLine="648"/>
        <w:spacing w:after="0" w:line="255"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Lost, Stolen, Destroyed or Mutilated Certificates</w:t>
      </w:r>
      <w:r>
        <w:rPr>
          <w:rFonts w:ascii="Arial" w:cs="Arial" w:eastAsia="Arial" w:hAnsi="Arial"/>
          <w:sz w:val="18"/>
          <w:szCs w:val="18"/>
          <w:color w:val="auto"/>
        </w:rPr>
        <w:t>. A new certificate of stock or uncertificated shares may be issued in the place of any certificate previously issued by the Corporation alleged to have been lost, stolen or destroyed, and the Corporation may, in its discretion, require the owner of such lost, stolen or destroyed certificate, or his or her legal representative, to give the Corporation a bond, in such sum as the Corporation may direct, in order to indemnify the Corporation against any claims that may be made against it in connection therewith. A new certificate or uncertificated shares of stock may be issued in the place of any certificate previously issued by the Corporation that has become mutilated upon the surrender by such owner of such mutilated certificate and, if required by the Corporation, the posting of a bond by such owner in an amount sufficient to indemnify the Corporation against any claim that may be made against it in connection therewith.</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List of Stockholders Entitled to Vote</w:t>
      </w:r>
      <w:r>
        <w:rPr>
          <w:rFonts w:ascii="Arial" w:cs="Arial" w:eastAsia="Arial" w:hAnsi="Arial"/>
          <w:sz w:val="16"/>
          <w:szCs w:val="16"/>
          <w:color w:val="auto"/>
        </w:rPr>
        <w:t>. The Corporation shall prepare and make, at least ten (10) days before every meeting of stockholders, a complete list of the stockholders entitled to vote at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record date for determining the stockholders entitled</w:t>
      </w:r>
    </w:p>
    <w:p>
      <w:pPr>
        <w:jc w:val="both"/>
        <w:spacing w:after="0" w:line="247" w:lineRule="auto"/>
        <w:rPr>
          <w:sz w:val="20"/>
          <w:szCs w:val="20"/>
          <w:color w:val="auto"/>
        </w:rPr>
      </w:pPr>
      <w:r>
        <w:rPr>
          <w:rFonts w:ascii="Arial" w:cs="Arial" w:eastAsia="Arial" w:hAnsi="Arial"/>
          <w:sz w:val="16"/>
          <w:szCs w:val="16"/>
          <w:color w:val="auto"/>
        </w:rPr>
        <w:t>to vote is less than ten (10) days before the date of the meeting, the list shall reflect the stockholders entitled to vote as of the tenth (10</w:t>
      </w:r>
      <w:r>
        <w:rPr>
          <w:rFonts w:ascii="Arial" w:cs="Arial" w:eastAsia="Arial" w:hAnsi="Arial"/>
          <w:sz w:val="26"/>
          <w:szCs w:val="26"/>
          <w:color w:val="auto"/>
          <w:vertAlign w:val="superscript"/>
        </w:rPr>
        <w:t>th</w:t>
      </w:r>
      <w:r>
        <w:rPr>
          <w:rFonts w:ascii="Arial" w:cs="Arial" w:eastAsia="Arial" w:hAnsi="Arial"/>
          <w:sz w:val="16"/>
          <w:szCs w:val="16"/>
          <w:color w:val="auto"/>
        </w:rPr>
        <w:t>)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 (10) days prior to the meeting</w:t>
      </w:r>
    </w:p>
    <w:p>
      <w:pPr>
        <w:spacing w:after="0" w:line="2" w:lineRule="exact"/>
        <w:rPr>
          <w:sz w:val="20"/>
          <w:szCs w:val="20"/>
          <w:color w:val="auto"/>
        </w:rPr>
      </w:pPr>
    </w:p>
    <w:p>
      <w:pPr>
        <w:ind w:left="260" w:hanging="252"/>
        <w:spacing w:after="0"/>
        <w:tabs>
          <w:tab w:leader="none" w:pos="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on a reasonably accessible electronic network;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information required to gain access to such list is provided with the notice of meeting or</w:t>
      </w:r>
    </w:p>
    <w:p>
      <w:pPr>
        <w:spacing w:after="0" w:line="32" w:lineRule="exact"/>
        <w:rPr>
          <w:rFonts w:ascii="Arial" w:cs="Arial" w:eastAsia="Arial" w:hAnsi="Arial"/>
          <w:sz w:val="16"/>
          <w:szCs w:val="16"/>
          <w:color w:val="auto"/>
        </w:rPr>
      </w:pPr>
    </w:p>
    <w:p>
      <w:pPr>
        <w:jc w:val="both"/>
        <w:ind w:firstLine="8"/>
        <w:spacing w:after="0" w:line="268" w:lineRule="auto"/>
        <w:tabs>
          <w:tab w:leader="none" w:pos="257"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or to vote in person or by proxy at any meeting of stockholders.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ind w:left="660"/>
        <w:spacing w:after="0"/>
        <w:tabs>
          <w:tab w:leader="none" w:pos="19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Fixing Date for Determination of Stockholders of Record</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7" w:lineRule="auto"/>
        <w:tabs>
          <w:tab w:leader="none" w:pos="1954"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72" w:lineRule="exact"/>
        <w:rPr>
          <w:rFonts w:ascii="Arial" w:cs="Arial" w:eastAsia="Arial" w:hAnsi="Arial"/>
          <w:sz w:val="16"/>
          <w:szCs w:val="16"/>
          <w:color w:val="auto"/>
        </w:rPr>
      </w:pPr>
    </w:p>
    <w:p>
      <w:pPr>
        <w:jc w:val="both"/>
        <w:ind w:firstLine="1305"/>
        <w:spacing w:after="0" w:line="276" w:lineRule="auto"/>
        <w:tabs>
          <w:tab w:leader="none" w:pos="1991"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adopts the resolution relating thereto.</w:t>
      </w:r>
    </w:p>
    <w:p>
      <w:pPr>
        <w:spacing w:after="0" w:line="172" w:lineRule="exact"/>
        <w:rPr>
          <w:rFonts w:ascii="Arial" w:cs="Arial" w:eastAsia="Arial" w:hAnsi="Arial"/>
          <w:sz w:val="17"/>
          <w:szCs w:val="17"/>
          <w:color w:val="auto"/>
        </w:rPr>
      </w:pPr>
    </w:p>
    <w:p>
      <w:pPr>
        <w:jc w:val="both"/>
        <w:ind w:firstLine="1305"/>
        <w:spacing w:after="0" w:line="271" w:lineRule="auto"/>
        <w:tabs>
          <w:tab w:leader="none" w:pos="1927" w:val="left"/>
        </w:tabs>
        <w:numPr>
          <w:ilvl w:val="0"/>
          <w:numId w:val="54"/>
        </w:numPr>
        <w:rPr>
          <w:rFonts w:ascii="Arial" w:cs="Arial" w:eastAsia="Arial" w:hAnsi="Arial"/>
          <w:sz w:val="17"/>
          <w:szCs w:val="17"/>
          <w:color w:val="auto"/>
        </w:rPr>
      </w:pPr>
      <w:r>
        <w:rPr>
          <w:rFonts w:ascii="Arial" w:cs="Arial" w:eastAsia="Arial" w:hAnsi="Arial"/>
          <w:sz w:val="17"/>
          <w:szCs w:val="17"/>
          <w:color w:val="auto"/>
        </w:rPr>
        <w:t>Unless otherwise restricted by the Amended and Restated Certificate of Incorporation, in order that the Corporation may determine the stockholders entitled to express consent to corporate action in writing without a meeting, 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for determining stockholders entitled to express consent to corporate action in writing without a meeting is fixed by the Board, (i) when no prior action of the Board is required by law, the record date for such purpose shall be the first date on which a signed written consent setting forth the action taken or proposed to be taken is delivered to the Corporation in accordance with applicable law, and (ii) if prior action by the Board is required by law, the record date for such purpose shall be at the close of business on the day on which the Board adopts the resolution taking such prior action.</w:t>
      </w:r>
    </w:p>
    <w:p>
      <w:pPr>
        <w:spacing w:after="0" w:line="1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 Prior to the surrender to the Corporation of the certificate or certificates for a share or shares of stock or notification to the Corporation of the transfer of uncertificated shares with a request to record the transfer of such share or shares, the Corporation may treat the registered owner of such share or shares as the person entitled to receive dividends, to vote, to receive notifications and otherwise to exercise all the rights and powers of an owner of such share or shares. To the fullest extent permitted by law, the Corporation shall not be bound to recognize any equitable or other claim to or interest in such share or shares on the part of any other person, whether or not it shall have express or other notice thereof.</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AND WAIVER OF NOTICE</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Notice to stockholders shall be deemed given (i) if mailed, when deposited in the United States mail, postage prepaid, directed to the stockholder at such stockholder’s address as it appears on the records of the Corporation, (ii) if by facsimile, when directed to a number at which the stockholder has consented to receive notice, (iii) if by e-mail, when directed to an e-mail address at which the stockholder has consented to receive such notice and (iv) if by any other form of electronic transmission, when directed to the stockholder as required by law and, to the extent required by applicable law, in the manner consented to by that stockholder;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 stockholder submits a request to the Secretary that notice be delivered to it by a specific method of delivery or transmission contemplated herein, then notice is deemed given only if delivered or transmitted in the requested manner. Without limiting the manner by which notice otherwise may be given effectively to stockholders, any notice to stockholders may be given by electronic transmission in the manner provided in Section 232 of the DGCL.</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Waiver of Notice</w:t>
      </w:r>
      <w:r>
        <w:rPr>
          <w:rFonts w:ascii="Arial" w:cs="Arial" w:eastAsia="Arial" w:hAnsi="Arial"/>
          <w:sz w:val="18"/>
          <w:szCs w:val="18"/>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(in person or by remote communication) shall constitute waiver of notice except attendance for the express purpose of objecting at the beginning of the meeting to the transaction of any business because the meeting is not lawfully called or convened.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Each person who was or is made a party or is threatened to be made a party to or is otherwise involved in any action, suit or proceeding, whether civil, criminal, administrative or investigative (hereinafter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she is or was a member of the Board or an officer of the Corporation or, while a member of the Board or an officer of the Corporation, is or was serving at the request of the Corporation as a director, officer, employee, agent or trustee of another corporation or of a partnership, joint venture, trust or other enterprise, including service with respect to an employee benefit plan (hereinafter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whether the basis of such proceeding is alleged action in an official capacity as a director, officer, employee, agent or trustee or in any other capacity while serving as a director, officer, employee, agent or trustee, shall be indemnified and held harmless by the Corporation to the fullest extent permitted by Delaware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provided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indemnitee only if such proceeding (or part thereof) was authorized by the Board.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ind w:firstLine="891"/>
        <w:spacing w:after="0" w:line="268" w:lineRule="auto"/>
        <w:rPr>
          <w:sz w:val="20"/>
          <w:szCs w:val="20"/>
          <w:color w:val="auto"/>
        </w:rPr>
      </w:pPr>
      <w:r>
        <w:rPr>
          <w:rFonts w:ascii="Arial" w:cs="Arial" w:eastAsia="Arial" w:hAnsi="Arial"/>
          <w:sz w:val="17"/>
          <w:szCs w:val="17"/>
          <w:color w:val="auto"/>
        </w:rPr>
        <w:t xml:space="preserve">Without limiting the provisions of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any reference to an officer of the Corporation in this Article VII shall be deemed to refer exclusively to the chief executive officer, president, general counsel, secretary, chief technology officer, chief financial officer, chief administrative officer or the treasurer of the Corporation or other officer of the Corporation appointed from time to time by the Board or who are deemed to be Executive Officers for purposes of the annual report of the Corporation filed on Form 10-K under the Exchange Act,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but not an officer thereof as described in the preceding sentence, has been given or has used the title of “Vice President”, “Managing Director”, “Director” or any other title that could be construed to suggest or imply that such person is or may be such a member of the Board or officer of the Corporation or of such other corporation, partnership, joint venture, trust, employee benefit plan or other enterprise shall not result in such person being constituted as, or being deemed to be, such a member of the Board or officer of the Corporation or of such other corporation, partnership, joint venture, trust, employee benefit plan or other enterprise for purposes of this </w:t>
      </w:r>
      <w:r>
        <w:rPr>
          <w:rFonts w:ascii="Arial" w:cs="Arial" w:eastAsia="Arial" w:hAnsi="Arial"/>
          <w:sz w:val="17"/>
          <w:szCs w:val="17"/>
          <w:u w:val="single" w:color="auto"/>
          <w:color w:val="auto"/>
        </w:rPr>
        <w:t>Article VII</w:t>
      </w:r>
      <w:r>
        <w:rPr>
          <w:rFonts w:ascii="Arial" w:cs="Arial" w:eastAsia="Arial" w:hAnsi="Arial"/>
          <w:sz w:val="17"/>
          <w:szCs w:val="17"/>
          <w:color w:val="auto"/>
        </w:rPr>
        <w:t>.</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Right to Advancement of Expenses</w:t>
      </w:r>
      <w:r>
        <w:rPr>
          <w:rFonts w:ascii="Arial" w:cs="Arial" w:eastAsia="Arial" w:hAnsi="Arial"/>
          <w:sz w:val="16"/>
          <w:szCs w:val="16"/>
          <w:color w:val="auto"/>
        </w:rPr>
        <w:t xml:space="preserve">. In addition to the right to indemnification conferred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 indemnitee shall also have the right to be paid by the Corporation the expenses (including attorney’s fees) incurred in appearing at, participating in or defending any such proceeding in advance of its final disposition or in connection with a proceeding brought to establish or enforce a right to indemnification or advancement of expenses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(which shall be governed by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(hereinafter an “</w:t>
      </w:r>
      <w:r>
        <w:rPr>
          <w:rFonts w:ascii="Arial" w:cs="Arial" w:eastAsia="Arial" w:hAnsi="Arial"/>
          <w:sz w:val="16"/>
          <w:szCs w:val="16"/>
          <w:u w:val="single" w:color="auto"/>
          <w:color w:val="auto"/>
        </w:rPr>
        <w:t>advancement of expenses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DGCL requires or in the case of an advance made in a proceeding brought to establish or enforce a right to indemnification or advancement, an advancement of expenses incurred by an indemnitee in his or her capacity as a member of the Board or officer of the Corporation (and not in any other capacity in which service was or is rendered by such indemnitee, including, without limitation, service to an employee benefit plan) shall be made solely upon delivery to the Corporation of an undertaking (hereinafter an “</w:t>
      </w:r>
      <w:r>
        <w:rPr>
          <w:rFonts w:ascii="Arial" w:cs="Arial" w:eastAsia="Arial" w:hAnsi="Arial"/>
          <w:sz w:val="16"/>
          <w:szCs w:val="16"/>
          <w:u w:val="single" w:color="auto"/>
          <w:color w:val="auto"/>
        </w:rPr>
        <w:t>undertaking</w:t>
      </w:r>
      <w:r>
        <w:rPr>
          <w:rFonts w:ascii="Arial" w:cs="Arial" w:eastAsia="Arial" w:hAnsi="Arial"/>
          <w:sz w:val="16"/>
          <w:szCs w:val="16"/>
          <w:color w:val="auto"/>
        </w:rPr>
        <w:t>”), by or on behalf of such indemnitee, to repay all amounts so advanced if it shall ultimately be determined by final judicial decision from which there is no further right to appeal (hereinafter a “</w:t>
      </w:r>
      <w:r>
        <w:rPr>
          <w:rFonts w:ascii="Arial" w:cs="Arial" w:eastAsia="Arial" w:hAnsi="Arial"/>
          <w:sz w:val="16"/>
          <w:szCs w:val="16"/>
          <w:u w:val="single" w:color="auto"/>
          <w:color w:val="auto"/>
        </w:rPr>
        <w:t>final adjudication</w:t>
      </w:r>
      <w:r>
        <w:rPr>
          <w:rFonts w:ascii="Arial" w:cs="Arial" w:eastAsia="Arial" w:hAnsi="Arial"/>
          <w:sz w:val="16"/>
          <w:szCs w:val="16"/>
          <w:color w:val="auto"/>
        </w:rPr>
        <w:t xml:space="preserve">”) that such indemnitee is not entitled to be indemnified or entitled to advancement of expenses under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otherwise.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ind w:firstLine="648"/>
        <w:spacing w:after="0" w:line="267"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Right of Indemnitee to Bring Suit</w:t>
      </w:r>
      <w:r>
        <w:rPr>
          <w:rFonts w:ascii="Arial" w:cs="Arial" w:eastAsia="Arial" w:hAnsi="Arial"/>
          <w:sz w:val="17"/>
          <w:szCs w:val="17"/>
          <w:color w:val="auto"/>
        </w:rPr>
        <w:t xml:space="preserve">. If a claim under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is not paid in full by the Corporation within (i) sixty (60) days after a written claim for indemnification has been received by the Corporation or (ii) twenty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the indemnitee is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by its members of the Board who are not parties to such action, a committee of such members,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by its members of the Board who are not parties to such action, a committee of such members,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otherwise shall be on the Corporation.</w:t>
      </w:r>
    </w:p>
    <w:p>
      <w:pPr>
        <w:spacing w:after="0" w:line="19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Indemnification Not Exclusive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5" w:lineRule="auto"/>
        <w:tabs>
          <w:tab w:leader="none" w:pos="2096"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provision of indemnification to or the advancement of expenses and costs to any indemnitee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or the entitlement of any indemnitee to indemnification or advancement of expenses and costs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member of the Board, employee or agent of the Corporation and as to action in any other capacity.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both"/>
        <w:ind w:firstLine="1305"/>
        <w:spacing w:after="0" w:line="287" w:lineRule="auto"/>
        <w:tabs>
          <w:tab w:leader="none" w:pos="2057"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(1) Given that certain jointly indemnifiable claims (as defined below) may arise due to the service of the indemnitee as a member of the Board and/or officer of the Corporation and as a director, officer, employee or agent of one or more indemnitee-related entities (as defined below), the Corporation shall be fully and primarily responsible for the payment to the indemnitee in respect of indemnification or advancement of expenses in connection with any such jointly indemnifiable claims, pursuant to and in accordance with the terms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irrespective of any right of recovery the indemnitee may have from any indemnitee-related entity. Under no circumstance shall the Corporation be entitled to any right of subrogation or contribution by any indemnitee-related entity and no right of advancement or recovery the indemnitee may have from any indemnitee-related entity shall reduce or otherwise alter the rights of the indemnitee or the obligations of the Corporation hereunder. In the event that any indemnitee-related entity shall make any payment to the indemnitee in respect of indemnification or advancement of expenses with respect to any jointly indemnifiable claim, such indemnitee-related entity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any indemnitee-related entity effectively to bring suit to enforce such rights. Each of the indemnitee-related entities shall be third-party beneficiaries with respect to this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entitled to enforce this </w:t>
      </w:r>
      <w:r>
        <w:rPr>
          <w:rFonts w:ascii="Arial" w:cs="Arial" w:eastAsia="Arial" w:hAnsi="Arial"/>
          <w:sz w:val="16"/>
          <w:szCs w:val="16"/>
          <w:u w:val="single" w:color="auto"/>
          <w:color w:val="auto"/>
        </w:rPr>
        <w:t>Section 4(B)</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2620" w:hanging="667"/>
        <w:spacing w:after="0"/>
        <w:tabs>
          <w:tab w:leader="none" w:pos="2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4(B)</w:t>
      </w:r>
      <w:r>
        <w:rPr>
          <w:rFonts w:ascii="Arial" w:cs="Arial" w:eastAsia="Arial" w:hAnsi="Arial"/>
          <w:sz w:val="18"/>
          <w:szCs w:val="18"/>
          <w:color w:val="auto"/>
        </w:rPr>
        <w:t>, the following terms shall have the following meanings:</w:t>
      </w:r>
    </w:p>
    <w:p>
      <w:pPr>
        <w:spacing w:after="0" w:line="225" w:lineRule="exact"/>
        <w:rPr>
          <w:rFonts w:ascii="Arial" w:cs="Arial" w:eastAsia="Arial" w:hAnsi="Arial"/>
          <w:sz w:val="18"/>
          <w:szCs w:val="18"/>
          <w:color w:val="auto"/>
        </w:rPr>
      </w:pPr>
    </w:p>
    <w:p>
      <w:pPr>
        <w:jc w:val="both"/>
        <w:ind w:left="660" w:firstLine="1941"/>
        <w:spacing w:after="0" w:line="273" w:lineRule="auto"/>
        <w:tabs>
          <w:tab w:leader="none" w:pos="3488" w:val="left"/>
        </w:tabs>
        <w:numPr>
          <w:ilvl w:val="2"/>
          <w:numId w:val="56"/>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indemnitee-related entities</w:t>
      </w:r>
      <w:r>
        <w:rPr>
          <w:rFonts w:ascii="Arial" w:cs="Arial" w:eastAsia="Arial" w:hAnsi="Arial"/>
          <w:sz w:val="17"/>
          <w:szCs w:val="17"/>
          <w:color w:val="auto"/>
        </w:rPr>
        <w:t>”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 (other than as a result of obligations under an insurance policy).</w:t>
      </w:r>
    </w:p>
    <w:p>
      <w:pPr>
        <w:spacing w:after="0" w:line="178" w:lineRule="exact"/>
        <w:rPr>
          <w:rFonts w:ascii="Arial" w:cs="Arial" w:eastAsia="Arial" w:hAnsi="Arial"/>
          <w:sz w:val="17"/>
          <w:szCs w:val="17"/>
          <w:color w:val="auto"/>
        </w:rPr>
      </w:pPr>
    </w:p>
    <w:p>
      <w:pPr>
        <w:jc w:val="both"/>
        <w:ind w:left="660" w:firstLine="1941"/>
        <w:spacing w:after="0" w:line="257" w:lineRule="auto"/>
        <w:tabs>
          <w:tab w:leader="none" w:pos="3397"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jointly indemnifiable claims</w:t>
      </w:r>
      <w:r>
        <w:rPr>
          <w:rFonts w:ascii="Arial" w:cs="Arial" w:eastAsia="Arial" w:hAnsi="Arial"/>
          <w:sz w:val="18"/>
          <w:szCs w:val="18"/>
          <w:color w:val="auto"/>
        </w:rPr>
        <w:t>” shall be broadly construed and shall include, without limitation, any action, suit or proceeding for which the indemnitee shall be entitled to indemnification or advancement of expenses from both an indemnitee-related entity and the Corporation pursuant to applicable law, any agreement, certificate of incorporation, bylaws, partnership agreement, operating agreement, certificate of formation, certificate of limited partnership or comparable organizational documents of the Corporation or an indemnitee-related entity, as applicable.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Nature of Rights</w:t>
      </w:r>
      <w:r>
        <w:rPr>
          <w:rFonts w:ascii="Arial" w:cs="Arial" w:eastAsia="Arial" w:hAnsi="Arial"/>
          <w:sz w:val="18"/>
          <w:szCs w:val="18"/>
          <w:color w:val="auto"/>
        </w:rPr>
        <w:t xml:space="preserve">. The rights conferred upon indemnitees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be contract rights and such rights shall continue as to an indemnitee who has ceased to be a member of the Board or officer and shall inure to the benefit of the indemnitee’s heirs, executors and administrators. Any amendment, alteration or repeal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purchase and maintain insurance, at its expense, to protect itself and any member of the Board,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ind w:firstLine="648"/>
        <w:spacing w:after="0" w:line="302"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Indemnification Pursuant to a Board Resolution</w:t>
      </w:r>
      <w:r>
        <w:rPr>
          <w:rFonts w:ascii="Arial" w:cs="Arial" w:eastAsia="Arial" w:hAnsi="Arial"/>
          <w:sz w:val="16"/>
          <w:szCs w:val="16"/>
          <w:color w:val="auto"/>
        </w:rPr>
        <w:t>. The Corporation may, to the extent authorized from time to time by a resolution adopted by the Board, grant rights to indemnification and to the advancement of expenses to any person, including without limitation any employee or other agent of the Corporation, or any director, officer, employee, agent, trustee, member, stockholder, partner, incorporator or liquidator of any subsidiary of the Corporation or any other enterprise, with any such rights subject to the terms, conditions and limitations established pursuant to the Board resolution.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For purposes of these Bylaws, “</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Corporate Seal</w:t>
      </w:r>
      <w:r>
        <w:rPr>
          <w:rFonts w:ascii="Arial" w:cs="Arial" w:eastAsia="Arial" w:hAnsi="Arial"/>
          <w:sz w:val="18"/>
          <w:szCs w:val="18"/>
          <w:color w:val="auto"/>
        </w:rPr>
        <w:t>. The Board may provide a suitable seal, containing the name of the Corporation, which seal shall be in the charge of the Secretary. If and when so directed by the Board or a committee thereof, duplicates of the seal may be kept and used by the Treasurer or by an Assistant Secretary or Assistant Treasurer.</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end on December 31 of each year or such other date as the Board may designate.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Section Headings</w:t>
      </w:r>
      <w:r>
        <w:rPr>
          <w:rFonts w:ascii="Arial" w:cs="Arial" w:eastAsia="Arial" w:hAnsi="Arial"/>
          <w:sz w:val="18"/>
          <w:szCs w:val="18"/>
          <w:color w:val="auto"/>
        </w:rPr>
        <w:t>. Section headings in these Bylaws are for convenience of reference only and shall not be given any substantive effect in limiting or otherwise construing any provision herein.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Inconsistent Provisions</w:t>
      </w:r>
      <w:r>
        <w:rPr>
          <w:rFonts w:ascii="Arial" w:cs="Arial" w:eastAsia="Arial" w:hAnsi="Arial"/>
          <w:sz w:val="18"/>
          <w:szCs w:val="18"/>
          <w:color w:val="auto"/>
        </w:rPr>
        <w:t>. In the event that any provision of these Bylaws is or becomes inconsistent with any provision of the Amended and Restated Certificate of Incorporation, the DGCL or any other applicable law, such provision of these Bylaws shall not be given any effect to the extent of such inconsistency but shall otherwise be given full force and effect.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AMENDMENTS</w:t>
      </w:r>
    </w:p>
    <w:p>
      <w:pPr>
        <w:spacing w:after="0" w:line="21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Amendments</w:t>
      </w:r>
      <w:r>
        <w:rPr>
          <w:rFonts w:ascii="Arial" w:cs="Arial" w:eastAsia="Arial" w:hAnsi="Arial"/>
          <w:sz w:val="16"/>
          <w:szCs w:val="16"/>
          <w:color w:val="auto"/>
        </w:rPr>
        <w:t>. The Board is authorized to make, repeal, alter, amend and rescind, in whole or in part, these Bylaws without the assent or vote of the stockholders in any manner not inconsistent with the laws of the State of Delaware or the Amended and Restated Certificate of Incorporation. Subject to the prior sentence but notwithstanding anything to the contrary contained in the Amended and Restated Certificate of Incorporation, these Bylaws or any provision of law that might otherwise permit a lesser vote of the stockholders, in addition to any vote of the holders of any class or series of capital stock of the Corporation required by the Amended and Restated Certificate of Incorporation (including any certificate of designation relating to any series of Preferred Stock (as defined in the Amended and Restated Certificate of Incorporation)), these Bylaws or applicable law, any provision of the Bylaws of the Corporation may be altered, amended, repealed or rescinded, in whole or in part or new provisions inconsistent therewith may be adopted at any time when the Refinitiv Equityholders beneficially own, in the aggregate, (i) 50% or more in voting power of the stock of the Corporation entitled to vote generally in the election of directors, by the affirmative vote of the holders of a majority of the total voting power of all the then-outstanding shares of stock of the Corporation, present in person or represented by proxy at the shareholder meeting and entitled to vote thereon, and (ii) less than 50% in voting power of the</w:t>
      </w:r>
    </w:p>
    <w:p>
      <w:pPr>
        <w:spacing w:after="0" w:line="6"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 xml:space="preserve">stock of the Corporation entitled to vote generally in the election of directors, by the affirmative vote of the holders of at least 66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in voting power of all the then-outstanding shares of stock of the Corporation entitled to vote thereon, voting together as a single class.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decimal"/>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lowerLetter"/>
      <w:start w:val="4"/>
    </w:lvl>
  </w:abstractNum>
  <w:abstractNum w:abstractNumId="4">
    <w:nsid w:val="1E7FF521"/>
    <w:multiLevelType w:val="hybridMultilevel"/>
    <w:lvl w:ilvl="0">
      <w:lvlJc w:val="left"/>
      <w:lvlText w:val="(%1)"/>
      <w:numFmt w:val="lowerLetter"/>
      <w:start w:val="2"/>
    </w:lvl>
  </w:abstractNum>
  <w:abstractNum w:abstractNumId="5">
    <w:nsid w:val="7C3DBD3D"/>
    <w:multiLevelType w:val="hybridMultilevel"/>
    <w:lvl w:ilvl="0">
      <w:lvlJc w:val="left"/>
      <w:lvlText w:val="(%1)"/>
      <w:numFmt w:val="lowerRoman"/>
      <w:start w:val="1"/>
    </w:lvl>
  </w:abstractNum>
  <w:abstractNum w:abstractNumId="6">
    <w:nsid w:val="737B8DDC"/>
    <w:multiLevelType w:val="hybridMultilevel"/>
    <w:lvl w:ilvl="0">
      <w:lvlJc w:val="left"/>
      <w:lvlText w:val="(%1)"/>
      <w:numFmt w:val="lowerRoman"/>
      <w:start w:val="1"/>
    </w:lvl>
  </w:abstractNum>
  <w:abstractNum w:abstractNumId="7">
    <w:nsid w:val="6CEAF087"/>
    <w:multiLevelType w:val="hybridMultilevel"/>
    <w:lvl w:ilvl="0">
      <w:lvlJc w:val="left"/>
      <w:lvlText w:val="(%1)"/>
      <w:numFmt w:val="lowerRoman"/>
      <w:start w:val="1"/>
    </w:lvl>
    <w:lvl w:ilvl="1">
      <w:lvlJc w:val="left"/>
      <w:lvlText w:val="(%2)"/>
      <w:numFmt w:val="decimal"/>
      <w:start w:val="1"/>
    </w:lvl>
  </w:abstractNum>
  <w:abstractNum w:abstractNumId="8">
    <w:nsid w:val="22221A70"/>
    <w:multiLevelType w:val="hybridMultilevel"/>
    <w:lvl w:ilvl="0">
      <w:lvlJc w:val="left"/>
      <w:lvlText w:val="(%1)"/>
      <w:numFmt w:val="lowerRoman"/>
      <w:start w:val="2"/>
    </w:lvl>
    <w:lvl w:ilvl="1">
      <w:lvlJc w:val="left"/>
      <w:lvlText w:val="(%2)"/>
      <w:numFmt w:val="decimal"/>
      <w:start w:val="1"/>
    </w:lvl>
  </w:abstractNum>
  <w:abstractNum w:abstractNumId="9">
    <w:nsid w:val="4516DDE9"/>
    <w:multiLevelType w:val="hybridMultilevel"/>
    <w:lvl w:ilvl="0">
      <w:lvlJc w:val="left"/>
      <w:lvlText w:val="(%1)"/>
      <w:numFmt w:val="lowerRoman"/>
      <w:start w:val="3"/>
    </w:lvl>
    <w:lvl w:ilvl="1">
      <w:lvlJc w:val="left"/>
      <w:lvlText w:val="(%2)"/>
      <w:numFmt w:val="decimal"/>
      <w:start w:val="1"/>
    </w:lvl>
  </w:abstractNum>
  <w:abstractNum w:abstractNumId="10">
    <w:nsid w:val="3006C83E"/>
    <w:multiLevelType w:val="hybridMultilevel"/>
    <w:lvl w:ilvl="0">
      <w:lvlJc w:val="left"/>
      <w:lvlText w:val="(%1)"/>
      <w:numFmt w:val="lowerRoman"/>
      <w:start w:val="1"/>
    </w:lvl>
  </w:abstractNum>
  <w:abstractNum w:abstractNumId="11">
    <w:nsid w:val="614FD4A1"/>
    <w:multiLevelType w:val="hybridMultilevel"/>
    <w:lvl w:ilvl="0">
      <w:lvlJc w:val="left"/>
      <w:lvlText w:val="(%1)"/>
      <w:numFmt w:val="lowerRoman"/>
      <w:start w:val="1"/>
    </w:lvl>
    <w:lvl w:ilvl="1">
      <w:lvlJc w:val="left"/>
      <w:lvlText w:val="(%2)"/>
      <w:numFmt w:val="decimal"/>
      <w:start w:val="1"/>
    </w:lvl>
  </w:abstractNum>
  <w:abstractNum w:abstractNumId="12">
    <w:nsid w:val="419AC241"/>
    <w:multiLevelType w:val="hybridMultilevel"/>
    <w:lvl w:ilvl="0">
      <w:lvlJc w:val="left"/>
      <w:lvlText w:val="(%1)"/>
      <w:numFmt w:val="decimal"/>
      <w:start w:val="2"/>
    </w:lvl>
  </w:abstractNum>
  <w:abstractNum w:abstractNumId="13">
    <w:nsid w:val="5577F8E1"/>
    <w:multiLevelType w:val="hybridMultilevel"/>
    <w:lvl w:ilvl="0">
      <w:lvlJc w:val="left"/>
      <w:lvlText w:val="(%1)"/>
      <w:numFmt w:val="lowerRoman"/>
      <w:start w:val="2"/>
    </w:lvl>
    <w:lvl w:ilvl="1">
      <w:lvlJc w:val="left"/>
      <w:lvlText w:val="(%2)"/>
      <w:numFmt w:val="decimal"/>
      <w:start w:val="1"/>
    </w:lvl>
  </w:abstractNum>
  <w:abstractNum w:abstractNumId="14">
    <w:nsid w:val="440BADFC"/>
    <w:multiLevelType w:val="hybridMultilevel"/>
    <w:lvl w:ilvl="0">
      <w:lvlJc w:val="left"/>
      <w:lvlText w:val="(%1)"/>
      <w:numFmt w:val="lowerRoman"/>
      <w:start w:val="3"/>
    </w:lvl>
  </w:abstractNum>
  <w:abstractNum w:abstractNumId="15">
    <w:nsid w:val="5072367"/>
    <w:multiLevelType w:val="hybridMultilevel"/>
    <w:lvl w:ilvl="0">
      <w:lvlJc w:val="left"/>
      <w:lvlText w:val="(%1)"/>
      <w:numFmt w:val="lowerRoman"/>
      <w:start w:val="8"/>
    </w:lvl>
  </w:abstractNum>
  <w:abstractNum w:abstractNumId="16">
    <w:nsid w:val="3804823E"/>
    <w:multiLevelType w:val="hybridMultilevel"/>
    <w:lvl w:ilvl="0">
      <w:lvlJc w:val="left"/>
      <w:lvlText w:val="(%1)"/>
      <w:numFmt w:val="lowerRoman"/>
      <w:start w:val="12"/>
    </w:lvl>
  </w:abstractNum>
  <w:abstractNum w:abstractNumId="17">
    <w:nsid w:val="77465F01"/>
    <w:multiLevelType w:val="hybridMultilevel"/>
    <w:lvl w:ilvl="0">
      <w:lvlJc w:val="left"/>
      <w:lvlText w:val="(%1)"/>
      <w:numFmt w:val="lowerRoman"/>
      <w:start w:val="1"/>
    </w:lvl>
  </w:abstractNum>
  <w:abstractNum w:abstractNumId="18">
    <w:nsid w:val="7724C67E"/>
    <w:multiLevelType w:val="hybridMultilevel"/>
    <w:lvl w:ilvl="0">
      <w:lvlJc w:val="left"/>
      <w:lvlText w:val="(%1)"/>
      <w:numFmt w:val="lowerRoman"/>
      <w:start w:val="2"/>
    </w:lvl>
  </w:abstractNum>
  <w:abstractNum w:abstractNumId="19">
    <w:nsid w:val="5C482A97"/>
    <w:multiLevelType w:val="hybridMultilevel"/>
    <w:lvl w:ilvl="0">
      <w:lvlJc w:val="left"/>
      <w:lvlText w:val="(%1)"/>
      <w:numFmt w:val="lowerRoman"/>
      <w:start w:val="1"/>
    </w:lvl>
  </w:abstractNum>
  <w:abstractNum w:abstractNumId="20">
    <w:nsid w:val="2463B9EA"/>
    <w:multiLevelType w:val="hybridMultilevel"/>
    <w:lvl w:ilvl="0">
      <w:lvlJc w:val="left"/>
      <w:lvlText w:val="(%1)"/>
      <w:numFmt w:val="lowerRoman"/>
      <w:start w:val="1"/>
    </w:lvl>
  </w:abstractNum>
  <w:abstractNum w:abstractNumId="21">
    <w:nsid w:val="5E884ADC"/>
    <w:multiLevelType w:val="hybridMultilevel"/>
    <w:lvl w:ilvl="0">
      <w:lvlJc w:val="left"/>
      <w:lvlText w:val="(%1)"/>
      <w:numFmt w:val="lowerRoman"/>
      <w:start w:val="3"/>
    </w:lvl>
    <w:lvl w:ilvl="1">
      <w:lvlJc w:val="left"/>
      <w:lvlText w:val="(%2)"/>
      <w:numFmt w:val="decimal"/>
      <w:start w:val="1"/>
    </w:lvl>
  </w:abstractNum>
  <w:abstractNum w:abstractNumId="22">
    <w:nsid w:val="51EAD36B"/>
    <w:multiLevelType w:val="hybridMultilevel"/>
    <w:lvl w:ilvl="0">
      <w:lvlJc w:val="left"/>
      <w:lvlText w:val="(%1)"/>
      <w:numFmt w:val="lowerRoman"/>
      <w:start w:val="6"/>
    </w:lvl>
  </w:abstractNum>
  <w:abstractNum w:abstractNumId="23">
    <w:nsid w:val="2D517796"/>
    <w:multiLevelType w:val="hybridMultilevel"/>
    <w:lvl w:ilvl="0">
      <w:lvlJc w:val="left"/>
      <w:lvlText w:val="(%1)"/>
      <w:numFmt w:val="lowerRoman"/>
      <w:start w:val="1"/>
    </w:lvl>
    <w:lvl w:ilvl="1">
      <w:lvlJc w:val="left"/>
      <w:lvlText w:val="(%2)"/>
      <w:numFmt w:val="decimal"/>
      <w:start w:val="1"/>
    </w:lvl>
  </w:abstractNum>
  <w:abstractNum w:abstractNumId="24">
    <w:nsid w:val="580BD78F"/>
    <w:multiLevelType w:val="hybridMultilevel"/>
    <w:lvl w:ilvl="0">
      <w:lvlJc w:val="left"/>
      <w:lvlText w:val="(%1)"/>
      <w:numFmt w:val="decimal"/>
      <w:start w:val="3"/>
    </w:lvl>
  </w:abstractNum>
  <w:abstractNum w:abstractNumId="25">
    <w:nsid w:val="153EA438"/>
    <w:multiLevelType w:val="hybridMultilevel"/>
    <w:lvl w:ilvl="0">
      <w:lvlJc w:val="left"/>
      <w:lvlText w:val="%1"/>
      <w:numFmt w:val="lowerLetter"/>
      <w:start w:val="1"/>
    </w:lvl>
    <w:lvl w:ilvl="1">
      <w:lvlJc w:val="left"/>
      <w:lvlText w:val="(%2)"/>
      <w:numFmt w:val="lowerLetter"/>
      <w:start w:val="9"/>
    </w:lvl>
  </w:abstractNum>
  <w:abstractNum w:abstractNumId="26">
    <w:nsid w:val="3855585C"/>
    <w:multiLevelType w:val="hybridMultilevel"/>
    <w:lvl w:ilvl="0">
      <w:lvlJc w:val="left"/>
      <w:lvlText w:val="(%1)"/>
      <w:numFmt w:val="lowerLetter"/>
      <w:start w:val="1"/>
    </w:lvl>
    <w:lvl w:ilvl="1">
      <w:lvlJc w:val="left"/>
      <w:lvlText w:val="(%2)"/>
      <w:numFmt w:val="lowerLetter"/>
      <w:start w:val="35"/>
    </w:lvl>
  </w:abstractNum>
  <w:abstractNum w:abstractNumId="27">
    <w:nsid w:val="70A64E2A"/>
    <w:multiLevelType w:val="hybridMultilevel"/>
    <w:lvl w:ilvl="0">
      <w:lvlJc w:val="left"/>
      <w:lvlText w:val="(%1)"/>
      <w:numFmt w:val="lowerRoman"/>
      <w:start w:val="3"/>
    </w:lvl>
  </w:abstractNum>
  <w:abstractNum w:abstractNumId="28">
    <w:nsid w:val="6A2342EC"/>
    <w:multiLevelType w:val="hybridMultilevel"/>
    <w:lvl w:ilvl="0">
      <w:lvlJc w:val="left"/>
      <w:lvlText w:val="%1"/>
      <w:numFmt w:val="lowerRoman"/>
      <w:start w:val="1"/>
    </w:lvl>
    <w:lvl w:ilvl="1">
      <w:lvlJc w:val="left"/>
      <w:lvlText w:val="(%2)"/>
      <w:numFmt w:val="lowerRoman"/>
      <w:start w:val="5"/>
    </w:lvl>
  </w:abstractNum>
  <w:abstractNum w:abstractNumId="29">
    <w:nsid w:val="2A487CB0"/>
    <w:multiLevelType w:val="hybridMultilevel"/>
    <w:lvl w:ilvl="0">
      <w:lvlJc w:val="left"/>
      <w:lvlText w:val="(%1)"/>
      <w:numFmt w:val="lowerRoman"/>
      <w:start w:val="1"/>
    </w:lvl>
    <w:lvl w:ilvl="1">
      <w:lvlJc w:val="left"/>
      <w:lvlText w:val="%2"/>
      <w:numFmt w:val="lowerRoman"/>
      <w:start w:val="1"/>
    </w:lvl>
  </w:abstractNum>
  <w:abstractNum w:abstractNumId="30">
    <w:nsid w:val="1D4ED43B"/>
    <w:multiLevelType w:val="hybridMultilevel"/>
    <w:lvl w:ilvl="0">
      <w:lvlJc w:val="left"/>
      <w:lvlText w:val="(%1)"/>
      <w:numFmt w:val="decimal"/>
      <w:start w:val="4"/>
    </w:lvl>
  </w:abstractNum>
  <w:abstractNum w:abstractNumId="31">
    <w:nsid w:val="725A06FB"/>
    <w:multiLevelType w:val="hybridMultilevel"/>
    <w:lvl w:ilvl="0">
      <w:lvlJc w:val="left"/>
      <w:lvlText w:val="(%1)"/>
      <w:numFmt w:val="lowerRoman"/>
      <w:start w:val="1"/>
    </w:lvl>
  </w:abstractNum>
  <w:abstractNum w:abstractNumId="32">
    <w:nsid w:val="2CD89A32"/>
    <w:multiLevelType w:val="hybridMultilevel"/>
    <w:lvl w:ilvl="0">
      <w:lvlJc w:val="left"/>
      <w:lvlText w:val="(%1)"/>
      <w:numFmt w:val="lowerRoman"/>
      <w:start w:val="2"/>
    </w:lvl>
  </w:abstractNum>
  <w:abstractNum w:abstractNumId="33">
    <w:nsid w:val="57E4CCAF"/>
    <w:multiLevelType w:val="hybridMultilevel"/>
    <w:lvl w:ilvl="0">
      <w:lvlJc w:val="left"/>
      <w:lvlText w:val="(%1)"/>
      <w:numFmt w:val="decimal"/>
      <w:start w:val="7"/>
    </w:lvl>
  </w:abstractNum>
  <w:abstractNum w:abstractNumId="34">
    <w:nsid w:val="7A6D8D3C"/>
    <w:multiLevelType w:val="hybridMultilevel"/>
    <w:lvl w:ilvl="0">
      <w:lvlJc w:val="left"/>
      <w:lvlText w:val="(%1)"/>
      <w:numFmt w:val="lowerRoman"/>
      <w:start w:val="2"/>
    </w:lvl>
  </w:abstractNum>
  <w:abstractNum w:abstractNumId="35">
    <w:nsid w:val="4B588F54"/>
    <w:multiLevelType w:val="hybridMultilevel"/>
    <w:lvl w:ilvl="0">
      <w:lvlJc w:val="left"/>
      <w:lvlText w:val="(%1)"/>
      <w:numFmt w:val="lowerRoman"/>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2"/>
    </w:lvl>
  </w:abstractNum>
  <w:abstractNum w:abstractNumId="38">
    <w:nsid w:val="38437FDB"/>
    <w:multiLevelType w:val="hybridMultilevel"/>
    <w:lvl w:ilvl="0">
      <w:lvlJc w:val="left"/>
      <w:lvlText w:val="(%1)"/>
      <w:numFmt w:val="decimal"/>
      <w:start w:val="13"/>
    </w:lvl>
  </w:abstractNum>
  <w:abstractNum w:abstractNumId="39">
    <w:nsid w:val="7644A45C"/>
    <w:multiLevelType w:val="hybridMultilevel"/>
    <w:lvl w:ilvl="0">
      <w:lvlJc w:val="left"/>
      <w:lvlText w:val="%1"/>
      <w:numFmt w:val="lowerRoman"/>
      <w:start w:val="1"/>
    </w:lvl>
    <w:lvl w:ilvl="1">
      <w:lvlJc w:val="left"/>
      <w:lvlText w:val="(%2)"/>
      <w:numFmt w:val="decimal"/>
      <w:start w:val="20"/>
    </w:lvl>
  </w:abstractNum>
  <w:abstractNum w:abstractNumId="40">
    <w:nsid w:val="32FFF902"/>
    <w:multiLevelType w:val="hybridMultilevel"/>
    <w:lvl w:ilvl="0">
      <w:lvlJc w:val="left"/>
      <w:lvlText w:val="(%1)"/>
      <w:numFmt w:val="lowerRoman"/>
      <w:start w:val="2"/>
    </w:lvl>
    <w:lvl w:ilvl="1">
      <w:lvlJc w:val="left"/>
      <w:lvlText w:val="(%2)"/>
      <w:numFmt w:val="decimal"/>
      <w:start w:val="23"/>
    </w:lvl>
  </w:abstractNum>
  <w:abstractNum w:abstractNumId="41">
    <w:nsid w:val="684A481A"/>
    <w:multiLevelType w:val="hybridMultilevel"/>
    <w:lvl w:ilvl="0">
      <w:lvlJc w:val="left"/>
      <w:lvlText w:val="(%1)"/>
      <w:numFmt w:val="decimal"/>
      <w:start w:val="24"/>
    </w:lvl>
  </w:abstractNum>
  <w:abstractNum w:abstractNumId="42">
    <w:nsid w:val="579478FE"/>
    <w:multiLevelType w:val="hybridMultilevel"/>
    <w:lvl w:ilvl="0">
      <w:lvlJc w:val="left"/>
      <w:lvlText w:val="%1."/>
      <w:numFmt w:val="upperLetter"/>
      <w:start w:val="1"/>
    </w:lvl>
    <w:lvl w:ilvl="1">
      <w:lvlJc w:val="left"/>
      <w:lvlText w:val="(%2)"/>
      <w:numFmt w:val="decimal"/>
      <w:start w:val="1"/>
    </w:lvl>
  </w:abstractNum>
  <w:abstractNum w:abstractNumId="43">
    <w:nsid w:val="749ABB43"/>
    <w:multiLevelType w:val="hybridMultilevel"/>
    <w:lvl w:ilvl="0">
      <w:lvlJc w:val="left"/>
      <w:lvlText w:val="%1"/>
      <w:numFmt w:val="lowerRoman"/>
      <w:start w:val="1"/>
    </w:lvl>
    <w:lvl w:ilvl="1">
      <w:lvlJc w:val="left"/>
      <w:lvlText w:val="(%2)"/>
      <w:numFmt w:val="decimal"/>
      <w:start w:val="3"/>
    </w:lvl>
  </w:abstractNum>
  <w:abstractNum w:abstractNumId="44">
    <w:nsid w:val="3DC240FB"/>
    <w:multiLevelType w:val="hybridMultilevel"/>
    <w:lvl w:ilvl="0">
      <w:lvlJc w:val="left"/>
      <w:lvlText w:val="(%1)"/>
      <w:numFmt w:val="lowerRoman"/>
      <w:start w:val="1"/>
    </w:lvl>
    <w:lvl w:ilvl="1">
      <w:lvlJc w:val="left"/>
      <w:lvlText w:val="%2"/>
      <w:numFmt w:val="decimal"/>
      <w:start w:val="1"/>
    </w:lvl>
  </w:abstractNum>
  <w:abstractNum w:abstractNumId="45">
    <w:nsid w:val="1BA026FA"/>
    <w:multiLevelType w:val="hybridMultilevel"/>
    <w:lvl w:ilvl="0">
      <w:lvlJc w:val="left"/>
      <w:lvlText w:val="%1."/>
      <w:numFmt w:val="upperLetter"/>
      <w:start w:val="2"/>
    </w:lvl>
  </w:abstractNum>
  <w:abstractNum w:abstractNumId="46">
    <w:nsid w:val="79A1DEAA"/>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47">
    <w:nsid w:val="75C6C33A"/>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2"/>
    </w:lvl>
  </w:abstractNum>
  <w:abstractNum w:abstractNumId="48">
    <w:nsid w:val="12E685FB"/>
    <w:multiLevelType w:val="hybridMultilevel"/>
    <w:lvl w:ilvl="0">
      <w:lvlJc w:val="left"/>
      <w:lvlText w:val="(%1)"/>
      <w:numFmt w:val="decimal"/>
      <w:start w:val="3"/>
    </w:lvl>
  </w:abstractNum>
  <w:abstractNum w:abstractNumId="49">
    <w:nsid w:val="70C6A529"/>
    <w:multiLevelType w:val="hybridMultilevel"/>
    <w:lvl w:ilvl="0">
      <w:lvlJc w:val="left"/>
      <w:lvlText w:val="%1."/>
      <w:numFmt w:val="upperLetter"/>
      <w:start w:val="1"/>
    </w:lvl>
    <w:lvl w:ilvl="1">
      <w:lvlJc w:val="left"/>
      <w:lvlText w:val="(%2)"/>
      <w:numFmt w:val="decimal"/>
      <w:start w:val="1"/>
    </w:lvl>
  </w:abstractNum>
  <w:abstractNum w:abstractNumId="50">
    <w:nsid w:val="520EEDD1"/>
    <w:multiLevelType w:val="hybridMultilevel"/>
    <w:lvl w:ilvl="0">
      <w:lvlJc w:val="left"/>
      <w:lvlText w:val="%1."/>
      <w:numFmt w:val="upperLetter"/>
      <w:start w:val="1"/>
    </w:lvl>
  </w:abstractNum>
  <w:abstractNum w:abstractNumId="51">
    <w:nsid w:val="374A3FE6"/>
    <w:multiLevelType w:val="hybridMultilevel"/>
    <w:lvl w:ilvl="0">
      <w:lvlJc w:val="left"/>
      <w:lvlText w:val="%1."/>
      <w:numFmt w:val="upperLetter"/>
      <w:start w:val="2"/>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upperLetter"/>
      <w:start w:val="1"/>
    </w:lvl>
  </w:abstractNum>
  <w:abstractNum w:abstractNumId="54">
    <w:nsid w:val="649BB77C"/>
    <w:multiLevelType w:val="hybridMultilevel"/>
    <w:lvl w:ilvl="0">
      <w:lvlJc w:val="left"/>
      <w:lvlText w:val="%1."/>
      <w:numFmt w:val="upperLetter"/>
      <w:start w:val="1"/>
    </w:lvl>
  </w:abstractNum>
  <w:abstractNum w:abstractNumId="55">
    <w:nsid w:val="275AC794"/>
    <w:multiLevelType w:val="hybridMultilevel"/>
    <w:lvl w:ilvl="0">
      <w:lvlJc w:val="left"/>
      <w:lvlText w:val="%1."/>
      <w:numFmt w:val="upperLetter"/>
      <w:start w:val="2"/>
    </w:lvl>
    <w:lvl w:ilvl="1">
      <w:lvlJc w:val="left"/>
      <w:lvlText w:val="(%2)"/>
      <w:numFmt w:val="decimal"/>
      <w:start w:val="2"/>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2019-12-28T13:54:41Z</dcterms:created>
  <dcterms:modified xsi:type="dcterms:W3CDTF">2019-12-28T13:54:41Z</dcterms:modified>
</cp:coreProperties>
</file>