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10, 2024</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May 10, 2024, Tradeweb Markets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2024 Annual Meeting of Stockholders. At the 2024 Annual Meeting of Stockholders, stockholders voted on the matters disclosed in the Company’s definitive Proxy Statement on Schedule 14A filed with the Securities and Exchange Commission on March 28, 2024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The final voting results for the matters submitted to a vote of the stockholders were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56"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18"/>
          <w:szCs w:val="18"/>
          <w:color w:val="auto"/>
        </w:rPr>
        <w:t>The Company’s stockholders elected the persons listed below as Class II directors, each to serve for a three-year term expiring at the Company’s 2027 Annual Meeting of Stockholders and until their respective successors are duly elected and qualified:</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2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8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80" w:type="dxa"/>
            <w:vAlign w:val="bottom"/>
          </w:tcPr>
          <w:p>
            <w:pPr>
              <w:spacing w:after="0"/>
              <w:rPr>
                <w:sz w:val="20"/>
                <w:szCs w:val="20"/>
                <w:color w:val="auto"/>
              </w:rPr>
            </w:pPr>
          </w:p>
        </w:tc>
        <w:tc>
          <w:tcPr>
            <w:tcW w:w="22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8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Jacques Aigrain</w:t>
            </w:r>
          </w:p>
        </w:tc>
        <w:tc>
          <w:tcPr>
            <w:tcW w:w="180" w:type="dxa"/>
            <w:vAlign w:val="bottom"/>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1,107,904,750</w:t>
            </w:r>
          </w:p>
        </w:tc>
        <w:tc>
          <w:tcPr>
            <w:tcW w:w="180" w:type="dxa"/>
            <w:vAlign w:val="bottom"/>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33,194,312</w:t>
            </w:r>
          </w:p>
        </w:tc>
        <w:tc>
          <w:tcPr>
            <w:tcW w:w="180" w:type="dxa"/>
            <w:vAlign w:val="bottom"/>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2,844,883</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Balbir Bakhshi</w:t>
            </w:r>
          </w:p>
        </w:tc>
        <w:tc>
          <w:tcPr>
            <w:tcW w:w="1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1,130,008,222</w:t>
            </w:r>
          </w:p>
        </w:tc>
        <w:tc>
          <w:tcPr>
            <w:tcW w:w="18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11,090,840</w:t>
            </w:r>
          </w:p>
        </w:tc>
        <w:tc>
          <w:tcPr>
            <w:tcW w:w="1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2,844,883</w:t>
            </w: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Paula Madoff</w:t>
            </w:r>
          </w:p>
        </w:tc>
        <w:tc>
          <w:tcPr>
            <w:tcW w:w="180" w:type="dxa"/>
            <w:vAlign w:val="bottom"/>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1,102,044,291</w:t>
            </w:r>
          </w:p>
        </w:tc>
        <w:tc>
          <w:tcPr>
            <w:tcW w:w="180" w:type="dxa"/>
            <w:vAlign w:val="bottom"/>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39,054,771</w:t>
            </w:r>
          </w:p>
        </w:tc>
        <w:tc>
          <w:tcPr>
            <w:tcW w:w="180" w:type="dxa"/>
            <w:vAlign w:val="bottom"/>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2,844,883</w:t>
            </w: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Pluta</w:t>
            </w:r>
          </w:p>
        </w:tc>
        <w:tc>
          <w:tcPr>
            <w:tcW w:w="18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1,135,788,956</w:t>
            </w:r>
          </w:p>
        </w:tc>
        <w:tc>
          <w:tcPr>
            <w:tcW w:w="18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5,310,106</w:t>
            </w:r>
          </w:p>
        </w:tc>
        <w:tc>
          <w:tcPr>
            <w:tcW w:w="18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2,844,883</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Deloitte &amp; Touche LLP Independent Registered Public Accounting Firm.</w:t>
      </w:r>
    </w:p>
    <w:p>
      <w:pPr>
        <w:spacing w:after="0" w:line="256" w:lineRule="exact"/>
        <w:rPr>
          <w:sz w:val="20"/>
          <w:szCs w:val="20"/>
          <w:color w:val="auto"/>
        </w:rPr>
      </w:pPr>
    </w:p>
    <w:p>
      <w:pPr>
        <w:jc w:val="both"/>
        <w:ind w:right="80" w:firstLine="648"/>
        <w:spacing w:after="0" w:line="271"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2024:</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18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8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8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2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1,143,882,945</w:t>
            </w:r>
          </w:p>
        </w:tc>
        <w:tc>
          <w:tcPr>
            <w:tcW w:w="180" w:type="dxa"/>
            <w:vAlign w:val="bottom"/>
          </w:tcPr>
          <w:p>
            <w:pPr>
              <w:spacing w:after="0"/>
              <w:rPr>
                <w:sz w:val="19"/>
                <w:szCs w:val="19"/>
                <w:color w:val="auto"/>
              </w:rPr>
            </w:pPr>
          </w:p>
        </w:tc>
        <w:tc>
          <w:tcPr>
            <w:tcW w:w="220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58,354</w:t>
            </w:r>
          </w:p>
        </w:tc>
        <w:tc>
          <w:tcPr>
            <w:tcW w:w="180" w:type="dxa"/>
            <w:vAlign w:val="bottom"/>
          </w:tcPr>
          <w:p>
            <w:pPr>
              <w:spacing w:after="0"/>
              <w:rPr>
                <w:sz w:val="19"/>
                <w:szCs w:val="19"/>
                <w:color w:val="auto"/>
              </w:rPr>
            </w:pP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2,646</w:t>
            </w:r>
          </w:p>
        </w:tc>
        <w:tc>
          <w:tcPr>
            <w:tcW w:w="180" w:type="dxa"/>
            <w:vAlign w:val="bottom"/>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Advisory Vote on Executive Compensation.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of the Company's named executive officers:</w:t>
      </w:r>
    </w:p>
    <w:p>
      <w:pPr>
        <w:spacing w:after="0" w:line="46"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18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8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8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2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1,129,171,356</w:t>
            </w:r>
          </w:p>
        </w:tc>
        <w:tc>
          <w:tcPr>
            <w:tcW w:w="180" w:type="dxa"/>
            <w:vAlign w:val="bottom"/>
          </w:tcPr>
          <w:p>
            <w:pPr>
              <w:spacing w:after="0"/>
              <w:rPr>
                <w:sz w:val="19"/>
                <w:szCs w:val="19"/>
                <w:color w:val="auto"/>
              </w:rPr>
            </w:pPr>
          </w:p>
        </w:tc>
        <w:tc>
          <w:tcPr>
            <w:tcW w:w="22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11,917,132</w:t>
            </w:r>
          </w:p>
        </w:tc>
        <w:tc>
          <w:tcPr>
            <w:tcW w:w="180" w:type="dxa"/>
            <w:vAlign w:val="bottom"/>
          </w:tcPr>
          <w:p>
            <w:pPr>
              <w:spacing w:after="0"/>
              <w:rPr>
                <w:sz w:val="19"/>
                <w:szCs w:val="19"/>
                <w:color w:val="auto"/>
              </w:rPr>
            </w:pPr>
          </w:p>
        </w:tc>
        <w:tc>
          <w:tcPr>
            <w:tcW w:w="22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10,574</w:t>
            </w:r>
          </w:p>
        </w:tc>
        <w:tc>
          <w:tcPr>
            <w:tcW w:w="180" w:type="dxa"/>
            <w:vAlign w:val="bottom"/>
          </w:tcPr>
          <w:p>
            <w:pPr>
              <w:spacing w:after="0"/>
              <w:rPr>
                <w:sz w:val="19"/>
                <w:szCs w:val="19"/>
                <w:color w:val="auto"/>
              </w:rPr>
            </w:pPr>
          </w:p>
        </w:tc>
        <w:tc>
          <w:tcPr>
            <w:tcW w:w="22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2,844,883</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Advisory Vote on Frequency of Advisory Votes on Executive Compensation.</w:t>
      </w:r>
    </w:p>
    <w:p>
      <w:pPr>
        <w:spacing w:after="0" w:line="256"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frequency of future advisory votes on the compensation of the Company's named executive officers:</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8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180" w:type="dxa"/>
            <w:vAlign w:val="bottom"/>
          </w:tcPr>
          <w:p>
            <w:pPr>
              <w:spacing w:after="0"/>
              <w:rPr>
                <w:sz w:val="20"/>
                <w:szCs w:val="20"/>
                <w:color w:val="auto"/>
              </w:rPr>
            </w:pPr>
          </w:p>
        </w:tc>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60" w:type="dxa"/>
            <w:vAlign w:val="bottom"/>
          </w:tcPr>
          <w:p>
            <w:pPr>
              <w:spacing w:after="0"/>
              <w:rPr>
                <w:sz w:val="20"/>
                <w:szCs w:val="20"/>
                <w:color w:val="auto"/>
              </w:rPr>
            </w:pPr>
          </w:p>
        </w:tc>
        <w:tc>
          <w:tcPr>
            <w:tcW w:w="19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172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1,140,677,669</w:t>
            </w:r>
          </w:p>
        </w:tc>
        <w:tc>
          <w:tcPr>
            <w:tcW w:w="180" w:type="dxa"/>
            <w:vAlign w:val="bottom"/>
          </w:tcPr>
          <w:p>
            <w:pPr>
              <w:spacing w:after="0"/>
              <w:rPr>
                <w:sz w:val="19"/>
                <w:szCs w:val="19"/>
                <w:color w:val="auto"/>
              </w:rPr>
            </w:pPr>
          </w:p>
        </w:tc>
        <w:tc>
          <w:tcPr>
            <w:tcW w:w="17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4,661</w:t>
            </w:r>
          </w:p>
        </w:tc>
        <w:tc>
          <w:tcPr>
            <w:tcW w:w="180" w:type="dxa"/>
            <w:vAlign w:val="bottom"/>
          </w:tcPr>
          <w:p>
            <w:pPr>
              <w:spacing w:after="0"/>
              <w:rPr>
                <w:sz w:val="19"/>
                <w:szCs w:val="19"/>
                <w:color w:val="auto"/>
              </w:rPr>
            </w:pPr>
          </w:p>
        </w:tc>
        <w:tc>
          <w:tcPr>
            <w:tcW w:w="17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294,252</w:t>
            </w:r>
          </w:p>
        </w:tc>
        <w:tc>
          <w:tcPr>
            <w:tcW w:w="160" w:type="dxa"/>
            <w:vAlign w:val="bottom"/>
          </w:tcPr>
          <w:p>
            <w:pPr>
              <w:spacing w:after="0"/>
              <w:rPr>
                <w:sz w:val="19"/>
                <w:szCs w:val="19"/>
                <w:color w:val="auto"/>
              </w:rPr>
            </w:pPr>
          </w:p>
        </w:tc>
        <w:tc>
          <w:tcPr>
            <w:tcW w:w="1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122,480</w:t>
            </w:r>
          </w:p>
        </w:tc>
        <w:tc>
          <w:tcPr>
            <w:tcW w:w="16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2,844,883</w:t>
            </w:r>
          </w:p>
        </w:tc>
      </w:tr>
    </w:tbl>
    <w:p>
      <w:pPr>
        <w:spacing w:after="0" w:line="31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Consistent with the Board's recommendation and the voting results with respect to the proposal, going forward, the Company has decided to hold an annual advisory vote to approve the compensation of its named executive officers, until the next required vote on the frequency of such advisory votes, or until the Board of Directors of the Company otherwise determines that a different frequency is in the best interests of the Company and its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0" w:type="dxa"/>
            <w:vAlign w:val="bottom"/>
          </w:tcPr>
          <w:p>
            <w:pPr>
              <w:ind w:left="40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212"/>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0" w:type="dxa"/>
            <w:vAlign w:val="bottom"/>
          </w:tcPr>
          <w:p>
            <w:pPr>
              <w:spacing w:after="0"/>
              <w:rPr>
                <w:sz w:val="18"/>
                <w:szCs w:val="18"/>
                <w:color w:val="auto"/>
              </w:rPr>
            </w:pPr>
          </w:p>
        </w:tc>
      </w:tr>
      <w:tr>
        <w:trPr>
          <w:trHeight w:val="33"/>
        </w:trPr>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500" w:type="dxa"/>
            <w:vAlign w:val="bottom"/>
            <w:gridSpan w:val="2"/>
          </w:tcPr>
          <w:p>
            <w:pPr>
              <w:spacing w:after="0"/>
              <w:rPr>
                <w:sz w:val="2"/>
                <w:szCs w:val="2"/>
                <w:color w:val="auto"/>
              </w:rPr>
            </w:pPr>
          </w:p>
        </w:tc>
      </w:tr>
      <w:tr>
        <w:trPr>
          <w:trHeight w:val="228"/>
        </w:trPr>
        <w:tc>
          <w:tcPr>
            <w:tcW w:w="10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9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88"/>
        </w:trPr>
        <w:tc>
          <w:tcPr>
            <w:tcW w:w="10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TRADEWEB MARKETS INC.</w:t>
      </w:r>
    </w:p>
    <w:p>
      <w:pPr>
        <w:spacing w:after="0" w:line="320" w:lineRule="exact"/>
        <w:rPr>
          <w:sz w:val="20"/>
          <w:szCs w:val="20"/>
          <w:color w:val="auto"/>
        </w:rPr>
      </w:pPr>
    </w:p>
    <w:p>
      <w:pPr>
        <w:ind w:left="680"/>
        <w:spacing w:after="0"/>
        <w:tabs>
          <w:tab w:leader="none" w:pos="6680" w:val="left"/>
          <w:tab w:leader="none" w:pos="7140" w:val="left"/>
        </w:tabs>
        <w:rPr>
          <w:sz w:val="20"/>
          <w:szCs w:val="20"/>
          <w:color w:val="auto"/>
        </w:rPr>
      </w:pPr>
      <w:r>
        <w:rPr>
          <w:rFonts w:ascii="Times New Roman" w:cs="Times New Roman" w:eastAsia="Times New Roman" w:hAnsi="Times New Roman"/>
          <w:sz w:val="18"/>
          <w:szCs w:val="18"/>
          <w:color w:val="auto"/>
        </w:rPr>
        <w:t>Date: May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34290</wp:posOffset>
            </wp:positionV>
            <wp:extent cx="2511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4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Douglas Friedman</w:t>
      </w:r>
    </w:p>
    <w:p>
      <w:pPr>
        <w:spacing w:after="0" w:line="5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General Counsel</w:t>
      </w:r>
    </w:p>
    <w:sectPr>
      <w:pgSz w:w="11900" w:h="16838" w:orient="portrait"/>
      <w:cols w:equalWidth="0" w:num="1">
        <w:col w:w="10920"/>
      </w:cols>
      <w:pgMar w:left="320" w:top="88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2024-05-13T15:52:17Z</dcterms:created>
  <dcterms:modified xsi:type="dcterms:W3CDTF">2024-05-13T15:52:17Z</dcterms:modified>
</cp:coreProperties>
</file>