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2"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18, 2024</w:t>
      </w:r>
    </w:p>
    <w:p>
      <w:pPr>
        <w:spacing w:after="0" w:line="30"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Tradeweb Markets Inc.</w:t>
      </w:r>
    </w:p>
    <w:p>
      <w:pPr>
        <w:spacing w:after="0" w:line="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6"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325" w:lineRule="exact"/>
        <w:rPr>
          <w:sz w:val="24"/>
          <w:szCs w:val="24"/>
          <w:color w:val="auto"/>
        </w:rPr>
      </w:pPr>
    </w:p>
    <w:tbl>
      <w:tblPr>
        <w:tblLayout w:type="fixed"/>
        <w:tblInd w:w="900" w:type="dxa"/>
        <w:tblCellMar>
          <w:top w:w="0" w:type="dxa"/>
          <w:left w:w="0" w:type="dxa"/>
          <w:bottom w:w="0" w:type="dxa"/>
          <w:right w:w="0" w:type="dxa"/>
        </w:tblCellMar>
      </w:tblPr>
      <w:tr>
        <w:trPr>
          <w:trHeight w:val="261"/>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001-38860</w:t>
            </w:r>
          </w:p>
        </w:tc>
        <w:tc>
          <w:tcPr>
            <w:tcW w:w="2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83-2456358</w:t>
            </w:r>
          </w:p>
        </w:tc>
        <w:tc>
          <w:tcPr>
            <w:tcW w:w="0" w:type="dxa"/>
            <w:vAlign w:val="bottom"/>
          </w:tcPr>
          <w:p>
            <w:pPr>
              <w:spacing w:after="0"/>
              <w:rPr>
                <w:sz w:val="1"/>
                <w:szCs w:val="1"/>
                <w:color w:val="auto"/>
              </w:rPr>
            </w:pPr>
          </w:p>
        </w:tc>
      </w:tr>
      <w:tr>
        <w:trPr>
          <w:trHeight w:val="203"/>
        </w:trPr>
        <w:tc>
          <w:tcPr>
            <w:tcW w:w="4080" w:type="dxa"/>
            <w:vAlign w:val="bottom"/>
          </w:tcPr>
          <w:p>
            <w:pPr>
              <w:jc w:val="center"/>
              <w:ind w:right="205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420" w:type="dxa"/>
            <w:vAlign w:val="bottom"/>
          </w:tcPr>
          <w:p>
            <w:pPr>
              <w:jc w:val="center"/>
              <w:ind w:right="1070"/>
              <w:spacing w:after="0" w:line="202" w:lineRule="exact"/>
              <w:rPr>
                <w:sz w:val="20"/>
                <w:szCs w:val="20"/>
                <w:color w:val="auto"/>
              </w:rPr>
            </w:pPr>
            <w:r>
              <w:rPr>
                <w:rFonts w:ascii="Times New Roman" w:cs="Times New Roman" w:eastAsia="Times New Roman" w:hAnsi="Times New Roman"/>
                <w:sz w:val="18"/>
                <w:szCs w:val="18"/>
                <w:color w:val="auto"/>
              </w:rPr>
              <w:t>(Commission</w:t>
            </w:r>
          </w:p>
        </w:tc>
        <w:tc>
          <w:tcPr>
            <w:tcW w:w="2640" w:type="dxa"/>
            <w:vAlign w:val="bottom"/>
          </w:tcPr>
          <w:p>
            <w:pPr>
              <w:jc w:val="center"/>
              <w:ind w:left="1190"/>
              <w:spacing w:after="0" w:line="202"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48"/>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48"/>
        </w:trPr>
        <w:tc>
          <w:tcPr>
            <w:tcW w:w="4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1177 Avenue of the Americas</w:t>
            </w:r>
          </w:p>
        </w:tc>
        <w:tc>
          <w:tcPr>
            <w:tcW w:w="2420" w:type="dxa"/>
            <w:vAlign w:val="bottom"/>
          </w:tcPr>
          <w:p>
            <w:pPr>
              <w:spacing w:after="0"/>
              <w:rPr>
                <w:sz w:val="21"/>
                <w:szCs w:val="21"/>
                <w:color w:val="auto"/>
              </w:rPr>
            </w:pPr>
          </w:p>
        </w:tc>
        <w:tc>
          <w:tcPr>
            <w:tcW w:w="26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10036</w:t>
            </w:r>
          </w:p>
        </w:tc>
        <w:tc>
          <w:tcPr>
            <w:tcW w:w="0" w:type="dxa"/>
            <w:vAlign w:val="bottom"/>
          </w:tcPr>
          <w:p>
            <w:pPr>
              <w:spacing w:after="0"/>
              <w:rPr>
                <w:sz w:val="1"/>
                <w:szCs w:val="1"/>
                <w:color w:val="auto"/>
              </w:rPr>
            </w:pPr>
          </w:p>
        </w:tc>
      </w:tr>
      <w:tr>
        <w:trPr>
          <w:trHeight w:val="238"/>
        </w:trPr>
        <w:tc>
          <w:tcPr>
            <w:tcW w:w="4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20" w:type="dxa"/>
            <w:vAlign w:val="bottom"/>
          </w:tcPr>
          <w:p>
            <w:pPr>
              <w:spacing w:after="0"/>
              <w:rPr>
                <w:sz w:val="20"/>
                <w:szCs w:val="20"/>
                <w:color w:val="auto"/>
              </w:rPr>
            </w:pP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(646) 430-6000</w:t>
      </w:r>
    </w:p>
    <w:p>
      <w:pPr>
        <w:spacing w:after="0" w:line="3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233"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5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238"/>
        </w:trPr>
        <w:tc>
          <w:tcPr>
            <w:tcW w:w="4560" w:type="dxa"/>
            <w:vAlign w:val="bottom"/>
            <w:gridSpan w:val="2"/>
            <w:vMerge w:val="continue"/>
          </w:tcPr>
          <w:p>
            <w:pPr>
              <w:spacing w:after="0"/>
              <w:rPr>
                <w:sz w:val="20"/>
                <w:szCs w:val="20"/>
                <w:color w:val="auto"/>
              </w:rPr>
            </w:pPr>
          </w:p>
        </w:tc>
        <w:tc>
          <w:tcPr>
            <w:tcW w:w="3260" w:type="dxa"/>
            <w:vAlign w:val="bottom"/>
            <w:gridSpan w:val="2"/>
            <w:vMerge w:val="continue"/>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228"/>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$0.00001</w:t>
            </w:r>
          </w:p>
        </w:tc>
        <w:tc>
          <w:tcPr>
            <w:tcW w:w="42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TW</w:t>
            </w:r>
          </w:p>
        </w:tc>
        <w:tc>
          <w:tcPr>
            <w:tcW w:w="4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287"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647065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72"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On September 18, 2024, the Board of Directors (the “Board”) of Tradeweb Markets Inc. (the “Company”) appointed Mr. Daniel Maguire, age 48, as a Class I director, effective as of such date. Mr. Maguire will hold office until the annual meeting of stockholders to be held in 2026 and until his successor shall be elected and qualified or until his earlier death, resignation, retirement, disqualification or removal.</w:t>
      </w:r>
    </w:p>
    <w:p>
      <w:pPr>
        <w:spacing w:after="0" w:line="204"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Mr. Maguire was designated to serve on the Board by Refinitiv Parent Limited (“Refinitiv”), our controlling stockholder, pursuant to Refinitiv’s director designation right as set forth in Section 2.1 of that certain Stockholders Agreement, dated as of April 8, 2019, by and among the Company and the stockholders named therein. Mr. Maguire does not have any family relationships with any director or executive officer of the Company and there are no transactions in which Mr. Maguire has an interest requiring disclosure under Item 404(a) of Regulation S-K.</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Maguire will not receive any compensation for his service as a director on our Board.</w:t>
      </w:r>
    </w:p>
    <w:p>
      <w:pPr>
        <w:spacing w:after="0" w:line="239"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18"/>
          <w:szCs w:val="18"/>
          <w:color w:val="auto"/>
        </w:rPr>
        <w:t>Mr. Maguire has been a member of the Executive Committee of London Stock Exchange Group ("LSEG") since October 2017. He has served as the Group Head, LSEG Markets since May 2024 and CEO, LCH Group ("LCH") since October 2017. Prior to that, Mr. Maguire held positions of increasing responsibility at LSEG and LCH, beginning in 1999. He received a Bachelor of Arts from Leeds Beckett University. Mr. Maguire is qualified to serve on our Board due to his deep knowledge of the financial services industry.</w:t>
      </w:r>
    </w:p>
    <w:p>
      <w:pPr>
        <w:spacing w:after="0" w:line="198" w:lineRule="exact"/>
        <w:rPr>
          <w:sz w:val="20"/>
          <w:szCs w:val="20"/>
          <w:color w:val="auto"/>
        </w:rPr>
      </w:pPr>
    </w:p>
    <w:p>
      <w:pPr>
        <w:ind w:right="300" w:firstLine="648"/>
        <w:spacing w:after="0" w:line="296" w:lineRule="auto"/>
        <w:rPr>
          <w:sz w:val="20"/>
          <w:szCs w:val="20"/>
          <w:color w:val="auto"/>
        </w:rPr>
      </w:pPr>
      <w:r>
        <w:rPr>
          <w:rFonts w:ascii="Times New Roman" w:cs="Times New Roman" w:eastAsia="Times New Roman" w:hAnsi="Times New Roman"/>
          <w:sz w:val="17"/>
          <w:szCs w:val="17"/>
          <w:color w:val="auto"/>
        </w:rPr>
        <w:t>The Company will enter into its standard form of indemnification agreement for directors and officers, a copy of which was previously filed as Exhibit 10.16 to the Company’s Registration Statement on Form S-1 (File No. 333-230115) and is incorporated herein by reference, with Mr. Maguire.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ind w:right="580" w:firstLine="648"/>
        <w:spacing w:after="0" w:line="266" w:lineRule="auto"/>
        <w:rPr>
          <w:sz w:val="20"/>
          <w:szCs w:val="20"/>
          <w:color w:val="auto"/>
        </w:rPr>
      </w:pPr>
      <w:r>
        <w:rPr>
          <w:rFonts w:ascii="Times New Roman" w:cs="Times New Roman" w:eastAsia="Times New Roman" w:hAnsi="Times New Roman"/>
          <w:sz w:val="18"/>
          <w:szCs w:val="18"/>
          <w:color w:val="auto"/>
        </w:rPr>
        <w:t>On September 19, 2024, the Company issued a press release announcing the appointment of Daniel Maguire. A copy of the press release is attached as Exhibit 99.1 hereto and is incorporated herein by reference.</w:t>
      </w:r>
    </w:p>
    <w:p>
      <w:pPr>
        <w:spacing w:after="0" w:line="189"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7.01 of this Current Report on Form 8-K, including Exhibit 99.1 attached hereto, shall not be deemed “filed” for the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set forth by specific reference in such a filing.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6920" w:type="dxa"/>
            <w:vAlign w:val="bottom"/>
            <w:gridSpan w:val="3"/>
          </w:tcPr>
          <w:p>
            <w:pPr>
              <w:ind w:left="154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212"/>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80" w:type="dxa"/>
            <w:vAlign w:val="bottom"/>
            <w:gridSpan w:val="4"/>
          </w:tcPr>
          <w:p>
            <w:pPr>
              <w:spacing w:after="0" w:line="182" w:lineRule="exact"/>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Form of Indemnification Agreement (incorporated by reference to Exhibit 10.16 to the Company’s Registration Statement on</w:t>
              </w:r>
            </w:hyperlink>
          </w:p>
        </w:tc>
        <w:tc>
          <w:tcPr>
            <w:tcW w:w="0" w:type="dxa"/>
            <w:vAlign w:val="bottom"/>
          </w:tcPr>
          <w:p>
            <w:pPr>
              <w:spacing w:after="0"/>
              <w:rPr>
                <w:sz w:val="1"/>
                <w:szCs w:val="1"/>
                <w:color w:val="auto"/>
              </w:rPr>
            </w:pPr>
          </w:p>
        </w:tc>
      </w:tr>
      <w:tr>
        <w:trPr>
          <w:trHeight w:val="155"/>
        </w:trPr>
        <w:tc>
          <w:tcPr>
            <w:tcW w:w="1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6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rPr>
            </w:pPr>
            <w:hyperlink r:id="rId13">
              <w:r>
                <w:rPr>
                  <w:rFonts w:ascii="Times New Roman" w:cs="Times New Roman" w:eastAsia="Times New Roman" w:hAnsi="Times New Roman"/>
                  <w:sz w:val="16"/>
                  <w:szCs w:val="16"/>
                  <w:color w:val="0000FF"/>
                </w:rPr>
                <w:t>Form S-1 (File No. 333-230115)).</w:t>
              </w:r>
            </w:hyperlink>
          </w:p>
        </w:tc>
        <w:tc>
          <w:tcPr>
            <w:tcW w:w="2440" w:type="dxa"/>
            <w:vAlign w:val="bottom"/>
            <w:tcBorders>
              <w:top w:val="single" w:sz="8" w:color="0000FF"/>
            </w:tcBorders>
          </w:tcPr>
          <w:p>
            <w:pPr>
              <w:spacing w:after="0"/>
              <w:rPr>
                <w:sz w:val="13"/>
                <w:szCs w:val="13"/>
                <w:color w:val="auto"/>
              </w:rPr>
            </w:pPr>
          </w:p>
        </w:tc>
        <w:tc>
          <w:tcPr>
            <w:tcW w:w="4120" w:type="dxa"/>
            <w:vAlign w:val="bottom"/>
            <w:tcBorders>
              <w:top w:val="single" w:sz="8" w:color="0000FF"/>
            </w:tcBorders>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Press Release of Tradeweb Markets Inc., dated September 19, 2024.</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gridSpan w:val="2"/>
            <w:shd w:val="clear" w:color="auto" w:fill="0000FF"/>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2781935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TRADEWEB MARKETS INC.</w:t>
      </w:r>
    </w:p>
    <w:p>
      <w:pPr>
        <w:spacing w:after="0" w:line="320" w:lineRule="exact"/>
        <w:rPr>
          <w:sz w:val="20"/>
          <w:szCs w:val="20"/>
          <w:color w:val="auto"/>
        </w:rPr>
      </w:pPr>
    </w:p>
    <w:p>
      <w:pPr>
        <w:ind w:left="680"/>
        <w:spacing w:after="0"/>
        <w:tabs>
          <w:tab w:leader="none" w:pos="6680" w:val="left"/>
          <w:tab w:leader="none" w:pos="7140" w:val="left"/>
        </w:tabs>
        <w:rPr>
          <w:sz w:val="20"/>
          <w:szCs w:val="20"/>
          <w:color w:val="auto"/>
        </w:rPr>
      </w:pPr>
      <w:r>
        <w:rPr>
          <w:rFonts w:ascii="Times New Roman" w:cs="Times New Roman" w:eastAsia="Times New Roman" w:hAnsi="Times New Roman"/>
          <w:sz w:val="18"/>
          <w:szCs w:val="18"/>
          <w:color w:val="auto"/>
        </w:rPr>
        <w:t>Date: September 19,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34290</wp:posOffset>
            </wp:positionV>
            <wp:extent cx="2511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4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Name: Douglas Friedman</w:t>
      </w:r>
    </w:p>
    <w:p>
      <w:pPr>
        <w:spacing w:after="0" w:line="50"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Title: General Counsel</w:t>
      </w:r>
    </w:p>
    <w:p>
      <w:pPr>
        <w:sectPr>
          <w:pgSz w:w="11900" w:h="16838" w:orient="portrait"/>
          <w:cols w:equalWidth="0" w:num="1">
            <w:col w:w="10920"/>
          </w:cols>
          <w:pgMar w:left="320" w:top="887" w:right="659" w:bottom="144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439420</wp:posOffset>
            </wp:positionH>
            <wp:positionV relativeFrom="page">
              <wp:posOffset>88900</wp:posOffset>
            </wp:positionV>
            <wp:extent cx="1028700" cy="3003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028700" cy="300355"/>
                    </a:xfrm>
                    <a:prstGeom prst="rect">
                      <a:avLst/>
                    </a:prstGeom>
                    <a:noFill/>
                  </pic:spPr>
                </pic:pic>
              </a:graphicData>
            </a:graphic>
          </wp:anchor>
        </w:drawing>
        <w:t>NEWS RELEASE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Daniel Maguire Appointed to Tradeweb Board of Directors</w:t>
      </w:r>
    </w:p>
    <w:p>
      <w:pPr>
        <w:spacing w:after="0" w:line="17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NEW YORK – September 19, 2024 – Tradeweb Markets Inc. (Nasdaq: TW), a leading, global operator of electronic marketplaces for rates, credit, equities and money markets, today announced the appointment of Daniel Maguire to its Board of Directors, effective as of September 18, 2024.</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Mr. Maguire is currently the Group Head of LSEG Markets and CEO of LCH Group. He has been a member of LSEG’s Executive Committee and CEO of LCH since 2017. Mr. Maguire initially joined LCH in 1999, and has served in a variety of leadership positions, including as Global Head of SwapClear, and also as COO. He was based in New York from 2010 until 2014, where he set up LCH’s U.S. operations.</w:t>
      </w:r>
    </w:p>
    <w:p>
      <w:pPr>
        <w:spacing w:after="0" w:line="198"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Between 2005 and 2008, Mr. Maguire worked at J.P. Morgan, before returning to LCH. Throughout his 25 years in financial services, Mr. Maguire has contributed to managing regulatory transitions, including the development of CCP and derivatives regulatory frameworks globally in the wake of the 2008 banking crisis. He also supported the implementation of the Dodd-Frank Act; the move from LIBOR to SOFR; and managing changes due to the impact of Brexit on financial markets. Mr. Maguire currently serves on the Board of the International Swaps and Derivatives Association (ISDA).</w:t>
      </w:r>
    </w:p>
    <w:p>
      <w:pPr>
        <w:spacing w:after="0" w:line="20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Tradeweb CEO Billy Hult commented: “We’re thrilled to welcome Daniel Maguire to our Board. His deep expertise in derivatives and regulatory matters is impressive, and his leadership experience will be an asset as we continue to grow. I’m confident that Daniel will make a significant impact as we expand our footprint and broaden the boundaries of innovation at Tradeweb.”</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Mr. Maguire received a degree in politics and economics from Leeds Beckett University.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Tradeweb Markets</w:t>
      </w:r>
      <w:r>
        <w:rPr>
          <w:rFonts w:ascii="Arial" w:cs="Arial" w:eastAsia="Arial" w:hAnsi="Arial"/>
          <w:sz w:val="18"/>
          <w:szCs w:val="18"/>
          <w:color w:val="auto"/>
        </w:rPr>
        <w:t> </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Tradeweb Markets Inc. (Nasdaq: TW) is a leading, global operator of electronic marketplaces for rates, credit, equities and money markets. Founded in 1996, Tradeweb provides access to markets, data and analytics, electronic trading, straight-through-processing and reporting for more than 50 products to clients in the institutional, wholesale, retail and corporates markets. Advanced technologies developed by Tradeweb enhance price discovery, order execution and trade workflows while allowing for greater scale and helping to reduce risks in client trading operations. Tradeweb serves more than 2,800 clients in more than 70 countries. On average, Tradeweb facilitated more than $1.7 trillion in notional value traded per day over the past four fiscal quarters. For more information, please go to </w:t>
      </w:r>
      <w:r>
        <w:rPr>
          <w:rFonts w:ascii="Arial" w:cs="Arial" w:eastAsia="Arial" w:hAnsi="Arial"/>
          <w:sz w:val="18"/>
          <w:szCs w:val="18"/>
          <w:u w:val="single" w:color="auto"/>
          <w:color w:val="0000FF"/>
        </w:rPr>
        <w:t>www.tradeweb.com</w:t>
      </w:r>
      <w:r>
        <w:rPr>
          <w:rFonts w:ascii="Arial" w:cs="Arial" w:eastAsia="Arial" w:hAnsi="Arial"/>
          <w:sz w:val="18"/>
          <w:szCs w:val="18"/>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This release contains forward-looking statements within the meaning of the federal securities laws. Statements related to, among other things, our outlook and future performance, the industry and markets in which we operate, our expectations, beliefs, plans, strategies, objectives, prospects and assumptions and future events are forward-looking statements.   </w:t>
      </w:r>
    </w:p>
    <w:p>
      <w:pPr>
        <w:spacing w:after="0" w:line="202"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the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w:t>
      </w:r>
    </w:p>
    <w:p>
      <w:pPr>
        <w:sectPr>
          <w:pgSz w:w="11900" w:h="16838" w:orient="portrait"/>
          <w:cols w:equalWidth="0" w:num="1">
            <w:col w:w="11200"/>
          </w:cols>
          <w:pgMar w:left="320" w:top="1412" w:right="379" w:bottom="1440" w:gutter="0" w:footer="0" w:header="0"/>
        </w:sectPr>
      </w:pPr>
    </w:p>
    <w:bookmarkStart w:id="4" w:name="page5"/>
    <w:bookmarkEnd w:id="4"/>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439420</wp:posOffset>
            </wp:positionH>
            <wp:positionV relativeFrom="page">
              <wp:posOffset>88900</wp:posOffset>
            </wp:positionV>
            <wp:extent cx="1028700" cy="3003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028700" cy="300355"/>
                    </a:xfrm>
                    <a:prstGeom prst="rect">
                      <a:avLst/>
                    </a:prstGeom>
                    <a:noFill/>
                  </pic:spPr>
                </pic:pic>
              </a:graphicData>
            </a:graphic>
          </wp:anchor>
        </w:drawing>
        <w:t>forward-looking statements contained in this release are not guarantees of future events or performance and future events, our actual results of operations, financial condition or liquidity, and the development of the industry and markets in which we operate, may differ materially from the forward-looking statements contained in this release. In addition, even if future events, our results of operations, financial condition or liquidity, and events in the industry and markets in which we operate, are consistent with the forward-looking statements contained in this release, they may not be predictive of events, results or developments in future periods.   </w:t>
      </w:r>
    </w:p>
    <w:p>
      <w:pPr>
        <w:spacing w:after="0" w:line="206"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 </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Daniel Noonan, Tradeweb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+1 646 767 4677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Daniel.Noonan@Tradeweb.com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Ashley Serrao, Tradeweb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+1 646 430 6027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Ashley.Serrao@Tradeweb.com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Sameer Murukutla, Tradeweb</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+1 646 767 4864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Sameer.Murukutla@Tradeweb.com</w:t>
      </w:r>
    </w:p>
    <w:sectPr>
      <w:pgSz w:w="11900" w:h="16838" w:orient="portrait"/>
      <w:cols w:equalWidth="0" w:num="1">
        <w:col w:w="11200"/>
      </w:cols>
      <w:pgMar w:left="320" w:top="14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jpeg"/><Relationship Id="rId17" Type="http://schemas.openxmlformats.org/officeDocument/2006/relationships/image" Target="media/image9.jpeg"/><Relationship Id="rId13" Type="http://schemas.openxmlformats.org/officeDocument/2006/relationships/hyperlink" Target="https://www.sec.gov/Archives/edgar/data/1758730/000114420419015706/tv515721_ex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2024-09-19T07:08:49Z</dcterms:created>
  <dcterms:modified xsi:type="dcterms:W3CDTF">2024-09-19T07:08:49Z</dcterms:modified>
</cp:coreProperties>
</file>