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5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52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Bruni Enrico</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91"/>
        <w:spacing w:after="0"/>
        <w:rPr>
          <w:sz w:val="20"/>
          <w:szCs w:val="20"/>
          <w:color w:val="auto"/>
        </w:rPr>
      </w:pPr>
      <w:r>
        <w:rPr>
          <w:rFonts w:ascii="Arial" w:cs="Arial" w:eastAsia="Arial" w:hAnsi="Arial"/>
          <w:sz w:val="16"/>
          <w:szCs w:val="16"/>
          <w:color w:val="0000FF"/>
        </w:rPr>
        <w:t>Managing Director, Europe/Asia</w:t>
      </w:r>
    </w:p>
    <w:p>
      <w:pPr>
        <w:spacing w:after="0" w:line="396"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9"/>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ind w:left="18"/>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18,878</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94,895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jc w:val="center"/>
              <w:ind w:left="4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81,522</w:t>
            </w:r>
            <w:r>
              <w:rPr>
                <w:rFonts w:ascii="Arial" w:cs="Arial" w:eastAsia="Arial" w:hAnsi="Arial"/>
                <w:sz w:val="21"/>
                <w:szCs w:val="21"/>
                <w:color w:val="008000"/>
                <w:w w:val="98"/>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81,522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40"/>
              <w:spacing w:after="0" w:line="205" w:lineRule="exact"/>
              <w:rPr>
                <w:sz w:val="20"/>
                <w:szCs w:val="20"/>
                <w:color w:val="auto"/>
              </w:rPr>
            </w:pPr>
            <w:r>
              <w:rPr>
                <w:rFonts w:ascii="Arial" w:cs="Arial" w:eastAsia="Arial" w:hAnsi="Arial"/>
                <w:sz w:val="13"/>
                <w:szCs w:val="13"/>
                <w:color w:val="0000FF"/>
              </w:rPr>
              <w:t>167,754</w:t>
            </w:r>
            <w:r>
              <w:rPr>
                <w:rFonts w:ascii="Arial" w:cs="Arial" w:eastAsia="Arial" w:hAnsi="Arial"/>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10/26/2028</w:t>
            </w: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-1920875</wp:posOffset>
            </wp:positionV>
            <wp:extent cx="2921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9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6" w:lineRule="exact"/>
        <w:rPr>
          <w:rFonts w:ascii="Arial" w:cs="Arial" w:eastAsia="Arial" w:hAnsi="Arial"/>
          <w:sz w:val="12"/>
          <w:szCs w:val="12"/>
          <w:color w:val="008000"/>
        </w:rPr>
      </w:pPr>
    </w:p>
    <w:p>
      <w:pPr>
        <w:ind w:left="40" w:right="28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10,719 unvested RSUs in respect of the issuer's Class A Common Stock which are scheduled to vest in equal installments on each of March 17, 2022, and March 17, 2023, (ii) 32,158 unvested RSUs in respect of Class A Common Stock which are scheduled to vest on January 1, 2023, (iii) 9,439 unvested RSUs in respect of Class A Common Stock which are scheduled to vest in equal installments on each of the first, second and third anniversaries of March 15, 2021, and (iv) 18,878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2" w:lineRule="exact"/>
        <w:rPr>
          <w:rFonts w:ascii="Arial" w:cs="Arial" w:eastAsia="Arial" w:hAnsi="Arial"/>
          <w:sz w:val="13"/>
          <w:szCs w:val="13"/>
          <w:color w:val="008000"/>
        </w:rPr>
      </w:pPr>
    </w:p>
    <w:p>
      <w:pPr>
        <w:ind w:left="40" w:right="3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86,232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02/25/2022</w:t>
            </w: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Fact for Enrico Bruni</w:t>
            </w:r>
          </w:p>
        </w:tc>
        <w:tc>
          <w:tcPr>
            <w:tcW w:w="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2022-02-25T17:48:32Z</dcterms:created>
  <dcterms:modified xsi:type="dcterms:W3CDTF">2022-02-25T17:48:32Z</dcterms:modified>
</cp:coreProperties>
</file>