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Shares Outstanding as of October 23, 2024</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116,228,794</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5,073,738</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SEPTEMBER 30,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September 30, 2024 and December 31,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and nine months ended September 30, 2024 and 2023</w:t>
            </w:r>
          </w:p>
        </w:tc>
        <w:tc>
          <w:tcPr>
            <w:tcW w:w="13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and nine months ended September 30, 2024 and 2023</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and nine months ended September 30, 2024 and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nine months ended September 30, 2024 and 2023</w:t>
            </w:r>
          </w:p>
        </w:tc>
        <w:tc>
          <w:tcPr>
            <w:tcW w:w="1180" w:type="dxa"/>
            <w:vAlign w:val="bottom"/>
            <w:tcBorders>
              <w:top w:val="single" w:sz="8" w:color="3051F2"/>
            </w:tcBorders>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5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by directly or indirectly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9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our environmental, social and governance goals;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2023 (the “2023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1,173,734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381,178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$206 and $284 at September 30, 2024 and December 31, 2023,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168,407</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3,149,956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2,815,524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1,315,490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1,004,797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684,250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86,135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70,819</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7,336,717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351,864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25,746</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382,407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457,523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1,050,326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1,128,132</w:t>
            </w:r>
          </w:p>
        </w:tc>
      </w:tr>
      <w:tr>
        <w:trPr>
          <w:trHeight w:val="135"/>
        </w:trPr>
        <w:tc>
          <w:tcPr>
            <w:tcW w:w="8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48"/>
        </w:trPr>
        <w:tc>
          <w:tcPr>
            <w:tcW w:w="8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116,227,674 and 115,090,787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5,073,738 and 5,077,973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4,788,780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4,738,758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910,750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640,384</w:t>
            </w:r>
          </w:p>
        </w:tc>
      </w:tr>
      <w:tr>
        <w:trPr>
          <w:trHeight w:val="20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5,700,647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5,373,755</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585,744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557,651</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6,286,391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7,336,717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7,059,538</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373,493</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263,485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1,039,419</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776,544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136,483</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w:t>
            </w:r>
          </w:p>
        </w:tc>
        <w:tc>
          <w:tcPr>
            <w:tcW w:w="0" w:type="dxa"/>
            <w:vAlign w:val="bottom"/>
          </w:tcPr>
          <w:p>
            <w:pPr>
              <w:spacing w:after="0"/>
              <w:rPr>
                <w:sz w:val="1"/>
                <w:szCs w:val="1"/>
                <w:color w:val="auto"/>
              </w:rPr>
            </w:pPr>
          </w:p>
        </w:tc>
      </w:tr>
      <w:tr>
        <w:trPr>
          <w:trHeight w:val="18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448,915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328,357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1,262,605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968,219</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160,161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334,433</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57,872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137,850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56,001</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289,599</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773,117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604,580</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159,316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124,738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489,488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363,639</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46,445</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173,673</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140,296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544,156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406,682</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(134,135)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(90,920)</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130,223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410,021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315,762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40,210</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113,916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98,614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359,297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275,552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213,206,193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211,618,475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213,026,732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210,444,082</w:t>
            </w:r>
          </w:p>
        </w:tc>
        <w:tc>
          <w:tcPr>
            <w:tcW w:w="0" w:type="dxa"/>
            <w:vAlign w:val="bottom"/>
          </w:tcPr>
          <w:p>
            <w:pPr>
              <w:spacing w:after="0"/>
              <w:rPr>
                <w:sz w:val="1"/>
                <w:szCs w:val="1"/>
                <w:color w:val="auto"/>
              </w:rPr>
            </w:pPr>
          </w:p>
        </w:tc>
      </w:tr>
      <w:tr>
        <w:trPr>
          <w:trHeight w:val="188"/>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215,096,974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213,491,634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214,885,210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212,276,908</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130,223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111,630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410,021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315,762</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and nine</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months ended September 30, 2024 and 2023</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140,237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417,232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315,139</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40,210</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365,804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for business</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18,358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4,795,562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6,207,405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 business</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4,788,780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910,750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585,744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6,286,391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4,577,609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433,049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5,600,865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Issuance of common stock from equity incentive</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27,827</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101,939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4,693,795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5,717,368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111,630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4,706,499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570,149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545,927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5,811,741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410,021</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315,762</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137,850</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70,071</w:t>
            </w:r>
          </w:p>
        </w:tc>
      </w:tr>
      <w:tr>
        <w:trPr>
          <w:trHeight w:val="23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(22,330)</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(33,814)</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8,510</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w:t>
            </w:r>
          </w:p>
        </w:tc>
      </w:tr>
      <w:tr>
        <w:trPr>
          <w:trHeight w:val="18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615,716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501,328</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(860,407)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(69,648)</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foreign currency call option, net of sale proceeds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(17,467)</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(35,182)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(32,105)</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(922,903)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(120,509)</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(32,874)</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(56,830)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(7,532)</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(46,558)</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(49,184)</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(76,956)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(5,724)</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(229,915)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(144,150)</w:t>
            </w: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(532,734)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236,181</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1,174,734</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1,494,410</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70,590</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24,624</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40,025</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27,976</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73,686</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1,173,734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1,706,468</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1,174,734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220" w:type="dxa"/>
            <w:vAlign w:val="bottom"/>
            <w:gridSpan w:val="3"/>
          </w:tcPr>
          <w:p>
            <w:pPr>
              <w:spacing w:after="0"/>
              <w:rPr>
                <w:sz w:val="17"/>
                <w:szCs w:val="17"/>
                <w:color w:val="auto"/>
              </w:rPr>
            </w:pPr>
          </w:p>
        </w:tc>
        <w:tc>
          <w:tcPr>
            <w:tcW w:w="462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051F2"/>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220" w:type="dxa"/>
            <w:vAlign w:val="bottom"/>
            <w:gridSpan w:val="3"/>
          </w:tcPr>
          <w:p>
            <w:pPr>
              <w:spacing w:after="0"/>
              <w:rPr>
                <w:sz w:val="20"/>
                <w:szCs w:val="20"/>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Acquisitions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2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9</w:t>
            </w:r>
          </w:p>
        </w:tc>
        <w:tc>
          <w:tcPr>
            <w:tcW w:w="14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20" w:type="dxa"/>
            <w:vAlign w:val="bottom"/>
            <w:tcBorders>
              <w:bottom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11</w:t>
            </w:r>
          </w:p>
        </w:tc>
        <w:tc>
          <w:tcPr>
            <w:tcW w:w="14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15</w:t>
            </w:r>
          </w:p>
        </w:tc>
        <w:tc>
          <w:tcPr>
            <w:tcW w:w="14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47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17</w:t>
            </w:r>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both September 30, 2024 and December 31, 2023,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and introducing broker under the Exchange Act and a member of FINRA.</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that maintains branches in Asia.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w:t>
      </w:r>
    </w:p>
    <w:p>
      <w:pPr>
        <w:spacing w:after="0" w:line="18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3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34"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the Australian Securities &amp; Investments Commission (“ASIC”), that also maintains a branch in Singapore that is regulated by the Monetary Authority of Singapore (“MAS”) as a Regulated Market Operator. Tradeweb Australia Pty Ltd changed its name from Yieldbroker Pty Limited in January 2024.</w:t>
      </w:r>
    </w:p>
    <w:p>
      <w:pPr>
        <w:spacing w:after="0" w:line="139"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Technology and Trading Private Limited (“TTTL”), a private limited company incorporated in Mumbai, India.</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84"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Europa - Empresa de Investimento, S.A. (“ICDEU”), acquired on August 1, 2024, an investment firm regulated by the Comissão do Mercado de Valores Mobiliários (“CMVM”) in Portugal.</w:t>
      </w:r>
    </w:p>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April 5, 2024, the Company entered into a definitive agreement for TWM LLC to acquire Institutional Cash Distributors (“ICD”) by purchasing all of the outstanding equity interests of each of ICD Intermediate Holdco 1, LLC, SCIC - ICD Blocker 1, Inc. and Parthenon Investors V ICD Blocker, Inc. (the “ICD Acquisition”). The ICD Acquisition closed on August 1, 2024, following the satisfaction of closing conditions and regulatory reviews.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acquisition of ICD and its proprietary technology, the Company has added a new client channel, “corporates”, serving corporate treasury professionals, complementing the Company’s existing focus on institutional, wholesale and retail clients. See Note 4 – Acquisitions for additional details on this acquisition.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2023, TWM LLC and the Corporation entered into a definitive agreement for TWM LLC to acquire all of the outstanding equity interests of R8FIN Holdings LP (together with its subsidiaries, “r8fin”). The acquisition closed on January 19, 2024, following the satisfaction of closing conditions and regulatory reviews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See Note 4 – Acquisitions for additional details on this acquisition.</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4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7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198" w:lineRule="exact"/>
        <w:rPr>
          <w:sz w:val="20"/>
          <w:szCs w:val="20"/>
          <w:color w:val="auto"/>
        </w:rPr>
      </w:pPr>
    </w:p>
    <w:p>
      <w:pPr>
        <w:ind w:left="660" w:right="3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116,227,674 shares of Class A common stock, representing 10.1% of the combined voting power of Tradeweb Markets Inc.’s issued and outstanding common stock and indirectly, through Tradeweb Markets Inc., owned 49.2% of the economic interest in TWM LLC;</w:t>
      </w:r>
    </w:p>
    <w:p>
      <w:pPr>
        <w:spacing w:after="0" w:line="13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50.8%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85,409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and nine months ended September 30, 2024 were impacted by 126,903 and 137,252, respectively, of weighted average shares resulting from unvested or unsettled vested stock awards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calculations for the three and nine months ended September 30, 2024 also include 1,890,781 and 1,858,478, respectively, of weighted average shares resulting from the dilutive effect of its equity incentive plans. See Note 14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2023.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An allowance for credit losses is also recognized for any credit impairment for available-for-sale debt securities. See Note 12 – Credit Risk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8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accumulated depreciation related to furniture, equipment, purchased software and leasehold improvements totaled $113.2 million and $95.8 million, respectively. Depreciation expense for furniture, equipment, purchased software and leasehold improvements was $5.6 million and $5.4 million for the three months ended September 30, 2024 and 2023, respectively, and $16.1 million and $15.9 million for the nine months ended September 30, 2024 and 2023,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accumulated amortization related to software development costs totaled $273.7 million and</w:t>
      </w:r>
    </w:p>
    <w:p>
      <w:pPr>
        <w:spacing w:after="0" w:line="27"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color w:val="auto"/>
        </w:rPr>
        <w:t>$222.5 million, respectively. Amortization expense for software development costs was $19.6 million and $14.1 million for the three months ended September 30, 2024 and 2023, respectively, and $51.2 million and $41.3 million for the nine months ended September 30,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Goodwill is not amortized, but is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2023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accumulated amortization related to intangible assets totaled $632.2 million and $542.4 million, respectively. Amortization expense for definite-lived intangible assets was $32.6 million and $27.1 million for the three months ended September 30, 2024 and 2023, respectively, and $89.8 million and $80.7 million for the nine months ended September 30, 2024 and 2023,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operations.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condensed consolidated statements of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18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No offering costs were incurred during the three and nine months ended September 30,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$0.9 million loss and a $0.7 million gain during the three months ended September 30, 2024 and 2023, respectively, and realized and unrealized losses during the nine months ended September 30, 2024 and 2023 totaled</w:t>
      </w:r>
    </w:p>
    <w:p>
      <w:pPr>
        <w:spacing w:after="0" w:line="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$2.9 million and $1.0 million,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11 – Fair Value of Financial Instruments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and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during the three months ended September 30, 2024 and 2023 totaled a $3.1 million loss and a $3.9 million gain, respectively and realized and unrealized gains on foreign currency forward contracts during the nine months ended September 30, 2024 and 2023 totaled $3.8 million and $4.9 million, respectively. Realized and unrealized losses on the foreign currency call option on Australian dollars during the three and nine months ended September 30, 2023 totaled $1.9 million and $1.3 million, respectively. As of September 30, 2024 and December 31, 2023,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for additional details on the Company’s derivative instruments.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three and nine months ended September 30, 2024. The Company is subject to the 15% CAMT, however, it is not expected to have a material impact on the Company’s effective tax rate.</w:t>
      </w:r>
    </w:p>
    <w:p>
      <w:pPr>
        <w:spacing w:after="0" w:line="14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9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financial instruments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ASU requires disaggregated information about a reporting entity’s effective tax rate reconciliation and income taxes paid. The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the Company’s Annual Report on Form 10-K for the fiscal year ending December 31, 2025. The guidance may be applied on a prospective or retrospective basis and early adoption is permitted. The Company is currently evaluating the impact of adopting this ASU on its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Crypto Assets </w:t>
      </w:r>
      <w:r>
        <w:rPr>
          <w:rFonts w:ascii="Times New Roman" w:cs="Times New Roman" w:eastAsia="Times New Roman" w:hAnsi="Times New Roman"/>
          <w:sz w:val="18"/>
          <w:szCs w:val="18"/>
          <w:color w:val="auto"/>
        </w:rPr>
        <w:t>(“ASU 2023-08”), which addresses the accounting and disclosure requirements for certain crypto assets. ASU 2023-08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crypto assets that meet specific criteria at fair value, with changes recognized in net income each reporting period. ASU 2023-08 is effective for annual periods beginning after December 15, 2024, including interim periods within those years, with early adoption permitted. During the third quarter of 2024, the Company began receiving and holding digital assets, in the form of Canton Coins, received in exchange for providing services as a Validator and Super Validator on the Global Synchronizer, the Canton Network’s decentralized interoperability infrastructure, and early adopted ASU 2023-08. This adoption became effective with the commencement of the Company’s initial holdings of these digital assets, which fall within the scope of ASU 2023-08. As of September 30, 2024, the Company held 660.4 million Canton Coins, which may only be transferred to other approved participants on the Canton Network and there is no public market for Canton Coins. The fair market value of the Canton Coins held as of September 30, 2024 is not material to the Company’s condensed consolidated financial statements. The Company expects to receive additional Canton Coins as it continues to provide services as a Validator and a Super Validator.</w:t>
      </w:r>
    </w:p>
    <w:p>
      <w:pPr>
        <w:spacing w:after="0" w:line="1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also requires the disclosure of the title and position of the CODM and an explanation of how the CODM uses the reported measure(s) of segment profit or loss in assessing segment performance and deciding how to allocate resources. All disclosure requirements under ASU 2023-07 and existing segment disclosures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are also required for public entities with a single reportable segment. The ASU is effective for the Company’s Annual Report on Form 10-K for the fiscal year ending December 31, 2024, and subsequent interim periods, with early adoption permitted. The ASU is to be applied retrospectively to all periods presented in the financial statements. The Company is currently evaluating the impact of adopting this ASU on its consolidated financial statements.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On January 1, 2024, the Company adopted ASU 2022-03 on a prospective basis, which resulted in additional disclosures regarding contractual sale restrictions on investments, as disclosed in Note 11 – Fair Value of Financial Instruments and did not have a material impact on the Company’s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SEC Final Rules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(the “Final Climate Rules”), which requires registrants to disclose certain climate-related information in their registration statements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The Final Climate Rules require disclosure of, among other things, material climate-related risks and their impact; activities to mitigate or adapt to material climate-related risks; governance and oversight of climate-related risks; material climate-related targets or goals and their financial impact; and material Scope 1 and/or Scope 2 greenhouse gas emissions with an accompanying assurance report required following an initial transition period, at limited assurance level, and then following an additional transition period, at a reasonable assurance level. Additionally, under the Final Climate Rules, the effects of severe weather events and other natural conditions, subject to certain thresholds, and amounts related to carbon offsets and renewable energy credits or certificates are required to be disclosed in the notes to the audited financial statements in certain circumstances.</w:t>
      </w:r>
    </w:p>
    <w:p>
      <w:pPr>
        <w:spacing w:after="0" w:line="14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April 4, 2024, the SEC voluntarily stayed the implementation of the Final Climate Rules pending completion of judicial review of the consolidated challenges to the Final Climate Rules by the Court of Appeals for the Eighth Circuit. The Final Climate Rules, as originally issued, would be effective for the Company in various fiscal years, starting with its Annual Report on Form 10-K for the year ending December 31, 2025. Disclosures pursuant to the Final Climate Rules, as originally issued, would be required prospectively, with information for prior periods required only to the extent it was previously disclosed in an SEC filing. The Company is currently evaluating the impact of the Final Climate Rules on its consolidated financial statements and disclosures.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September 30, 2024 and December 31, 2023, cash in the amount of $1.0 million, has been segregated in the PAB reserve account, exceeding the requirements pursuant to SEC Rule 15c3-3.</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 2024, the Company completed its acquisition of ICD. Pursuant to the terms of the purchase agreement, TWM LLC was required to pay $785 million in cash, subject to customary working capital and other adjustments, for the acquisition. In connection with the acquisition closing, the Corporation was also required to issue and sell $4.5 million of shares of its Class A common stock in reliance on Section 4(a)(2) of the Securities Act, to an equityholder of the ICD seller, who was also an employee of ICD and is currently an employee of the Company, which such shares of Class A common stock were issued and sold as restricted stock (such shares of restricted stock, the “RSAs”), subject to vesting and forfeiture terms, pursuant to the Tradeweb Markets Inc. 2019 Omnibus Equity Incentive Plan.</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total purchase consideration for the ICD business combination, net of cash acquired, was $774.5 million.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service period required subsequent to the acquisition date.</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Cash paid at closing, net of $23.0 million in cash acquired and net of the proceeds from the $4.5 million sale RSAs, totaled $774.1 million. Of this amount, $771.2 million was determined to be the net cash consideration transferred for the business combination, $1.4 million was recorded as compensation expense during the three and nine months ended September 30,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and with the acquisition of ICD and its proprietary technology, the Company has added a new client channel, “corporates”, serving corporate treasury professionals, complementing the Company’s existing focus on institutional, wholesale and retail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19, 2024, the Company completed its acquisition of r8fin in exchange for total consideration of $125.9 million, consisting of $89.2 million in cash paid at closing (net of cash acquired) and the issuance of 374,601 shares of Class A common stock of the Corporation valued as of the acquisition date at $36.7 million.</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ICD and r8fin acquisitions were accounted for as business combinations and the Company utilized the assistance of a third-party valuation specialist to determine the fair value of the assets acquired and liabilities assumed at the date of the closing of each respective acquisition. The fair values were determined based on assumptions that reasonable market participants would use in the principal (or most advantageous) market and primarily included significant unobservable inputs (Level 3).</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acquired developed technology, included in the condensed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price allocation for ICD and final purchase price allocation for r8fin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ICD Preliminary Purchase</w:t>
            </w:r>
          </w:p>
        </w:tc>
        <w:tc>
          <w:tcPr>
            <w:tcW w:w="160" w:type="dxa"/>
            <w:vAlign w:val="bottom"/>
          </w:tcPr>
          <w:p>
            <w:pPr>
              <w:spacing w:after="0"/>
              <w:rPr>
                <w:sz w:val="15"/>
                <w:szCs w:val="15"/>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r8fin Final</w:t>
            </w:r>
          </w:p>
        </w:tc>
        <w:tc>
          <w:tcPr>
            <w:tcW w:w="200" w:type="dxa"/>
            <w:vAlign w:val="bottom"/>
          </w:tcPr>
          <w:p>
            <w:pPr>
              <w:spacing w:after="0"/>
              <w:rPr>
                <w:sz w:val="15"/>
                <w:szCs w:val="15"/>
                <w:color w:val="auto"/>
              </w:rPr>
            </w:pPr>
          </w:p>
        </w:tc>
        <w:tc>
          <w:tcPr>
            <w:tcW w:w="16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 2024 Business</w:t>
            </w:r>
          </w:p>
        </w:tc>
      </w:tr>
      <w:tr>
        <w:trPr>
          <w:trHeight w:val="190"/>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200" w:type="dxa"/>
            <w:vAlign w:val="bottom"/>
          </w:tcPr>
          <w:p>
            <w:pPr>
              <w:spacing w:after="0"/>
              <w:rPr>
                <w:sz w:val="16"/>
                <w:szCs w:val="16"/>
                <w:color w:val="auto"/>
              </w:rPr>
            </w:pP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Combinations</w:t>
            </w:r>
          </w:p>
        </w:tc>
      </w:tr>
      <w:tr>
        <w:trPr>
          <w:trHeight w:val="37"/>
        </w:trPr>
        <w:tc>
          <w:tcPr>
            <w:tcW w:w="5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27"/>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7"/>
        </w:trPr>
        <w:tc>
          <w:tcPr>
            <w:tcW w:w="5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334,432</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Tradename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 - cash paid and stock issued</w:t>
            </w: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797,570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924,869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consideration, net of cash acquired</w:t>
            </w: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774,530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900,432</w:t>
            </w: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primary areas of the preliminary purchase price allocation for ICD that were not yet finalized as of September 30, 2024 related primarily to the valuation of the identifiable intangible assets, software and deferred taxes and the finalization of working capital adjustments. The allocation of the purchase price will be finalized upon completion of the analysis of the acquired assets within one year of the date of the closing of the ICD Acquisition.</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acquired software development costs will be amortized over a useful life of eight years for ICD and seven years for r8fin, customer relationships will be amortized over a useful life of 15 years for ICD and 13 years for r8fin and the acquired ICD trade name will be amortized over a useful life of four years. The goodwill recognized in connection with the ICD and r8fin acquisitions is primarily attributable to the acquisition of expected future customers, future technology and synergies from the integration of the operations of the acquisitions into the Company's operations and its single business segment. Approximately $238 million of the goodwill recognized in connection with the ICD Acquisition and all of the goodwill recognized in connection with the r8fin Acquisition is expected to be deductible for income tax purposes.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and 2023 and the nine months ended September 30, 2024 and 2023, the Company recognized</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$10.8 million, $1.4 million, $16.9 million and $1.4 million respectively, in transaction costs incurred to effect the ICD and r8fin acquisitions, which are included as a component of professional fees in the accompanying condensed consolidated statements of income. During the three and nine months ended September 30, 2024, the Company also recognized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$1.8 million and $2.2 million, respectively, in transaction costs incurred to effect the ICD and r8fin acquisitions, which are included as a component of general and administrative expenses in the accompanying condensed consolidated statements of income.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the date of the ICD Acquisition through September 30, 2024, ICD revenues of $17.2 million and an operating loss of $0.3 million, including $7.3 million of depreciation and amortization from acquired assets, were included in the Company’s condensed consolidated statements of income for the three and nine months ended September 30, 2024. The r8fin Acquisition was not material to the Company's condensed consolidated financial statements and therefore pro forma and current period results of this acquisition have not been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 (Unaudited)</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results of operations of Tradeweb Markets Inc. and ICD, on a pro forma basis, as though the companies had been combined as of the beginning of the comparative period presented, which is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are based upon currently available information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financial information for periods presented herein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r>
      <w:tr>
        <w:trPr>
          <w:trHeight w:val="2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1,030,009</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340,679</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259,412</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resolved within the same reporting period and are recorded as a reduction to revenue in the period the relevant trades occur.</w:t>
      </w:r>
    </w:p>
    <w:p>
      <w:pPr>
        <w:spacing w:after="0" w:line="16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(Refinitiv, which was rebranded as LSEG Data &amp; Analytics during the fourth quarter of 2023)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and commissions. The breakdown of revenues between fixed and variable revenues for the three and nine months ended September 30, 2024 and 2023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7"/>
                <w:szCs w:val="17"/>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337,732</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37,551</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45,896</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338,979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226,727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101,630</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70"/>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24"/>
                <w:szCs w:val="24"/>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2"/>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7"/>
                <w:szCs w:val="17"/>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929,997</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109,422</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665,749</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110,795</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135,088</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46,515</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932,923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667,938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300,281</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condensed consolidated statements of financial condition until the revenue recognition criteria have been met.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117,705</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(114,501)</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acquired in connection with acquisitions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balance -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29,580</w:t>
            </w:r>
          </w:p>
        </w:tc>
      </w:tr>
      <w:tr>
        <w:trPr>
          <w:trHeight w:val="20"/>
        </w:trPr>
        <w:tc>
          <w:tcPr>
            <w:tcW w:w="9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into revenue $25.1 million in deferred revenue that was deferred as of December 31, 2023. During the nine months ended September 30, 2023, the Company recognized into revenue $22.2 million in deferred revenue that was deferred as of December 31, 2022.</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2024 and 2023 was approximately 25.0% and 20.4%, respectively. The effective tax rate for the three months ended September 30, 2024 differed from the U.S. federal statutory rate of 21.0% primarily due to state, local and foreign taxes and the disallowance of compensation expense tax deductions, partially offset by the effect of non-controlling interests and the Foreign-Derived Intangible Income (“FDII”) deduction. The effective tax rate for the three months ended September 30, 2023 differed from the U.S. federal statutory rate of 21.0% primarily due to the return-to-provision adjustment and the effect of non-controlling interests, partially offset by the effect of state, local and foreign taxes.</w:t>
      </w:r>
    </w:p>
    <w:p>
      <w:pPr>
        <w:spacing w:after="0" w:line="160"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2024 and 2023 was approximately 24.7% and 22.4%, respectively. The effective tax rate for the nine months ended September 30, 2024 differed from the U.S. federal statutory rate of 21.0% primarily due to state, local and foreign taxes and the disallowance of compensation expense tax deductions, partially offset by the effect of non-controlling interests and the FDII deduction. The effective tax rate for the nine months ended September 30, 2023 differed from the U.S. federal statutory rate of 21.0% primarily due to state, local and foreign taxes, partially offset by the effect of non-controlling interests, the exercise of equity compensation and the return-to-provision adjustment.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statements of financial condition.</w:t>
      </w:r>
    </w:p>
    <w:p>
      <w:pPr>
        <w:spacing w:after="0" w:line="16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and the Company was indemnified by Refinitiv for these tax liabilities assumed. During the second quarter of 2023, the contributed entity reached an audit settlement with the State of New Jersey for the tax years 2008 - 2015 and in the third quarter of 2023 paid $2.0 million in full settlement of the matter and the prior liabilities assumed. In the third quarter of 2023, Refinitiv reimbursed the Company for the $2.0 million paid to the State of New Jersey pursuant to the indemnification agreement. As of September 30, 2024 and December 31, 2023, there were no remaining tax liabilities accrued associated with the Refinitiv Contribution.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a Continuing LLC Owner, including with the net proceeds from the IPO and any subsequent offerings or (b) redemptions or exchanges by a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September 30, 2024 and December 31, 2023, the tax receivable agreement liability on the condensed consolidated statements of financial condition totaled $382.4 million and $457.5 million, respectively. During each of the three and nine months ended September 30, 2024, the Company recognized a tax receivable agreement liability adjustment of $0.9 million of expense in the condensed consolidated statements of income due to changes in the tax receivable agreement liability recorded in the condensed consolidated statement of financial condition as a result of changes in the mix of earnings in connection with the acquisition of ICD, which impacted the Company’s estimated future tax savings. There was no tax receivable agreement liability adjustment recognized for the three and nine months ended September 30, 2023.</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Owners.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90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213,119,161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211,644,675</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23,073,738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23,080,571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236,192,899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234,725,246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3497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860" w:type="dxa"/>
            <w:vAlign w:val="bottom"/>
          </w:tcPr>
          <w:p>
            <w:pPr>
              <w:spacing w:after="0"/>
              <w:rPr>
                <w:sz w:val="18"/>
                <w:szCs w:val="18"/>
                <w:color w:val="auto"/>
              </w:rPr>
            </w:pPr>
          </w:p>
        </w:tc>
        <w:tc>
          <w:tcPr>
            <w:tcW w:w="200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188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190"/>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3" w:lineRule="exact"/>
        <w:rPr>
          <w:sz w:val="20"/>
          <w:szCs w:val="20"/>
          <w:color w:val="auto"/>
        </w:rPr>
      </w:pPr>
    </w:p>
    <w:p>
      <w:pPr>
        <w:sectPr>
          <w:pgSz w:w="11900" w:h="16838" w:orient="portrait"/>
          <w:cols w:equalWidth="0" w:num="2">
            <w:col w:w="5220" w:space="400"/>
            <w:col w:w="5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275,552</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result of ownership changes in TWM LLC</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79,376</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79,376</w:t>
            </w:r>
          </w:p>
        </w:tc>
        <w:tc>
          <w:tcPr>
            <w:tcW w:w="0" w:type="dxa"/>
            <w:vAlign w:val="bottom"/>
          </w:tcPr>
          <w:p>
            <w:pPr>
              <w:spacing w:after="0"/>
              <w:rPr>
                <w:sz w:val="1"/>
                <w:szCs w:val="1"/>
                <w:color w:val="auto"/>
              </w:rPr>
            </w:pPr>
          </w:p>
        </w:tc>
      </w:tr>
      <w:tr>
        <w:trPr>
          <w:trHeight w:val="155"/>
        </w:trPr>
        <w:tc>
          <w:tcPr>
            <w:tcW w:w="5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113,293</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98,210</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357,809</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354,928</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 and Stock-Based Compensation Plans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2023 and there have been no changes to those rights and privileges during the nine months ended September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acquisitions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116,165,228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236,176,393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116,282,605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236,292,770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acquisitions </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(214,795)</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116,227,674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5,073,738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236,234,604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100" w:hanging="332"/>
        <w:spacing w:after="0" w:line="26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acquisition date of the r8fin Acquisition. See Note 4 – Acquisitions for additional details on this acquisition.</w:t>
      </w: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 2024, the Corporation issued and sold 41,705 unregistered shares of Class A common stock in connection with the closing of the ICD Acquisition, in reliance on Section 4(a)</w:t>
      </w:r>
    </w:p>
    <w:p>
      <w:pPr>
        <w:spacing w:after="0" w:line="14" w:lineRule="exact"/>
        <w:rPr>
          <w:rFonts w:ascii="Times New Roman" w:cs="Times New Roman" w:eastAsia="Times New Roman" w:hAnsi="Times New Roman"/>
          <w:sz w:val="14"/>
          <w:szCs w:val="14"/>
          <w:color w:val="auto"/>
        </w:rPr>
      </w:pPr>
    </w:p>
    <w:p>
      <w:pPr>
        <w:ind w:left="340" w:right="36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of the Securities Act. These shares of Class A common stock (or “RSAs”) were issued and sold as restricted stock, subject to vesting and forfeiture terms, pursuant to the Tradeweb Markets Inc. 2019 Omnibus Equity Incentive Plan. Although the RSAs and dividends payable on the RSAs during the vesting period are subject to a two-year cliff vesting service requirement and forfeiture terms, they are considered issued and outstanding shares of Class A common stock subsequent to their August 1, 2024 issuance. TWM LLC will issue corresponding LLC Interests to the Corporation only if, when and to the extent the RSAs vest. See Note 4 – Acquisitions for additional details on this acquisition.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3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6"/>
                <w:szCs w:val="16"/>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234,696,458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3,254,577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(3,251,177)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92,687</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(107,365)</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(107,365)</w:t>
            </w:r>
          </w:p>
        </w:tc>
        <w:tc>
          <w:tcPr>
            <w:tcW w:w="0" w:type="dxa"/>
            <w:vAlign w:val="bottom"/>
          </w:tcPr>
          <w:p>
            <w:pPr>
              <w:spacing w:after="0"/>
              <w:rPr>
                <w:sz w:val="1"/>
                <w:szCs w:val="1"/>
                <w:color w:val="auto"/>
              </w:rPr>
            </w:pPr>
          </w:p>
        </w:tc>
      </w:tr>
      <w:tr>
        <w:trPr>
          <w:trHeight w:val="221"/>
        </w:trPr>
        <w:tc>
          <w:tcPr>
            <w:tcW w:w="41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June 30, 2023</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114,668,017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23,080,571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234,681,780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108,520</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108,520</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114,711,483</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23,080,571</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234,725,246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restricted stock awards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Stock options have a maximum contractual term of 10 years.</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connection with organizational changes, on June 17, 2024, the Company determined that the employment of Thomas Pluta, President of the Company, would terminate effective September 30, 2024. In connection with the termination of his employment, Mr. Pluta also resigned from the Board of Directors of the Company effective September 30, 2024. As of June 17, 2024, there was approximately $4.4 million in total unamortized stock-based compensation associated with equity awards previously granted to Mr. Pluta that was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 During the three and nine months ended September 30, 2024, the Company incurred a total of $2.4 million and $2.7 million, respectively in accelerated stock-based compensation expense relating to Mr. Pluta’s departure.</w:t>
      </w:r>
    </w:p>
    <w:p>
      <w:pPr>
        <w:spacing w:after="0" w:line="15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ICD Acquisition, on August 1, 2024, the Corporation issued and sold 41,705 RSAs with a grant date fair value of $111.68 per share. The RSAs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53" w:lineRule="exact"/>
        <w:rPr>
          <w:sz w:val="20"/>
          <w:szCs w:val="20"/>
          <w:color w:val="auto"/>
        </w:rPr>
      </w:pPr>
    </w:p>
    <w:p>
      <w:pPr>
        <w:jc w:val="both"/>
        <w:ind w:right="520"/>
        <w:spacing w:after="0" w:line="289"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granted 110,794 RSUs at a weighted-average grant-date fair value of $112.60. No PRSUs or PSUs were granted during the three months ended September 30, 2024. During the nine months ended September 30, 2024, the Company granted 568,772 RSUs, 201,546 PRSUs and 86,592 PSUs at a weighted-average grant-date fair value of $106.06, $104.66 and $149.00, respectively.</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and RSU awards granted to non-employee directors will vest after one year.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the financial performance of the Company will be determined based on the compound annual growth rate over a three-year performance period beginning on January 1 in the year of grant. For PRSU awards granted during 2023 and prior, the financial performance of the Company was determined based on the financial performance of the Company in the grant year, and any earned awards that remain outstanding are subject to time-based vesting conditions. The performance modifier for PRSUs can vary between 0% (minimum) and 250% (maximum) of the target (100%) award amount for PRSU awards granted during 2024 and 2023. PRSUs granted during 2022 and prior had a 200% maximum performance modifier.</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on March 15, 2024 and 2023 was estimated using the Monte Carlo simulation model and the significant valuation assumptions used in those models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15, 2024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2023 PSU</w:t>
            </w:r>
          </w:p>
        </w:tc>
      </w:tr>
      <w:tr>
        <w:trPr>
          <w:trHeight w:val="190"/>
        </w:trPr>
        <w:tc>
          <w:tcPr>
            <w:tcW w:w="36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36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6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6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26.63 %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7"/>
        </w:trPr>
        <w:tc>
          <w:tcPr>
            <w:tcW w:w="36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904"/>
        </w:trPr>
        <w:tc>
          <w:tcPr>
            <w:tcW w:w="3620" w:type="dxa"/>
            <w:vAlign w:val="bottom"/>
          </w:tcPr>
          <w:p>
            <w:pPr>
              <w:spacing w:after="0"/>
              <w:rPr>
                <w:sz w:val="24"/>
                <w:szCs w:val="24"/>
                <w:color w:val="auto"/>
              </w:rPr>
            </w:pPr>
          </w:p>
        </w:tc>
        <w:tc>
          <w:tcPr>
            <w:tcW w:w="448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17,348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66,286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44,670</w:t>
            </w:r>
          </w:p>
        </w:tc>
      </w:tr>
    </w:tbl>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above excludes $0.6 million and $0.4 million of stock-based compensation expense capitalized to software development costs during the three months ended September 30, 2024 and 2023, respectively, and $1.8 million and $1.0 million during the nine months ended September 30,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three months ended September 30, 2024 and 2023, the Company acquired a total of 214,795 and 65,054 shares of Class A common stock at an average price of $116.41 and $75.28 for purchases totaling $25.0 million and $4.9 million, respectively. During the nine months ended September 30, 2024 and 2023, the Company acquired a total of 214,795 and 485,730 shares of Class A common stock at an average price of $116.41 and $72.48 for purchases totaling $25.0 million and $35.2 million, respectively.</w:t>
      </w:r>
    </w:p>
    <w:p>
      <w:pPr>
        <w:spacing w:after="0" w:line="160" w:lineRule="exact"/>
        <w:rPr>
          <w:sz w:val="20"/>
          <w:szCs w:val="20"/>
          <w:color w:val="auto"/>
        </w:rPr>
      </w:pPr>
    </w:p>
    <w:p>
      <w:pPr>
        <w:jc w:val="both"/>
        <w:ind w:right="300"/>
        <w:spacing w:after="0" w:line="272" w:lineRule="auto"/>
        <w:rPr>
          <w:sz w:val="20"/>
          <w:szCs w:val="20"/>
          <w:color w:val="auto"/>
        </w:rPr>
      </w:pPr>
      <w:r>
        <w:rPr>
          <w:rFonts w:ascii="Times New Roman" w:cs="Times New Roman" w:eastAsia="Times New Roman" w:hAnsi="Times New Roman"/>
          <w:sz w:val="17"/>
          <w:szCs w:val="17"/>
          <w:color w:val="auto"/>
        </w:rPr>
        <w:t>Each share of Class A common stock repurchased pursuant to the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Subsequent to their repurchase, the shares of Class A common stock and the LLC Interests were all cancelled and retired. As of September 30, 2024, a total of $214.8 million remained available for repurchase pursuant to the 2022 Share Repurchase Program.</w:t>
      </w:r>
    </w:p>
    <w:p>
      <w:pPr>
        <w:spacing w:after="0" w:line="1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share repurchase programs, the excess of the repurchase price paid over the par value of the Class A common stock is recorded as a reduction to retained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202"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2024 and 2023, the Company withheld 18,797 and 92,373 shares, respectively, of Class A common stock from employee stock option, PRSU and RSU awards, at an average price per share of $111.79 and $84.15, respectively, and an aggregate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and $7.8 million, respectively, based on the price of the Class A common stock on the date the relevant withholding occurred. During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and 2023, the Company withheld 474,123 and 693,456 shares, respectively, of Class A common stock from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PRSU and RSU awards, at an average price per share of $97.82 and $71.38, respectively, and an aggregate value of $46.4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 million, respectively, based on the price of the Class A common stock on the date the relevant withholding occurred. These shares are withheld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for the Company to cover the employee payroll tax withholding obligations upon the exercise of stock options and settlement of RSUs and PRSUs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such shares were not withheld in connection with the share repurchase programs discussed above.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following balances with such affiliates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53" w:lineRule="exact"/>
        <w:rPr>
          <w:sz w:val="20"/>
          <w:szCs w:val="20"/>
          <w:color w:val="auto"/>
        </w:rPr>
      </w:pPr>
    </w:p>
    <w:p>
      <w:pPr>
        <w:ind w:left="340" w:right="20" w:hanging="332"/>
        <w:spacing w:after="0" w:line="27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(Refinitiv, which was rebranded as LSEG Data &amp; Analytics during the fourth quarter of 2023).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measured at fair value on the condensed consolidated statements of financial condition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have been categorized based upon the fair value hierarchy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active Markets</w:t>
            </w: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8"/>
                <w:szCs w:val="8"/>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959,112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959,112</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Investment in available for sale debt securities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969,340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exchange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1,543,644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Payable and due to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April 2024, the Company made an investment in a convertible note with a principal amount and original amortized cost basis of $10.0 million.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condensed consolidated statements of financial condition at a fair value and amortized cost basis of $10.2 million as of September 30, 2024. There were no fair value adjustments or credit losses recorded on the convertible note during the three and nine months ended September 30, 2024.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and Foreign Exchange Derivative Contracts</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On June 1, 2023, the Company entered into a foreign currency call option on Australian dollars, giving the Company an option to buy A$120.7 million ($79.9 million U.S. dollars as translated as of June 30, 2023), in order to partially mitigate the Company’s U.S. dollar versus Australian dollar foreign exchange exposure on the then anticipated payment of the Australian dollar denominated purchase price for the Yieldbroker acquisition. The valuations for the Company’s foreign currency forward contracts and foreign currency call option are primarily based on the difference between the exchange rate associated with the contract and the exchange rate at the current period end for the tenor of the contract. Foreign currency forward contracts and the foreign currency call option are categorized as Level 2 in the fair value hierarchy. As of September 30, 2024 and December 31, 2023,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1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236,123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192,877</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 – General and administrative (expenses)/income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call option contract not designated in accounting hedge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0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relationship – Other income/(loss)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bl>
    <w:p>
      <w:pPr>
        <w:ind w:left="340" w:right="180" w:hanging="332"/>
        <w:spacing w:after="0" w:line="278" w:lineRule="auto"/>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2023, the Company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On August 25, 2023, the Company unwound the out-of-the-money foreign currency call option and received $1.1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0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September 30, 2024 and December 31, 2023 have been categorized based upon the fair value hierarchy as follows:</w:t>
      </w: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215,622</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248,615</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830,275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163,824</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 sold under agreements to repurchase</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40" w:hanging="332"/>
        <w:spacing w:after="0" w:line="28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Treasury securities with a fair value of $21.6 million collateralized the securities sold under agreements to repurchase liability. The liability amounts presented represent the gross liability and are not offset on the condensed consolidated statements of financial condition. The securities sold under agreements to repurchase liability were subsequently settled on January 2, 2024.</w:t>
      </w:r>
    </w:p>
    <w:p>
      <w:pPr>
        <w:spacing w:after="0" w:line="1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Without Readily Determinable Fair Values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equity investments without readily determinable fair values of $10.5 million and $8.9 million as of September 30, 2024 and December 31, 2023, respectively. These equity investments are subject to general contractual sale restrictions that prohibit the transfer or sale of the investment without prior consent of the investee.</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Historically the Company has used ICBC, a wholly-owned subsidiary of the Industrial and Commercial Bank of China Limited, to clear U.S. Treasury trades executed by non-FICC members on the Company’s wholesale trading platform. Under that arrangement, ICBC submitted the Company’s trades from non-FICC members to the FICC under the ICBC netting account with the FICC. Following the November 2023 ransomware attack on some ICBC operating systems, including those used to clear U.S. Treasury and repurchase agreement financings, the Company has and may continue to self-clear these U.S. Treasury trades. As a result, this increased the number of trades that settle over the fed wire, instead of FICC clearing, and accordingly the Company has experienced and may continue to experience, an increase in the number of U.S. Treasury failed settlement transactions. As of September 30, 2024, the Company recorded a $297.8 million receivable and a $286.2 million payable from/to brokers and dealers and clearing organizations related to failed settlement transactions and the Company self-funded the remaining $11.7 million difference between the fail to deliver and fail to receive. All of the above failed settlement transactions outstanding as of September 30, 2024 were fully settled during October 2024.</w:t>
      </w:r>
    </w:p>
    <w:p>
      <w:pPr>
        <w:spacing w:after="0" w:line="14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Additionally, in the normal course of business, the Company, as an introducing broker, executes transactions on behalf of or with customers of the Company, which are cleared by a clearing broker. As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24"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for available-for-sale debt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maintained an allowance for credit losses with regard to its receivables of $0.2 million and $0.3 million, respectively. For the three months ended September 30, 2024 and 2023, credit loss expense was $43,000 and $13,000, respectively. For the nine months ended September 30, 2024, recoveries resulted in a reversal of credit loss expenses totaling $28,000, and, for the nine months ended September 30, 2023, credit loss expense was $60,000.</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3"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2022. Oral argument in the appeal was held on October 3, 2023, and by order and opinion issued on February 1, 2024, the Second Circuit affirmed the District Court’s order dismissing all claims against all defendants, including the claims against the Company. All deadlines for any further avenues of appeal have expired and the Company considers the matter closed.</w:t>
      </w:r>
    </w:p>
    <w:p>
      <w:pPr>
        <w:spacing w:after="0" w:line="14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 with respect to the case brought by certain swap execution facilities.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 (the “2019 Revolving Credit Facility”). The 2019 Revolving Credit Facility was scheduled to mature in April 2024, but was terminated on November 21, 2023 in conjunction with entering into the 2023 Revolving Credit Facility. There were no outstanding borrowings under the 2019 Revolving Credit Facility at the time of termination and no penalties were due or owing and no penalties were required to be paid as a result of the termination.</w:t>
      </w:r>
    </w:p>
    <w:p>
      <w:pPr>
        <w:spacing w:after="0" w:line="1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On November 21, 2023, the closing date, the $0.5 million letters of credit outstanding under the 2019 Revolving Credit Facility were rolled over under the 2023 Revolving Credit Facility. The 2023 Revolving Credit Facility will mature on November 21, 2028.</w:t>
      </w:r>
    </w:p>
    <w:p>
      <w:pPr>
        <w:spacing w:after="0" w:line="238" w:lineRule="auto"/>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ind w:right="40" w:firstLine="8"/>
        <w:spacing w:after="0" w:line="236"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both September 30, 2024 and December 31, 2023, there were $0.5 million in letters of credit issued under the 2023 Revolving Credit Facility and no borrowings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table presents the future minimum lease payments and the maturity of lease liabilities as of September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lease payments above exclude $159.2 million of future minimum lease payments for a lease signed but not yet commenced as of September 30, 2024. This lease, for the Company’s New York City corporate office, is expected to commence in mid-2025 and has an expected initial lease term of approximately 16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256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98,614</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113,848</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359,066</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213,206,193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211,618,475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213,026,732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210,444,082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215,096,974</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213,491,634</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214,885,210</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212,276,908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60" w:hanging="332"/>
        <w:spacing w:after="0" w:line="271"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2024 and 2023, there was a total of 126,903 and 265,681, respectively, and during the nine months ended September 30, 2024 and 2023, there was a total of 137,252 and 266,453, respectively, weighted average unvested or unsettled vested stock awards that were considered a participating security for purposes of calculating earnings per share in accordance with the two-class method.</w:t>
      </w:r>
    </w:p>
    <w:p>
      <w:pPr>
        <w:spacing w:after="0" w:line="14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9"/>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110,927</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144,666</w:t>
            </w:r>
          </w:p>
        </w:tc>
        <w:tc>
          <w:tcPr>
            <w:tcW w:w="8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144,666</w:t>
            </w:r>
          </w:p>
        </w:tc>
      </w:tr>
      <w:tr>
        <w:trPr>
          <w:trHeight w:val="234"/>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23,076,235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23,080,571</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23,077,298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24,179,583</w:t>
            </w:r>
          </w:p>
        </w:tc>
      </w:tr>
    </w:tbl>
    <w:p>
      <w:pPr>
        <w:spacing w:after="0" w:line="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TEL, TESL and ICDLT are subject to certain financial resource requirements with the FCA in the UK, TWJ is subject to certain financial resource requirements with the FCA in Japan, TWEU and TESBV are subject to certain finance resource requirements with the AFM in the Netherlands, ICDEU is subject to certain financial resource requirements with the CMVM in Portugal, YB is subject to certain financial resource requirements with ASIC in Australia and TDIFC is subject to certain financial resource requirements with DFSA in the Dubai International Financial Centre. At September 30, 2024 and December 31, 2023, the regulatory capital requirements and regulatory capital for these entities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152,739</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ICDLC</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ICDLT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ICDEU</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September 30, 2024 and December 31,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517"/>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931"/>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by client sector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577,774</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227,404</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68,166</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968,219</w:t>
            </w:r>
          </w:p>
        </w:tc>
      </w:tr>
      <w:tr>
        <w:trPr>
          <w:trHeight w:val="27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289,599</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773,117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604,580</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207,842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785,947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350,756</w:t>
            </w:r>
          </w:p>
        </w:tc>
      </w:tr>
      <w:tr>
        <w:trPr>
          <w:trHeight w:val="22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968,219</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4,799,860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3,990,070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50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4,829,345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4,010,418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30, 2024, the board of directors of Tradeweb Markets Inc. declared a cash dividend of $0.10 per share of Class A common stock and Class B common stock for the fourth quarter of 2024. This dividend will be payable on December 16, 2024 to stockholders of record as of December 2, 2024.</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30, 2024, Tradeweb Markets Inc., as the sole manager, approved a distribution by TWM LLC to its equityholders, including Tradeweb Markets Inc., in an aggregate amount of $30.1 million, as adjusted by required state and local tax withholdings that will be determined prior to the record date of December 2, 2024, payable on December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2023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2,800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corporate treasury organizations. Our marketplaces facilitate trading across a range of asset classes, including rates, credit, equities and money markets. We are a global company serving clients in over 70 countries with offices in North America, Europe, Asia, Australia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70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dealers and financial institutions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provides financial advisory firms access to live offerings, accurate pricing in the marketplace and fast execution.</w:t>
      </w:r>
    </w:p>
    <w:p>
      <w:pPr>
        <w:spacing w:after="0" w:line="15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Our expansion into the corporates sector was driven by our acquisition of Institutional Cash Distributors (“ICD”) on August 1, 2024. The addition of ICD to our platform broadens our product suite, further diversifies our client and revenue base and strengthens our position in the corporate treasury space, enabling us to provide a more comprehensive range of liquidity management tools and services.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2024, we completed our acquisition of ICD.</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closing, the Corporation issued and sold 41,705 shares of Class A common stock, with a grant date fair value of $4.7 million, to an equityholder of the ICD seller, who was also an employee of ICD and is currently an employee of the Company, which shares of Class A common stock were issued and sold as restricted stock (such shares of restricted stock, the “RSAs”). The RSAs are subject to a two-year vesting period and forfeiture terms, pursuant to the Tradeweb Markets Inc. 2019 Omnibus Equity Incentive Plan. Of the $4.7 million in RSAs issued, $3.3 million was allocated to consideration transferred for the business combination, relating to the pre-combination service period completed before the acquisition date, and $1.3 million will be amortized into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cash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over the two-year service period required subsequent to the acquisition date, with such special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amortization expense excluded from our non-GAAP financial measures of Adjusted EBITDA and Adjusted Net Income when it is recorded as expense.</w:t>
      </w:r>
    </w:p>
    <w:p>
      <w:pPr>
        <w:spacing w:after="0" w:line="1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Cash paid at closing, net of cash acquired and net of the proceeds from the sale of the RSAs, totaled $774.1 million, of which $771.2 million was determined to be consideration transferred for the business combination, $1.4 million was expensed during the three and nine months ended September 30, 2024 and $1.4 million was recorded as a prepaid asset, to be expensed over a two-year period. Both of these purchase price amounts that were or will be expensed are considered merger and acquisition transaction and integration costs and will be excluded from our non-GAAP financial measures of Adjusted EBITDA and Adjusted Net Income when recorded as expense.</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ICD Acquisition, we also issued to certain key ICD employees, 92,672 restricted stock units (the “ICD RSU Awards”), with a total grant date fair value of $10.3 million, that will vest one-third each year over a three-year period. Management determined that approximately $5.2 million of the ICD RSU Awards represents market based ordinary course compensation expense for these individuals, with the remaining $5.2 million representing a special award to help ensure retention of these key ICD employees during the three-year period subsequent to the acquisition and allow sufficient time for the integration of ICD’s operations into Tradeweb. The stock-based compensation expense relating to the portion of the ICD RSU Awards determined to be a special award will also be excluded from our non-GAAP financial measures of Adjusted EBITDA and Adjusted Net Income when it is recorded as expense. See “Non-GAAP Financial Measures” below for further details on ICD Acquisition related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adjustments.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acquisition of ICD and its proprietary technology, we have added a new client channel, “corporates”, serving corporate treasury professionals, complementing Tradeweb’s existing focus on institutional, wholesale and retail clients.</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part of Tradeweb, ICD provides a comprehensive solution for corporate treasurers and asset managers worldwide to manage short-term liquidity needs and FX risk, as well as optimize yield and duration via our existing suite of products. ICD clients retain the ability to fully integrate their workflows with leading third-party treasury management and accounting systems and ICD’s portfolio analytics solution. In addition to opportunities to cross-sell our products to ICD’s clients, we aim to accelerate ICD’s growth and expansion by leveraging our international presence and offering money market funds to our existing network of clients globally.</w:t>
      </w:r>
    </w:p>
    <w:p>
      <w:pPr>
        <w:spacing w:after="0" w:line="1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From the date of the ICD Acquisition through September 30, 2024, ICD revenues of $17.2 million and an operating loss of $0.3 million, including $7.3 million of depreciation and amortization from acquired assets, were included in our condensed consolidated statements of income for the three and nine months ended September 30, 2024. See Note 4 – Acquisitions to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financial statements included elsewhere in this Quarterly Report on Form 10-Q for additional details of this acquisition.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r8fin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we completed our acquisition of r8fin (the “r8fin Acquisition”) in exchange for total consideration of $125.9 million, consisting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$89.2 million in cash paid at closing (net of cash acquired) and the issuance of 374,601 shares of Class A common stock of the Corporation valued as of the acquisition date at $36.7 million.</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AiEX (Automated Intelligent Execution) offerings, creating a valuable and broad-based approach to trading U.S. Treasuries and related futures trading. The r8fin Acquisition is not material to our consolidated financial statements and did not have a significant impact to our results of operations for the three and nine months ended September 30, 2024. See Note 4 – Acquisitions to the condensed consolidated financial statements included elsewhere in this Quarterly Report on Form 10-Q for additional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Changes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20, 2024, we announced organizational changes to optimize operations for continued growth. As part of those organizational changes, Amy Clack joined the Company in August 2024 as Chief Administrative Officer and a member of the Executive Committee, overseeing operations, business integration, risk and corporate services. In addition, Thomas Pluta, President of the Company, left the Company and the Board of Directors, effective September 30, 2024.</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we incurred $2.9 million in incremental compensation expense related to a cash severance payment to be paid to Mr. Pluta in accordance with the Company’s Executive Severance Policy with respect to Mr. Pluta’s departure in September 2024, all recorded during the three months ended June 30, 2024. As of June 17, 2024, there was also approximately $4.4 million in total unamortized stock-based compensation associated with equity awards previously granted to Mr. Pluta that were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 that was excluded from our non-GAAP financial measures of Adjusted EBITDA and Adjusted Net Income when it was recorded as expense. See “—Non-GAAP Financial Measures” below for further details. During the three and nine months ended September 30, 2024, we incurred a total of $2.4 million and $2.7 million, respectively in accelerated stock-based compensation expense relating to Mr. Pluta’s departure.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2024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results in rising interest rates and have other adverse effects on the securities markets and the overall economy, they may adversely affect our results of operations and financial condition.</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4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alternative minimum tax (“CAMT”) effective for taxable years beginning after December 31, 2022, and imposes a 1% excise tax on the repurchase after December 31, 2022 of stock by publicly traded U.S. corporations. The 1% excise tax did not have an impact to our financial condition, results of operations and cash flows as of and for the three and nine months ended September 30, 2024. The Company is subject to the 15% CAMT, however, it is not expected to have a material impact on the Company’s effective tax rate. The adoption of the IRA will also not have an impact to our non-GAAP adjusted effective tax rate used for purposes of calculating our non-GAAP measure of Adjusted Net Income.</w:t>
      </w:r>
    </w:p>
    <w:p>
      <w:pPr>
        <w:spacing w:after="0" w:line="1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Company does not anticipate a material impact to its financial condition, results of operations and cash flows from the Two Pillar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For variable transaction fees and commissions, we charge clients based on the mix of products traded and the volume of transactions executed. Transaction volume is determined by using either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Europe, Asia, Australia and the Middle East. We expect occupancy expense to increase as our space needs grow in line with our global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September 30, 2024, we owned 90.2% of TWM LLC and Continuing LLC Owners owned the remaining 9.8% of TWM LLC.</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2024 and Three Months Ended September 30,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September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September 30, 2024 and 2023,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500" w:type="dxa"/>
            <w:vAlign w:val="bottom"/>
          </w:tcPr>
          <w:p>
            <w:pPr>
              <w:spacing w:after="0"/>
              <w:rPr>
                <w:sz w:val="13"/>
                <w:szCs w:val="13"/>
                <w:color w:val="auto"/>
              </w:rPr>
            </w:pPr>
          </w:p>
        </w:tc>
        <w:tc>
          <w:tcPr>
            <w:tcW w:w="7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373,493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263,485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71,718</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61,821</w:t>
            </w:r>
          </w:p>
        </w:tc>
        <w:tc>
          <w:tcPr>
            <w:tcW w:w="15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560" w:hanging="332"/>
        <w:spacing w:after="0" w:line="27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September 30, 2024 and 2023 include $20.5 million and $15.5 million, respectively, of LSEG market data fees (formerly referred to as Refinitiv market data fees).</w:t>
      </w:r>
    </w:p>
    <w:p>
      <w:pPr>
        <w:ind w:left="340" w:right="300" w:hanging="332"/>
        <w:spacing w:after="0" w:line="262"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strong results for the third quarter of 2024 reflected significant organic growth and solid contributions from our recent acquisitions of ICD, r8fin and Yieldbroker. We remained focused on and grew market share while also benefiting from rates market volatility around central bank moves and broad-based volume growth, which underscored our sustained momentum across asset classes. The primary driver of the $120.6 million increase in revenue was related to an $110.0 million increase in transaction fees and commissions to $373.5 million for the three months ended September 30, 2024 from $263.5 million for the three months ended September 30, 2023, primarily due to higher revenues for rate derivatives products, U.S. corporate bonds and U.S. government bonds, as well as the basis point commissions earned on the average daily balance of client money market fund investments made through the ICD Portal for the two months subsequent to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September 30,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September 30,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6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226,727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September 30, 2024 and 2023,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ADV</w:t>
            </w:r>
          </w:p>
        </w:tc>
        <w:tc>
          <w:tcPr>
            <w:tcW w:w="280" w:type="dxa"/>
            <w:vAlign w:val="bottom"/>
          </w:tcPr>
          <w:p>
            <w:pPr>
              <w:spacing w:after="0"/>
              <w:rPr>
                <w:sz w:val="16"/>
                <w:szCs w:val="16"/>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83,743,233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54,264,524</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52.1 %</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22,842,103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51,882,416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31,422,421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28,436,368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20,746,985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23,446,048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10,675,437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2,754,433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1,906,797</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42.3 %</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1,449,634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1,467,238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1,197,696</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20.6 %</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59,556,275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33,065,896</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62.5 %</w:t>
            </w: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147,521,178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1,424,185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90,434,913</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47.1 %</w:t>
            </w:r>
          </w:p>
        </w:tc>
        <w:tc>
          <w:tcPr>
            <w:tcW w:w="0" w:type="dxa"/>
            <w:vAlign w:val="bottom"/>
          </w:tcPr>
          <w:p>
            <w:pPr>
              <w:spacing w:after="0" w:line="20" w:lineRule="exact"/>
              <w:rPr>
                <w:sz w:val="1"/>
                <w:szCs w:val="1"/>
                <w:color w:val="auto"/>
              </w:rPr>
            </w:pPr>
          </w:p>
        </w:tc>
      </w:tr>
      <w:tr>
        <w:trPr>
          <w:trHeight w:val="272"/>
        </w:trPr>
        <w:tc>
          <w:tcPr>
            <w:tcW w:w="406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1,849,862</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124,075,130</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1,257,697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79,759,476</w:t>
            </w:r>
          </w:p>
        </w:tc>
        <w:tc>
          <w:tcPr>
            <w:tcW w:w="15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14" w:lineRule="exact"/>
        <w:rPr>
          <w:rFonts w:ascii="Times New Roman" w:cs="Times New Roman" w:eastAsia="Times New Roman" w:hAnsi="Times New Roman"/>
          <w:sz w:val="14"/>
          <w:szCs w:val="14"/>
          <w:color w:val="auto"/>
        </w:rPr>
      </w:pPr>
    </w:p>
    <w:p>
      <w:pPr>
        <w:ind w:left="340" w:right="400" w:hanging="332"/>
        <w:spacing w:after="0" w:line="263"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Yieldbroker, r8fin and ICD on August 31, 2023, January 19, 2024 and August 1, 2024, respectively. Total volume reported includes volumes from each acquired business subsequent to the closing date of the applicable acquisition.</w:t>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September 30, 2024 and 2023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$60.3 million or 34.9% to $233.1 million for the three months ended September 30, 2024 compared to $172.8 million for the three months ended September 30, 2023 primarily due to higher variable transaction fees and commissions on higher trading volumes for rates derivatives products, U.S., European and other government bonds and mortgages.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decreased primarily due to a shift in the mix and methods of products traded towards other rates derivative products, which have with a lower variable fee capture compared to overall rates. This was partially offset by a shift in the mix of products traded towards other government bonds, which have a higher variable fee capture compared to overall rates.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$28.2 million or 31.4% to $118.3 million for the three months ended September 30, 2024 compared to $90.1 million for the three months ended September 30, 2023 primarily due to higher variable transaction fees and commissions on higher trading volumes for U.S. and European corporate bonds and credit derivative products and an increase in fixed subscription fees. The fixed subscription fee increase was primarily driven by the addition of dealers joining the subscription pricing plan, subscription price increases and the implementation of fee minimums to certain subscription plans.</w:t>
      </w:r>
    </w:p>
    <w:p>
      <w:pPr>
        <w:spacing w:after="0" w:line="1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a shift in the mix and methods of products traded, including increases in the percentage of derivative products, which have a lower variable fee capture compared to overall credit.</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$4.6 million or 22.1% to $25.5 million for the three months ended September 30, 2024 compared to $20.9 million for the three months ended September 30, 2023 primarily due to higher variable transaction fees and commissions on higher trading volumes for European and U.S. ETFs and equity derivative products.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a shift in the mix of products traded, including higher volumes in European ETFs, which have a higher variable fee capture compared to overall equities.</w:t>
      </w:r>
    </w:p>
    <w:p>
      <w:pPr>
        <w:spacing w:after="0" w:line="13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$20.4 million or 129.2% to $36.1 million for the three months ended September 30, 2024 compared to $15.8 million for the three months ended September 30, 2023 primarily due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the August 1, 2024 acquisition of ICD and the associated basis point commissions earned on the average daily balance of client money market fund investments made through the ICD Portal.</w:t>
      </w:r>
    </w:p>
    <w:p>
      <w:pPr>
        <w:spacing w:after="0" w:line="13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money markets increased primarily due to a shift in the mix of products traded in this category as a result of the August 1, 2024 acquisition of ICD and the associated basis point commissions earned on the average daily balance of client money market fund investments made through the ICD Portal, which have a higher variable fee capture compared to the historical product mix.</w:t>
      </w:r>
    </w:p>
    <w:p>
      <w:pPr>
        <w:spacing w:after="0" w:line="13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$6.8 million or 29.6% to $29.8 million for the three months ended September 30, 2024 compared to $23.0 million for the three months ended September 30, 2023. The increase was derived primarily from increased LSEG market data fees from our market data agreement that was amended effective November 1, 2023 and proprietary third party market data revenue.</w:t>
      </w:r>
    </w:p>
    <w:p>
      <w:pPr>
        <w:spacing w:after="0" w:line="13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was relatively flat with an increase of $0.2 million or 4.0% to $6.1 million for the three months ended September 30, 2024 compared to $5.9 million for the three months ended September 30, 2023.</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September 30,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$71.6 million or 36.7% to $266.7 million for the three months ended September 30, 2024 from $195.1 million for the three months ended September 30, 2023. The increase was derived primarily from higher revenues for rates derivatives products, U.S. corporate bonds, U.S. and European government bonds and credit derivative products.</w:t>
      </w:r>
    </w:p>
    <w:p>
      <w:pPr>
        <w:spacing w:after="0" w:line="1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$21.5 million or 27.6% to $99.5 million for the three months ended September 30, 2024 from $78.0 million for the three months ended September 30, 2023. The increase was derived primarily from higher revenues for U.S. government bonds, including positive contributions from the r8fin Acquisition, as well as higher revenues for U.S. corporate bonds, repurchase agreements and rates derivative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$3.4 million or 10.6% to $35.8 million for the three months ended September 30, 2024 from</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$32.3 million for the three months ended September 30, 2023. The increase was derived primarily from higher revenues for municipals and U.S. corporate bonds.</w:t>
      </w:r>
    </w:p>
    <w:p>
      <w:pPr>
        <w:spacing w:after="0" w:line="1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$17.2 million for the three months ended September 30, 2024.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average daily balance of client money market fund investments made through the ICD Portal for the two months subsequent to the acquisition. See “—Trends and Other Factors Impacting Our Performance—Acquisitions,” above for further details about this acquisition.</w:t>
      </w:r>
    </w:p>
    <w:p>
      <w:pPr>
        <w:spacing w:after="0" w:line="14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$6.8 million or 29.6% to $29.8 million for the three months ended September 30, 2024 from $23.0 million for the three months ended September 30, 2023. The increase was derived primarily from increased LSEG market data fees from our market data agreement that was amended effective November 1, 2023 and proprietary third party market data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and the resulting dollar and percentage changes,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$71.9 million or 34.6% to $279.7 million for the three months ended September 30, 2024 from $207.8 million for the three months ended September 30, 2023 primarily due to higher revenues for U.S. corporate bonds, U.S. government bonds, money markets, including the contribution from the ICD Acquisition, rates derivatives products and market data.</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$48.7 million or 40.4% to $169.2 million for the three months ended September 30, 2024 from $120.5 million for the three months ended September 30, 2023 primarily due to higher revenues for rates derivatives products, money markets, including the contribution from the ICD Acquisition, European and other government bonds and market data.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September 30,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$44.1 million or 38.1% to $160.2 million for the three months ended September 30, 2024 from $116.0 million for the three months ended September 30, 2023. The increase was primarily due to an increase in incentive compensation expense tied to our financial performance, as well as an increase in headcount and related salaries, bonus and benefits associated with our continued growth, including the August 1, 2024 ICD Acquisition. As discussed above, the three months ended September 30, 2024 also included $2.4 million in accelerated stock-based compensation expense associated with our former President and $1.4 million in compensation expense relating to acceleration, as of the ICD Acquisition closing date, of unvested stock-based compensation awards previously issued by the ICD seller. See “— Trends and Other Factors Impacting Our Performance” above for further details.</w:t>
      </w:r>
    </w:p>
    <w:p>
      <w:pPr>
        <w:spacing w:after="0" w:line="1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$11.3 million or 24.3% to $57.9 million for the three months ended September 30, 2024 from $46.6 million for the three months ended September 30, 2023. The increase was primarily due to increases in amortization of assets acquired in connection with the ICD, r8fin and Yieldbroker acquisitions on August 1, 2024, January 19, 2024 and August 31, 2023,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u w:val="single" w:color="auto"/>
          <w:color w:val="auto"/>
        </w:rPr>
        <w:t>Technology and Communications</w:t>
      </w:r>
      <w:r>
        <w:rPr>
          <w:rFonts w:ascii="Times New Roman" w:cs="Times New Roman" w:eastAsia="Times New Roman" w:hAnsi="Times New Roman"/>
          <w:sz w:val="17"/>
          <w:szCs w:val="17"/>
          <w:color w:val="auto"/>
        </w:rPr>
        <w:t>. Expenses related to technology and communications increased by $4.6 million or 23.1% to $24.3 million for the three months ended September 30, 2024 from $19.7 million for the three months ended September 30, 2023. The increase was primarily due to increased investment in our data strategy and infrastructure and increased clearance and data fees driven primarily by higher trading volumes period-over-period.</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$13.7 million or 204.7% to $20.4 million for the three months ended September 30, 2024 from $6.7 million for the three months ended September 30, 2023. The increase was primarily due to an $8.7 million increase in foreign exchange losses during the three months ended September 30, 2024 compared to the prior year period. Realized and unrealized foreign currency losses totaled $4.1 million during the three months ended September 30, 2024 as compared to $4.6 million in gains during three months ended September 30, 2023. The change was primarily driven by changes in fair value of our foreign currency forward contracts used in connection with our foreign currency risk management program. Increases in travel and recruiting costs to support our continued growth also contributed to the overall increase in general and administrative expenses.</w:t>
      </w:r>
    </w:p>
    <w:p>
      <w:pPr>
        <w:spacing w:after="0" w:line="1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$11.0 million or 104.5% to $21.4 million for the three months ended September 30, 2024 from $10.5 million for the three months ended September 30, 2023, primarily due to an increase in professional fees related to acquisitions.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$1.3 million or 31.1% to $5.4 million for the three months ended September 30, 2024 from $4.1 million for the three months ended September 30, 2023. The increase was primarily due to higher data center and office rent expense associated with our global expansion.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of $0.9 million of expense recognized for the three months ended September 30, 2024 was due to changes in the tax receivable agreement liability recorded in our consolidated statements of financial condition as a result of changes in the mix of earnings in connection with the acquisition of ICD, which impacted our estimated future tax savings. There was no tax receivable agreement liability adjustment recognized for the three months ended September 30,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decreased by $1.3 million to $16.7 million for the three months ended September 30, 2024 from $17.9 million for the three months ended September 30, 2023 primarily due to a decrease in interest income earned as a result of a decrease in our average invested cash balance as a result of the cash paid in connection with the ICD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increased by $1.0 million to $1.4 million for the three months ended September 30, 2024 from $0.5 million for the three months ended September 30, 2023 primarily due to interest expense incurred on payments due under the Tax Receivable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less than $0.1 million of net other income for the three months ended September 30, 2024 compared to a $1.9 million net other loss for the three months ended September 30, 2023, as we unwound the out-of-the-money foreign currency call option entered into in order to partially mitigate the foreign currency exposure relating to the payment of the purchase price for the Yieldbroker acquisition during the three months ended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$14.8 million to $43.5 million for the three months ended September 30, 2024 from $28.7 million for the three months ended September 30, 2023. The provision for income taxes includes U.S. federal, state, local and foreign taxes. The effective tax rate for the three months ended September 30, 2024 was approximately 25.0%, compared with 20.4% for the three months ended September 30, 2023. The effective tax rate for the three months ended September 30, 2024 differed from the U.S. federal statutory rate of 21.0% primarily due to state, local and foreign taxes and the disallowance of compensation expense tax deductions, partially offset by the effect of non-controlling interests and the Foreign-Derived Intangible Income (“FDII”) deduction. The effective tax rate for the three months ended September 30, 2023 differed from the U.S. federal statutory rate of 21.0% primarily due to the return-to-provision adjustment and the effect of non-controlling interests, partially offset by the effect of state, local and foreign taxes.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2024 and Nine Months Ended September 30,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nine months ended September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nine months ended September 30,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580" w:type="dxa"/>
            <w:vAlign w:val="bottom"/>
          </w:tcPr>
          <w:p>
            <w:pPr>
              <w:spacing w:after="0"/>
              <w:rPr>
                <w:sz w:val="14"/>
                <w:szCs w:val="14"/>
                <w:color w:val="auto"/>
              </w:rPr>
            </w:pPr>
          </w:p>
        </w:tc>
        <w:tc>
          <w:tcPr>
            <w:tcW w:w="6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20" w:type="dxa"/>
            <w:vAlign w:val="bottom"/>
          </w:tcPr>
          <w:p>
            <w:pPr>
              <w:spacing w:after="0"/>
              <w:rPr>
                <w:sz w:val="14"/>
                <w:szCs w:val="14"/>
                <w:color w:val="auto"/>
              </w:rPr>
            </w:pPr>
          </w:p>
        </w:tc>
        <w:tc>
          <w:tcPr>
            <w:tcW w:w="10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4"/>
                <w:szCs w:val="14"/>
                <w:color w:val="auto"/>
              </w:rPr>
            </w:pPr>
          </w:p>
        </w:tc>
        <w:tc>
          <w:tcPr>
            <w:tcW w:w="1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1,039,419</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0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776,544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213,226</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182,998</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968,219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80" w:hanging="332"/>
        <w:spacing w:after="0" w:line="27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nine months ended September 30, 2024 and 2023 include $61.6 million and $46.5 million respectively, of LSEG market data fees (formerly referred to as Refinitiv market data fees).</w:t>
      </w:r>
    </w:p>
    <w:p>
      <w:pPr>
        <w:ind w:left="340" w:right="300" w:hanging="332"/>
        <w:spacing w:after="0" w:line="26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primary driver of the $294.4 million increase in revenue related to a $262.9 million increase in transaction fees and commissions to $1.0 billion for the nine months ended September 30, 2024 from $776.5 million for the nine months ended September 30, 2023, primarily due to higher revenues for rates derivative products, U.S. and European corporate bonds and U.S., European and other government bonds, as well as the basis point commissions earned on the average daily balance of client money market fund investments made through the ICD Portal for the two months subsequent to the acquisition.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nine months ended September 30, 2024 and 2023,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664,746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nine months ended September 30, 2024 and 2023,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329,682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667,938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$161.1 million or 32.0% to $664.7 million for the nine months ended September 30, 2024 compared to $503.7 million for the nine months ended September 30, 2023 primarily due to higher variable transaction fees and commissions on higher trading volumes for rates derivatives products and U.S., European and other government bonds and mortgages.</w:t>
      </w:r>
    </w:p>
    <w:p>
      <w:pPr>
        <w:spacing w:after="0" w:line="14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$82.3 million or 31.3% to $345.5 million for the nine months ended September 30, 2024 compared to $263.1 million for the nine months ended September 30, 2023 primarily due to higher variable transaction fees and commissions on higher trading volumes for U.S., European and Chinese corporate bonds and municipals, as well as an increase in fixed subscription fees.</w:t>
      </w:r>
    </w:p>
    <w:p>
      <w:pPr>
        <w:spacing w:after="0" w:line="13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$6.2 million or 8.9% to $75.4 million for the nine months ended September 30, 2024 compared to $69.2 million for the nine months ended September 30, 2023 primarily due to higher variable transaction fees and commissions on higher trading volumes for European ETFs and equity derivatives products.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$24.6 million or 52.9% to $71.0 million for the nine months ended September 30, 2024 compared to $46.4 million for the nine months ended September 30, 2023 primarily due to the August 1, 2024 acquisition of ICD and the associated basis point commissions earned on the average daily balance of client money market fund investments made through the ICD Portal as well as higher variable transaction fees and commissions on higher trading volumes for repurchase agreements.</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$19.8 million or 29.1% to $88.0 million for the nine months ended September 30, 2024 compared to $68.2 million for the nine months ended September 30, 2023. The increase was derived primarily from increased LSEG market data fees from our market data agreement that was amended effective November 1, 2023 and proprietary third party market data revenue.</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was relatively flat with an increase of $0.4 million or 2.2%, to $18.0 million for the nine months ended September 30, 2024 compared to $17.6 million for the nine months ended September 30, 2023.</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nine months ended September 30, 2024 and 2023,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759,599</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$181.8 million or 31.5% to $759.6 million for the nine months ended September 30, 2024 from $577.8 million for the nine months ended September 30, 2023. The increase was derived primarily from higher revenues for rates derivatives products, U.S. corporate bonds and U.S., European and other government bonds.</w:t>
      </w:r>
    </w:p>
    <w:p>
      <w:pPr>
        <w:spacing w:after="0" w:line="1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$63.6 million or 28.0% to $291.0 million for the nine months ended September 30, 2024 from $227.4 million for the nine months ended September 30, 2023. The increase was derived primarily from higher revenues for U.S. government bonds, including positive contributions from the r8fin Acquisition, as well as higher revenues for U.S. and European corporate bonds, rates derivatives products and repurchase agreements.</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$11.9 million or 12.6% to $106.8 million for the nine months ended September 30, 2024 from $94.9 million for the nine months ended September 30, 2023. The increase was derived primarily from higher revenues for U.S. corporate bonds and municipals.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$17.2 million for the nine months ended September 30, 2024.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average daily balance of client money market fund investments made through the ICD Portal for the two months subsequent to the acquisition. See “—Trends and Other Factors Impacting Our Performance—Acquisitions,” above for further details about this acquisition.</w:t>
      </w:r>
    </w:p>
    <w:p>
      <w:pPr>
        <w:spacing w:after="0" w:line="16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$19.8 million or 29.1% to $88.0 million for the nine months ended September 30, 2024 from $68.2 million for the nine months ended September 30, 2023. The increase was derived primarily from increased LSEG market data fees from our market data agreement that was amended effective November 1, 2023 and proprietary third party market data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and the resulting dollar and percentage changes,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785,947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$168.5 million or 27.3% to $785.9 million for the nine months ended September 30, 2024 from $617.5 million for the nine months ended September 30, 2023 primarily due to higher revenues for U.S. corporate bonds, U.S. government bonds, rate derivative products, market data and money markets, including the contribution from the ICD Acquisition.</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$125.9 million or 35.9% to $476.7 million for the nine months ended September 30, 2024 from $350.8 million for the nine months ended September 30, 2023 primarily due to higher revenues for rates derivatives products, European and other government bonds, European corporate bonds, market data and money markets, including the contribution from the ICD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nine months ended September 30,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$106.1 million or 31.7% to $440.5 million for the nine months ended September 30, 2024 from $334.4 million for the nine months ended September 30, 2023. The increase was primarily due to an increase in incentive compensation expense tied to our financial performance, as well as an increase in headcount and related salaries, bonus and benefits to support our continued growth.</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$19.3 million or 14.0% to $157.1 million for the nine months ended September 30, 2024 from $137.9 million for the nine months ended September 30, 2023. The increase was primarily due to increases in amortization of assets acquired in connection with the ICD, r8fin and Yieldbroker acquisitions on August 1, 2024, January 19, 2024 and August 31, 2023, respectively.</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$13.8 million or 24.7% to $69.8 million for the nine months ended September 30, 2024 from $56.0 million for the nine months ended September 30, 2023. The increase was primarily due to investment in our data strategy and infrastructure and increased clearance and data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$12.3 million or 38.9% to $44.0 million for the nine months ended September 30, 2024 from $31.7 million for the nine months ended September 30, 2023. The increase was primarily due to increases in travel, marketing and recruiting costs to support our continued growth. The increase was also due to a $3.0 million decrease in foreign exchange gains during the nine months ended September 30, 2024. Realized and unrealized foreign currency gains totaled $0.9 million during the nine months ended September 30, 2024 as compared to $3.9 million in gains during the nine months ended September 30, 2023.</w:t>
      </w:r>
    </w:p>
    <w:p>
      <w:pPr>
        <w:spacing w:after="0" w:line="156"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$14.2 million or 44.0% to $46.6 million for the nine months ended September 30, 2024 from $32.3 million for the nine months ended September 30, 2023, primarily due to an increase in professional fees related to acquisitions.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$2.8 million or 22.6% to $15.1 million for the nine months ended September 30, 2024 as compared to $12.3 million for the nine months ended September 30, 2023.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of $0.9 million of expense recognized for the nine months ended September 30, 2024 was due to changes in the tax receivable agreement liability recorded in our consolidated statements of financial condition as a result of changes in the mix of earnings in connection with the acquisition of ICD, which impacted our estimated future tax savings. There was no tax receivable agreement liability adjustment recognized for the nine months ended September 30,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income increased by $12.8 million to $59.2 million for the nine months ended September 30, 2024 from $46.4 million for the nine months ended September 30, 2023 primarily due to an increase in interest income earned as a result of an increase in our average invested cash balance and an increase in interest rates period over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expense increased by $2.3 million to $3.7 million for the nine months ended September 30, 2024 from $1.4 million for the nine months ended September 30, 2023 primarily due to interest expense incurred on payments due under the Tax Receivable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 was less than $0.1 million of net other income for the nine months ended September 30, 2024. During the nine months ended September 30, 2023, we recognized a net other loss of $2.0 million, including a $1.3 million loss in connection with unwinding the out-of-the money foreign currency call option entered into in order to partially mitigate the foreign currency exposure on the payment of the purchase price for the Yieldbroker acquisition completed in August 2023. In addition, we also recognized a $0.7 million loss due to a net reduction in the tax indemnification receivables from Refinitiv relating to the settlement of the tax matter for less than the previously estimated amount. See Note 6 – Income Taxes to our unaudited condensed consolidated financial statements included elsewhere in this Quarterly Report on Form 10-Q for further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$43.2 million to $134.1 million for the nine months ended September 30, 2024 from $90.9 million for the nine months ended September 30, 2023. The provision for income taxes includes U.S. federal, state, local, and foreign taxes. The effective tax rate for the nine months ended September 30, 2024 was approximately 24.7%, compared with 22.4% for the nine months ended September 30, 2023. The effective tax rate for the nine months ended September 30, 2024 differed from the U.S. federal statutory rate of 21.0% primarily due to state, local and foreign taxes and the disallowance of compensation expense tax deductions, partially offset by the effect of non-controlling interests and the FDII deduction. The effective tax rate for the nine months ended September 30, 2023 differed from the U.S. federal statutory rate of 21.0% primarily due to state, local and foreign taxes, partially offset by the effect of non-controlling interests, the exercise of equity compensation and the return-to-provision adjustment.</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three and nine months ended September 30, 2024 and 2023.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and their sufficiency to fund our operating and investing activities.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we had cash and cash equivalents of approximately $1.2 billion and $1.7 billion, respectively.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Risks — Credit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$0.10 per share. As discussed below, our ability to pay these quarterly cash dividends on our Class A common stock and Class B common stock will depend on distributions to us from TWM LLC.</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when TWM LLC makes distributions to us, the other holders of LLC Interests will be entitled to receive proportionate distributions based on their economic interests in TWM LLC at the time of such distributions.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30, 2024, the board of directors of Tradeweb Markets Inc. declared a cash dividend of $0.10 per share of Class A common stock and Class B common stock for the fourth quarter of 2024. This dividend will be payable on December 16, 2024 to stockholders of record as of December 2, 2024.</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March, June and September 2024, Tradeweb Markets Inc. paid quarterly cash dividends to holders of Class A common stock and Class B common stock in an aggregate amount totaling $63.9 million during the nine months ended September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30, 2024, Tradeweb Markets Inc., as the sole manager, approved a distribution by TWM LLC to its equityholders, including Tradeweb Markets Inc., in an aggregate amount of $30.1 million, as adjusted by required state and local tax withholdings that will be determined prior to the record date of December 2, 2024, payable on December 12, 2024.</w:t>
      </w:r>
    </w:p>
    <w:p>
      <w:pPr>
        <w:spacing w:after="0" w:line="1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March, June and September 2024, TWM LLC made quarterly cash distributions to its equityholders in an aggregate amount of $253.8 million during the nine months ended September 30, 2024, including distributions to Tradeweb Markets Inc. of $229.0 million and distributions to non-controlling interests of $24.8 million. The proceeds of the cash distributions were used by Tradeweb Markets Inc. to fund dividend payments, taxes and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nine months ended September 30, 2024, the Company acquired a total of 214,795 shares of Class A common stock, at an average price of $116.41, for purchases totaling $25.0 million pursuant to the 2022 Share Repurchase Program. As of September 30, 2024, a total of $214.8 million remained available for repurchase pursuant to the 2022 Share Repurchase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withheld 474,123 shares of common stock from employee stock option, PRSU and RSU awards, at an average price per share of $97.82 and an aggregate value of $46.4 million, based on the price of the Class A common stock on the date the relevant withholding occurred.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September 30, 2024, total amounts due to Continuing LLC Owners under the Tax Receivable Agreement were $382.4 million, substantially all due to be paid over 15 years following the purchase of LLC Interests from Continuing LLC Owners or redemption or exchanges by Continuing LLC Owners of LLC Interests. As of September 30, 2024, we expect to make tax receivable agreement liability payments of approximately $8.0 million within the next 12 months and approximately $374.4 million thereafter.</w:t>
      </w:r>
    </w:p>
    <w:p>
      <w:pPr>
        <w:spacing w:after="0" w:line="1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we had no outstanding indebtedness.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(the “2019 Revolving Credit Facility”). Subject to the satisfaction of certain conditions, we will be able to increase the 2023 Revolving Credit Facility by $250.0 million with the consent of lenders participating in the increase. The 2023 Revolving Credit Facility provides borrowing capacity to be used to fund ongoing working capital needs, letters of credit and for general corporate purposes, including potential future acquisitions and expansions. As of September 30, 2024, there were $0.5 million in letters of credit issued under the 2023 Revolving Credit Facility and no borrowings outstanding. The 2023 Revolving Credit Facility will mature on November 21, 2028.</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September 30, 2024, we were in compliance with all the covenants set forth in the 2023 Revolving Credit Facility.</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2023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addition, in June 2024, we signed a new lease for our New York headquarters that is expected to commence in mid-2025 and has an expected initial lease term of approximately 16 years. In August 2024, the existing lease for our current New York headquarters was extended through September 2025.</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2024, our operating lease liabilities totaled $28.6 million, with payments pursuant to these obligations due within the next 12 months and thereafter totaling $12.6 million and $18.4 million, respectively. In addition, we are obligated on long-term future minimum lease payments totaling $159.2 million for a lease signed but not yet commenced as of September 30, 2024.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Excluding cash paid at closing for acquisitions, we expect total cash paid for capital expenditures and software development costs for fiscal year 2024 to be approximately between $77 million and $85 million, compared to expenditures of $61.8 million in fiscal year 2023, with the midpoint of our 2024 capital expenditure guidance up 31% versus fiscal year 2023 primarily due to anticipated capitalized integration spend associated with the acquisitions of Yieldbroker, r8fin and ICD. Cash paid for capital expenditures and software development costs during the nine months ended September 30, 2024 totaled $50.9 million, excluding cash paid at closing for acquisitions.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Conduct Authority in the UK, the Nederlandsche Bank in the Netherlands, the Japanese Financial Services Agency, the Japanese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Association and other foreign regulators, and must maintain financial resources, as defined in the applicable regulations, in excess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requirement. As of September 30, 2024 and December 31, 2023, each of our regulated subsidiaries had maintained sufficient net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financial resources to at least satisfy their minimum requirements, which in aggregate were $81.2 million and $76.7 million, respectively. We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balances in these subsidiaries in excess of our minimum requirements in order to satisfy working capital needs and to ensure that we have enough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to satisfy margin requirements and credit risk, including the excess capital expectations of our clients. The Fixed Income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(“FICC”) and some of our clearing brokers require us to post collateral on unsettled positions, included within deposits with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in our condensed consolidated statements of financial condition. Collateral amounts are marked to market on a daily basis, requiring us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receive margin amounts as part of the daily funds settlement. Margin call requirements can vary significantly across periods based on daily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and may represent a significant and unpredictable use of our liquidity.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Historically we have used ICBC, a wholly-owned subsidiary of the Industrial and Commercial Bank of China Limited, to clear U.S. Treasury trades executed by non-FICC members on our wholesale trading platform. Under that arrangement, ICBC submitted our trades from non-FICC members to the FICC under the ICBC netting account with the FICC. Following the November 2023 ransomware attack on some ICBC operating systems, including those used to clear U.S. Treasury and repurchase agreement financings, we have and may continue to self-clear these U.S. Treasury trades. As a result, this increased the number of trades that settle over the fed wire, instead of FICC clearing, and accordingly we have experienced and may continue to experience, an increase in the number of U.S. Treasury failed settlement transactions. As of September 30, 2024, we recorded a $297.8 million receivable and a $286.2 million payable from/to brokers and dealers and clearing organizations related to failed settlement transactions and we self-funded the remaining $11.7 million difference between the fail to deliver and fail to receive. All of the above failed settlement transactions outstanding as of September 30, 2024 were fully settled during October 2024. See below for further details regarding the changes to working capital as a result of these failed settlement transactions.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0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September 30, 2024 and December 31, 2023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1,706,468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1,786,565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2,294,051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26,804</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1,171,401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1,634,144</w:t>
            </w:r>
          </w:p>
        </w:tc>
      </w:tr>
      <w:tr>
        <w:trPr>
          <w:trHeight w:val="21"/>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2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Current assets decreased to $1.8 billion as of September 30, 2024 from $2.3 billion as of December 31, 2023 primarily due to a decrease in cash and cash equivalents as a result of the cash paid for the ICD Acquisition and a decrease in receivable from brokers and dealers and clearing organizations resulting from a decrease in unsettled wholesale platform transactions and a lower value of fails to deliver, all of which settled in October 2024. This decrease was partially offset by an increase in accounts receivable resulting from an increase in revenues and timing of collections.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below for further discussion of the change in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Current liabilities decreased to $615.2 million as of September 30, 2024 from $659.9 million as of December 31, 2023 primarily due to a decrease in payable to brokers and dealers and clearing organizations resulting from a decrease in unsettled wholesale platform transactions and a lower value of fails to receive, all of which settled in October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0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615,716</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501,328</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(120,509)</w:t>
            </w:r>
          </w:p>
        </w:tc>
      </w:tr>
      <w:tr>
        <w:trPr>
          <w:trHeight w:val="234"/>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(144,150)</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(532,734)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236,181</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$615.7 million, an increase of $114.4 million over the nine months ended September 30, 2023, primarily driven by an increase in net income, partially offset by an increase in cash paid for income taxes and cash used to fund deposits with clearing organizations and other net changes in working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$922.9 million for the nine months ended September 30, 2024, which consisted of $860.4 million of total net cash paid for the acquisitions of ICD and r8fin (net of cash acquired), $35.2 million of capitalized software development costs, $11.6 million of cash paid for investments and $15.7 million of purchases of furniture, equipment, purchased software and leasehold improvements. Net cash used in investing activities was $120.5 million for the nine months ended September 30, 2023, which consisted of $69.6 million of total net cash paid for the Yieldbroker Acquisition (net of cash acquired), $32.1 million of capitalized software development costs, $17.5 million of purchases of furniture, equipment, purchased software and leasehold improvements and $1.3 million of cash paid for a foreign currency call option, net of sale proceeds.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was $229.9 million, and was primarily driven by $77.0 million in payments due under our Tax Receivable Agreement, $63.9 million in cash dividends to our Class A and Class B common stockholders, $24.8 million in distributions to non-controlling interest holders, $39.8 million in payroll tax payments for options, PRSUs and RSUs, net of proceeds from the related stock-based compensation option exercises and $24.4 million in share repurchases pursuant to the 2022 Share Repurchase Program. Net cash used in financing activities for the nine months ended September 30, 2023 was $144.2 million, and was primarily driven by $41.2 million in payroll tax payments for options, PRSUs and RSUs, net of proceeds from the related stock-based compensation option exercises, $32.9 million in share repurchases pursuant to the 2022 Share Repurchase Program, $56.8 million in cash dividends to our Class A and Class B common stockholders and $7.5 million in distributions to non-controlling interest holders.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615,716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501,328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(35,182)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(32,105)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(15,729)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(17,467)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564,805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451,756</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The accelerated stock-based compensation expense associated with our former President was amortized through September 30, 2024.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20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and nine months ended September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130,223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410,021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315,762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21,752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(46,445)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57,872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157,145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137,850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134,135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90,920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239,816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170,360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675,877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505,618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(57,872)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(46,559)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(157,145)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(137,850)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41,949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111,031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95,217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223,893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155,772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629,763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462,985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7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180" w:hanging="332"/>
        <w:spacing w:after="0" w:line="256"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nine months ended September 30, 2024, this adjustment also includes $2.4 million and $2.7 million, respectively, of non-cash accelerated stock-based compensation expense and related payroll taxes associated with our former President and $0.4 million and $0.4 million, respectively, of non-cash stock-based compensation expense and related payroll taxes associated with RSAs and RSUs issued to help retain key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60" w:hanging="332"/>
        <w:spacing w:after="0" w:line="27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jc w:val="center"/>
              <w:ind w:right="12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jc w:val="center"/>
              <w:ind w:right="10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9"/>
        </w:trPr>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+154 bps</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+102 bps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+131 bps</w:t>
            </w: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+118 bps</w:t>
            </w: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+243 bps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+192 bps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+206 bps</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+193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and nine months ended September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98,614</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10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90,920</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95,217</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508,050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383,578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80" w:hanging="332"/>
        <w:spacing w:after="0" w:line="256"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nine months ended September 30, 2024, this adjustment also includes $2.4 million and $2.7 million, respectively, of non-cash accelerated stock-based compensation expense and related payroll taxes associated with our former President and $0.4 million and $0.4 million, respectively, of non-cash stock-based compensation expense and related payroll taxes associated with RSAs and RSUs issued to help retain key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63"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2" w:lineRule="exact"/>
        <w:rPr>
          <w:rFonts w:ascii="Times New Roman" w:cs="Times New Roman" w:eastAsia="Times New Roman" w:hAnsi="Times New Roman"/>
          <w:sz w:val="14"/>
          <w:szCs w:val="14"/>
          <w:color w:val="auto"/>
        </w:rPr>
      </w:pPr>
    </w:p>
    <w:p>
      <w:pPr>
        <w:ind w:left="340" w:right="140" w:hanging="332"/>
        <w:spacing w:after="0" w:line="27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applied to Adjusted Net Income before income taxes for the three and nine months ended September 30, 2024 and 24.5% for the three and nine months ended September 30, 2023.</w:t>
      </w:r>
    </w:p>
    <w:p>
      <w:pPr>
        <w:ind w:left="340" w:right="40" w:hanging="332"/>
        <w:spacing w:after="0" w:line="283"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and nine months ended September 30,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w:t>
            </w:r>
          </w:p>
        </w:tc>
        <w:tc>
          <w:tcPr>
            <w:tcW w:w="240" w:type="dxa"/>
            <w:vAlign w:val="bottom"/>
          </w:tcPr>
          <w:p>
            <w:pPr>
              <w:spacing w:after="0"/>
              <w:rPr>
                <w:sz w:val="18"/>
                <w:szCs w:val="18"/>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56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215,096,974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213,491,634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214,885,210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212,276,908</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266,453</w:t>
            </w: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23,076,235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23,080,571</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23,077,298</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24,179,583</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238,300,112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236,837,886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238,099,760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236,722,944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383,578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0" w:hanging="332"/>
        <w:spacing w:after="0" w:line="266"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most significant accounting estimates associated with both the ICD and r8fin acquisitions, which closed in August 2024 and January 2024, respectively, was the valuation of the acquired definite-lived intangible customer relationship assets (the “Customer Relationships”), which were valued as of the closing date of each respective acquisition, at a combined total of approximately $396.5 million, and the valuation of the developed technology, which were valued, as of the closing date of each respective acquisition, at a combined total of approximately $188.0 million. The majority of the residual total purchase price, which between the two acquisitions total $900.4 million, net of cash acquired, was primarily allocated to goodwill, which was measured at a combined total of approximately $334.4 million as of the closing date of each respective acquisition. We utilized the assistance of a third-party valuation specialist to determine the fair value of the assets acquired and liabilities assumed at the respective closing date of each acquisition. Management is responsible for these valuations and appraisals.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valuation of the Customer Relationships and the developed technology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developed technology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GAAP purposes, the Customer Relationships will be amortized over a useful life of 15 years for ICD and 13 years for r8fin and the developed technology acquired will be amortized over a useful life of eight years for ICD and seven years for r8fin. Any changes in the discount rate used for valuing the acquired assets or the estimated useful life used for amortization purposes could have a material impact on our condensed consolidated statements of financial condition and condensed consolidated statement of income. Any increases or decreases in the allocation of purchase price to Customer Relationships or the developed technology acquired, which are both amortizable assets, would be offset by a corresponding decrease or increase in goodwill, which is an indefinite-lived asset, not subject to amortization and as a result would impact the asset balances recorded on our condensed consolidated statements of financial condition as well as the amortization expense recorded on our condensed consolidated statements of income over the life of the asset. Any changes in the estimated useful life of the assets would also impact timing of the reduction of the net balance of intangible assets or software development costs, net of accumulated amortization on our condensed consolidated statements of financial condition and the timing of the recognition of amortization expense on our condensed consolidated statements of income.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platforms,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2024 and 2023, there were no material changes in the methodology or assumptions used to determine LSEG market data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2024, we granted 86,592 PSUs with a grant date fair value totaling $12.9 million, which will be amortized into expense on a straight-line basis through December 31, 2026. The significant assumptions used in determining the grant date fair value of the award were a maturity of 2.8 years, annualized volatility of 26.63% and a risk-free interest rate of 4.44%. A change in any of the assumptions used to value these awards could materially affect stock-based compensation expense recorded in the current and future periods. During each of the three and nine months ended September 30, 2024 and 2023, there were no material changes in the methodology or assumptions used to determine the valuation of our annual PSU grants.</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the financial performance of the Company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On March 15, 2024, we granted 201,546 PRSUs at a weighted-average grant-date fair value of $104.66. For these awards, the financial performance of the Company will be determined based on the compound annual growth rate over a three-year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performance period beginning on January 1 in the year of grant and the performance modifier can vary between 0% (minimum) and 250% (maximum) of the target (100%) award amount. As of September 30, 2024, a 10% decrease in the expected final share payouts would decrease the expense for the three and nine months ended September 30, 2024 by $1.1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September 30, 2024 and December 31, 2023, we have no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a Continuing LLC Owner, including with the net proceeds from the IPO, the October 2019 and April 2020 follow-on offerings and any future offering or (b) redemptions or exchanges by a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Recent SEC Final Rules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 and recent SEC final rule activity.</w:t>
      </w:r>
    </w:p>
    <w:p>
      <w:pPr>
        <w:spacing w:after="0" w:line="117" w:lineRule="exact"/>
        <w:rPr>
          <w:sz w:val="20"/>
          <w:szCs w:val="20"/>
          <w:color w:val="auto"/>
        </w:rPr>
      </w:pPr>
    </w:p>
    <w:p>
      <w:pPr>
        <w:ind w:right="39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RISKS </w:t>
      </w:r>
      <w:r>
        <w:rPr>
          <w:rFonts w:ascii="Times New Roman" w:cs="Times New Roman" w:eastAsia="Times New Roman" w:hAnsi="Times New Roman"/>
          <w:sz w:val="18"/>
          <w:szCs w:val="18"/>
          <w:b w:val="1"/>
          <w:bCs w:val="1"/>
          <w:i w:val="1"/>
          <w:iCs w:val="1"/>
          <w:color w:val="auto"/>
        </w:rPr>
        <w:t>Foreign Currency and Derivative Risk</w:t>
      </w: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and nine months ended September 30,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hanging="194"/>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6"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9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88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8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29%</w:t>
            </w:r>
          </w:p>
        </w:tc>
        <w:tc>
          <w:tcPr>
            <w:tcW w:w="1880" w:type="dxa"/>
            <w:vAlign w:val="bottom"/>
            <w:gridSpan w:val="3"/>
          </w:tcPr>
          <w:p>
            <w:pPr>
              <w:jc w:val="center"/>
              <w:ind w:left="456"/>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15%</w:t>
            </w:r>
          </w:p>
        </w:tc>
        <w:tc>
          <w:tcPr>
            <w:tcW w:w="1880" w:type="dxa"/>
            <w:vAlign w:val="bottom"/>
            <w:gridSpan w:val="3"/>
          </w:tcPr>
          <w:p>
            <w:pPr>
              <w:jc w:val="center"/>
              <w:ind w:left="45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5780" w:space="340"/>
            <w:col w:w="5120"/>
          </w:cols>
          <w:pgMar w:left="320" w:top="121" w:right="339" w:bottom="1440" w:gutter="0" w:footer="0" w:header="0"/>
          <w:type w:val="continuous"/>
        </w:sect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$0.9 million loss and a $0.7 million gain during the three months ended September 30, 2024 and 2023, respectively, and realized and unrealized losses totaled $2.9 million and $1.0 million during the nine months ended September 30, 2024 and 2023, respectively.</w:t>
      </w:r>
    </w:p>
    <w:p>
      <w:pPr>
        <w:spacing w:after="0" w:line="1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nine months ended September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3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356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356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292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29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904"/>
        </w:trPr>
        <w:tc>
          <w:tcPr>
            <w:tcW w:w="3560" w:type="dxa"/>
            <w:vAlign w:val="bottom"/>
          </w:tcPr>
          <w:p>
            <w:pPr>
              <w:spacing w:after="0"/>
              <w:rPr>
                <w:sz w:val="24"/>
                <w:szCs w:val="24"/>
                <w:color w:val="auto"/>
              </w:rPr>
            </w:pPr>
          </w:p>
        </w:tc>
        <w:tc>
          <w:tcPr>
            <w:tcW w:w="29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82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and nine months ended September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(1,700)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nine months ended September 30,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8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the three and nine months ended September 30, 2023 totaling $1.9 million and $1.3 million, respectively, relating to this option. We do not use derivative instruments for trading or speculative purposes.</w:t>
      </w:r>
    </w:p>
    <w:p>
      <w:pPr>
        <w:spacing w:after="0" w:line="14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notional amount of our foreign currency forward contracts was $236.1 million and $192.9 million, respectively. Realized and unrealized gains/losses on foreign currency forward contracts totaled a $3.1 million loss and a $3.9 million gain during the three months ended September 30, 2024 and 2023, respectively, and realized and unrealized gains on foreign currency forward contracts totaled $3.8 million and $4.9 million during the nine months ended September 30, 2024 and 2023, respectively.</w:t>
      </w:r>
    </w:p>
    <w:p>
      <w:pPr>
        <w:spacing w:after="0" w:line="1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September 30, 2024 and December 31, 2023, the counterparty on each of the foreign exchange derivative contracts was an affiliate of LSEG.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and our investments in available-for-sale debt securities. As of September 30, 2024 and December 31, 2023, the allowance for credit losses with regard to these receivables totaled $0.2 million and $0.3 million, respectively.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customers of the Company, which are cleared by a clearing broker. As between the Company and the clearing broker, the Company is responsible for losses that may result from the clearing broker’s rejection, reversal or cancellation of a transaction.</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September 30, 2024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2023 Form 10-K.</w:t>
      </w:r>
    </w:p>
    <w:p>
      <w:pPr>
        <w:spacing w:after="0" w:line="131" w:lineRule="exact"/>
        <w:rPr>
          <w:sz w:val="20"/>
          <w:szCs w:val="20"/>
          <w:color w:val="auto"/>
        </w:rPr>
      </w:pPr>
    </w:p>
    <w:p>
      <w:pPr>
        <w:ind w:right="414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Recent Sales of Unregistered Securities</w:t>
      </w: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5, 2024, the Company entered into a definitive agreement for TWM LLC to acquire ICD, which closed on August 1, 2024. In connection with the acquisition closing, we issued and sold a total of 41,705 shares of Class A common stock in exchange for $4.5 million of cash, in reliance on Section 4(a)</w:t>
      </w: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shares of Class A common stock were issued as restricted stock, subject to vesting and forfeiture terms, pursuant to the</w:t>
      </w:r>
    </w:p>
    <w:p>
      <w:pPr>
        <w:spacing w:after="0" w:line="9" w:lineRule="exact"/>
        <w:rPr>
          <w:rFonts w:ascii="Times New Roman" w:cs="Times New Roman" w:eastAsia="Times New Roman" w:hAnsi="Times New Roman"/>
          <w:sz w:val="18"/>
          <w:szCs w:val="18"/>
          <w:color w:val="auto"/>
        </w:rPr>
      </w:pPr>
    </w:p>
    <w:p>
      <w:pPr>
        <w:jc w:val="both"/>
        <w:ind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Markets Inc. 2019 Omnibus Equity Incentive Plan. The Company relied on this exemption from registration based in part on the nature of the transaction and the representations made by the recipient of the Class A common stock, which was a former equityholder of the seller of ICD, and also a former employee of ICD and currently an employee of Tradeweb.</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we repurchased the following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5"/>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3" w:lineRule="exact"/>
        <w:rPr>
          <w:sz w:val="20"/>
          <w:szCs w:val="20"/>
          <w:color w:val="auto"/>
        </w:rPr>
      </w:pPr>
    </w:p>
    <w:p>
      <w:pPr>
        <w:sectPr>
          <w:pgSz w:w="11900" w:h="16838" w:orient="portrait"/>
          <w:cols w:equalWidth="0" w:num="2">
            <w:col w:w="8400" w:space="4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239,794</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227,053</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214,790</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214,795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214,795</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80" w:hanging="332"/>
        <w:spacing w:after="0" w:line="265" w:lineRule="auto"/>
        <w:tabs>
          <w:tab w:leader="none" w:pos="32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46" w:lineRule="exact"/>
        <w:rPr>
          <w:rFonts w:ascii="Times New Roman" w:cs="Times New Roman" w:eastAsia="Times New Roman" w:hAnsi="Times New Roman"/>
          <w:sz w:val="14"/>
          <w:szCs w:val="14"/>
          <w:color w:val="auto"/>
        </w:rPr>
      </w:pPr>
    </w:p>
    <w:p>
      <w:pPr>
        <w:jc w:val="both"/>
        <w:ind w:left="340" w:right="16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repurchased pursuant to the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PRSUs and RSUs. During the three months ended September 30, 2024, the Company withheld 18,797 shares of Class A common stock in connection with such exercises and vesting of stock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September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04"/>
        </w:trPr>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6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8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69"/>
        </w:trPr>
        <w:tc>
          <w:tcPr>
            <w:tcW w:w="13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Steven Berns</w:t>
            </w:r>
          </w:p>
        </w:tc>
        <w:tc>
          <w:tcPr>
            <w:tcW w:w="880" w:type="dxa"/>
            <w:vAlign w:val="bottom"/>
            <w:shd w:val="clear" w:color="auto" w:fill="CCEEFF"/>
          </w:tcPr>
          <w:p>
            <w:pPr>
              <w:jc w:val="right"/>
              <w:ind w:right="55"/>
              <w:spacing w:after="0" w:line="169" w:lineRule="exact"/>
              <w:rPr>
                <w:sz w:val="20"/>
                <w:szCs w:val="20"/>
                <w:color w:val="auto"/>
              </w:rPr>
            </w:pPr>
            <w:r>
              <w:rPr>
                <w:rFonts w:ascii="Times New Roman" w:cs="Times New Roman" w:eastAsia="Times New Roman" w:hAnsi="Times New Roman"/>
                <w:sz w:val="18"/>
                <w:szCs w:val="18"/>
                <w:color w:val="auto"/>
              </w:rPr>
              <w:t>Adoption</w:t>
            </w:r>
          </w:p>
        </w:tc>
        <w:tc>
          <w:tcPr>
            <w:tcW w:w="164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August 7, 2024</w:t>
            </w:r>
          </w:p>
        </w:tc>
        <w:tc>
          <w:tcPr>
            <w:tcW w:w="5800" w:type="dxa"/>
            <w:vAlign w:val="bottom"/>
            <w:shd w:val="clear" w:color="auto" w:fill="CCEEFF"/>
          </w:tcPr>
          <w:p>
            <w:pPr>
              <w:ind w:left="380"/>
              <w:spacing w:after="0" w:line="169" w:lineRule="exact"/>
              <w:rPr>
                <w:sz w:val="20"/>
                <w:szCs w:val="20"/>
                <w:color w:val="auto"/>
              </w:rPr>
            </w:pPr>
            <w:r>
              <w:rPr>
                <w:rFonts w:ascii="Times New Roman" w:cs="Times New Roman" w:eastAsia="Times New Roman" w:hAnsi="Times New Roman"/>
                <w:sz w:val="18"/>
                <w:szCs w:val="18"/>
                <w:color w:val="auto"/>
              </w:rPr>
              <w:t>Sale of an amount equal to up to: (A) 731 shares of Class A Common</w:t>
            </w:r>
          </w:p>
        </w:tc>
        <w:tc>
          <w:tcPr>
            <w:tcW w:w="156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August 1, 2025</w:t>
            </w: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Stock, plus (B) up to 450 shares of Class A common stock to be issued</w:t>
            </w:r>
          </w:p>
        </w:tc>
        <w:tc>
          <w:tcPr>
            <w:tcW w:w="156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upon the vesting on May 10, 2025 of previously awarded restricted stock</w:t>
            </w:r>
          </w:p>
        </w:tc>
        <w:tc>
          <w:tcPr>
            <w:tcW w:w="1560" w:type="dxa"/>
            <w:vAlign w:val="bottom"/>
            <w:shd w:val="clear" w:color="auto" w:fill="CCEEFF"/>
          </w:tcPr>
          <w:p>
            <w:pPr>
              <w:spacing w:after="0"/>
              <w:rPr>
                <w:sz w:val="16"/>
                <w:szCs w:val="16"/>
                <w:color w:val="auto"/>
              </w:rPr>
            </w:pPr>
          </w:p>
        </w:tc>
      </w:tr>
      <w:tr>
        <w:trPr>
          <w:trHeight w:val="234"/>
        </w:trPr>
        <w:tc>
          <w:tcPr>
            <w:tcW w:w="1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units.</w:t>
            </w:r>
          </w:p>
        </w:tc>
        <w:tc>
          <w:tcPr>
            <w:tcW w:w="1560" w:type="dxa"/>
            <w:vAlign w:val="bottom"/>
            <w:shd w:val="clear" w:color="auto" w:fill="CCEEFF"/>
          </w:tcPr>
          <w:p>
            <w:pPr>
              <w:spacing w:after="0"/>
              <w:rPr>
                <w:sz w:val="20"/>
                <w:szCs w:val="20"/>
                <w:color w:val="auto"/>
              </w:rPr>
            </w:pPr>
          </w:p>
        </w:tc>
      </w:tr>
      <w:tr>
        <w:trPr>
          <w:trHeight w:val="176"/>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William Hult</w:t>
            </w:r>
          </w:p>
        </w:tc>
        <w:tc>
          <w:tcPr>
            <w:tcW w:w="880" w:type="dxa"/>
            <w:vAlign w:val="bottom"/>
          </w:tcPr>
          <w:p>
            <w:pPr>
              <w:jc w:val="right"/>
              <w:ind w:right="55"/>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16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August 7, 2024</w:t>
            </w:r>
          </w:p>
        </w:tc>
        <w:tc>
          <w:tcPr>
            <w:tcW w:w="58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(A) 38,377 shares of Class A Common</w:t>
            </w:r>
          </w:p>
        </w:tc>
        <w:tc>
          <w:tcPr>
            <w:tcW w:w="15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August 1, 2025</w:t>
            </w:r>
          </w:p>
        </w:tc>
      </w:tr>
      <w:tr>
        <w:trPr>
          <w:trHeight w:val="176"/>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Chief Executive</w:t>
            </w: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Stock, plus (B) (i) 31,268 shares of Class A common stock to be issued</w:t>
            </w:r>
          </w:p>
        </w:tc>
        <w:tc>
          <w:tcPr>
            <w:tcW w:w="1560" w:type="dxa"/>
            <w:vAlign w:val="bottom"/>
          </w:tcPr>
          <w:p>
            <w:pPr>
              <w:spacing w:after="0"/>
              <w:rPr>
                <w:sz w:val="15"/>
                <w:szCs w:val="15"/>
                <w:color w:val="auto"/>
              </w:rPr>
            </w:pPr>
          </w:p>
        </w:tc>
      </w:tr>
      <w:tr>
        <w:trPr>
          <w:trHeight w:val="184"/>
        </w:trPr>
        <w:tc>
          <w:tcPr>
            <w:tcW w:w="1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Officer</w:t>
            </w: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upon the vesting on January 1, 2025 of previously awarded performance-</w:t>
            </w:r>
          </w:p>
        </w:tc>
        <w:tc>
          <w:tcPr>
            <w:tcW w:w="156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based restricted stock units, plus (ii) the number of shares issued upon</w:t>
            </w:r>
          </w:p>
        </w:tc>
        <w:tc>
          <w:tcPr>
            <w:tcW w:w="156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vesting on January 1, 2025 in settlement of dividend equivalent rights in</w:t>
            </w:r>
          </w:p>
        </w:tc>
        <w:tc>
          <w:tcPr>
            <w:tcW w:w="156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respect of the 31,268 shares subject to the performance-based restricted</w:t>
            </w:r>
          </w:p>
        </w:tc>
        <w:tc>
          <w:tcPr>
            <w:tcW w:w="156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stock units that accrued during the award’s vesting period of March 15,</w:t>
            </w:r>
          </w:p>
        </w:tc>
        <w:tc>
          <w:tcPr>
            <w:tcW w:w="156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2022 - January 1, 2025, pursuant to the terms of the award agreement and</w:t>
            </w:r>
          </w:p>
        </w:tc>
        <w:tc>
          <w:tcPr>
            <w:tcW w:w="1560" w:type="dxa"/>
            <w:vAlign w:val="bottom"/>
          </w:tcPr>
          <w:p>
            <w:pPr>
              <w:spacing w:after="0"/>
              <w:rPr>
                <w:sz w:val="15"/>
                <w:szCs w:val="15"/>
                <w:color w:val="auto"/>
              </w:rPr>
            </w:pPr>
          </w:p>
        </w:tc>
      </w:tr>
      <w:tr>
        <w:trPr>
          <w:trHeight w:val="184"/>
        </w:trPr>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determined on the vesting date, less (iii) the number of shares withheld</w:t>
            </w:r>
          </w:p>
        </w:tc>
        <w:tc>
          <w:tcPr>
            <w:tcW w:w="156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taxes, to be determined on the vesting date.</w:t>
            </w:r>
          </w:p>
        </w:tc>
        <w:tc>
          <w:tcPr>
            <w:tcW w:w="1560" w:type="dxa"/>
            <w:vAlign w:val="bottom"/>
          </w:tcPr>
          <w:p>
            <w:pPr>
              <w:spacing w:after="0"/>
              <w:rPr>
                <w:sz w:val="20"/>
                <w:szCs w:val="20"/>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Justin Peterson</w:t>
            </w:r>
          </w:p>
        </w:tc>
        <w:tc>
          <w:tcPr>
            <w:tcW w:w="880" w:type="dxa"/>
            <w:vAlign w:val="bottom"/>
            <w:shd w:val="clear" w:color="auto" w:fill="CCEEFF"/>
          </w:tcPr>
          <w:p>
            <w:pPr>
              <w:jc w:val="right"/>
              <w:ind w:right="55"/>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16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August 7, 2024</w:t>
            </w: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(A) (i) 12,419 shares of Class A</w:t>
            </w:r>
          </w:p>
        </w:tc>
        <w:tc>
          <w:tcPr>
            <w:tcW w:w="15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May 15, 2025</w:t>
            </w: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Chief Technology</w:t>
            </w: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common stock to be issued upon the vesting on January 1, 2025 of</w:t>
            </w:r>
          </w:p>
        </w:tc>
        <w:tc>
          <w:tcPr>
            <w:tcW w:w="156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Officer</w:t>
            </w:r>
          </w:p>
        </w:tc>
        <w:tc>
          <w:tcPr>
            <w:tcW w:w="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previously awarded performance-based restricted stock units, plus (ii) the</w:t>
            </w:r>
          </w:p>
        </w:tc>
        <w:tc>
          <w:tcPr>
            <w:tcW w:w="156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8"/>
                <w:szCs w:val="18"/>
                <w:color w:val="auto"/>
              </w:rPr>
              <w:t>number of shares issued upon vesting on January 1, 2025 in settlement of</w:t>
            </w:r>
          </w:p>
        </w:tc>
        <w:tc>
          <w:tcPr>
            <w:tcW w:w="1560" w:type="dxa"/>
            <w:vAlign w:val="bottom"/>
            <w:shd w:val="clear" w:color="auto" w:fill="CCEEFF"/>
          </w:tcPr>
          <w:p>
            <w:pPr>
              <w:spacing w:after="0"/>
              <w:rPr>
                <w:sz w:val="15"/>
                <w:szCs w:val="15"/>
                <w:color w:val="auto"/>
              </w:rPr>
            </w:pPr>
          </w:p>
        </w:tc>
      </w:tr>
      <w:tr>
        <w:trPr>
          <w:trHeight w:val="176"/>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dividend equivalent rights in respect of the 12,419 shares subject to the</w:t>
            </w:r>
          </w:p>
        </w:tc>
        <w:tc>
          <w:tcPr>
            <w:tcW w:w="156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performance-based restricted stock units that accrued during the award’s</w:t>
            </w:r>
          </w:p>
        </w:tc>
        <w:tc>
          <w:tcPr>
            <w:tcW w:w="156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8"/>
                <w:szCs w:val="18"/>
                <w:color w:val="auto"/>
              </w:rPr>
              <w:t>vesting period of March 15, 2022 - January 1, 2025, pursuant to the terms</w:t>
            </w:r>
          </w:p>
        </w:tc>
        <w:tc>
          <w:tcPr>
            <w:tcW w:w="1560" w:type="dxa"/>
            <w:vAlign w:val="bottom"/>
            <w:shd w:val="clear" w:color="auto" w:fill="CCEEFF"/>
          </w:tcPr>
          <w:p>
            <w:pPr>
              <w:spacing w:after="0"/>
              <w:rPr>
                <w:sz w:val="15"/>
                <w:szCs w:val="15"/>
                <w:color w:val="auto"/>
              </w:rPr>
            </w:pPr>
          </w:p>
        </w:tc>
      </w:tr>
      <w:tr>
        <w:trPr>
          <w:trHeight w:val="175"/>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of the award agreement and determined on the vesting date, less (iii) the</w:t>
            </w:r>
          </w:p>
        </w:tc>
        <w:tc>
          <w:tcPr>
            <w:tcW w:w="156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number of shares withheld for taxes, to be determined on the vesting date,</w:t>
            </w:r>
          </w:p>
        </w:tc>
        <w:tc>
          <w:tcPr>
            <w:tcW w:w="156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8"/>
                <w:szCs w:val="18"/>
                <w:color w:val="auto"/>
              </w:rPr>
              <w:t>plus (B) (i) 10,329 shares of Class A common stock to be issued upon the</w:t>
            </w:r>
          </w:p>
        </w:tc>
        <w:tc>
          <w:tcPr>
            <w:tcW w:w="1560" w:type="dxa"/>
            <w:vAlign w:val="bottom"/>
            <w:shd w:val="clear" w:color="auto" w:fill="CCEEFF"/>
          </w:tcPr>
          <w:p>
            <w:pPr>
              <w:spacing w:after="0"/>
              <w:rPr>
                <w:sz w:val="15"/>
                <w:szCs w:val="15"/>
                <w:color w:val="auto"/>
              </w:rPr>
            </w:pPr>
          </w:p>
        </w:tc>
      </w:tr>
      <w:tr>
        <w:trPr>
          <w:trHeight w:val="175"/>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vesting on March 15, 2025 of previously awarded restricted stock units,</w:t>
            </w:r>
          </w:p>
        </w:tc>
        <w:tc>
          <w:tcPr>
            <w:tcW w:w="156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8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plus (ii) the number of shares issued upon vesting on March 15, 2025 in</w:t>
            </w:r>
          </w:p>
        </w:tc>
        <w:tc>
          <w:tcPr>
            <w:tcW w:w="1560" w:type="dxa"/>
            <w:vAlign w:val="bottom"/>
            <w:shd w:val="clear" w:color="auto" w:fill="CCEEFF"/>
          </w:tcPr>
          <w:p>
            <w:pPr>
              <w:spacing w:after="0"/>
              <w:rPr>
                <w:sz w:val="16"/>
                <w:szCs w:val="16"/>
                <w:color w:val="auto"/>
              </w:rPr>
            </w:pPr>
          </w:p>
        </w:tc>
      </w:tr>
      <w:tr>
        <w:trPr>
          <w:trHeight w:val="180"/>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8"/>
                <w:szCs w:val="18"/>
                <w:color w:val="auto"/>
              </w:rPr>
              <w:t>settlement of dividend equivalent rights in respect of the 10,329 shares</w:t>
            </w:r>
          </w:p>
        </w:tc>
        <w:tc>
          <w:tcPr>
            <w:tcW w:w="1560" w:type="dxa"/>
            <w:vAlign w:val="bottom"/>
            <w:shd w:val="clear" w:color="auto" w:fill="CCEEFF"/>
          </w:tcPr>
          <w:p>
            <w:pPr>
              <w:spacing w:after="0"/>
              <w:rPr>
                <w:sz w:val="15"/>
                <w:szCs w:val="15"/>
                <w:color w:val="auto"/>
              </w:rPr>
            </w:pPr>
          </w:p>
        </w:tc>
      </w:tr>
      <w:tr>
        <w:trPr>
          <w:trHeight w:val="175"/>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subject to the restricted stock units that accrued during the awards’</w:t>
            </w:r>
          </w:p>
        </w:tc>
        <w:tc>
          <w:tcPr>
            <w:tcW w:w="1560" w:type="dxa"/>
            <w:vAlign w:val="bottom"/>
            <w:shd w:val="clear" w:color="auto" w:fill="CCEEFF"/>
          </w:tcPr>
          <w:p>
            <w:pPr>
              <w:spacing w:after="0"/>
              <w:rPr>
                <w:sz w:val="15"/>
                <w:szCs w:val="15"/>
                <w:color w:val="auto"/>
              </w:rPr>
            </w:pPr>
          </w:p>
        </w:tc>
      </w:tr>
      <w:tr>
        <w:trPr>
          <w:trHeight w:val="181"/>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8"/>
                <w:szCs w:val="18"/>
                <w:color w:val="auto"/>
              </w:rPr>
              <w:t>applicable vesting period, pursuant to the terms of the applicable award</w:t>
            </w:r>
          </w:p>
        </w:tc>
        <w:tc>
          <w:tcPr>
            <w:tcW w:w="1560" w:type="dxa"/>
            <w:vAlign w:val="bottom"/>
            <w:shd w:val="clear" w:color="auto" w:fill="CCEEFF"/>
          </w:tcPr>
          <w:p>
            <w:pPr>
              <w:spacing w:after="0"/>
              <w:rPr>
                <w:sz w:val="15"/>
                <w:szCs w:val="15"/>
                <w:color w:val="auto"/>
              </w:rPr>
            </w:pPr>
          </w:p>
        </w:tc>
      </w:tr>
      <w:tr>
        <w:trPr>
          <w:trHeight w:val="184"/>
        </w:trPr>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80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7"/>
                <w:szCs w:val="17"/>
                <w:color w:val="auto"/>
              </w:rPr>
              <w:t>agreement and determined on the vesting date,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less (iii) the number of</w:t>
            </w:r>
          </w:p>
        </w:tc>
        <w:tc>
          <w:tcPr>
            <w:tcW w:w="1560" w:type="dxa"/>
            <w:vAlign w:val="bottom"/>
            <w:shd w:val="clear" w:color="auto" w:fill="CCEEFF"/>
          </w:tcPr>
          <w:p>
            <w:pPr>
              <w:spacing w:after="0"/>
              <w:rPr>
                <w:sz w:val="15"/>
                <w:szCs w:val="15"/>
                <w:color w:val="auto"/>
              </w:rPr>
            </w:pPr>
          </w:p>
        </w:tc>
      </w:tr>
      <w:tr>
        <w:trPr>
          <w:trHeight w:val="243"/>
        </w:trPr>
        <w:tc>
          <w:tcPr>
            <w:tcW w:w="1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withheld for taxes, to be determined on the vesting date.</w:t>
            </w:r>
          </w:p>
        </w:tc>
        <w:tc>
          <w:tcPr>
            <w:tcW w:w="1560" w:type="dxa"/>
            <w:vAlign w:val="bottom"/>
            <w:shd w:val="clear" w:color="auto" w:fill="CCEEFF"/>
          </w:tcPr>
          <w:p>
            <w:pPr>
              <w:spacing w:after="0"/>
              <w:rPr>
                <w:sz w:val="21"/>
                <w:szCs w:val="21"/>
                <w:color w:val="auto"/>
              </w:rPr>
            </w:pPr>
          </w:p>
        </w:tc>
      </w:tr>
      <w:tr>
        <w:trPr>
          <w:trHeight w:val="891"/>
        </w:trPr>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86</w:t>
            </w:r>
          </w:p>
        </w:tc>
        <w:tc>
          <w:tcPr>
            <w:tcW w:w="156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Expiration</w:t>
            </w:r>
          </w:p>
        </w:tc>
      </w:tr>
      <w:tr>
        <w:trPr>
          <w:trHeight w:val="230"/>
        </w:trPr>
        <w:tc>
          <w:tcPr>
            <w:tcW w:w="1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8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6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Purchased or Sold</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Date </w:t>
            </w:r>
            <w:r>
              <w:rPr>
                <w:rFonts w:ascii="Times New Roman" w:cs="Times New Roman" w:eastAsia="Times New Roman" w:hAnsi="Times New Roman"/>
                <w:sz w:val="18"/>
                <w:szCs w:val="18"/>
                <w:b w:val="1"/>
                <w:bCs w:val="1"/>
                <w:color w:val="auto"/>
                <w:w w:val="96"/>
                <w:vertAlign w:val="superscript"/>
              </w:rPr>
              <w:t>(1)</w:t>
            </w: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Scott Zucker</w:t>
            </w:r>
          </w:p>
        </w:tc>
        <w:tc>
          <w:tcPr>
            <w:tcW w:w="86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18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August 15, 2024</w:t>
            </w: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Sale of an amount equal to up to: (A) (i) 5,785 shares of Class A common</w:t>
            </w:r>
          </w:p>
        </w:tc>
        <w:tc>
          <w:tcPr>
            <w:tcW w:w="15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April 1, 2025</w:t>
            </w:r>
          </w:p>
        </w:tc>
      </w:tr>
      <w:tr>
        <w:trPr>
          <w:trHeight w:val="182"/>
        </w:trPr>
        <w:tc>
          <w:tcPr>
            <w:tcW w:w="1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Risk Officer</w:t>
            </w: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2" w:lineRule="exact"/>
              <w:rPr>
                <w:sz w:val="20"/>
                <w:szCs w:val="20"/>
                <w:color w:val="auto"/>
              </w:rPr>
            </w:pPr>
            <w:r>
              <w:rPr>
                <w:rFonts w:ascii="Times New Roman" w:cs="Times New Roman" w:eastAsia="Times New Roman" w:hAnsi="Times New Roman"/>
                <w:sz w:val="18"/>
                <w:szCs w:val="18"/>
                <w:color w:val="auto"/>
              </w:rPr>
              <w:t>stock to be issued upon the vesting on January 1, 2025 of previously</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awarded performance-based restricted stock units, plus (ii) the number of</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shares issued upon vesting on January 1, 2025 in settlement of dividend</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equivalent rights in respect of the 5,785 shares subject to the</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that accrued during the award’s</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vesting period of March 15, 2022 - January 1, 2025, pursuant to the terms</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of the award agreement and determined on the vesting date, less (iii) the</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number of shares withheld for taxes, to be determined on the vesting date,</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plus (B) (i) 4,723 shares of Class A common stock to be issued upon the</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vesting on March 15, 2025 of previously awarded restricted stock units,</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plus (ii) the number of shares issued upon vesting on March 15, 2025 in</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settlement of dividend equivalent rights in respect of the 4,723 shares</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subject to the restricted stock units that accrued during the awards’</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applicable vesting period, pursuant to the terms of the applicable award</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agreement and determined on the vesting date,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less (iii) the number of</w:t>
            </w:r>
          </w:p>
        </w:tc>
        <w:tc>
          <w:tcPr>
            <w:tcW w:w="1560" w:type="dxa"/>
            <w:vAlign w:val="bottom"/>
          </w:tcPr>
          <w:p>
            <w:pPr>
              <w:spacing w:after="0"/>
              <w:rPr>
                <w:sz w:val="16"/>
                <w:szCs w:val="16"/>
                <w:color w:val="auto"/>
              </w:rPr>
            </w:pPr>
          </w:p>
        </w:tc>
      </w:tr>
      <w:tr>
        <w:trPr>
          <w:trHeight w:val="230"/>
        </w:trPr>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for taxes, to be determined on the vesting date.</w:t>
            </w:r>
          </w:p>
        </w:tc>
        <w:tc>
          <w:tcPr>
            <w:tcW w:w="1560" w:type="dxa"/>
            <w:vAlign w:val="bottom"/>
          </w:tcPr>
          <w:p>
            <w:pPr>
              <w:spacing w:after="0"/>
              <w:rPr>
                <w:sz w:val="19"/>
                <w:szCs w:val="19"/>
                <w:color w:val="auto"/>
              </w:rPr>
            </w:pPr>
          </w:p>
        </w:tc>
      </w:tr>
      <w:tr>
        <w:trPr>
          <w:trHeight w:val="187"/>
        </w:trPr>
        <w:tc>
          <w:tcPr>
            <w:tcW w:w="13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Sara Furber</w:t>
            </w:r>
          </w:p>
        </w:tc>
        <w:tc>
          <w:tcPr>
            <w:tcW w:w="860" w:type="dxa"/>
            <w:vAlign w:val="bottom"/>
          </w:tcPr>
          <w:p>
            <w:pPr>
              <w:jc w:val="right"/>
              <w:ind w:right="56"/>
              <w:spacing w:after="0" w:line="187" w:lineRule="exact"/>
              <w:rPr>
                <w:sz w:val="20"/>
                <w:szCs w:val="20"/>
                <w:color w:val="auto"/>
              </w:rPr>
            </w:pPr>
            <w:r>
              <w:rPr>
                <w:rFonts w:ascii="Times New Roman" w:cs="Times New Roman" w:eastAsia="Times New Roman" w:hAnsi="Times New Roman"/>
                <w:sz w:val="18"/>
                <w:szCs w:val="18"/>
                <w:color w:val="auto"/>
              </w:rPr>
              <w:t>Adoption</w:t>
            </w:r>
          </w:p>
        </w:tc>
        <w:tc>
          <w:tcPr>
            <w:tcW w:w="1820" w:type="dxa"/>
            <w:vAlign w:val="bottom"/>
          </w:tcPr>
          <w:p>
            <w:pPr>
              <w:ind w:left="160"/>
              <w:spacing w:after="0" w:line="187" w:lineRule="exact"/>
              <w:rPr>
                <w:sz w:val="20"/>
                <w:szCs w:val="20"/>
                <w:color w:val="auto"/>
              </w:rPr>
            </w:pPr>
            <w:r>
              <w:rPr>
                <w:rFonts w:ascii="Times New Roman" w:cs="Times New Roman" w:eastAsia="Times New Roman" w:hAnsi="Times New Roman"/>
                <w:sz w:val="18"/>
                <w:szCs w:val="18"/>
                <w:color w:val="auto"/>
              </w:rPr>
              <w:t>September 13, 2024</w:t>
            </w:r>
          </w:p>
        </w:tc>
        <w:tc>
          <w:tcPr>
            <w:tcW w:w="5620" w:type="dxa"/>
            <w:vAlign w:val="bottom"/>
          </w:tcPr>
          <w:p>
            <w:pPr>
              <w:ind w:left="200"/>
              <w:spacing w:after="0" w:line="187" w:lineRule="exact"/>
              <w:rPr>
                <w:sz w:val="20"/>
                <w:szCs w:val="20"/>
                <w:color w:val="auto"/>
              </w:rPr>
            </w:pPr>
            <w:r>
              <w:rPr>
                <w:rFonts w:ascii="Times New Roman" w:cs="Times New Roman" w:eastAsia="Times New Roman" w:hAnsi="Times New Roman"/>
                <w:sz w:val="18"/>
                <w:szCs w:val="18"/>
                <w:color w:val="auto"/>
              </w:rPr>
              <w:t>Sale of an amount equal to up to: (A) (i) 17,741 shares of Class A</w:t>
            </w:r>
          </w:p>
        </w:tc>
        <w:tc>
          <w:tcPr>
            <w:tcW w:w="156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color w:val="auto"/>
              </w:rPr>
              <w:t>June 13, 2025</w:t>
            </w:r>
          </w:p>
        </w:tc>
      </w:tr>
      <w:tr>
        <w:trPr>
          <w:trHeight w:val="182"/>
        </w:trPr>
        <w:tc>
          <w:tcPr>
            <w:tcW w:w="1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w:t>
            </w: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2" w:lineRule="exact"/>
              <w:rPr>
                <w:sz w:val="20"/>
                <w:szCs w:val="20"/>
                <w:color w:val="auto"/>
              </w:rPr>
            </w:pPr>
            <w:r>
              <w:rPr>
                <w:rFonts w:ascii="Times New Roman" w:cs="Times New Roman" w:eastAsia="Times New Roman" w:hAnsi="Times New Roman"/>
                <w:sz w:val="18"/>
                <w:szCs w:val="18"/>
                <w:color w:val="auto"/>
              </w:rPr>
              <w:t>common stock to be issued upon the vesting on January 1, 2025 of</w:t>
            </w:r>
          </w:p>
        </w:tc>
        <w:tc>
          <w:tcPr>
            <w:tcW w:w="1560" w:type="dxa"/>
            <w:vAlign w:val="bottom"/>
          </w:tcPr>
          <w:p>
            <w:pPr>
              <w:spacing w:after="0"/>
              <w:rPr>
                <w:sz w:val="15"/>
                <w:szCs w:val="15"/>
                <w:color w:val="auto"/>
              </w:rPr>
            </w:pP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Officer</w:t>
            </w: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previously awarded performance-based restricted stock units, plus (ii) the</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number of shares issued upon vesting on January 1, 2025 in settlement of</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dividend equivalent rights in respect of the 17,741 shares subject to the</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that accrued during the award’s</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vesting period of March 15, 2022 - January 1, 2025, pursuant to the terms</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of the award agreement and determined on the vesting date, less (iii) the</w:t>
            </w:r>
          </w:p>
        </w:tc>
        <w:tc>
          <w:tcPr>
            <w:tcW w:w="1560" w:type="dxa"/>
            <w:vAlign w:val="bottom"/>
          </w:tcPr>
          <w:p>
            <w:pPr>
              <w:spacing w:after="0"/>
              <w:rPr>
                <w:sz w:val="15"/>
                <w:szCs w:val="15"/>
                <w:color w:val="auto"/>
              </w:rPr>
            </w:pPr>
          </w:p>
        </w:tc>
      </w:tr>
      <w:tr>
        <w:trPr>
          <w:trHeight w:val="176"/>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number of shares withheld for taxes, to be determined on the vesting date,</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plus (B) (i) 14,523 shares of Class A common stock to be issued upon the</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vesting on March 15, 2025 of previously awarded restricted stock units,</w:t>
            </w:r>
          </w:p>
        </w:tc>
        <w:tc>
          <w:tcPr>
            <w:tcW w:w="1560" w:type="dxa"/>
            <w:vAlign w:val="bottom"/>
          </w:tcPr>
          <w:p>
            <w:pPr>
              <w:spacing w:after="0"/>
              <w:rPr>
                <w:sz w:val="15"/>
                <w:szCs w:val="15"/>
                <w:color w:val="auto"/>
              </w:rPr>
            </w:pPr>
          </w:p>
        </w:tc>
      </w:tr>
      <w:tr>
        <w:trPr>
          <w:trHeight w:val="175"/>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plus (ii) the number of shares issued upon vesting on March 15, 2025 in</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settlement of dividend equivalent rights in respect of the 14,523 shares</w:t>
            </w:r>
          </w:p>
        </w:tc>
        <w:tc>
          <w:tcPr>
            <w:tcW w:w="1560" w:type="dxa"/>
            <w:vAlign w:val="bottom"/>
          </w:tcPr>
          <w:p>
            <w:pPr>
              <w:spacing w:after="0"/>
              <w:rPr>
                <w:sz w:val="16"/>
                <w:szCs w:val="16"/>
                <w:color w:val="auto"/>
              </w:rPr>
            </w:pPr>
          </w:p>
        </w:tc>
      </w:tr>
      <w:tr>
        <w:trPr>
          <w:trHeight w:val="180"/>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subject to the restricted stock units that accrued during the awards’</w:t>
            </w:r>
          </w:p>
        </w:tc>
        <w:tc>
          <w:tcPr>
            <w:tcW w:w="1560" w:type="dxa"/>
            <w:vAlign w:val="bottom"/>
          </w:tcPr>
          <w:p>
            <w:pPr>
              <w:spacing w:after="0"/>
              <w:rPr>
                <w:sz w:val="15"/>
                <w:szCs w:val="15"/>
                <w:color w:val="auto"/>
              </w:rPr>
            </w:pPr>
          </w:p>
        </w:tc>
      </w:tr>
      <w:tr>
        <w:trPr>
          <w:trHeight w:val="175"/>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applicable vesting period, pursuant to the terms of the applicable award</w:t>
            </w:r>
          </w:p>
        </w:tc>
        <w:tc>
          <w:tcPr>
            <w:tcW w:w="1560" w:type="dxa"/>
            <w:vAlign w:val="bottom"/>
          </w:tcPr>
          <w:p>
            <w:pPr>
              <w:spacing w:after="0"/>
              <w:rPr>
                <w:sz w:val="15"/>
                <w:szCs w:val="15"/>
                <w:color w:val="auto"/>
              </w:rPr>
            </w:pPr>
          </w:p>
        </w:tc>
      </w:tr>
      <w:tr>
        <w:trPr>
          <w:trHeight w:val="184"/>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2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agreement and determined on the vesting date,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less (iii) the number of</w:t>
            </w:r>
          </w:p>
        </w:tc>
        <w:tc>
          <w:tcPr>
            <w:tcW w:w="1560" w:type="dxa"/>
            <w:vAlign w:val="bottom"/>
          </w:tcPr>
          <w:p>
            <w:pPr>
              <w:spacing w:after="0"/>
              <w:rPr>
                <w:sz w:val="16"/>
                <w:szCs w:val="16"/>
                <w:color w:val="auto"/>
              </w:rPr>
            </w:pPr>
          </w:p>
        </w:tc>
      </w:tr>
      <w:tr>
        <w:trPr>
          <w:trHeight w:val="195"/>
        </w:trPr>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2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color w:val="auto"/>
              </w:rPr>
              <w:t>shares withheld for taxes, to be determined on the vesting date, plus (C)</w:t>
            </w: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-1955165</wp:posOffset>
            </wp:positionV>
            <wp:extent cx="7132320" cy="2888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888615"/>
                    </a:xfrm>
                    <a:prstGeom prst="rect">
                      <a:avLst/>
                    </a:prstGeom>
                    <a:noFill/>
                  </pic:spPr>
                </pic:pic>
              </a:graphicData>
            </a:graphic>
          </wp:anchor>
        </w:drawing>
      </w:r>
    </w:p>
    <w:p>
      <w:pPr>
        <w:ind w:left="4260" w:right="1660" w:firstLine="5"/>
        <w:spacing w:after="0" w:line="213" w:lineRule="auto"/>
        <w:tabs>
          <w:tab w:leader="none" w:pos="44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3,619 shares of Class A common stock to be issued upon the vesting on March 30, 2025 of previously awarded restricted stock units, plus (ii) the number of shares issued upon vesting on March 30, 2025 in settlement of dividend equivalent rights in respect of the 3,619 shares accrued during the award’s vesting period of October 1, 2021 - March 15, 2025, pursuant to the terms of the award agreement and determined on the vesting date, less (iii) the number of shares withheld for taxes, to be determined on the vesting date.</w:t>
      </w:r>
    </w:p>
    <w:p>
      <w:pPr>
        <w:spacing w:after="0" w:line="72" w:lineRule="exact"/>
        <w:rPr>
          <w:rFonts w:ascii="Times New Roman" w:cs="Times New Roman" w:eastAsia="Times New Roman" w:hAnsi="Times New Roman"/>
          <w:sz w:val="18"/>
          <w:szCs w:val="18"/>
          <w:color w:val="auto"/>
        </w:rPr>
      </w:pPr>
    </w:p>
    <w:p>
      <w:pPr>
        <w:ind w:left="340" w:right="160" w:hanging="332"/>
        <w:spacing w:after="0" w:line="271" w:lineRule="auto"/>
        <w:tabs>
          <w:tab w:leader="none" w:pos="32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each case, the Rule 10b5-1 trading arrangement may also expire on such earlier date as all such transactions under the trading arrangement are completed or at such time as such trading arrangement is otherwise terminated in accordance with its terms.</w:t>
      </w: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awards of restricted stock units granted in 2022, 2023 and 2024, which awards vest one-third each year over a three-year period.</w:t>
      </w:r>
    </w:p>
    <w:p>
      <w:pPr>
        <w:spacing w:after="0" w:line="1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executive officers adopted, modified or terminated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7"/>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3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69"/>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r>
      <w:tr>
        <w:trPr>
          <w:trHeight w:val="37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69"/>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tcPr>
          <w:p>
            <w:pPr>
              <w:spacing w:after="0"/>
              <w:rPr>
                <w:sz w:val="14"/>
                <w:szCs w:val="14"/>
                <w:color w:val="auto"/>
              </w:rPr>
            </w:pPr>
          </w:p>
        </w:tc>
        <w:tc>
          <w:tcPr>
            <w:tcW w:w="3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r>
      <w:tr>
        <w:trPr>
          <w:trHeight w:val="37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69"/>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2"/>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69"/>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3"/>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r>
      <w:tr>
        <w:trPr>
          <w:trHeight w:val="41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535"/>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905"/>
        </w:trPr>
        <w:tc>
          <w:tcPr>
            <w:tcW w:w="16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Times New Roman" w:cs="Times New Roman" w:eastAsia="Times New Roman" w:hAnsi="Times New Roman"/>
                <w:sz w:val="18"/>
                <w:szCs w:val="18"/>
                <w:color w:val="auto"/>
              </w:rPr>
              <w:t>88</w:t>
            </w: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00"/>
          </w:cols>
          <w:pgMar w:left="320" w:top="121" w:right="3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2024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2024,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2024,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endash "/>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lowerRoman"/>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Roman"/>
      <w:start w:val="1"/>
    </w:lvl>
  </w:abstractNum>
  <w:abstractNum w:abstractNumId="37">
    <w:nsid w:val="2D517796"/>
    <w:multiLevelType w:val="hybridMultilevel"/>
    <w:lvl w:ilvl="0">
      <w:lvlJc w:val="left"/>
      <w:lvlText w:val="(%1)"/>
      <w:numFmt w:val="decimal"/>
      <w:start w:val="1"/>
    </w:lvl>
    <w:lvl w:ilvl="1">
      <w:lvlJc w:val="left"/>
      <w:lvlText w:val="%2"/>
      <w:numFmt w:val="lowerRoman"/>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2024-10-30T06:15:07Z</dcterms:created>
  <dcterms:modified xsi:type="dcterms:W3CDTF">2024-10-30T06:15:07Z</dcterms:modified>
</cp:coreProperties>
</file>