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Friedman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03/15/2025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General Counsel and Secretary</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jc w:val="center"/>
              <w:ind w:left="5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03/15/2025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3,196</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141.57</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26,229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03/15/2025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(3)</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26,240</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03/17/2025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(4)</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3,631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29,871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6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7" w:lineRule="exact"/>
        <w:rPr>
          <w:rFonts w:ascii="Times New Roman" w:cs="Times New Roman" w:eastAsia="Times New Roman" w:hAnsi="Times New Roman"/>
          <w:sz w:val="13"/>
          <w:szCs w:val="13"/>
          <w:color w:val="008000"/>
        </w:rPr>
      </w:pPr>
    </w:p>
    <w:p>
      <w:pPr>
        <w:ind w:left="40" w:right="2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2,516 unvested RSUs in respect of Class A Common Stock which are scheduled to vest on March 15, 2026, (ii) 13,682 unvested RSUs in respect of Class A Common Stock which are scheduled to vest on January 1, 2026, (iii) 3,981 unvested RSUs in respect of Class A Common Stock which are scheduled to vest in equal installments on March 15, 2026 and March 15, 2027, and (iv) 3,631 unvested RSUs in respect of Class A Common Stock that are scheduled to vest in equal installments on March 17, 2026, March 17, 2027 and March 17, 2028, in each case, subject to the reporting person's continued employment through the applicable vesting date.</w:t>
      </w:r>
    </w:p>
    <w:p>
      <w:pPr>
        <w:spacing w:after="0" w:line="24"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7" w:lineRule="exact"/>
        <w:rPr>
          <w:rFonts w:ascii="Times New Roman" w:cs="Times New Roman" w:eastAsia="Times New Roman" w:hAnsi="Times New Roman"/>
          <w:sz w:val="13"/>
          <w:szCs w:val="13"/>
          <w:color w:val="008000"/>
        </w:rPr>
      </w:pPr>
    </w:p>
    <w:p>
      <w:pPr>
        <w:ind w:left="40" w:right="6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is an award of RSUs in respect of Class A Common Stock. Subject to the reporting person's continued employment through the applicable vesting date, these RSUs are scheduled to vest in equal installments on each of the first, second and third anniversaries of March 17, 2025.</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Douglas Friedman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03/18/2025</w:t>
            </w:r>
          </w:p>
        </w:tc>
      </w:tr>
      <w:tr>
        <w:trPr>
          <w:trHeight w:val="20"/>
        </w:trPr>
        <w:tc>
          <w:tcPr>
            <w:tcW w:w="1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93"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2025-03-18T19:00:05Z</dcterms:created>
  <dcterms:modified xsi:type="dcterms:W3CDTF">2025-03-18T19:00:05Z</dcterms:modified>
</cp:coreProperties>
</file>