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752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75297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Peterson Justin</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02/24/2022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31"/>
        <w:spacing w:after="0"/>
        <w:rPr>
          <w:sz w:val="20"/>
          <w:szCs w:val="20"/>
          <w:color w:val="auto"/>
        </w:rPr>
      </w:pPr>
      <w:r>
        <w:rPr>
          <w:rFonts w:ascii="Arial" w:cs="Arial" w:eastAsia="Arial" w:hAnsi="Arial"/>
          <w:sz w:val="17"/>
          <w:szCs w:val="17"/>
          <w:color w:val="0000FF"/>
        </w:rPr>
        <w:t>Chief Technology Officer</w:t>
      </w:r>
    </w:p>
    <w:p>
      <w:pPr>
        <w:spacing w:after="0" w:line="384"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39"/>
              <w:spacing w:after="0" w:line="139"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40"/>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jc w:val="center"/>
              <w:ind w:left="18"/>
              <w:spacing w:after="0" w:line="125" w:lineRule="exact"/>
              <w:rPr>
                <w:sz w:val="20"/>
                <w:szCs w:val="20"/>
                <w:color w:val="auto"/>
              </w:rPr>
            </w:pPr>
            <w:r>
              <w:rPr>
                <w:rFonts w:ascii="Arial" w:cs="Arial" w:eastAsia="Arial" w:hAnsi="Arial"/>
                <w:sz w:val="12"/>
                <w:szCs w:val="12"/>
                <w:b w:val="1"/>
                <w:bCs w:val="1"/>
                <w:color w:val="auto"/>
                <w:w w:val="95"/>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02/24/2022</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0"/>
              </w:rPr>
              <w:t>14,832</w:t>
            </w:r>
            <w:r>
              <w:rPr>
                <w:rFonts w:ascii="Arial" w:cs="Arial" w:eastAsia="Arial" w:hAnsi="Arial"/>
                <w:sz w:val="21"/>
                <w:szCs w:val="21"/>
                <w:color w:val="008000"/>
                <w:w w:val="80"/>
                <w:vertAlign w:val="superscript"/>
              </w:rPr>
              <w:t>(1)</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61,246</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jc w:val="center"/>
              <w:ind w:left="43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vMerge w:val="restart"/>
          </w:tcPr>
          <w:p>
            <w:pPr>
              <w:jc w:val="center"/>
              <w:ind w:right="59"/>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40"/>
              <w:spacing w:after="0" w:line="205" w:lineRule="exact"/>
              <w:rPr>
                <w:sz w:val="20"/>
                <w:szCs w:val="20"/>
                <w:color w:val="auto"/>
              </w:rPr>
            </w:pPr>
            <w:r>
              <w:rPr>
                <w:rFonts w:ascii="Arial" w:cs="Arial" w:eastAsia="Arial" w:hAnsi="Arial"/>
                <w:sz w:val="13"/>
                <w:szCs w:val="13"/>
                <w:color w:val="0000FF"/>
                <w:w w:val="98"/>
              </w:rPr>
              <w:t>66,426</w:t>
            </w:r>
            <w:r>
              <w:rPr>
                <w:rFonts w:ascii="Arial" w:cs="Arial" w:eastAsia="Arial" w:hAnsi="Arial"/>
                <w:sz w:val="21"/>
                <w:szCs w:val="21"/>
                <w:color w:val="008000"/>
                <w:w w:val="98"/>
                <w:vertAlign w:val="superscript"/>
              </w:rPr>
              <w:t>(3)</w:t>
            </w:r>
          </w:p>
        </w:tc>
        <w:tc>
          <w:tcPr>
            <w:tcW w:w="280" w:type="dxa"/>
            <w:vAlign w:val="bottom"/>
          </w:tcPr>
          <w:p>
            <w:pPr>
              <w:spacing w:after="0"/>
              <w:rPr>
                <w:sz w:val="5"/>
                <w:szCs w:val="5"/>
                <w:color w:val="auto"/>
              </w:rPr>
            </w:pPr>
          </w:p>
        </w:tc>
        <w:tc>
          <w:tcPr>
            <w:tcW w:w="780" w:type="dxa"/>
            <w:vAlign w:val="bottom"/>
            <w:gridSpan w:val="2"/>
            <w:vMerge w:val="restart"/>
          </w:tcPr>
          <w:p>
            <w:pPr>
              <w:jc w:val="right"/>
              <w:ind w:right="301"/>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66,426</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80"/>
              <w:spacing w:after="0" w:line="205" w:lineRule="exact"/>
              <w:rPr>
                <w:sz w:val="20"/>
                <w:szCs w:val="20"/>
                <w:color w:val="auto"/>
              </w:rPr>
            </w:pPr>
            <w:r>
              <w:rPr>
                <w:rFonts w:ascii="Arial" w:cs="Arial" w:eastAsia="Arial" w:hAnsi="Arial"/>
                <w:sz w:val="13"/>
                <w:szCs w:val="13"/>
                <w:color w:val="0000FF"/>
              </w:rPr>
              <w:t>98,550</w:t>
            </w:r>
            <w:r>
              <w:rPr>
                <w:rFonts w:ascii="Arial" w:cs="Arial" w:eastAsia="Arial" w:hAnsi="Arial"/>
                <w:sz w:val="21"/>
                <w:szCs w:val="21"/>
                <w:color w:val="008000"/>
                <w:vertAlign w:val="superscript"/>
              </w:rPr>
              <w:t>(5)</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60" w:type="dxa"/>
            <w:vAlign w:val="bottom"/>
          </w:tcPr>
          <w:p>
            <w:pPr>
              <w:spacing w:after="0"/>
              <w:rPr>
                <w:sz w:val="6"/>
                <w:szCs w:val="6"/>
                <w:color w:val="auto"/>
              </w:rPr>
            </w:pPr>
          </w:p>
        </w:tc>
        <w:tc>
          <w:tcPr>
            <w:tcW w:w="104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rPr>
              <w:t>02/24/2022</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10/26/2028</w:t>
            </w: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vMerge w:val="restart"/>
          </w:tcPr>
          <w:p>
            <w:pPr>
              <w:jc w:val="center"/>
              <w:ind w:right="59"/>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-1920875</wp:posOffset>
            </wp:positionV>
            <wp:extent cx="29210" cy="1925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59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1"/>
        <w:spacing w:after="0" w:line="26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15, 2021, subject to the achievement of certain performance goals in respect of calendar year 2021. Those performance goals were deemed achieved at the maximum performance level on February 24, 2022. These RSUs remain unvested and are scheduled to vest on January 1, 2024, subject to the reporting person's continued employment through such date.</w:t>
      </w:r>
    </w:p>
    <w:p>
      <w:pPr>
        <w:spacing w:after="0" w:line="16" w:lineRule="exact"/>
        <w:rPr>
          <w:rFonts w:ascii="Arial" w:cs="Arial" w:eastAsia="Arial" w:hAnsi="Arial"/>
          <w:sz w:val="12"/>
          <w:szCs w:val="12"/>
          <w:color w:val="008000"/>
        </w:rPr>
      </w:pPr>
    </w:p>
    <w:p>
      <w:pPr>
        <w:ind w:left="40" w:right="200" w:firstLine="1"/>
        <w:spacing w:after="0" w:line="23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8,575 unvested RSUs in respect of Class A Common Stock which are scheduled to vest in equal installments on each of March 17, 2022, and March 17, 2023, (ii) 25,726 unvested RSUs in respect of Class A Common Stock which are scheduled to vest on January 1, 2023, (iii) 10,113 unvested RSUs in respect of Class A Common Stock which are scheduled to vest in equal installments on each of the first, second and third anniversaries of March 15, 2021, and (iv) 14,832 unvested RSUs in respect of Class A Common Stock which are scheduled to vest on January 1, 2024, in each case subject to the reporting person's continued employment through the applicable vesting date.</w:t>
      </w:r>
    </w:p>
    <w:p>
      <w:pPr>
        <w:spacing w:after="0" w:line="30" w:lineRule="exact"/>
        <w:rPr>
          <w:rFonts w:ascii="Arial" w:cs="Arial" w:eastAsia="Arial" w:hAnsi="Arial"/>
          <w:sz w:val="13"/>
          <w:szCs w:val="13"/>
          <w:color w:val="008000"/>
        </w:rPr>
      </w:pPr>
    </w:p>
    <w:p>
      <w:pPr>
        <w:ind w:left="40" w:right="4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2021 which were deemed achieved on February 24, 2022.</w:t>
      </w:r>
    </w:p>
    <w:p>
      <w:pPr>
        <w:spacing w:after="0" w:line="27"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42" w:lineRule="exact"/>
        <w:rPr>
          <w:rFonts w:ascii="Arial" w:cs="Arial" w:eastAsia="Arial" w:hAnsi="Arial"/>
          <w:sz w:val="13"/>
          <w:szCs w:val="13"/>
          <w:color w:val="008000"/>
        </w:rPr>
      </w:pPr>
    </w:p>
    <w:p>
      <w:pPr>
        <w:ind w:left="40" w:right="3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32,124 options that were granted on October 26, 2018 and previously reported by the reporting person, all of which are currently vested and exercisable.</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4"/>
              </w:rPr>
              <w:t>02/25/2022</w:t>
            </w:r>
          </w:p>
        </w:tc>
        <w:tc>
          <w:tcPr>
            <w:tcW w:w="0" w:type="dxa"/>
            <w:vAlign w:val="bottom"/>
          </w:tcPr>
          <w:p>
            <w:pPr>
              <w:spacing w:after="0"/>
              <w:rPr>
                <w:sz w:val="1"/>
                <w:szCs w:val="1"/>
                <w:color w:val="auto"/>
              </w:rPr>
            </w:pPr>
          </w:p>
        </w:tc>
      </w:tr>
      <w:tr>
        <w:trPr>
          <w:trHeight w:val="82"/>
        </w:trPr>
        <w:tc>
          <w:tcPr>
            <w:tcW w:w="1560" w:type="dxa"/>
            <w:vAlign w:val="bottom"/>
            <w:vMerge w:val="restart"/>
          </w:tcPr>
          <w:p>
            <w:pPr>
              <w:spacing w:after="0" w:line="185" w:lineRule="exact"/>
              <w:rPr>
                <w:sz w:val="20"/>
                <w:szCs w:val="20"/>
                <w:color w:val="auto"/>
              </w:rPr>
            </w:pPr>
            <w:r>
              <w:rPr>
                <w:rFonts w:ascii="Arial" w:cs="Arial" w:eastAsia="Arial" w:hAnsi="Arial"/>
                <w:sz w:val="17"/>
                <w:szCs w:val="17"/>
                <w:color w:val="0000FF"/>
                <w:w w:val="85"/>
              </w:rPr>
              <w:t>Fact for Justin Peterson</w:t>
            </w:r>
          </w:p>
        </w:tc>
        <w:tc>
          <w:tcPr>
            <w:tcW w:w="5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2022-02-25T17:37:15Z</dcterms:created>
  <dcterms:modified xsi:type="dcterms:W3CDTF">2022-02-25T17:37:15Z</dcterms:modified>
</cp:coreProperties>
</file>