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927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927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25,463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426,321</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25,463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85.6693</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84,682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485,540</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84,682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86.0411</w:t>
            </w:r>
            <w:r>
              <w:rPr>
                <w:rFonts w:ascii="Arial" w:cs="Arial" w:eastAsia="Arial" w:hAnsi="Arial"/>
                <w:sz w:val="21"/>
                <w:szCs w:val="21"/>
                <w:color w:val="008000"/>
                <w:w w:val="84"/>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6,300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407,158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6,300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85.6486</w:t>
            </w:r>
            <w:r>
              <w:rPr>
                <w:rFonts w:ascii="Arial" w:cs="Arial" w:eastAsia="Arial" w:hAnsi="Arial"/>
                <w:sz w:val="21"/>
                <w:szCs w:val="21"/>
                <w:color w:val="008000"/>
                <w:w w:val="88"/>
                <w:vertAlign w:val="superscript"/>
              </w:rPr>
              <w:t>(5)</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jc w:val="center"/>
              <w:ind w:right="1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88"/>
              </w:rPr>
              <w:t>25,463</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06/21/2021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center"/>
              <w:ind w:left="260"/>
              <w:spacing w:after="0" w:line="143" w:lineRule="exact"/>
              <w:rPr>
                <w:sz w:val="20"/>
                <w:szCs w:val="20"/>
                <w:color w:val="auto"/>
              </w:rPr>
            </w:pPr>
            <w:r>
              <w:rPr>
                <w:rFonts w:ascii="Arial" w:cs="Arial" w:eastAsia="Arial" w:hAnsi="Arial"/>
                <w:sz w:val="13"/>
                <w:szCs w:val="13"/>
                <w:color w:val="0000FF"/>
                <w:w w:val="90"/>
              </w:rPr>
              <w:t>25,463</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387,325</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88"/>
              </w:rPr>
              <w:t>84,682</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06/22/2021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center"/>
              <w:ind w:left="260"/>
              <w:spacing w:after="0" w:line="143" w:lineRule="exact"/>
              <w:rPr>
                <w:sz w:val="20"/>
                <w:szCs w:val="20"/>
                <w:color w:val="auto"/>
              </w:rPr>
            </w:pPr>
            <w:r>
              <w:rPr>
                <w:rFonts w:ascii="Arial" w:cs="Arial" w:eastAsia="Arial" w:hAnsi="Arial"/>
                <w:sz w:val="13"/>
                <w:szCs w:val="13"/>
                <w:color w:val="0000FF"/>
                <w:w w:val="90"/>
              </w:rPr>
              <w:t>84,682</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302,643</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89"/>
              </w:rPr>
              <w:t>6,300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06/23/2021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center"/>
              <w:ind w:left="280"/>
              <w:spacing w:after="0" w:line="143" w:lineRule="exact"/>
              <w:rPr>
                <w:sz w:val="20"/>
                <w:szCs w:val="20"/>
                <w:color w:val="auto"/>
              </w:rPr>
            </w:pPr>
            <w:r>
              <w:rPr>
                <w:rFonts w:ascii="Arial" w:cs="Arial" w:eastAsia="Arial" w:hAnsi="Arial"/>
                <w:sz w:val="13"/>
                <w:szCs w:val="13"/>
                <w:color w:val="0000FF"/>
                <w:w w:val="85"/>
              </w:rPr>
              <w:t>6,300</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296,343</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3, 2021.</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249,102 unvested restricted stock units ("RSUs") in respect of issuer's Class A common stock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$85.82,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$86.31,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$86.13,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06/23/2021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2021-06-23T20:34:58Z</dcterms:created>
  <dcterms:modified xsi:type="dcterms:W3CDTF">2021-06-23T20:34:58Z</dcterms:modified>
</cp:coreProperties>
</file>