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5278755</wp:posOffset>
            </wp:positionH>
            <wp:positionV relativeFrom="paragraph">
              <wp:posOffset>-628015</wp:posOffset>
            </wp:positionV>
            <wp:extent cx="58420" cy="641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135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-628015</wp:posOffset>
            </wp:positionV>
            <wp:extent cx="58420" cy="641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35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23495</wp:posOffset>
            </wp:positionV>
            <wp:extent cx="6993255" cy="56705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67055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60" w:space="280"/>
            <w:col w:w="854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Bruni Enrico</w:t>
        </w:r>
      </w:hyperlink>
    </w:p>
    <w:p>
      <w:pPr>
        <w:spacing w:after="0" w:line="29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240" w:type="dxa"/>
            <w:vAlign w:val="bottom"/>
          </w:tcPr>
          <w:p>
            <w:pPr>
              <w:ind w:left="16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r>
      <w:tr>
        <w:trPr>
          <w:trHeight w:val="269"/>
        </w:trPr>
        <w:tc>
          <w:tcPr>
            <w:tcW w:w="20" w:type="dxa"/>
            <w:vAlign w:val="bottom"/>
          </w:tcPr>
          <w:p>
            <w:pPr>
              <w:spacing w:after="0"/>
              <w:rPr>
                <w:sz w:val="23"/>
                <w:szCs w:val="23"/>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TRADEWEB MARKETS INC.</w:t>
            </w:r>
          </w:p>
        </w:tc>
        <w:tc>
          <w:tcPr>
            <w:tcW w:w="1340" w:type="dxa"/>
            <w:vAlign w:val="bottom"/>
          </w:tcPr>
          <w:p>
            <w:pPr>
              <w:spacing w:after="0"/>
              <w:rPr>
                <w:sz w:val="23"/>
                <w:szCs w:val="23"/>
                <w:color w:val="auto"/>
              </w:rPr>
            </w:pPr>
          </w:p>
        </w:tc>
      </w:tr>
      <w:tr>
        <w:trPr>
          <w:trHeight w:val="259"/>
        </w:trPr>
        <w:tc>
          <w:tcPr>
            <w:tcW w:w="20" w:type="dxa"/>
            <w:vAlign w:val="bottom"/>
          </w:tcPr>
          <w:p>
            <w:pPr>
              <w:spacing w:after="0"/>
              <w:rPr>
                <w:sz w:val="22"/>
                <w:szCs w:val="22"/>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1177 AVENUE OF THE AMERICAS</w:t>
            </w:r>
          </w:p>
        </w:tc>
      </w:tr>
      <w:tr>
        <w:trPr>
          <w:trHeight w:val="150"/>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r>
      <w:tr>
        <w:trPr>
          <w:trHeight w:val="260"/>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30"/>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24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10036</w:t>
            </w:r>
          </w:p>
        </w:tc>
      </w:tr>
      <w:tr>
        <w:trPr>
          <w:trHeight w:val="150"/>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16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2"/>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Tradeweb Markets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TW</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8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4"/>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80" w:type="dxa"/>
            <w:vAlign w:val="bottom"/>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1380" w:type="dxa"/>
            <w:vAlign w:val="bottom"/>
          </w:tcPr>
          <w:p>
            <w:pPr>
              <w:ind w:left="140"/>
              <w:spacing w:after="0" w:line="122"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1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02/20/2024</w:t>
            </w:r>
          </w:p>
        </w:tc>
        <w:tc>
          <w:tcPr>
            <w:tcW w:w="1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Managing Director, Europe/Asia</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1"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3" w:lineRule="exact"/>
        <w:rPr>
          <w:sz w:val="24"/>
          <w:szCs w:val="24"/>
          <w:color w:val="auto"/>
        </w:rPr>
      </w:pPr>
    </w:p>
    <w:p>
      <w:pPr>
        <w:ind w:left="340" w:right="620"/>
        <w:spacing w:after="0" w:line="24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80" w:type="dxa"/>
            <w:vAlign w:val="bottom"/>
          </w:tcPr>
          <w:p>
            <w:pPr>
              <w:spacing w:after="0"/>
              <w:rPr>
                <w:sz w:val="13"/>
                <w:szCs w:val="13"/>
                <w:color w:val="auto"/>
              </w:rPr>
            </w:pPr>
          </w:p>
        </w:tc>
        <w:tc>
          <w:tcPr>
            <w:tcW w:w="22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 Disposed</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480"/>
              <w:spacing w:after="0" w:line="129"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0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w:t>
            </w:r>
          </w:p>
        </w:tc>
        <w:tc>
          <w:tcPr>
            <w:tcW w:w="13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Of (D) (Instr. 3, 4 and 5)</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40" w:type="dxa"/>
            <w:vAlign w:val="bottom"/>
            <w:gridSpan w:val="2"/>
          </w:tcPr>
          <w:p>
            <w:pPr>
              <w:ind w:left="48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8)</w:t>
            </w: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w:t>
            </w:r>
          </w:p>
        </w:tc>
        <w:tc>
          <w:tcPr>
            <w:tcW w:w="28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02/20/2024</w:t>
            </w:r>
          </w:p>
        </w:tc>
        <w:tc>
          <w:tcPr>
            <w:tcW w:w="4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M</w:t>
            </w:r>
          </w:p>
        </w:tc>
        <w:tc>
          <w:tcPr>
            <w:tcW w:w="2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50,000</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20.59</w:t>
            </w:r>
          </w:p>
        </w:tc>
        <w:tc>
          <w:tcPr>
            <w:tcW w:w="2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4"/>
              </w:rPr>
              <w:t>135,021</w:t>
            </w:r>
            <w:r>
              <w:rPr>
                <w:rFonts w:ascii="Times New Roman" w:cs="Times New Roman" w:eastAsia="Times New Roman" w:hAnsi="Times New Roman"/>
                <w:sz w:val="21"/>
                <w:szCs w:val="21"/>
                <w:color w:val="008000"/>
                <w:w w:val="94"/>
                <w:vertAlign w:val="superscript"/>
              </w:rPr>
              <w:t>(1)</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02/20/2024</w:t>
            </w:r>
          </w:p>
        </w:tc>
        <w:tc>
          <w:tcPr>
            <w:tcW w:w="4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F</w:t>
            </w:r>
          </w:p>
        </w:tc>
        <w:tc>
          <w:tcPr>
            <w:tcW w:w="2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1"/>
              </w:rPr>
              <w:t>28,855</w:t>
            </w:r>
            <w:r>
              <w:rPr>
                <w:rFonts w:ascii="Times New Roman" w:cs="Times New Roman" w:eastAsia="Times New Roman" w:hAnsi="Times New Roman"/>
                <w:sz w:val="21"/>
                <w:szCs w:val="21"/>
                <w:color w:val="008000"/>
                <w:w w:val="91"/>
                <w:vertAlign w:val="superscript"/>
              </w:rPr>
              <w:t>(2)</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101.9</w:t>
            </w:r>
          </w:p>
        </w:tc>
        <w:tc>
          <w:tcPr>
            <w:tcW w:w="2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4"/>
              </w:rPr>
              <w:t>106,166</w:t>
            </w:r>
            <w:r>
              <w:rPr>
                <w:rFonts w:ascii="Times New Roman" w:cs="Times New Roman" w:eastAsia="Times New Roman" w:hAnsi="Times New Roman"/>
                <w:sz w:val="21"/>
                <w:szCs w:val="21"/>
                <w:color w:val="008000"/>
                <w:w w:val="94"/>
                <w:vertAlign w:val="superscript"/>
              </w:rPr>
              <w:t>(1)</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02/20/2024</w:t>
            </w:r>
          </w:p>
        </w:tc>
        <w:tc>
          <w:tcPr>
            <w:tcW w:w="4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2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21,145</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102.2124</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5"/>
              </w:rPr>
              <w:t>85,021</w:t>
            </w:r>
            <w:r>
              <w:rPr>
                <w:rFonts w:ascii="Times New Roman" w:cs="Times New Roman" w:eastAsia="Times New Roman" w:hAnsi="Times New Roman"/>
                <w:sz w:val="21"/>
                <w:szCs w:val="21"/>
                <w:color w:val="008000"/>
                <w:w w:val="95"/>
                <w:vertAlign w:val="superscript"/>
              </w:rPr>
              <w:t>(1)</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1040" w:type="dxa"/>
            <w:vAlign w:val="bottom"/>
            <w:tcBorders>
              <w:top w:val="single" w:sz="8" w:color="2C2C2C"/>
            </w:tcBorders>
          </w:tcPr>
          <w:p>
            <w:pPr>
              <w:spacing w:after="0"/>
              <w:rPr>
                <w:sz w:val="19"/>
                <w:szCs w:val="19"/>
                <w:color w:val="auto"/>
              </w:rPr>
            </w:pPr>
          </w:p>
        </w:tc>
        <w:tc>
          <w:tcPr>
            <w:tcW w:w="614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1"/>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160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3"/>
          </w:tcPr>
          <w:p>
            <w:pPr>
              <w:ind w:left="20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200"/>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20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w w:val="97"/>
              </w:rPr>
              <w:t>Derivative</w:t>
            </w: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Security (Instr. 3</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and 4)</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of (D) (Instr.</w:t>
            </w: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3, 4 and 5)</w:t>
            </w: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ind w:left="200"/>
              <w:spacing w:after="0" w:line="130" w:lineRule="exact"/>
              <w:rPr>
                <w:sz w:val="20"/>
                <w:szCs w:val="20"/>
                <w:color w:val="auto"/>
              </w:rPr>
            </w:pPr>
            <w:r>
              <w:rPr>
                <w:rFonts w:ascii="Arial" w:cs="Arial" w:eastAsia="Arial" w:hAnsi="Arial"/>
                <w:sz w:val="12"/>
                <w:szCs w:val="12"/>
                <w:b w:val="1"/>
                <w:bCs w:val="1"/>
                <w:color w:val="auto"/>
                <w:w w:val="92"/>
              </w:rPr>
              <w:t>Date</w:t>
            </w:r>
          </w:p>
        </w:tc>
        <w:tc>
          <w:tcPr>
            <w:tcW w:w="280" w:type="dxa"/>
            <w:vAlign w:val="bottom"/>
          </w:tcPr>
          <w:p>
            <w:pPr>
              <w:spacing w:after="0"/>
              <w:rPr>
                <w:sz w:val="11"/>
                <w:szCs w:val="11"/>
                <w:color w:val="auto"/>
              </w:rPr>
            </w:pPr>
          </w:p>
        </w:tc>
        <w:tc>
          <w:tcPr>
            <w:tcW w:w="86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80"/>
              <w:spacing w:after="0"/>
              <w:rPr>
                <w:sz w:val="20"/>
                <w:szCs w:val="20"/>
                <w:color w:val="auto"/>
              </w:rPr>
            </w:pPr>
            <w:r>
              <w:rPr>
                <w:rFonts w:ascii="Arial" w:cs="Arial" w:eastAsia="Arial" w:hAnsi="Arial"/>
                <w:sz w:val="12"/>
                <w:szCs w:val="12"/>
                <w:b w:val="1"/>
                <w:bCs w:val="1"/>
                <w:color w:val="auto"/>
                <w:w w:val="99"/>
              </w:rPr>
              <w:t>Code</w:t>
            </w:r>
          </w:p>
        </w:tc>
        <w:tc>
          <w:tcPr>
            <w:tcW w:w="40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0" w:type="dxa"/>
            <w:vAlign w:val="bottom"/>
            <w:gridSpan w:val="3"/>
          </w:tcPr>
          <w:p>
            <w:pPr>
              <w:ind w:left="20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3"/>
                <w:szCs w:val="13"/>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80" w:type="dxa"/>
            <w:vAlign w:val="bottom"/>
            <w:vMerge w:val="restart"/>
          </w:tcPr>
          <w:p>
            <w:pPr>
              <w:spacing w:after="0"/>
              <w:rPr>
                <w:sz w:val="20"/>
                <w:szCs w:val="20"/>
                <w:color w:val="auto"/>
              </w:rPr>
            </w:pPr>
            <w:r>
              <w:rPr>
                <w:rFonts w:ascii="Times New Roman" w:cs="Times New Roman" w:eastAsia="Times New Roman" w:hAnsi="Times New Roman"/>
                <w:sz w:val="11"/>
                <w:szCs w:val="11"/>
                <w:color w:val="008000"/>
              </w:rPr>
              <w:t>(4)</w:t>
            </w:r>
          </w:p>
        </w:tc>
        <w:tc>
          <w:tcPr>
            <w:tcW w:w="8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50,000</w:t>
            </w: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20.59</w:t>
            </w:r>
          </w:p>
        </w:tc>
        <w:tc>
          <w:tcPr>
            <w:tcW w:w="1040" w:type="dxa"/>
            <w:vAlign w:val="bottom"/>
            <w:vMerge w:val="restart"/>
          </w:tcPr>
          <w:p>
            <w:pPr>
              <w:jc w:val="right"/>
              <w:ind w:right="140"/>
              <w:spacing w:after="0" w:line="143" w:lineRule="exact"/>
              <w:rPr>
                <w:sz w:val="20"/>
                <w:szCs w:val="20"/>
                <w:color w:val="auto"/>
              </w:rPr>
            </w:pPr>
            <w:r>
              <w:rPr>
                <w:rFonts w:ascii="Times New Roman" w:cs="Times New Roman" w:eastAsia="Times New Roman" w:hAnsi="Times New Roman"/>
                <w:sz w:val="13"/>
                <w:szCs w:val="13"/>
                <w:color w:val="0000FF"/>
              </w:rPr>
              <w:t>02/20/2024</w:t>
            </w:r>
          </w:p>
        </w:tc>
        <w:tc>
          <w:tcPr>
            <w:tcW w:w="1140" w:type="dxa"/>
            <w:vAlign w:val="bottom"/>
          </w:tcPr>
          <w:p>
            <w:pPr>
              <w:spacing w:after="0"/>
              <w:rPr>
                <w:sz w:val="6"/>
                <w:szCs w:val="6"/>
                <w:color w:val="auto"/>
              </w:rPr>
            </w:pPr>
          </w:p>
        </w:tc>
        <w:tc>
          <w:tcPr>
            <w:tcW w:w="40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6"/>
                <w:szCs w:val="6"/>
                <w:color w:val="auto"/>
              </w:rPr>
            </w:pPr>
          </w:p>
        </w:tc>
        <w:tc>
          <w:tcPr>
            <w:tcW w:w="1140" w:type="dxa"/>
            <w:vAlign w:val="bottom"/>
            <w:gridSpan w:val="3"/>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50,000</w:t>
            </w:r>
          </w:p>
        </w:tc>
        <w:tc>
          <w:tcPr>
            <w:tcW w:w="280" w:type="dxa"/>
            <w:vAlign w:val="bottom"/>
            <w:vMerge w:val="continue"/>
          </w:tcPr>
          <w:p>
            <w:pPr>
              <w:spacing w:after="0"/>
              <w:rPr>
                <w:sz w:val="6"/>
                <w:szCs w:val="6"/>
                <w:color w:val="auto"/>
              </w:rPr>
            </w:pPr>
          </w:p>
        </w:tc>
        <w:tc>
          <w:tcPr>
            <w:tcW w:w="86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10/26/2028</w:t>
            </w:r>
          </w:p>
        </w:tc>
        <w:tc>
          <w:tcPr>
            <w:tcW w:w="680" w:type="dxa"/>
            <w:vAlign w:val="bottom"/>
            <w:gridSpan w:val="2"/>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80" w:type="dxa"/>
            <w:vAlign w:val="bottom"/>
            <w:vMerge w:val="restart"/>
          </w:tcPr>
          <w:p>
            <w:pPr>
              <w:ind w:left="260"/>
              <w:spacing w:after="0" w:line="143" w:lineRule="exact"/>
              <w:rPr>
                <w:sz w:val="20"/>
                <w:szCs w:val="20"/>
                <w:color w:val="auto"/>
              </w:rPr>
            </w:pPr>
            <w:r>
              <w:rPr>
                <w:rFonts w:ascii="Times New Roman" w:cs="Times New Roman" w:eastAsia="Times New Roman" w:hAnsi="Times New Roman"/>
                <w:sz w:val="13"/>
                <w:szCs w:val="13"/>
                <w:color w:val="0000FF"/>
                <w:w w:val="94"/>
              </w:rPr>
              <w:t>117,174</w:t>
            </w:r>
          </w:p>
        </w:tc>
        <w:tc>
          <w:tcPr>
            <w:tcW w:w="24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1140" w:type="dxa"/>
            <w:vAlign w:val="bottom"/>
            <w:gridSpan w:val="3"/>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tcPr>
          <w:p>
            <w:pPr>
              <w:spacing w:after="0"/>
              <w:rPr>
                <w:sz w:val="6"/>
                <w:szCs w:val="6"/>
                <w:color w:val="auto"/>
              </w:rPr>
            </w:pPr>
          </w:p>
        </w:tc>
        <w:tc>
          <w:tcPr>
            <w:tcW w:w="4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w w:val="94"/>
              </w:rPr>
              <w:t>stock</w:t>
            </w: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-2107565</wp:posOffset>
            </wp:positionV>
            <wp:extent cx="29210" cy="21126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264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20" w:firstLine="2"/>
        <w:spacing w:after="0" w:line="23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3,146 unvested restricted stock units ("RSUs ") in respect of the issuer's Class A Common Stock ("Class A Common Stock") which are scheduled to vest on March 15, 2024, (ii) 7,364 unvested RSUs in respect of Class A Common Stock which are scheduled to vest in equal installments on March 15, 2024 and March 15, 2025, (iii) 14,271 unvested RSUs in respect of Class A Common Stock that are scheduled to vest on January 1, 2025 and (iv) 17,819 unvested RSUs in respect of Class A Common Stock which are scheduled to vest in equal installments on March 15, 2024, March 15, 2025 and March 15, 2026, in each case subject to the reporting person's continued employment through the applicable vesting date.</w:t>
      </w:r>
    </w:p>
    <w:p>
      <w:pPr>
        <w:spacing w:after="0" w:line="28" w:lineRule="exact"/>
        <w:rPr>
          <w:rFonts w:ascii="Times New Roman" w:cs="Times New Roman" w:eastAsia="Times New Roman" w:hAnsi="Times New Roman"/>
          <w:sz w:val="13"/>
          <w:szCs w:val="13"/>
          <w:color w:val="008000"/>
        </w:rPr>
      </w:pPr>
    </w:p>
    <w:p>
      <w:pPr>
        <w:ind w:left="40" w:right="240" w:firstLine="2"/>
        <w:spacing w:after="0" w:line="257"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in an amount equal to the cost of the options plus tax withholding obligation associated with the exercise of options in respect of the Class A Common Stock held by the reporting person.</w:t>
      </w:r>
    </w:p>
    <w:p>
      <w:pPr>
        <w:spacing w:after="0" w:line="16" w:lineRule="exact"/>
        <w:rPr>
          <w:rFonts w:ascii="Times New Roman" w:cs="Times New Roman" w:eastAsia="Times New Roman" w:hAnsi="Times New Roman"/>
          <w:sz w:val="13"/>
          <w:szCs w:val="13"/>
          <w:color w:val="008000"/>
        </w:rPr>
      </w:pPr>
    </w:p>
    <w:p>
      <w:pPr>
        <w:ind w:left="40" w:right="280" w:firstLine="2"/>
        <w:spacing w:after="0" w:line="242"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$101.90 to $102.66, inclusive. The reporting person undertakes to provide the issuer, any security holder of the issuer, or the staff of the Securities and Exchange Commission, upon request, full information regarding the number of shares sold at each separate price within the ranges set forth in this footnote.</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is fully vested and exercisable as of the date hereof.</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Douglas Friedman,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-8890</wp:posOffset>
            </wp:positionV>
            <wp:extent cx="9461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46150" cy="8255"/>
                    </a:xfrm>
                    <a:prstGeom prst="rect">
                      <a:avLst/>
                    </a:prstGeom>
                    <a:noFill/>
                  </pic:spPr>
                </pic:pic>
              </a:graphicData>
            </a:graphic>
          </wp:anchor>
        </w:drawing>
      </w:r>
    </w:p>
    <w:p>
      <w:pPr>
        <w:spacing w:after="0" w:line="2"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Enrico</w:t>
      </w:r>
      <w:r>
        <w:rPr>
          <w:sz w:val="20"/>
          <w:szCs w:val="20"/>
          <w:color w:val="auto"/>
        </w:rPr>
        <w:tab/>
      </w:r>
      <w:r>
        <w:rPr>
          <w:rFonts w:ascii="Times New Roman" w:cs="Times New Roman" w:eastAsia="Times New Roman" w:hAnsi="Times New Roman"/>
          <w:sz w:val="17"/>
          <w:szCs w:val="17"/>
          <w:color w:val="0000FF"/>
        </w:rPr>
        <w:t>02/22/2024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-15875</wp:posOffset>
            </wp:positionV>
            <wp:extent cx="18834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341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Bruni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-15875</wp:posOffset>
            </wp:positionV>
            <wp:extent cx="2432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43205" cy="8255"/>
                    </a:xfrm>
                    <a:prstGeom prst="rect">
                      <a:avLst/>
                    </a:prstGeom>
                    <a:noFill/>
                  </pic:spPr>
                </pic:pic>
              </a:graphicData>
            </a:graphic>
          </wp:anchor>
        </w:drawing>
      </w:r>
    </w:p>
    <w:p>
      <w:pPr>
        <w:spacing w:after="0" w:line="3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71187"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2024-02-22T15:15:50Z</dcterms:created>
  <dcterms:modified xsi:type="dcterms:W3CDTF">2024-02-22T15:15:50Z</dcterms:modified>
</cp:coreProperties>
</file>