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354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78" w:lineRule="exact"/>
        <w:rPr>
          <w:sz w:val="24"/>
          <w:szCs w:val="24"/>
          <w:color w:val="auto"/>
        </w:rPr>
      </w:pPr>
    </w:p>
    <w:p>
      <w:pPr>
        <w:ind w:left="354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CURRENT REPORT</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29, 2021</w:t>
      </w:r>
    </w:p>
    <w:p>
      <w:pPr>
        <w:spacing w:after="0" w:line="26" w:lineRule="exact"/>
        <w:rPr>
          <w:sz w:val="24"/>
          <w:szCs w:val="24"/>
          <w:color w:val="auto"/>
        </w:rPr>
      </w:pPr>
    </w:p>
    <w:p>
      <w:pPr>
        <w:ind w:left="35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Tradeweb Markets Inc.</w:t>
      </w:r>
    </w:p>
    <w:p>
      <w:pPr>
        <w:spacing w:after="0" w:line="6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charter)</w:t>
      </w:r>
    </w:p>
    <w:p>
      <w:pPr>
        <w:spacing w:after="0" w:line="22" w:lineRule="exact"/>
        <w:rPr>
          <w:sz w:val="24"/>
          <w:szCs w:val="24"/>
          <w:color w:val="auto"/>
        </w:rPr>
      </w:pPr>
    </w:p>
    <w:p>
      <w:pPr>
        <w:ind w:left="35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w:t>
      </w:r>
    </w:p>
    <w:p>
      <w:pPr>
        <w:spacing w:after="0" w:line="329" w:lineRule="exact"/>
        <w:rPr>
          <w:sz w:val="24"/>
          <w:szCs w:val="24"/>
          <w:color w:val="auto"/>
        </w:rPr>
      </w:pPr>
    </w:p>
    <w:tbl>
      <w:tblPr>
        <w:tblLayout w:type="fixed"/>
        <w:tblInd w:w="900" w:type="dxa"/>
        <w:tblCellMar>
          <w:top w:w="0" w:type="dxa"/>
          <w:left w:w="0" w:type="dxa"/>
          <w:bottom w:w="0" w:type="dxa"/>
          <w:right w:w="0" w:type="dxa"/>
        </w:tblCellMar>
      </w:tblPr>
      <w:tr>
        <w:trPr>
          <w:trHeight w:val="247"/>
        </w:trPr>
        <w:tc>
          <w:tcPr>
            <w:tcW w:w="4080" w:type="dxa"/>
            <w:vAlign w:val="bottom"/>
          </w:tcPr>
          <w:p>
            <w:pPr>
              <w:jc w:val="center"/>
              <w:ind w:right="2050"/>
              <w:spacing w:after="0"/>
              <w:rPr>
                <w:sz w:val="20"/>
                <w:szCs w:val="20"/>
                <w:color w:val="auto"/>
              </w:rPr>
            </w:pPr>
            <w:r>
              <w:rPr>
                <w:rFonts w:ascii="Arial" w:cs="Arial" w:eastAsia="Arial" w:hAnsi="Arial"/>
                <w:sz w:val="18"/>
                <w:szCs w:val="18"/>
                <w:b w:val="1"/>
                <w:bCs w:val="1"/>
                <w:color w:val="auto"/>
                <w:w w:val="93"/>
              </w:rPr>
              <w:t>Delaware</w:t>
            </w:r>
          </w:p>
        </w:tc>
        <w:tc>
          <w:tcPr>
            <w:tcW w:w="2420" w:type="dxa"/>
            <w:vAlign w:val="bottom"/>
          </w:tcPr>
          <w:p>
            <w:pPr>
              <w:jc w:val="center"/>
              <w:ind w:right="1070"/>
              <w:spacing w:after="0"/>
              <w:rPr>
                <w:sz w:val="20"/>
                <w:szCs w:val="20"/>
                <w:color w:val="auto"/>
              </w:rPr>
            </w:pPr>
            <w:r>
              <w:rPr>
                <w:rFonts w:ascii="Arial" w:cs="Arial" w:eastAsia="Arial" w:hAnsi="Arial"/>
                <w:sz w:val="18"/>
                <w:szCs w:val="18"/>
                <w:b w:val="1"/>
                <w:bCs w:val="1"/>
                <w:color w:val="auto"/>
                <w:w w:val="90"/>
              </w:rPr>
              <w:t>001-38860</w:t>
            </w:r>
          </w:p>
        </w:tc>
        <w:tc>
          <w:tcPr>
            <w:tcW w:w="2640" w:type="dxa"/>
            <w:vAlign w:val="bottom"/>
          </w:tcPr>
          <w:p>
            <w:pPr>
              <w:jc w:val="right"/>
              <w:ind w:right="150"/>
              <w:spacing w:after="0"/>
              <w:rPr>
                <w:sz w:val="20"/>
                <w:szCs w:val="20"/>
                <w:color w:val="auto"/>
              </w:rPr>
            </w:pPr>
            <w:r>
              <w:rPr>
                <w:rFonts w:ascii="Arial" w:cs="Arial" w:eastAsia="Arial" w:hAnsi="Arial"/>
                <w:sz w:val="18"/>
                <w:szCs w:val="18"/>
                <w:b w:val="1"/>
                <w:bCs w:val="1"/>
                <w:color w:val="auto"/>
              </w:rPr>
              <w:t>83-2456358</w:t>
            </w:r>
          </w:p>
        </w:tc>
      </w:tr>
      <w:tr>
        <w:trPr>
          <w:trHeight w:val="203"/>
        </w:trPr>
        <w:tc>
          <w:tcPr>
            <w:tcW w:w="4080" w:type="dxa"/>
            <w:vAlign w:val="bottom"/>
          </w:tcPr>
          <w:p>
            <w:pPr>
              <w:jc w:val="center"/>
              <w:ind w:right="2050"/>
              <w:spacing w:after="0" w:line="203" w:lineRule="exact"/>
              <w:rPr>
                <w:sz w:val="20"/>
                <w:szCs w:val="20"/>
                <w:color w:val="auto"/>
              </w:rPr>
            </w:pPr>
            <w:r>
              <w:rPr>
                <w:rFonts w:ascii="Arial" w:cs="Arial" w:eastAsia="Arial" w:hAnsi="Arial"/>
                <w:sz w:val="18"/>
                <w:szCs w:val="18"/>
                <w:color w:val="auto"/>
                <w:w w:val="90"/>
              </w:rPr>
              <w:t>(State or Other Jurisdiction</w:t>
            </w:r>
          </w:p>
        </w:tc>
        <w:tc>
          <w:tcPr>
            <w:tcW w:w="2420" w:type="dxa"/>
            <w:vAlign w:val="bottom"/>
          </w:tcPr>
          <w:p>
            <w:pPr>
              <w:jc w:val="center"/>
              <w:ind w:right="1070"/>
              <w:spacing w:after="0" w:line="203" w:lineRule="exact"/>
              <w:rPr>
                <w:sz w:val="20"/>
                <w:szCs w:val="20"/>
                <w:color w:val="auto"/>
              </w:rPr>
            </w:pPr>
            <w:r>
              <w:rPr>
                <w:rFonts w:ascii="Arial" w:cs="Arial" w:eastAsia="Arial" w:hAnsi="Arial"/>
                <w:sz w:val="18"/>
                <w:szCs w:val="18"/>
                <w:color w:val="auto"/>
                <w:w w:val="93"/>
              </w:rPr>
              <w:t>(Commission</w:t>
            </w:r>
          </w:p>
        </w:tc>
        <w:tc>
          <w:tcPr>
            <w:tcW w:w="2640" w:type="dxa"/>
            <w:vAlign w:val="bottom"/>
          </w:tcPr>
          <w:p>
            <w:pPr>
              <w:jc w:val="center"/>
              <w:ind w:left="1190"/>
              <w:spacing w:after="0" w:line="203" w:lineRule="exact"/>
              <w:rPr>
                <w:sz w:val="20"/>
                <w:szCs w:val="20"/>
                <w:color w:val="auto"/>
              </w:rPr>
            </w:pPr>
            <w:r>
              <w:rPr>
                <w:rFonts w:ascii="Arial" w:cs="Arial" w:eastAsia="Arial" w:hAnsi="Arial"/>
                <w:sz w:val="18"/>
                <w:szCs w:val="18"/>
                <w:color w:val="auto"/>
                <w:w w:val="93"/>
              </w:rPr>
              <w:t>(I.R.S. Employer</w:t>
            </w:r>
          </w:p>
        </w:tc>
      </w:tr>
      <w:tr>
        <w:trPr>
          <w:trHeight w:val="243"/>
        </w:trPr>
        <w:tc>
          <w:tcPr>
            <w:tcW w:w="4080" w:type="dxa"/>
            <w:vAlign w:val="bottom"/>
          </w:tcPr>
          <w:p>
            <w:pPr>
              <w:jc w:val="center"/>
              <w:ind w:right="2050"/>
              <w:spacing w:after="0"/>
              <w:rPr>
                <w:sz w:val="20"/>
                <w:szCs w:val="20"/>
                <w:color w:val="auto"/>
              </w:rPr>
            </w:pPr>
            <w:r>
              <w:rPr>
                <w:rFonts w:ascii="Arial" w:cs="Arial" w:eastAsia="Arial" w:hAnsi="Arial"/>
                <w:sz w:val="18"/>
                <w:szCs w:val="18"/>
                <w:color w:val="auto"/>
                <w:w w:val="93"/>
              </w:rPr>
              <w:t>of Incorporation)</w:t>
            </w:r>
          </w:p>
        </w:tc>
        <w:tc>
          <w:tcPr>
            <w:tcW w:w="2420" w:type="dxa"/>
            <w:vAlign w:val="bottom"/>
          </w:tcPr>
          <w:p>
            <w:pPr>
              <w:jc w:val="center"/>
              <w:ind w:right="1070"/>
              <w:spacing w:after="0"/>
              <w:rPr>
                <w:sz w:val="20"/>
                <w:szCs w:val="20"/>
                <w:color w:val="auto"/>
              </w:rPr>
            </w:pPr>
            <w:r>
              <w:rPr>
                <w:rFonts w:ascii="Arial" w:cs="Arial" w:eastAsia="Arial" w:hAnsi="Arial"/>
                <w:sz w:val="18"/>
                <w:szCs w:val="18"/>
                <w:color w:val="auto"/>
                <w:w w:val="94"/>
              </w:rPr>
              <w:t>File Number)</w:t>
            </w:r>
          </w:p>
        </w:tc>
        <w:tc>
          <w:tcPr>
            <w:tcW w:w="2640" w:type="dxa"/>
            <w:vAlign w:val="bottom"/>
          </w:tcPr>
          <w:p>
            <w:pPr>
              <w:jc w:val="center"/>
              <w:ind w:left="1210"/>
              <w:spacing w:after="0"/>
              <w:rPr>
                <w:sz w:val="20"/>
                <w:szCs w:val="20"/>
                <w:color w:val="auto"/>
              </w:rPr>
            </w:pPr>
            <w:r>
              <w:rPr>
                <w:rFonts w:ascii="Arial" w:cs="Arial" w:eastAsia="Arial" w:hAnsi="Arial"/>
                <w:sz w:val="18"/>
                <w:szCs w:val="18"/>
                <w:color w:val="auto"/>
                <w:w w:val="95"/>
              </w:rPr>
              <w:t>Identification No.)</w:t>
            </w:r>
          </w:p>
        </w:tc>
      </w:tr>
      <w:tr>
        <w:trPr>
          <w:trHeight w:val="238"/>
        </w:trPr>
        <w:tc>
          <w:tcPr>
            <w:tcW w:w="4080" w:type="dxa"/>
            <w:vAlign w:val="bottom"/>
          </w:tcPr>
          <w:p>
            <w:pPr>
              <w:jc w:val="center"/>
              <w:ind w:left="1530"/>
              <w:spacing w:after="0"/>
              <w:rPr>
                <w:sz w:val="20"/>
                <w:szCs w:val="20"/>
                <w:color w:val="auto"/>
              </w:rPr>
            </w:pPr>
            <w:r>
              <w:rPr>
                <w:rFonts w:ascii="Arial" w:cs="Arial" w:eastAsia="Arial" w:hAnsi="Arial"/>
                <w:sz w:val="18"/>
                <w:szCs w:val="18"/>
                <w:b w:val="1"/>
                <w:bCs w:val="1"/>
                <w:color w:val="auto"/>
                <w:w w:val="88"/>
              </w:rPr>
              <w:t>1177 Avenue of the Americas</w:t>
            </w:r>
          </w:p>
        </w:tc>
        <w:tc>
          <w:tcPr>
            <w:tcW w:w="242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248"/>
        </w:trPr>
        <w:tc>
          <w:tcPr>
            <w:tcW w:w="4080" w:type="dxa"/>
            <w:vAlign w:val="bottom"/>
          </w:tcPr>
          <w:p>
            <w:pPr>
              <w:jc w:val="center"/>
              <w:ind w:left="1530"/>
              <w:spacing w:after="0"/>
              <w:rPr>
                <w:sz w:val="20"/>
                <w:szCs w:val="20"/>
                <w:color w:val="auto"/>
              </w:rPr>
            </w:pPr>
            <w:r>
              <w:rPr>
                <w:rFonts w:ascii="Arial" w:cs="Arial" w:eastAsia="Arial" w:hAnsi="Arial"/>
                <w:sz w:val="18"/>
                <w:szCs w:val="18"/>
                <w:b w:val="1"/>
                <w:bCs w:val="1"/>
                <w:color w:val="auto"/>
                <w:w w:val="93"/>
              </w:rPr>
              <w:t>New York, New York</w:t>
            </w:r>
          </w:p>
        </w:tc>
        <w:tc>
          <w:tcPr>
            <w:tcW w:w="2420" w:type="dxa"/>
            <w:vAlign w:val="bottom"/>
          </w:tcPr>
          <w:p>
            <w:pPr>
              <w:spacing w:after="0"/>
              <w:rPr>
                <w:sz w:val="21"/>
                <w:szCs w:val="21"/>
                <w:color w:val="auto"/>
              </w:rPr>
            </w:pPr>
          </w:p>
        </w:tc>
        <w:tc>
          <w:tcPr>
            <w:tcW w:w="2640" w:type="dxa"/>
            <w:vAlign w:val="bottom"/>
          </w:tcPr>
          <w:p>
            <w:pPr>
              <w:jc w:val="right"/>
              <w:ind w:right="370"/>
              <w:spacing w:after="0"/>
              <w:rPr>
                <w:sz w:val="20"/>
                <w:szCs w:val="20"/>
                <w:color w:val="auto"/>
              </w:rPr>
            </w:pPr>
            <w:r>
              <w:rPr>
                <w:rFonts w:ascii="Arial" w:cs="Arial" w:eastAsia="Arial" w:hAnsi="Arial"/>
                <w:sz w:val="18"/>
                <w:szCs w:val="18"/>
                <w:b w:val="1"/>
                <w:bCs w:val="1"/>
                <w:color w:val="auto"/>
              </w:rPr>
              <w:t>10036</w:t>
            </w:r>
          </w:p>
        </w:tc>
      </w:tr>
      <w:tr>
        <w:trPr>
          <w:trHeight w:val="243"/>
        </w:trPr>
        <w:tc>
          <w:tcPr>
            <w:tcW w:w="650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2640" w:type="dxa"/>
            <w:vAlign w:val="bottom"/>
          </w:tcPr>
          <w:p>
            <w:pPr>
              <w:jc w:val="center"/>
              <w:ind w:left="1190"/>
              <w:spacing w:after="0"/>
              <w:rPr>
                <w:sz w:val="20"/>
                <w:szCs w:val="20"/>
                <w:color w:val="auto"/>
              </w:rPr>
            </w:pPr>
            <w:r>
              <w:rPr>
                <w:rFonts w:ascii="Arial" w:cs="Arial" w:eastAsia="Arial" w:hAnsi="Arial"/>
                <w:sz w:val="18"/>
                <w:szCs w:val="18"/>
                <w:color w:val="auto"/>
                <w:w w:val="94"/>
              </w:rPr>
              <w:t>(Zip Code)</w:t>
            </w:r>
          </w:p>
        </w:tc>
      </w:tr>
    </w:tbl>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430-6000</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w:t>
      </w:r>
    </w:p>
    <w:p>
      <w:pPr>
        <w:spacing w:after="0" w:line="237"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6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560" w:type="dxa"/>
            <w:vAlign w:val="bottom"/>
            <w:gridSpan w:val="2"/>
            <w:vMerge w:val="restart"/>
          </w:tcPr>
          <w:p>
            <w:pPr>
              <w:jc w:val="center"/>
              <w:ind w:right="420"/>
              <w:spacing w:after="0"/>
              <w:rPr>
                <w:sz w:val="20"/>
                <w:szCs w:val="20"/>
                <w:color w:val="auto"/>
              </w:rPr>
            </w:pPr>
            <w:r>
              <w:rPr>
                <w:rFonts w:ascii="Arial" w:cs="Arial" w:eastAsia="Arial" w:hAnsi="Arial"/>
                <w:sz w:val="18"/>
                <w:szCs w:val="18"/>
                <w:b w:val="1"/>
                <w:bCs w:val="1"/>
                <w:color w:val="auto"/>
                <w:w w:val="86"/>
              </w:rPr>
              <w:t>Title of each class</w:t>
            </w:r>
          </w:p>
        </w:tc>
        <w:tc>
          <w:tcPr>
            <w:tcW w:w="3260" w:type="dxa"/>
            <w:vAlign w:val="bottom"/>
            <w:gridSpan w:val="2"/>
            <w:vMerge w:val="restart"/>
          </w:tcPr>
          <w:p>
            <w:pPr>
              <w:jc w:val="center"/>
              <w:ind w:right="420"/>
              <w:spacing w:after="0"/>
              <w:rPr>
                <w:sz w:val="20"/>
                <w:szCs w:val="20"/>
                <w:color w:val="auto"/>
              </w:rPr>
            </w:pPr>
            <w:r>
              <w:rPr>
                <w:rFonts w:ascii="Arial" w:cs="Arial" w:eastAsia="Arial" w:hAnsi="Arial"/>
                <w:sz w:val="18"/>
                <w:szCs w:val="18"/>
                <w:b w:val="1"/>
                <w:bCs w:val="1"/>
                <w:color w:val="auto"/>
                <w:w w:val="91"/>
              </w:rPr>
              <w:t>Trading Symbol(s)</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c>
          <w:tcPr>
            <w:tcW w:w="0" w:type="dxa"/>
            <w:vAlign w:val="bottom"/>
          </w:tcPr>
          <w:p>
            <w:pPr>
              <w:spacing w:after="0"/>
              <w:rPr>
                <w:sz w:val="1"/>
                <w:szCs w:val="1"/>
                <w:color w:val="auto"/>
              </w:rPr>
            </w:pPr>
          </w:p>
        </w:tc>
      </w:tr>
      <w:tr>
        <w:trPr>
          <w:trHeight w:val="230"/>
        </w:trPr>
        <w:tc>
          <w:tcPr>
            <w:tcW w:w="4560" w:type="dxa"/>
            <w:vAlign w:val="bottom"/>
            <w:gridSpan w:val="2"/>
            <w:vMerge w:val="continue"/>
          </w:tcPr>
          <w:p>
            <w:pPr>
              <w:spacing w:after="0"/>
              <w:rPr>
                <w:sz w:val="19"/>
                <w:szCs w:val="19"/>
                <w:color w:val="auto"/>
              </w:rPr>
            </w:pPr>
          </w:p>
        </w:tc>
        <w:tc>
          <w:tcPr>
            <w:tcW w:w="3260" w:type="dxa"/>
            <w:vAlign w:val="bottom"/>
            <w:gridSpan w:val="2"/>
            <w:vMerge w:val="continue"/>
          </w:tcPr>
          <w:p>
            <w:pPr>
              <w:spacing w:after="0"/>
              <w:rPr>
                <w:sz w:val="19"/>
                <w:szCs w:val="19"/>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c>
          <w:tcPr>
            <w:tcW w:w="0" w:type="dxa"/>
            <w:vAlign w:val="bottom"/>
          </w:tcPr>
          <w:p>
            <w:pPr>
              <w:spacing w:after="0"/>
              <w:rPr>
                <w:sz w:val="1"/>
                <w:szCs w:val="1"/>
                <w:color w:val="auto"/>
              </w:rPr>
            </w:pPr>
          </w:p>
        </w:tc>
      </w:tr>
      <w:tr>
        <w:trPr>
          <w:trHeight w:val="224"/>
        </w:trPr>
        <w:tc>
          <w:tcPr>
            <w:tcW w:w="4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Class A common stock, par value $0.00001</w:t>
            </w:r>
          </w:p>
        </w:tc>
        <w:tc>
          <w:tcPr>
            <w:tcW w:w="420" w:type="dxa"/>
            <w:vAlign w:val="bottom"/>
          </w:tcPr>
          <w:p>
            <w:pPr>
              <w:spacing w:after="0"/>
              <w:rPr>
                <w:sz w:val="19"/>
                <w:szCs w:val="19"/>
                <w:color w:val="auto"/>
              </w:rPr>
            </w:pPr>
          </w:p>
        </w:tc>
        <w:tc>
          <w:tcPr>
            <w:tcW w:w="2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TW</w:t>
            </w:r>
          </w:p>
        </w:tc>
        <w:tc>
          <w:tcPr>
            <w:tcW w:w="42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c>
          <w:tcPr>
            <w:tcW w:w="0" w:type="dxa"/>
            <w:vAlign w:val="bottom"/>
          </w:tcPr>
          <w:p>
            <w:pPr>
              <w:spacing w:after="0"/>
              <w:rPr>
                <w:sz w:val="1"/>
                <w:szCs w:val="1"/>
                <w:color w:val="auto"/>
              </w:rPr>
            </w:pPr>
          </w:p>
        </w:tc>
      </w:tr>
    </w:tbl>
    <w:p>
      <w:pPr>
        <w:spacing w:after="0" w:line="282"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652145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On July 29, 2021, Tradeweb Markets Inc. (the “Company”) issued a press release, a copy of which is furnished as Exhibit 99.1 hereto and incorporated herein by reference, announcing financial results for the quarter ended June 30, 2021.</w:t>
      </w:r>
    </w:p>
    <w:p>
      <w:pPr>
        <w:spacing w:after="0" w:line="19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 accordance with General Instruction B.2 of Form 8-K, the information in this Item 2.02 of this Current Report on Form 8-K, including Exhibit 99.1 attached hereto,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40" w:type="dxa"/>
            <w:vAlign w:val="bottom"/>
            <w:gridSpan w:val="2"/>
          </w:tcPr>
          <w:p>
            <w:pPr>
              <w:ind w:left="2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9380" w:type="dxa"/>
            <w:vAlign w:val="bottom"/>
            <w:gridSpan w:val="2"/>
            <w:vMerge w:val="restart"/>
          </w:tcPr>
          <w:p>
            <w:pPr>
              <w:ind w:left="4000"/>
              <w:spacing w:after="0"/>
              <w:rPr>
                <w:sz w:val="20"/>
                <w:szCs w:val="20"/>
                <w:color w:val="auto"/>
              </w:rPr>
            </w:pPr>
            <w:r>
              <w:rPr>
                <w:rFonts w:ascii="Arial" w:cs="Arial" w:eastAsia="Arial" w:hAnsi="Arial"/>
                <w:sz w:val="16"/>
                <w:szCs w:val="16"/>
                <w:b w:val="1"/>
                <w:bCs w:val="1"/>
                <w:color w:val="auto"/>
              </w:rPr>
              <w:t>Exhibit Description</w:t>
            </w:r>
          </w:p>
        </w:tc>
        <w:tc>
          <w:tcPr>
            <w:tcW w:w="0" w:type="dxa"/>
            <w:vAlign w:val="bottom"/>
          </w:tcPr>
          <w:p>
            <w:pPr>
              <w:spacing w:after="0"/>
              <w:rPr>
                <w:sz w:val="1"/>
                <w:szCs w:val="1"/>
                <w:color w:val="auto"/>
              </w:rPr>
            </w:pPr>
          </w:p>
        </w:tc>
      </w:tr>
      <w:tr>
        <w:trPr>
          <w:trHeight w:val="213"/>
        </w:trPr>
        <w:tc>
          <w:tcPr>
            <w:tcW w:w="1840" w:type="dxa"/>
            <w:vAlign w:val="bottom"/>
            <w:gridSpan w:val="2"/>
          </w:tcPr>
          <w:p>
            <w:pPr>
              <w:ind w:left="20"/>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93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42"/>
        </w:trPr>
        <w:tc>
          <w:tcPr>
            <w:tcW w:w="1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440" w:type="dxa"/>
            <w:vAlign w:val="bottom"/>
            <w:tcBorders>
              <w:top w:val="single" w:sz="8" w:color="auto"/>
              <w:bottom w:val="single" w:sz="8" w:color="0000FF"/>
            </w:tcBorders>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Press Release of Tradeweb Markets Inc., dated July 29, 2021.</w:t>
              </w:r>
            </w:hyperlink>
          </w:p>
        </w:tc>
        <w:tc>
          <w:tcPr>
            <w:tcW w:w="4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74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465"/>
        </w:trPr>
        <w:tc>
          <w:tcPr>
            <w:tcW w:w="1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320" w:firstLine="648"/>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p>
        </w:tc>
        <w:tc>
          <w:tcPr>
            <w:tcW w:w="6880" w:type="dxa"/>
            <w:vAlign w:val="bottom"/>
            <w:gridSpan w:val="2"/>
          </w:tcPr>
          <w:p>
            <w:pPr>
              <w:ind w:left="2920"/>
              <w:spacing w:after="0"/>
              <w:rPr>
                <w:sz w:val="20"/>
                <w:szCs w:val="20"/>
                <w:color w:val="auto"/>
              </w:rPr>
            </w:pPr>
            <w:r>
              <w:rPr>
                <w:rFonts w:ascii="Arial" w:cs="Arial" w:eastAsia="Arial" w:hAnsi="Arial"/>
                <w:sz w:val="18"/>
                <w:szCs w:val="18"/>
                <w:color w:val="auto"/>
              </w:rPr>
              <w:t>TRADEWEB MARKETS INC.</w:t>
            </w:r>
          </w:p>
        </w:tc>
      </w:tr>
      <w:tr>
        <w:trPr>
          <w:trHeight w:val="500"/>
        </w:trPr>
        <w:tc>
          <w:tcPr>
            <w:tcW w:w="4340" w:type="dxa"/>
            <w:vAlign w:val="bottom"/>
          </w:tcPr>
          <w:p>
            <w:pPr>
              <w:spacing w:after="0"/>
              <w:rPr>
                <w:sz w:val="20"/>
                <w:szCs w:val="20"/>
                <w:color w:val="auto"/>
              </w:rPr>
            </w:pPr>
            <w:r>
              <w:rPr>
                <w:rFonts w:ascii="Arial" w:cs="Arial" w:eastAsia="Arial" w:hAnsi="Arial"/>
                <w:sz w:val="18"/>
                <w:szCs w:val="18"/>
                <w:color w:val="auto"/>
              </w:rPr>
              <w:t>Date: July 29, 2021</w:t>
            </w:r>
          </w:p>
        </w:tc>
        <w:tc>
          <w:tcPr>
            <w:tcW w:w="6880" w:type="dxa"/>
            <w:vAlign w:val="bottom"/>
            <w:gridSpan w:val="2"/>
          </w:tcPr>
          <w:p>
            <w:pPr>
              <w:ind w:left="2920"/>
              <w:spacing w:after="0"/>
              <w:rPr>
                <w:sz w:val="20"/>
                <w:szCs w:val="20"/>
                <w:color w:val="auto"/>
              </w:rPr>
            </w:pPr>
            <w:r>
              <w:rPr>
                <w:rFonts w:ascii="Arial" w:cs="Arial" w:eastAsia="Arial" w:hAnsi="Arial"/>
                <w:sz w:val="18"/>
                <w:szCs w:val="18"/>
                <w:color w:val="auto"/>
              </w:rPr>
              <w:t>By:   /s/ Douglas Friedman</w:t>
            </w:r>
          </w:p>
        </w:tc>
      </w:tr>
      <w:tr>
        <w:trPr>
          <w:trHeight w:val="222"/>
        </w:trPr>
        <w:tc>
          <w:tcPr>
            <w:tcW w:w="43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3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 Douglas Friedman</w:t>
            </w:r>
          </w:p>
        </w:tc>
      </w:tr>
      <w:tr>
        <w:trPr>
          <w:trHeight w:val="230"/>
        </w:trPr>
        <w:tc>
          <w:tcPr>
            <w:tcW w:w="43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440" w:type="dxa"/>
            <w:vAlign w:val="bottom"/>
          </w:tcPr>
          <w:p>
            <w:pPr>
              <w:ind w:left="20"/>
              <w:spacing w:after="0"/>
              <w:rPr>
                <w:sz w:val="20"/>
                <w:szCs w:val="20"/>
                <w:color w:val="auto"/>
              </w:rPr>
            </w:pPr>
            <w:r>
              <w:rPr>
                <w:rFonts w:ascii="Arial" w:cs="Arial" w:eastAsia="Arial" w:hAnsi="Arial"/>
                <w:sz w:val="18"/>
                <w:szCs w:val="18"/>
                <w:color w:val="auto"/>
              </w:rPr>
              <w:t>Title: General Counsel</w:t>
            </w:r>
          </w:p>
        </w:tc>
      </w:tr>
    </w:tbl>
    <w:p>
      <w:pPr>
        <w:sectPr>
          <w:pgSz w:w="11900" w:h="16838" w:orient="portrait"/>
          <w:cols w:equalWidth="0" w:num="1">
            <w:col w:w="11240"/>
          </w:cols>
          <w:pgMar w:left="320" w:top="1134" w:right="339" w:bottom="1440" w:gutter="0" w:footer="0" w:header="0"/>
        </w:sectPr>
      </w:pPr>
    </w:p>
    <w:bookmarkStart w:id="3" w:name="page4"/>
    <w:bookmarkEnd w:id="3"/>
    <w:p>
      <w:pPr>
        <w:ind w:left="5860"/>
        <w:spacing w:after="0"/>
        <w:tabs>
          <w:tab w:leader="none" w:pos="8180" w:val="left"/>
        </w:tabs>
        <w:rPr>
          <w:sz w:val="20"/>
          <w:szCs w:val="20"/>
          <w:color w:val="auto"/>
        </w:rPr>
      </w:pPr>
      <w:r>
        <w:rPr>
          <w:rFonts w:ascii="Arial" w:cs="Arial" w:eastAsia="Arial" w:hAnsi="Arial"/>
          <w:sz w:val="16"/>
          <w:szCs w:val="16"/>
          <w:b w:val="1"/>
          <w:bCs w:val="1"/>
          <w:color w:val="083566"/>
        </w:rPr>
        <w:drawing>
          <wp:anchor simplePos="0" relativeHeight="251657728" behindDoc="1" locked="0" layoutInCell="0" allowOverlap="1">
            <wp:simplePos x="0" y="0"/>
            <wp:positionH relativeFrom="page">
              <wp:posOffset>216535</wp:posOffset>
            </wp:positionH>
            <wp:positionV relativeFrom="page">
              <wp:posOffset>106045</wp:posOffset>
            </wp:positionV>
            <wp:extent cx="1808480" cy="6000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808480" cy="600075"/>
                    </a:xfrm>
                    <a:prstGeom prst="rect">
                      <a:avLst/>
                    </a:prstGeom>
                    <a:noFill/>
                  </pic:spPr>
                </pic:pic>
              </a:graphicData>
            </a:graphic>
          </wp:anchor>
        </w:drawing>
        <w:t>Investor Relations</w:t>
      </w:r>
      <w:r>
        <w:rPr>
          <w:sz w:val="20"/>
          <w:szCs w:val="20"/>
          <w:color w:val="auto"/>
        </w:rPr>
        <w:tab/>
      </w:r>
      <w:r>
        <w:rPr>
          <w:rFonts w:ascii="Arial" w:cs="Arial" w:eastAsia="Arial" w:hAnsi="Arial"/>
          <w:sz w:val="16"/>
          <w:szCs w:val="16"/>
          <w:b w:val="1"/>
          <w:bCs w:val="1"/>
          <w:color w:val="083566"/>
        </w:rPr>
        <w:t>Media Relations</w:t>
      </w:r>
    </w:p>
    <w:p>
      <w:pPr>
        <w:spacing w:after="0" w:line="25" w:lineRule="exact"/>
        <w:rPr>
          <w:sz w:val="20"/>
          <w:szCs w:val="20"/>
          <w:color w:val="auto"/>
        </w:rPr>
      </w:pPr>
    </w:p>
    <w:p>
      <w:pPr>
        <w:ind w:left="5860"/>
        <w:spacing w:after="0"/>
        <w:tabs>
          <w:tab w:leader="none" w:pos="8180" w:val="left"/>
        </w:tabs>
        <w:rPr>
          <w:sz w:val="20"/>
          <w:szCs w:val="20"/>
          <w:color w:val="auto"/>
        </w:rPr>
      </w:pPr>
      <w:r>
        <w:rPr>
          <w:rFonts w:ascii="Arial" w:cs="Arial" w:eastAsia="Arial" w:hAnsi="Arial"/>
          <w:sz w:val="16"/>
          <w:szCs w:val="16"/>
          <w:color w:val="auto"/>
        </w:rPr>
        <w:t>Ashley Serrao + 1 646 430</w:t>
      </w:r>
      <w:r>
        <w:rPr>
          <w:sz w:val="20"/>
          <w:szCs w:val="20"/>
          <w:color w:val="auto"/>
        </w:rPr>
        <w:tab/>
      </w:r>
      <w:r>
        <w:rPr>
          <w:rFonts w:ascii="Arial" w:cs="Arial" w:eastAsia="Arial" w:hAnsi="Arial"/>
          <w:sz w:val="16"/>
          <w:szCs w:val="16"/>
          <w:color w:val="auto"/>
        </w:rPr>
        <w:t>Daniel Noonan + 1 646 767</w:t>
      </w:r>
    </w:p>
    <w:p>
      <w:pPr>
        <w:spacing w:after="0" w:line="5" w:lineRule="exact"/>
        <w:rPr>
          <w:sz w:val="20"/>
          <w:szCs w:val="20"/>
          <w:color w:val="auto"/>
        </w:rPr>
      </w:pPr>
    </w:p>
    <w:p>
      <w:pPr>
        <w:ind w:left="5860"/>
        <w:spacing w:after="0"/>
        <w:tabs>
          <w:tab w:leader="none" w:pos="8180" w:val="left"/>
        </w:tabs>
        <w:rPr>
          <w:sz w:val="20"/>
          <w:szCs w:val="20"/>
          <w:color w:val="auto"/>
        </w:rPr>
      </w:pPr>
      <w:r>
        <w:rPr>
          <w:rFonts w:ascii="Arial" w:cs="Arial" w:eastAsia="Arial" w:hAnsi="Arial"/>
          <w:sz w:val="16"/>
          <w:szCs w:val="16"/>
          <w:color w:val="auto"/>
        </w:rPr>
        <w:t>6027</w:t>
      </w:r>
      <w:r>
        <w:rPr>
          <w:sz w:val="20"/>
          <w:szCs w:val="20"/>
          <w:color w:val="auto"/>
        </w:rPr>
        <w:tab/>
      </w:r>
      <w:r>
        <w:rPr>
          <w:rFonts w:ascii="Arial" w:cs="Arial" w:eastAsia="Arial" w:hAnsi="Arial"/>
          <w:sz w:val="16"/>
          <w:szCs w:val="16"/>
          <w:color w:val="auto"/>
        </w:rPr>
        <w:t>4677</w:t>
      </w:r>
    </w:p>
    <w:p>
      <w:pPr>
        <w:spacing w:after="0" w:line="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Ashley.Serrao@Tradeweb.com  Daniel.Noonan@Tradeweb.com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ADCB"/>
        </w:rPr>
        <w:t>TRADEWEB REPORTS SECOND QUARTER 2021 FINANCIAL RESULTS</w:t>
      </w:r>
    </w:p>
    <w:p>
      <w:pPr>
        <w:spacing w:after="0" w:line="224" w:lineRule="exact"/>
        <w:rPr>
          <w:sz w:val="20"/>
          <w:szCs w:val="20"/>
          <w:color w:val="auto"/>
        </w:rPr>
      </w:pPr>
    </w:p>
    <w:p>
      <w:pPr>
        <w:ind w:left="20"/>
        <w:spacing w:after="0" w:line="286" w:lineRule="auto"/>
        <w:rPr>
          <w:sz w:val="20"/>
          <w:szCs w:val="20"/>
          <w:color w:val="auto"/>
        </w:rPr>
      </w:pPr>
      <w:r>
        <w:rPr>
          <w:rFonts w:ascii="Arial" w:cs="Arial" w:eastAsia="Arial" w:hAnsi="Arial"/>
          <w:sz w:val="16"/>
          <w:szCs w:val="16"/>
          <w:b w:val="1"/>
          <w:bCs w:val="1"/>
          <w:color w:val="auto"/>
        </w:rPr>
        <w:t xml:space="preserve">New York, July 29, 2021 </w:t>
      </w:r>
      <w:r>
        <w:rPr>
          <w:rFonts w:ascii="Arial" w:cs="Arial" w:eastAsia="Arial" w:hAnsi="Arial"/>
          <w:sz w:val="16"/>
          <w:szCs w:val="16"/>
          <w:color w:val="auto"/>
        </w:rPr>
        <w:t>– Tradeweb Markets Inc. (Nasdaq: TW), a leading, global operator of electronic marketplaces for rates, credit, equities and money</w:t>
      </w:r>
      <w:r>
        <w:rPr>
          <w:rFonts w:ascii="Arial" w:cs="Arial" w:eastAsia="Arial" w:hAnsi="Arial"/>
          <w:sz w:val="16"/>
          <w:szCs w:val="16"/>
          <w:b w:val="1"/>
          <w:bCs w:val="1"/>
          <w:color w:val="auto"/>
        </w:rPr>
        <w:t xml:space="preserve"> </w:t>
      </w:r>
      <w:r>
        <w:rPr>
          <w:rFonts w:ascii="Arial" w:cs="Arial" w:eastAsia="Arial" w:hAnsi="Arial"/>
          <w:sz w:val="16"/>
          <w:szCs w:val="16"/>
          <w:color w:val="auto"/>
        </w:rPr>
        <w:t>markets, today reported financial results for the quarter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59055</wp:posOffset>
            </wp:positionV>
            <wp:extent cx="3094355" cy="25031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94355" cy="2503170"/>
                    </a:xfrm>
                    <a:prstGeom prst="rect">
                      <a:avLst/>
                    </a:prstGeom>
                    <a:noFill/>
                  </pic:spPr>
                </pic:pic>
              </a:graphicData>
            </a:graphic>
          </wp:anchor>
        </w:drawing>
      </w:r>
    </w:p>
    <w:p>
      <w:pPr>
        <w:sectPr>
          <w:pgSz w:w="11900" w:h="16838" w:orient="portrait"/>
          <w:cols w:equalWidth="0" w:num="1">
            <w:col w:w="11180"/>
          </w:cols>
          <w:pgMar w:left="320" w:top="283" w:right="399" w:bottom="1440" w:gutter="0" w:footer="0" w:header="0"/>
        </w:sectPr>
      </w:pPr>
    </w:p>
    <w:p>
      <w:pPr>
        <w:spacing w:after="0" w:line="102" w:lineRule="exact"/>
        <w:rPr>
          <w:sz w:val="20"/>
          <w:szCs w:val="20"/>
          <w:color w:val="auto"/>
        </w:rPr>
      </w:pPr>
    </w:p>
    <w:p>
      <w:pPr>
        <w:ind w:left="20" w:right="600"/>
        <w:spacing w:after="0" w:line="286" w:lineRule="auto"/>
        <w:rPr>
          <w:sz w:val="20"/>
          <w:szCs w:val="20"/>
          <w:color w:val="auto"/>
        </w:rPr>
      </w:pPr>
      <w:r>
        <w:rPr>
          <w:rFonts w:ascii="Arial" w:cs="Arial" w:eastAsia="Arial" w:hAnsi="Arial"/>
          <w:sz w:val="16"/>
          <w:szCs w:val="16"/>
          <w:b w:val="1"/>
          <w:bCs w:val="1"/>
          <w:color w:val="auto"/>
        </w:rPr>
        <w:t xml:space="preserve">$260.8 million </w:t>
      </w:r>
      <w:r>
        <w:rPr>
          <w:rFonts w:ascii="Arial" w:cs="Arial" w:eastAsia="Arial" w:hAnsi="Arial"/>
          <w:sz w:val="16"/>
          <w:szCs w:val="16"/>
          <w:color w:val="auto"/>
        </w:rPr>
        <w:t>quarterly revenues increased</w:t>
      </w:r>
      <w:r>
        <w:rPr>
          <w:rFonts w:ascii="Arial" w:cs="Arial" w:eastAsia="Arial" w:hAnsi="Arial"/>
          <w:sz w:val="16"/>
          <w:szCs w:val="16"/>
          <w:b w:val="1"/>
          <w:bCs w:val="1"/>
          <w:color w:val="auto"/>
        </w:rPr>
        <w:t xml:space="preserve"> 23.0% </w:t>
      </w:r>
      <w:r>
        <w:rPr>
          <w:rFonts w:ascii="Arial" w:cs="Arial" w:eastAsia="Arial" w:hAnsi="Arial"/>
          <w:sz w:val="16"/>
          <w:szCs w:val="16"/>
          <w:color w:val="auto"/>
        </w:rPr>
        <w:t>(</w:t>
      </w:r>
      <w:r>
        <w:rPr>
          <w:rFonts w:ascii="Arial" w:cs="Arial" w:eastAsia="Arial" w:hAnsi="Arial"/>
          <w:sz w:val="16"/>
          <w:szCs w:val="16"/>
          <w:b w:val="1"/>
          <w:bCs w:val="1"/>
          <w:color w:val="auto"/>
        </w:rPr>
        <w:t xml:space="preserve">20.2% </w:t>
      </w:r>
      <w:r>
        <w:rPr>
          <w:rFonts w:ascii="Arial" w:cs="Arial" w:eastAsia="Arial" w:hAnsi="Arial"/>
          <w:sz w:val="16"/>
          <w:szCs w:val="16"/>
          <w:color w:val="auto"/>
        </w:rPr>
        <w:t>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compared to prior year period</w:t>
      </w:r>
    </w:p>
    <w:p>
      <w:pPr>
        <w:spacing w:after="0" w:line="61" w:lineRule="exact"/>
        <w:rPr>
          <w:sz w:val="20"/>
          <w:szCs w:val="20"/>
          <w:color w:val="auto"/>
        </w:rPr>
      </w:pPr>
    </w:p>
    <w:p>
      <w:pPr>
        <w:ind w:left="20" w:right="20"/>
        <w:spacing w:after="0" w:line="256" w:lineRule="auto"/>
        <w:rPr>
          <w:sz w:val="20"/>
          <w:szCs w:val="20"/>
          <w:color w:val="auto"/>
        </w:rPr>
      </w:pPr>
      <w:r>
        <w:rPr>
          <w:rFonts w:ascii="Arial" w:cs="Arial" w:eastAsia="Arial" w:hAnsi="Arial"/>
          <w:sz w:val="16"/>
          <w:szCs w:val="16"/>
          <w:b w:val="1"/>
          <w:bCs w:val="1"/>
          <w:color w:val="auto"/>
        </w:rPr>
        <w:t xml:space="preserve">$976.9 billion </w:t>
      </w:r>
      <w:r>
        <w:rPr>
          <w:rFonts w:ascii="Arial" w:cs="Arial" w:eastAsia="Arial" w:hAnsi="Arial"/>
          <w:sz w:val="16"/>
          <w:szCs w:val="16"/>
          <w:color w:val="auto"/>
        </w:rPr>
        <w:t>average daily volume (“ADV”) for the quarter, an increase of</w:t>
      </w:r>
      <w:r>
        <w:rPr>
          <w:rFonts w:ascii="Arial" w:cs="Arial" w:eastAsia="Arial" w:hAnsi="Arial"/>
          <w:sz w:val="16"/>
          <w:szCs w:val="16"/>
          <w:b w:val="1"/>
          <w:bCs w:val="1"/>
          <w:color w:val="auto"/>
        </w:rPr>
        <w:t xml:space="preserve"> 25.5% </w:t>
      </w:r>
      <w:r>
        <w:rPr>
          <w:rFonts w:ascii="Arial" w:cs="Arial" w:eastAsia="Arial" w:hAnsi="Arial"/>
          <w:sz w:val="16"/>
          <w:szCs w:val="16"/>
          <w:color w:val="auto"/>
        </w:rPr>
        <w:t xml:space="preserve">compared to prior year period with new ADV records in U.S. High Yield credit and Repurchase Agreements. In U.S. credit, Tradeweb set new records for its share of fully electronic TRACE volume: High Grade was </w:t>
      </w:r>
      <w:r>
        <w:rPr>
          <w:rFonts w:ascii="Arial" w:cs="Arial" w:eastAsia="Arial" w:hAnsi="Arial"/>
          <w:sz w:val="16"/>
          <w:szCs w:val="16"/>
          <w:b w:val="1"/>
          <w:bCs w:val="1"/>
          <w:color w:val="auto"/>
        </w:rPr>
        <w:t>12.1%</w:t>
      </w:r>
      <w:r>
        <w:rPr>
          <w:rFonts w:ascii="Arial" w:cs="Arial" w:eastAsia="Arial" w:hAnsi="Arial"/>
          <w:sz w:val="16"/>
          <w:szCs w:val="16"/>
          <w:color w:val="auto"/>
        </w:rPr>
        <w:t xml:space="preserve"> up from 5.8% in the prior year period and High Yield was </w:t>
      </w:r>
      <w:r>
        <w:rPr>
          <w:rFonts w:ascii="Arial" w:cs="Arial" w:eastAsia="Arial" w:hAnsi="Arial"/>
          <w:sz w:val="16"/>
          <w:szCs w:val="16"/>
          <w:b w:val="1"/>
          <w:bCs w:val="1"/>
          <w:color w:val="auto"/>
        </w:rPr>
        <w:t>4.8%</w:t>
      </w:r>
      <w:r>
        <w:rPr>
          <w:rFonts w:ascii="Arial" w:cs="Arial" w:eastAsia="Arial" w:hAnsi="Arial"/>
          <w:sz w:val="16"/>
          <w:szCs w:val="16"/>
          <w:color w:val="auto"/>
        </w:rPr>
        <w:t>, up from 1.5% over prior year period</w:t>
      </w:r>
    </w:p>
    <w:p>
      <w:pPr>
        <w:spacing w:after="0" w:line="99" w:lineRule="exact"/>
        <w:rPr>
          <w:sz w:val="20"/>
          <w:szCs w:val="20"/>
          <w:color w:val="auto"/>
        </w:rPr>
      </w:pPr>
    </w:p>
    <w:p>
      <w:pPr>
        <w:ind w:left="20" w:right="140"/>
        <w:spacing w:after="0" w:line="286" w:lineRule="auto"/>
        <w:rPr>
          <w:sz w:val="20"/>
          <w:szCs w:val="20"/>
          <w:color w:val="auto"/>
        </w:rPr>
      </w:pPr>
      <w:r>
        <w:rPr>
          <w:rFonts w:ascii="Arial" w:cs="Arial" w:eastAsia="Arial" w:hAnsi="Arial"/>
          <w:sz w:val="16"/>
          <w:szCs w:val="16"/>
          <w:b w:val="1"/>
          <w:bCs w:val="1"/>
          <w:color w:val="auto"/>
        </w:rPr>
        <w:t xml:space="preserve">$66.2 million </w:t>
      </w:r>
      <w:r>
        <w:rPr>
          <w:rFonts w:ascii="Arial" w:cs="Arial" w:eastAsia="Arial" w:hAnsi="Arial"/>
          <w:sz w:val="16"/>
          <w:szCs w:val="16"/>
          <w:color w:val="auto"/>
        </w:rPr>
        <w:t>net income and</w:t>
      </w:r>
      <w:r>
        <w:rPr>
          <w:rFonts w:ascii="Arial" w:cs="Arial" w:eastAsia="Arial" w:hAnsi="Arial"/>
          <w:sz w:val="16"/>
          <w:szCs w:val="16"/>
          <w:b w:val="1"/>
          <w:bCs w:val="1"/>
          <w:color w:val="auto"/>
        </w:rPr>
        <w:t xml:space="preserve"> $93.6 million </w:t>
      </w:r>
      <w:r>
        <w:rPr>
          <w:rFonts w:ascii="Arial" w:cs="Arial" w:eastAsia="Arial" w:hAnsi="Arial"/>
          <w:sz w:val="16"/>
          <w:szCs w:val="16"/>
          <w:color w:val="auto"/>
        </w:rPr>
        <w:t>adjusted net income for the quarter,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increases of </w:t>
      </w:r>
      <w:r>
        <w:rPr>
          <w:rFonts w:ascii="Arial" w:cs="Arial" w:eastAsia="Arial" w:hAnsi="Arial"/>
          <w:sz w:val="16"/>
          <w:szCs w:val="16"/>
          <w:b w:val="1"/>
          <w:bCs w:val="1"/>
          <w:color w:val="auto"/>
        </w:rPr>
        <w:t>56.2%</w:t>
      </w:r>
      <w:r>
        <w:rPr>
          <w:rFonts w:ascii="Arial" w:cs="Arial" w:eastAsia="Arial" w:hAnsi="Arial"/>
          <w:sz w:val="16"/>
          <w:szCs w:val="16"/>
          <w:color w:val="auto"/>
        </w:rPr>
        <w:t xml:space="preserve">, and </w:t>
      </w:r>
      <w:r>
        <w:rPr>
          <w:rFonts w:ascii="Arial" w:cs="Arial" w:eastAsia="Arial" w:hAnsi="Arial"/>
          <w:sz w:val="16"/>
          <w:szCs w:val="16"/>
          <w:b w:val="1"/>
          <w:bCs w:val="1"/>
          <w:color w:val="auto"/>
        </w:rPr>
        <w:t>32.9%</w:t>
      </w:r>
      <w:r>
        <w:rPr>
          <w:rFonts w:ascii="Arial" w:cs="Arial" w:eastAsia="Arial" w:hAnsi="Arial"/>
          <w:sz w:val="16"/>
          <w:szCs w:val="16"/>
          <w:color w:val="auto"/>
        </w:rPr>
        <w:t xml:space="preserve"> respectively from prior year period</w:t>
      </w:r>
    </w:p>
    <w:p>
      <w:pPr>
        <w:spacing w:after="0" w:line="61" w:lineRule="exact"/>
        <w:rPr>
          <w:sz w:val="20"/>
          <w:szCs w:val="20"/>
          <w:color w:val="auto"/>
        </w:rPr>
      </w:pPr>
    </w:p>
    <w:p>
      <w:pPr>
        <w:ind w:left="20" w:right="280"/>
        <w:spacing w:after="0" w:line="286" w:lineRule="auto"/>
        <w:rPr>
          <w:sz w:val="20"/>
          <w:szCs w:val="20"/>
          <w:color w:val="auto"/>
        </w:rPr>
      </w:pPr>
      <w:r>
        <w:rPr>
          <w:rFonts w:ascii="Arial" w:cs="Arial" w:eastAsia="Arial" w:hAnsi="Arial"/>
          <w:sz w:val="16"/>
          <w:szCs w:val="16"/>
          <w:b w:val="1"/>
          <w:bCs w:val="1"/>
          <w:color w:val="auto"/>
        </w:rPr>
        <w:t xml:space="preserve">50.6% </w:t>
      </w:r>
      <w:r>
        <w:rPr>
          <w:rFonts w:ascii="Arial" w:cs="Arial" w:eastAsia="Arial" w:hAnsi="Arial"/>
          <w:sz w:val="16"/>
          <w:szCs w:val="16"/>
          <w:color w:val="auto"/>
        </w:rPr>
        <w:t>adjusted EBITDA margin or</w:t>
      </w:r>
      <w:r>
        <w:rPr>
          <w:rFonts w:ascii="Arial" w:cs="Arial" w:eastAsia="Arial" w:hAnsi="Arial"/>
          <w:sz w:val="16"/>
          <w:szCs w:val="16"/>
          <w:b w:val="1"/>
          <w:bCs w:val="1"/>
          <w:color w:val="auto"/>
        </w:rPr>
        <w:t xml:space="preserve"> $131.9 million </w:t>
      </w:r>
      <w:r>
        <w:rPr>
          <w:rFonts w:ascii="Arial" w:cs="Arial" w:eastAsia="Arial" w:hAnsi="Arial"/>
          <w:sz w:val="16"/>
          <w:szCs w:val="16"/>
          <w:color w:val="auto"/>
        </w:rPr>
        <w:t>adjusted EBITDA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compared to 47.8% or $101.3 million respectively for prior year period</w:t>
      </w:r>
    </w:p>
    <w:p>
      <w:pPr>
        <w:spacing w:after="0" w:line="61" w:lineRule="exact"/>
        <w:rPr>
          <w:sz w:val="20"/>
          <w:szCs w:val="20"/>
          <w:color w:val="auto"/>
        </w:rPr>
      </w:pPr>
    </w:p>
    <w:p>
      <w:pPr>
        <w:ind w:left="20" w:right="580"/>
        <w:spacing w:after="0" w:line="286" w:lineRule="auto"/>
        <w:rPr>
          <w:sz w:val="20"/>
          <w:szCs w:val="20"/>
          <w:color w:val="auto"/>
        </w:rPr>
      </w:pPr>
      <w:r>
        <w:rPr>
          <w:rFonts w:ascii="Arial" w:cs="Arial" w:eastAsia="Arial" w:hAnsi="Arial"/>
          <w:sz w:val="16"/>
          <w:szCs w:val="16"/>
          <w:b w:val="1"/>
          <w:bCs w:val="1"/>
          <w:color w:val="auto"/>
        </w:rPr>
        <w:t xml:space="preserve">$0.27 </w:t>
      </w:r>
      <w:r>
        <w:rPr>
          <w:rFonts w:ascii="Arial" w:cs="Arial" w:eastAsia="Arial" w:hAnsi="Arial"/>
          <w:sz w:val="16"/>
          <w:szCs w:val="16"/>
          <w:color w:val="auto"/>
        </w:rPr>
        <w:t>diluted earnings per share (“Diluted EPS”) for the quarter and</w:t>
      </w:r>
      <w:r>
        <w:rPr>
          <w:rFonts w:ascii="Arial" w:cs="Arial" w:eastAsia="Arial" w:hAnsi="Arial"/>
          <w:sz w:val="16"/>
          <w:szCs w:val="16"/>
          <w:b w:val="1"/>
          <w:bCs w:val="1"/>
          <w:color w:val="auto"/>
        </w:rPr>
        <w:t xml:space="preserve"> $0.39 </w:t>
      </w:r>
      <w:r>
        <w:rPr>
          <w:rFonts w:ascii="Arial" w:cs="Arial" w:eastAsia="Arial" w:hAnsi="Arial"/>
          <w:sz w:val="16"/>
          <w:szCs w:val="16"/>
          <w:color w:val="auto"/>
        </w:rPr>
        <w:t>adjusted diluted earnings per share</w:t>
      </w:r>
    </w:p>
    <w:p>
      <w:pPr>
        <w:spacing w:after="0" w:line="75" w:lineRule="exact"/>
        <w:rPr>
          <w:sz w:val="20"/>
          <w:szCs w:val="20"/>
          <w:color w:val="auto"/>
        </w:rPr>
      </w:pPr>
    </w:p>
    <w:p>
      <w:pPr>
        <w:ind w:left="20" w:right="580"/>
        <w:spacing w:after="0" w:line="286" w:lineRule="auto"/>
        <w:rPr>
          <w:sz w:val="20"/>
          <w:szCs w:val="20"/>
          <w:color w:val="auto"/>
        </w:rPr>
      </w:pPr>
      <w:r>
        <w:rPr>
          <w:rFonts w:ascii="Arial" w:cs="Arial" w:eastAsia="Arial" w:hAnsi="Arial"/>
          <w:sz w:val="16"/>
          <w:szCs w:val="16"/>
          <w:b w:val="1"/>
          <w:bCs w:val="1"/>
          <w:color w:val="auto"/>
        </w:rPr>
        <w:t xml:space="preserve">$0.08 </w:t>
      </w:r>
      <w:r>
        <w:rPr>
          <w:rFonts w:ascii="Arial" w:cs="Arial" w:eastAsia="Arial" w:hAnsi="Arial"/>
          <w:sz w:val="16"/>
          <w:szCs w:val="16"/>
          <w:color w:val="auto"/>
        </w:rPr>
        <w:t>per share quarterly cash dividend declared;</w:t>
      </w:r>
      <w:r>
        <w:rPr>
          <w:rFonts w:ascii="Arial" w:cs="Arial" w:eastAsia="Arial" w:hAnsi="Arial"/>
          <w:sz w:val="16"/>
          <w:szCs w:val="16"/>
          <w:b w:val="1"/>
          <w:bCs w:val="1"/>
          <w:color w:val="auto"/>
        </w:rPr>
        <w:t xml:space="preserve"> $51.7 million </w:t>
      </w:r>
      <w:r>
        <w:rPr>
          <w:rFonts w:ascii="Arial" w:cs="Arial" w:eastAsia="Arial" w:hAnsi="Arial"/>
          <w:sz w:val="16"/>
          <w:szCs w:val="16"/>
          <w:color w:val="auto"/>
        </w:rPr>
        <w:t>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repurchased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800" w:type="dxa"/>
            <w:vAlign w:val="bottom"/>
            <w:shd w:val="clear" w:color="auto" w:fill="083566"/>
          </w:tcPr>
          <w:p>
            <w:pPr>
              <w:spacing w:after="0"/>
              <w:rPr>
                <w:sz w:val="17"/>
                <w:szCs w:val="17"/>
                <w:color w:val="auto"/>
              </w:rPr>
            </w:pPr>
          </w:p>
        </w:tc>
        <w:tc>
          <w:tcPr>
            <w:tcW w:w="220" w:type="dxa"/>
            <w:vAlign w:val="bottom"/>
            <w:shd w:val="clear" w:color="auto" w:fill="083566"/>
          </w:tcPr>
          <w:p>
            <w:pPr>
              <w:spacing w:after="0"/>
              <w:rPr>
                <w:sz w:val="17"/>
                <w:szCs w:val="17"/>
                <w:color w:val="auto"/>
              </w:rPr>
            </w:pPr>
          </w:p>
        </w:tc>
        <w:tc>
          <w:tcPr>
            <w:tcW w:w="880" w:type="dxa"/>
            <w:vAlign w:val="bottom"/>
            <w:shd w:val="clear" w:color="auto" w:fill="083566"/>
          </w:tcPr>
          <w:p>
            <w:pPr>
              <w:spacing w:after="0"/>
              <w:rPr>
                <w:sz w:val="17"/>
                <w:szCs w:val="17"/>
                <w:color w:val="auto"/>
              </w:rPr>
            </w:pPr>
          </w:p>
        </w:tc>
        <w:tc>
          <w:tcPr>
            <w:tcW w:w="200" w:type="dxa"/>
            <w:vAlign w:val="bottom"/>
            <w:shd w:val="clear" w:color="auto" w:fill="083566"/>
          </w:tcPr>
          <w:p>
            <w:pPr>
              <w:spacing w:after="0"/>
              <w:rPr>
                <w:sz w:val="17"/>
                <w:szCs w:val="17"/>
                <w:color w:val="auto"/>
              </w:rPr>
            </w:pPr>
          </w:p>
        </w:tc>
        <w:tc>
          <w:tcPr>
            <w:tcW w:w="980" w:type="dxa"/>
            <w:vAlign w:val="bottom"/>
            <w:shd w:val="clear" w:color="auto" w:fill="083566"/>
          </w:tcPr>
          <w:p>
            <w:pPr>
              <w:spacing w:after="0"/>
              <w:rPr>
                <w:sz w:val="17"/>
                <w:szCs w:val="17"/>
                <w:color w:val="auto"/>
              </w:rPr>
            </w:pPr>
          </w:p>
        </w:tc>
        <w:tc>
          <w:tcPr>
            <w:tcW w:w="880" w:type="dxa"/>
            <w:vAlign w:val="bottom"/>
            <w:shd w:val="clear" w:color="auto" w:fill="083566"/>
          </w:tcPr>
          <w:p>
            <w:pPr>
              <w:spacing w:after="0"/>
              <w:rPr>
                <w:sz w:val="17"/>
                <w:szCs w:val="17"/>
                <w:color w:val="auto"/>
              </w:rPr>
            </w:pPr>
          </w:p>
        </w:tc>
        <w:tc>
          <w:tcPr>
            <w:tcW w:w="940" w:type="dxa"/>
            <w:vAlign w:val="bottom"/>
            <w:gridSpan w:val="2"/>
            <w:shd w:val="clear" w:color="auto" w:fill="083566"/>
          </w:tcPr>
          <w:p>
            <w:pPr>
              <w:ind w:left="120"/>
              <w:spacing w:after="0"/>
              <w:rPr>
                <w:sz w:val="20"/>
                <w:szCs w:val="20"/>
                <w:color w:val="auto"/>
              </w:rPr>
            </w:pPr>
            <w:r>
              <w:rPr>
                <w:rFonts w:ascii="Arial" w:cs="Arial" w:eastAsia="Arial" w:hAnsi="Arial"/>
                <w:sz w:val="16"/>
                <w:szCs w:val="16"/>
                <w:b w:val="1"/>
                <w:bCs w:val="1"/>
                <w:color w:val="FFFFFF"/>
              </w:rPr>
              <w:t>Constant</w:t>
            </w:r>
          </w:p>
        </w:tc>
        <w:tc>
          <w:tcPr>
            <w:tcW w:w="0" w:type="dxa"/>
            <w:vAlign w:val="bottom"/>
          </w:tcPr>
          <w:p>
            <w:pPr>
              <w:spacing w:after="0"/>
              <w:rPr>
                <w:sz w:val="1"/>
                <w:szCs w:val="1"/>
                <w:color w:val="auto"/>
              </w:rPr>
            </w:pPr>
          </w:p>
        </w:tc>
      </w:tr>
      <w:tr>
        <w:trPr>
          <w:trHeight w:val="189"/>
        </w:trPr>
        <w:tc>
          <w:tcPr>
            <w:tcW w:w="180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SELECT FINANCIAL</w:t>
            </w:r>
          </w:p>
        </w:tc>
        <w:tc>
          <w:tcPr>
            <w:tcW w:w="220" w:type="dxa"/>
            <w:vAlign w:val="bottom"/>
            <w:shd w:val="clear" w:color="auto" w:fill="083566"/>
          </w:tcPr>
          <w:p>
            <w:pPr>
              <w:spacing w:after="0"/>
              <w:rPr>
                <w:sz w:val="16"/>
                <w:szCs w:val="16"/>
                <w:color w:val="auto"/>
              </w:rPr>
            </w:pPr>
          </w:p>
        </w:tc>
        <w:tc>
          <w:tcPr>
            <w:tcW w:w="880" w:type="dxa"/>
            <w:vAlign w:val="bottom"/>
            <w:shd w:val="clear" w:color="auto" w:fill="083566"/>
          </w:tcPr>
          <w:p>
            <w:pPr>
              <w:spacing w:after="0"/>
              <w:rPr>
                <w:sz w:val="16"/>
                <w:szCs w:val="16"/>
                <w:color w:val="auto"/>
              </w:rPr>
            </w:pPr>
          </w:p>
        </w:tc>
        <w:tc>
          <w:tcPr>
            <w:tcW w:w="200" w:type="dxa"/>
            <w:vAlign w:val="bottom"/>
            <w:shd w:val="clear" w:color="auto" w:fill="083566"/>
          </w:tcPr>
          <w:p>
            <w:pPr>
              <w:spacing w:after="0"/>
              <w:rPr>
                <w:sz w:val="16"/>
                <w:szCs w:val="16"/>
                <w:color w:val="auto"/>
              </w:rPr>
            </w:pPr>
          </w:p>
        </w:tc>
        <w:tc>
          <w:tcPr>
            <w:tcW w:w="980" w:type="dxa"/>
            <w:vAlign w:val="bottom"/>
            <w:shd w:val="clear" w:color="auto" w:fill="083566"/>
          </w:tcPr>
          <w:p>
            <w:pPr>
              <w:spacing w:after="0"/>
              <w:rPr>
                <w:sz w:val="16"/>
                <w:szCs w:val="16"/>
                <w:color w:val="auto"/>
              </w:rPr>
            </w:pPr>
          </w:p>
        </w:tc>
        <w:tc>
          <w:tcPr>
            <w:tcW w:w="880" w:type="dxa"/>
            <w:vAlign w:val="bottom"/>
            <w:shd w:val="clear" w:color="auto" w:fill="083566"/>
          </w:tcPr>
          <w:p>
            <w:pPr>
              <w:spacing w:after="0"/>
              <w:rPr>
                <w:sz w:val="16"/>
                <w:szCs w:val="16"/>
                <w:color w:val="auto"/>
              </w:rPr>
            </w:pPr>
          </w:p>
        </w:tc>
        <w:tc>
          <w:tcPr>
            <w:tcW w:w="940" w:type="dxa"/>
            <w:vAlign w:val="bottom"/>
            <w:gridSpan w:val="2"/>
            <w:shd w:val="clear" w:color="auto" w:fill="083566"/>
          </w:tcPr>
          <w:p>
            <w:pPr>
              <w:ind w:left="120"/>
              <w:spacing w:after="0"/>
              <w:rPr>
                <w:sz w:val="20"/>
                <w:szCs w:val="20"/>
                <w:color w:val="auto"/>
              </w:rPr>
            </w:pPr>
            <w:r>
              <w:rPr>
                <w:rFonts w:ascii="Arial" w:cs="Arial" w:eastAsia="Arial" w:hAnsi="Arial"/>
                <w:sz w:val="16"/>
                <w:szCs w:val="16"/>
                <w:b w:val="1"/>
                <w:bCs w:val="1"/>
                <w:color w:val="FFFFFF"/>
              </w:rPr>
              <w:t>Currency</w:t>
            </w:r>
          </w:p>
        </w:tc>
        <w:tc>
          <w:tcPr>
            <w:tcW w:w="0" w:type="dxa"/>
            <w:vAlign w:val="bottom"/>
          </w:tcPr>
          <w:p>
            <w:pPr>
              <w:spacing w:after="0"/>
              <w:rPr>
                <w:sz w:val="1"/>
                <w:szCs w:val="1"/>
                <w:color w:val="auto"/>
              </w:rPr>
            </w:pPr>
          </w:p>
        </w:tc>
      </w:tr>
      <w:tr>
        <w:trPr>
          <w:trHeight w:val="263"/>
        </w:trPr>
        <w:tc>
          <w:tcPr>
            <w:tcW w:w="180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RESULTS</w:t>
            </w:r>
          </w:p>
        </w:tc>
        <w:tc>
          <w:tcPr>
            <w:tcW w:w="220" w:type="dxa"/>
            <w:vAlign w:val="bottom"/>
            <w:shd w:val="clear" w:color="auto" w:fill="083566"/>
          </w:tcPr>
          <w:p>
            <w:pPr>
              <w:spacing w:after="0"/>
              <w:rPr>
                <w:sz w:val="22"/>
                <w:szCs w:val="22"/>
                <w:color w:val="auto"/>
              </w:rPr>
            </w:pPr>
          </w:p>
        </w:tc>
        <w:tc>
          <w:tcPr>
            <w:tcW w:w="880" w:type="dxa"/>
            <w:vAlign w:val="bottom"/>
            <w:shd w:val="clear" w:color="auto" w:fill="083566"/>
          </w:tcPr>
          <w:p>
            <w:pPr>
              <w:jc w:val="right"/>
              <w:ind w:right="279"/>
              <w:spacing w:after="0"/>
              <w:rPr>
                <w:sz w:val="20"/>
                <w:szCs w:val="20"/>
                <w:color w:val="auto"/>
              </w:rPr>
            </w:pPr>
            <w:r>
              <w:rPr>
                <w:rFonts w:ascii="Arial" w:cs="Arial" w:eastAsia="Arial" w:hAnsi="Arial"/>
                <w:sz w:val="16"/>
                <w:szCs w:val="16"/>
                <w:b w:val="1"/>
                <w:bCs w:val="1"/>
                <w:color w:val="FFFFFF"/>
              </w:rPr>
              <w:t>2Q21</w:t>
            </w:r>
          </w:p>
        </w:tc>
        <w:tc>
          <w:tcPr>
            <w:tcW w:w="200" w:type="dxa"/>
            <w:vAlign w:val="bottom"/>
            <w:shd w:val="clear" w:color="auto" w:fill="083566"/>
          </w:tcPr>
          <w:p>
            <w:pPr>
              <w:spacing w:after="0"/>
              <w:rPr>
                <w:sz w:val="22"/>
                <w:szCs w:val="22"/>
                <w:color w:val="auto"/>
              </w:rPr>
            </w:pPr>
          </w:p>
        </w:tc>
        <w:tc>
          <w:tcPr>
            <w:tcW w:w="980" w:type="dxa"/>
            <w:vAlign w:val="bottom"/>
            <w:shd w:val="clear" w:color="auto" w:fill="083566"/>
          </w:tcPr>
          <w:p>
            <w:pPr>
              <w:jc w:val="right"/>
              <w:ind w:right="359"/>
              <w:spacing w:after="0"/>
              <w:rPr>
                <w:sz w:val="20"/>
                <w:szCs w:val="20"/>
                <w:color w:val="auto"/>
              </w:rPr>
            </w:pPr>
            <w:r>
              <w:rPr>
                <w:rFonts w:ascii="Arial" w:cs="Arial" w:eastAsia="Arial" w:hAnsi="Arial"/>
                <w:sz w:val="16"/>
                <w:szCs w:val="16"/>
                <w:b w:val="1"/>
                <w:bCs w:val="1"/>
                <w:color w:val="FFFFFF"/>
              </w:rPr>
              <w:t>2Q20</w:t>
            </w:r>
          </w:p>
        </w:tc>
        <w:tc>
          <w:tcPr>
            <w:tcW w:w="880" w:type="dxa"/>
            <w:vAlign w:val="bottom"/>
            <w:shd w:val="clear" w:color="auto" w:fill="083566"/>
          </w:tcPr>
          <w:p>
            <w:pPr>
              <w:jc w:val="right"/>
              <w:ind w:right="99"/>
              <w:spacing w:after="0"/>
              <w:rPr>
                <w:sz w:val="20"/>
                <w:szCs w:val="20"/>
                <w:color w:val="auto"/>
              </w:rPr>
            </w:pPr>
            <w:r>
              <w:rPr>
                <w:rFonts w:ascii="Arial" w:cs="Arial" w:eastAsia="Arial" w:hAnsi="Arial"/>
                <w:sz w:val="16"/>
                <w:szCs w:val="16"/>
                <w:b w:val="1"/>
                <w:bCs w:val="1"/>
                <w:color w:val="FFFFFF"/>
              </w:rPr>
              <w:t>Change</w:t>
            </w:r>
          </w:p>
        </w:tc>
        <w:tc>
          <w:tcPr>
            <w:tcW w:w="940" w:type="dxa"/>
            <w:vAlign w:val="bottom"/>
            <w:gridSpan w:val="2"/>
            <w:shd w:val="clear" w:color="auto" w:fill="083566"/>
          </w:tcPr>
          <w:p>
            <w:pPr>
              <w:ind w:left="100"/>
              <w:spacing w:after="0"/>
              <w:rPr>
                <w:sz w:val="20"/>
                <w:szCs w:val="20"/>
                <w:color w:val="auto"/>
              </w:rPr>
            </w:pPr>
            <w:r>
              <w:rPr>
                <w:rFonts w:ascii="Arial" w:cs="Arial" w:eastAsia="Arial" w:hAnsi="Arial"/>
                <w:sz w:val="16"/>
                <w:szCs w:val="16"/>
                <w:b w:val="1"/>
                <w:bCs w:val="1"/>
                <w:color w:val="FFFFFF"/>
              </w:rPr>
              <w:t xml:space="preserve">Growth </w:t>
            </w:r>
            <w:r>
              <w:rPr>
                <w:rFonts w:ascii="Arial" w:cs="Arial" w:eastAsia="Arial" w:hAnsi="Arial"/>
                <w:sz w:val="21"/>
                <w:szCs w:val="21"/>
                <w:b w:val="1"/>
                <w:bCs w:val="1"/>
                <w:color w:val="FFFFFF"/>
                <w:vertAlign w:val="superscript"/>
              </w:rPr>
              <w:t>(1)</w:t>
            </w:r>
          </w:p>
        </w:tc>
        <w:tc>
          <w:tcPr>
            <w:tcW w:w="0" w:type="dxa"/>
            <w:vAlign w:val="bottom"/>
          </w:tcPr>
          <w:p>
            <w:pPr>
              <w:spacing w:after="0"/>
              <w:rPr>
                <w:sz w:val="1"/>
                <w:szCs w:val="1"/>
                <w:color w:val="auto"/>
              </w:rPr>
            </w:pPr>
          </w:p>
        </w:tc>
      </w:tr>
      <w:tr>
        <w:trPr>
          <w:trHeight w:val="214"/>
        </w:trPr>
        <w:tc>
          <w:tcPr>
            <w:tcW w:w="4960" w:type="dxa"/>
            <w:vAlign w:val="bottom"/>
            <w:gridSpan w:val="6"/>
            <w:shd w:val="clear" w:color="auto" w:fill="083566"/>
          </w:tcPr>
          <w:p>
            <w:pPr>
              <w:ind w:left="20"/>
              <w:spacing w:after="0"/>
              <w:rPr>
                <w:sz w:val="20"/>
                <w:szCs w:val="20"/>
                <w:color w:val="auto"/>
              </w:rPr>
            </w:pPr>
            <w:r>
              <w:rPr>
                <w:rFonts w:ascii="Arial" w:cs="Arial" w:eastAsia="Arial" w:hAnsi="Arial"/>
                <w:sz w:val="16"/>
                <w:szCs w:val="16"/>
                <w:color w:val="FFFFFF"/>
              </w:rPr>
              <w:t>(dollars in thousands except per share amounts)(Unaudited)</w:t>
            </w:r>
          </w:p>
        </w:tc>
        <w:tc>
          <w:tcPr>
            <w:tcW w:w="560" w:type="dxa"/>
            <w:vAlign w:val="bottom"/>
            <w:shd w:val="clear" w:color="auto" w:fill="083566"/>
          </w:tcPr>
          <w:p>
            <w:pPr>
              <w:spacing w:after="0"/>
              <w:rPr>
                <w:sz w:val="18"/>
                <w:szCs w:val="18"/>
                <w:color w:val="auto"/>
              </w:rPr>
            </w:pPr>
          </w:p>
        </w:tc>
        <w:tc>
          <w:tcPr>
            <w:tcW w:w="380" w:type="dxa"/>
            <w:vAlign w:val="bottom"/>
            <w:shd w:val="clear" w:color="auto" w:fill="083566"/>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2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GAAP Financial Measures</w:t>
            </w:r>
          </w:p>
        </w:tc>
        <w:tc>
          <w:tcPr>
            <w:tcW w:w="8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980" w:type="dxa"/>
            <w:vAlign w:val="bottom"/>
            <w:shd w:val="clear" w:color="auto" w:fill="D5DCE4"/>
          </w:tcPr>
          <w:p>
            <w:pPr>
              <w:spacing w:after="0"/>
              <w:rPr>
                <w:sz w:val="21"/>
                <w:szCs w:val="21"/>
                <w:color w:val="auto"/>
              </w:rPr>
            </w:pPr>
          </w:p>
        </w:tc>
        <w:tc>
          <w:tcPr>
            <w:tcW w:w="88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380" w:type="dxa"/>
            <w:vAlign w:val="bottom"/>
            <w:shd w:val="clear" w:color="auto" w:fill="D5DCE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80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260,840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212,107</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23.0 %</w:t>
            </w:r>
          </w:p>
        </w:tc>
        <w:tc>
          <w:tcPr>
            <w:tcW w:w="560" w:type="dxa"/>
            <w:vAlign w:val="bottom"/>
          </w:tcPr>
          <w:p>
            <w:pPr>
              <w:jc w:val="right"/>
              <w:spacing w:after="0"/>
              <w:rPr>
                <w:sz w:val="20"/>
                <w:szCs w:val="20"/>
                <w:color w:val="auto"/>
              </w:rPr>
            </w:pPr>
            <w:r>
              <w:rPr>
                <w:rFonts w:ascii="Arial" w:cs="Arial" w:eastAsia="Arial" w:hAnsi="Arial"/>
                <w:sz w:val="16"/>
                <w:szCs w:val="16"/>
                <w:color w:val="auto"/>
              </w:rPr>
              <w:t>20.2</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800" w:type="dxa"/>
            <w:vAlign w:val="bottom"/>
          </w:tcPr>
          <w:p>
            <w:pPr>
              <w:ind w:left="140"/>
              <w:spacing w:after="0"/>
              <w:rPr>
                <w:sz w:val="20"/>
                <w:szCs w:val="20"/>
                <w:color w:val="auto"/>
              </w:rPr>
            </w:pPr>
            <w:r>
              <w:rPr>
                <w:rFonts w:ascii="Arial" w:cs="Arial" w:eastAsia="Arial" w:hAnsi="Arial"/>
                <w:sz w:val="16"/>
                <w:szCs w:val="16"/>
                <w:color w:val="auto"/>
              </w:rPr>
              <w:t>Rates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134,003</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112,823</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18.8 %</w:t>
            </w:r>
          </w:p>
        </w:tc>
        <w:tc>
          <w:tcPr>
            <w:tcW w:w="560" w:type="dxa"/>
            <w:vAlign w:val="bottom"/>
          </w:tcPr>
          <w:p>
            <w:pPr>
              <w:jc w:val="right"/>
              <w:spacing w:after="0"/>
              <w:rPr>
                <w:sz w:val="20"/>
                <w:szCs w:val="20"/>
                <w:color w:val="auto"/>
              </w:rPr>
            </w:pPr>
            <w:r>
              <w:rPr>
                <w:rFonts w:ascii="Arial" w:cs="Arial" w:eastAsia="Arial" w:hAnsi="Arial"/>
                <w:sz w:val="16"/>
                <w:szCs w:val="16"/>
                <w:color w:val="auto"/>
              </w:rPr>
              <w:t>15.9</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1800" w:type="dxa"/>
            <w:vAlign w:val="bottom"/>
          </w:tcPr>
          <w:p>
            <w:pPr>
              <w:ind w:left="140"/>
              <w:spacing w:after="0"/>
              <w:rPr>
                <w:sz w:val="20"/>
                <w:szCs w:val="20"/>
                <w:color w:val="auto"/>
              </w:rPr>
            </w:pPr>
            <w:r>
              <w:rPr>
                <w:rFonts w:ascii="Arial" w:cs="Arial" w:eastAsia="Arial" w:hAnsi="Arial"/>
                <w:sz w:val="16"/>
                <w:szCs w:val="16"/>
                <w:color w:val="auto"/>
              </w:rPr>
              <w:t>Credit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72,212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49,105</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47.1 %</w:t>
            </w:r>
          </w:p>
        </w:tc>
        <w:tc>
          <w:tcPr>
            <w:tcW w:w="560" w:type="dxa"/>
            <w:vAlign w:val="bottom"/>
          </w:tcPr>
          <w:p>
            <w:pPr>
              <w:jc w:val="right"/>
              <w:spacing w:after="0"/>
              <w:rPr>
                <w:sz w:val="20"/>
                <w:szCs w:val="20"/>
                <w:color w:val="auto"/>
              </w:rPr>
            </w:pPr>
            <w:r>
              <w:rPr>
                <w:rFonts w:ascii="Arial" w:cs="Arial" w:eastAsia="Arial" w:hAnsi="Arial"/>
                <w:sz w:val="16"/>
                <w:szCs w:val="16"/>
                <w:color w:val="auto"/>
              </w:rPr>
              <w:t>44.3</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800" w:type="dxa"/>
            <w:vAlign w:val="bottom"/>
          </w:tcPr>
          <w:p>
            <w:pPr>
              <w:ind w:left="140"/>
              <w:spacing w:after="0"/>
              <w:rPr>
                <w:sz w:val="20"/>
                <w:szCs w:val="20"/>
                <w:color w:val="auto"/>
              </w:rPr>
            </w:pPr>
            <w:r>
              <w:rPr>
                <w:rFonts w:ascii="Arial" w:cs="Arial" w:eastAsia="Arial" w:hAnsi="Arial"/>
                <w:sz w:val="16"/>
                <w:szCs w:val="16"/>
                <w:color w:val="auto"/>
              </w:rPr>
              <w:t>Equities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17,397</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15,407</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12.9 %</w:t>
            </w:r>
          </w:p>
        </w:tc>
        <w:tc>
          <w:tcPr>
            <w:tcW w:w="560" w:type="dxa"/>
            <w:vAlign w:val="bottom"/>
          </w:tcPr>
          <w:p>
            <w:pPr>
              <w:jc w:val="right"/>
              <w:spacing w:after="0"/>
              <w:rPr>
                <w:sz w:val="20"/>
                <w:szCs w:val="20"/>
                <w:color w:val="auto"/>
              </w:rPr>
            </w:pPr>
            <w:r>
              <w:rPr>
                <w:rFonts w:ascii="Arial" w:cs="Arial" w:eastAsia="Arial" w:hAnsi="Arial"/>
                <w:sz w:val="16"/>
                <w:szCs w:val="16"/>
                <w:color w:val="auto"/>
              </w:rPr>
              <w:t>8.7</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800" w:type="dxa"/>
            <w:vAlign w:val="bottom"/>
          </w:tcPr>
          <w:p>
            <w:pPr>
              <w:ind w:left="140"/>
              <w:spacing w:after="0"/>
              <w:rPr>
                <w:sz w:val="20"/>
                <w:szCs w:val="20"/>
                <w:color w:val="auto"/>
              </w:rPr>
            </w:pPr>
            <w:r>
              <w:rPr>
                <w:rFonts w:ascii="Arial" w:cs="Arial" w:eastAsia="Arial" w:hAnsi="Arial"/>
                <w:sz w:val="16"/>
                <w:szCs w:val="16"/>
                <w:color w:val="auto"/>
              </w:rPr>
              <w:t>Money Markets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11,340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10,539</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7.6 %</w:t>
            </w:r>
          </w:p>
        </w:tc>
        <w:tc>
          <w:tcPr>
            <w:tcW w:w="560" w:type="dxa"/>
            <w:vAlign w:val="bottom"/>
          </w:tcPr>
          <w:p>
            <w:pPr>
              <w:jc w:val="right"/>
              <w:spacing w:after="0"/>
              <w:rPr>
                <w:sz w:val="20"/>
                <w:szCs w:val="20"/>
                <w:color w:val="auto"/>
              </w:rPr>
            </w:pPr>
            <w:r>
              <w:rPr>
                <w:rFonts w:ascii="Arial" w:cs="Arial" w:eastAsia="Arial" w:hAnsi="Arial"/>
                <w:sz w:val="16"/>
                <w:szCs w:val="16"/>
                <w:color w:val="auto"/>
              </w:rPr>
              <w:t>5.7</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1800" w:type="dxa"/>
            <w:vAlign w:val="bottom"/>
          </w:tcPr>
          <w:p>
            <w:pPr>
              <w:ind w:left="140"/>
              <w:spacing w:after="0"/>
              <w:rPr>
                <w:sz w:val="20"/>
                <w:szCs w:val="20"/>
                <w:color w:val="auto"/>
              </w:rPr>
            </w:pPr>
            <w:r>
              <w:rPr>
                <w:rFonts w:ascii="Arial" w:cs="Arial" w:eastAsia="Arial" w:hAnsi="Arial"/>
                <w:sz w:val="16"/>
                <w:szCs w:val="16"/>
                <w:color w:val="auto"/>
              </w:rPr>
              <w:t>Market Data</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20,007</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18,497</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8.2 %</w:t>
            </w:r>
          </w:p>
        </w:tc>
        <w:tc>
          <w:tcPr>
            <w:tcW w:w="560" w:type="dxa"/>
            <w:vAlign w:val="bottom"/>
          </w:tcPr>
          <w:p>
            <w:pPr>
              <w:jc w:val="right"/>
              <w:spacing w:after="0"/>
              <w:rPr>
                <w:sz w:val="20"/>
                <w:szCs w:val="20"/>
                <w:color w:val="auto"/>
              </w:rPr>
            </w:pPr>
            <w:r>
              <w:rPr>
                <w:rFonts w:ascii="Arial" w:cs="Arial" w:eastAsia="Arial" w:hAnsi="Arial"/>
                <w:sz w:val="16"/>
                <w:szCs w:val="16"/>
                <w:color w:val="auto"/>
              </w:rPr>
              <w:t>6.1</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800" w:type="dxa"/>
            <w:vAlign w:val="bottom"/>
          </w:tcPr>
          <w:p>
            <w:pPr>
              <w:ind w:left="140"/>
              <w:spacing w:after="0"/>
              <w:rPr>
                <w:sz w:val="20"/>
                <w:szCs w:val="20"/>
                <w:color w:val="auto"/>
              </w:rPr>
            </w:pPr>
            <w:r>
              <w:rPr>
                <w:rFonts w:ascii="Arial" w:cs="Arial" w:eastAsia="Arial" w:hAnsi="Arial"/>
                <w:sz w:val="16"/>
                <w:szCs w:val="16"/>
                <w:color w:val="auto"/>
              </w:rPr>
              <w:t>Other</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5,881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5,736</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2.5 %</w:t>
            </w:r>
          </w:p>
        </w:tc>
        <w:tc>
          <w:tcPr>
            <w:tcW w:w="560" w:type="dxa"/>
            <w:vAlign w:val="bottom"/>
          </w:tcPr>
          <w:p>
            <w:pPr>
              <w:jc w:val="right"/>
              <w:spacing w:after="0"/>
              <w:rPr>
                <w:sz w:val="20"/>
                <w:szCs w:val="20"/>
                <w:color w:val="auto"/>
              </w:rPr>
            </w:pPr>
            <w:r>
              <w:rPr>
                <w:rFonts w:ascii="Arial" w:cs="Arial" w:eastAsia="Arial" w:hAnsi="Arial"/>
                <w:sz w:val="16"/>
                <w:szCs w:val="16"/>
                <w:color w:val="auto"/>
              </w:rPr>
              <w:t>2.5</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8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66,233</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42,408</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56.2 %</w:t>
            </w: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800" w:type="dxa"/>
            <w:vAlign w:val="bottom"/>
          </w:tcPr>
          <w:p>
            <w:pPr>
              <w:ind w:left="20"/>
              <w:spacing w:after="0"/>
              <w:rPr>
                <w:sz w:val="20"/>
                <w:szCs w:val="20"/>
                <w:color w:val="auto"/>
              </w:rPr>
            </w:pPr>
            <w:r>
              <w:rPr>
                <w:rFonts w:ascii="Arial" w:cs="Arial" w:eastAsia="Arial" w:hAnsi="Arial"/>
                <w:sz w:val="16"/>
                <w:szCs w:val="16"/>
                <w:color w:val="auto"/>
              </w:rPr>
              <w:t>Net Income attributable</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1800" w:type="dxa"/>
            <w:vAlign w:val="bottom"/>
          </w:tcPr>
          <w:p>
            <w:pPr>
              <w:ind w:left="20"/>
              <w:spacing w:after="0"/>
              <w:rPr>
                <w:sz w:val="20"/>
                <w:szCs w:val="20"/>
                <w:color w:val="auto"/>
              </w:rPr>
            </w:pPr>
            <w:r>
              <w:rPr>
                <w:rFonts w:ascii="Arial" w:cs="Arial" w:eastAsia="Arial" w:hAnsi="Arial"/>
                <w:sz w:val="16"/>
                <w:szCs w:val="16"/>
                <w:color w:val="auto"/>
              </w:rPr>
              <w:t>to Tradeweb Markets</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1800" w:type="dxa"/>
            <w:vAlign w:val="bottom"/>
          </w:tcPr>
          <w:p>
            <w:pPr>
              <w:ind w:left="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21"/>
                <w:szCs w:val="21"/>
                <w:color w:val="auto"/>
                <w:vertAlign w:val="superscript"/>
              </w:rPr>
              <w:t>(2)</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55,316</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30,496</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81.4 %</w:t>
            </w:r>
          </w:p>
        </w:tc>
        <w:tc>
          <w:tcPr>
            <w:tcW w:w="5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1800" w:type="dxa"/>
            <w:vAlign w:val="bottom"/>
          </w:tcPr>
          <w:p>
            <w:pPr>
              <w:ind w:left="20"/>
              <w:spacing w:after="0"/>
              <w:rPr>
                <w:sz w:val="20"/>
                <w:szCs w:val="20"/>
                <w:color w:val="auto"/>
              </w:rPr>
            </w:pPr>
            <w:r>
              <w:rPr>
                <w:rFonts w:ascii="Arial" w:cs="Arial" w:eastAsia="Arial" w:hAnsi="Arial"/>
                <w:sz w:val="16"/>
                <w:szCs w:val="16"/>
                <w:color w:val="auto"/>
              </w:rPr>
              <w:t>Diluted EPS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0.27</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0.16</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68.8 %</w:t>
            </w: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900" w:type="dxa"/>
            <w:vAlign w:val="bottom"/>
            <w:gridSpan w:val="3"/>
            <w:shd w:val="clear" w:color="auto" w:fill="D5DCE4"/>
          </w:tcPr>
          <w:p>
            <w:pPr>
              <w:ind w:left="20"/>
              <w:spacing w:after="0"/>
              <w:rPr>
                <w:sz w:val="20"/>
                <w:szCs w:val="20"/>
                <w:color w:val="auto"/>
              </w:rPr>
            </w:pPr>
            <w:r>
              <w:rPr>
                <w:rFonts w:ascii="Arial" w:cs="Arial" w:eastAsia="Arial" w:hAnsi="Arial"/>
                <w:sz w:val="16"/>
                <w:szCs w:val="16"/>
                <w:color w:val="auto"/>
              </w:rPr>
              <w:t>Non-GAAP Financial Measures</w:t>
            </w:r>
          </w:p>
        </w:tc>
        <w:tc>
          <w:tcPr>
            <w:tcW w:w="200" w:type="dxa"/>
            <w:vAlign w:val="bottom"/>
            <w:shd w:val="clear" w:color="auto" w:fill="D5DCE4"/>
          </w:tcPr>
          <w:p>
            <w:pPr>
              <w:spacing w:after="0"/>
              <w:rPr>
                <w:sz w:val="21"/>
                <w:szCs w:val="21"/>
                <w:color w:val="auto"/>
              </w:rPr>
            </w:pPr>
          </w:p>
        </w:tc>
        <w:tc>
          <w:tcPr>
            <w:tcW w:w="980" w:type="dxa"/>
            <w:vAlign w:val="bottom"/>
            <w:shd w:val="clear" w:color="auto" w:fill="D5DCE4"/>
          </w:tcPr>
          <w:p>
            <w:pPr>
              <w:spacing w:after="0"/>
              <w:rPr>
                <w:sz w:val="21"/>
                <w:szCs w:val="21"/>
                <w:color w:val="auto"/>
              </w:rPr>
            </w:pPr>
          </w:p>
        </w:tc>
        <w:tc>
          <w:tcPr>
            <w:tcW w:w="88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380" w:type="dxa"/>
            <w:vAlign w:val="bottom"/>
            <w:shd w:val="clear" w:color="auto" w:fill="D5DCE4"/>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1800" w:type="dxa"/>
            <w:vAlign w:val="bottom"/>
          </w:tcPr>
          <w:p>
            <w:pPr>
              <w:ind w:left="20"/>
              <w:spacing w:after="0"/>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131,898</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101,309</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30.2 %</w:t>
            </w:r>
          </w:p>
        </w:tc>
        <w:tc>
          <w:tcPr>
            <w:tcW w:w="560" w:type="dxa"/>
            <w:vAlign w:val="bottom"/>
          </w:tcPr>
          <w:p>
            <w:pPr>
              <w:jc w:val="right"/>
              <w:spacing w:after="0"/>
              <w:rPr>
                <w:sz w:val="20"/>
                <w:szCs w:val="20"/>
                <w:color w:val="auto"/>
              </w:rPr>
            </w:pPr>
            <w:r>
              <w:rPr>
                <w:rFonts w:ascii="Arial" w:cs="Arial" w:eastAsia="Arial" w:hAnsi="Arial"/>
                <w:sz w:val="16"/>
                <w:szCs w:val="16"/>
                <w:color w:val="auto"/>
              </w:rPr>
              <w:t>27.7</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18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20"/>
              <w:spacing w:after="0"/>
              <w:rPr>
                <w:sz w:val="20"/>
                <w:szCs w:val="20"/>
                <w:color w:val="auto"/>
              </w:rPr>
            </w:pPr>
            <w:r>
              <w:rPr>
                <w:rFonts w:ascii="Arial" w:cs="Arial" w:eastAsia="Arial" w:hAnsi="Arial"/>
                <w:sz w:val="16"/>
                <w:szCs w:val="16"/>
                <w:color w:val="auto"/>
              </w:rPr>
              <w:t xml:space="preserve">margin </w:t>
            </w:r>
            <w:r>
              <w:rPr>
                <w:rFonts w:ascii="Arial" w:cs="Arial" w:eastAsia="Arial" w:hAnsi="Arial"/>
                <w:sz w:val="21"/>
                <w:szCs w:val="21"/>
                <w:color w:val="auto"/>
                <w:vertAlign w:val="superscript"/>
              </w:rPr>
              <w:t>(1)</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50.6 %</w:t>
            </w:r>
          </w:p>
        </w:tc>
        <w:tc>
          <w:tcPr>
            <w:tcW w:w="20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47.8 %</w:t>
            </w:r>
          </w:p>
        </w:tc>
        <w:tc>
          <w:tcPr>
            <w:tcW w:w="880" w:type="dxa"/>
            <w:vAlign w:val="bottom"/>
          </w:tcPr>
          <w:p>
            <w:pPr>
              <w:jc w:val="right"/>
              <w:spacing w:after="0"/>
              <w:rPr>
                <w:sz w:val="20"/>
                <w:szCs w:val="20"/>
                <w:color w:val="auto"/>
              </w:rPr>
            </w:pPr>
            <w:r>
              <w:rPr>
                <w:rFonts w:ascii="Arial" w:cs="Arial" w:eastAsia="Arial" w:hAnsi="Arial"/>
                <w:sz w:val="16"/>
                <w:szCs w:val="16"/>
                <w:color w:val="auto"/>
              </w:rPr>
              <w:t>280 bps</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297 bps</w:t>
            </w:r>
          </w:p>
        </w:tc>
        <w:tc>
          <w:tcPr>
            <w:tcW w:w="0" w:type="dxa"/>
            <w:vAlign w:val="bottom"/>
          </w:tcPr>
          <w:p>
            <w:pPr>
              <w:spacing w:after="0"/>
              <w:rPr>
                <w:sz w:val="1"/>
                <w:szCs w:val="1"/>
                <w:color w:val="auto"/>
              </w:rPr>
            </w:pPr>
          </w:p>
        </w:tc>
      </w:tr>
      <w:tr>
        <w:trPr>
          <w:trHeight w:val="243"/>
        </w:trPr>
        <w:tc>
          <w:tcPr>
            <w:tcW w:w="1800" w:type="dxa"/>
            <w:vAlign w:val="bottom"/>
          </w:tcPr>
          <w:p>
            <w:pPr>
              <w:ind w:left="20"/>
              <w:spacing w:after="0"/>
              <w:rPr>
                <w:sz w:val="20"/>
                <w:szCs w:val="20"/>
                <w:color w:val="auto"/>
              </w:rPr>
            </w:pPr>
            <w:r>
              <w:rPr>
                <w:rFonts w:ascii="Arial" w:cs="Arial" w:eastAsia="Arial" w:hAnsi="Arial"/>
                <w:sz w:val="16"/>
                <w:szCs w:val="16"/>
                <w:color w:val="auto"/>
              </w:rPr>
              <w:t xml:space="preserve">Adjusted EBIT </w:t>
            </w:r>
            <w:r>
              <w:rPr>
                <w:rFonts w:ascii="Arial" w:cs="Arial" w:eastAsia="Arial" w:hAnsi="Arial"/>
                <w:sz w:val="21"/>
                <w:szCs w:val="2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120,271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90,521</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32.9 %</w:t>
            </w:r>
          </w:p>
        </w:tc>
        <w:tc>
          <w:tcPr>
            <w:tcW w:w="560" w:type="dxa"/>
            <w:vAlign w:val="bottom"/>
          </w:tcPr>
          <w:p>
            <w:pPr>
              <w:jc w:val="right"/>
              <w:spacing w:after="0"/>
              <w:rPr>
                <w:sz w:val="20"/>
                <w:szCs w:val="20"/>
                <w:color w:val="auto"/>
              </w:rPr>
            </w:pPr>
            <w:r>
              <w:rPr>
                <w:rFonts w:ascii="Arial" w:cs="Arial" w:eastAsia="Arial" w:hAnsi="Arial"/>
                <w:sz w:val="16"/>
                <w:szCs w:val="16"/>
                <w:color w:val="auto"/>
              </w:rPr>
              <w:t>30.2</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800" w:type="dxa"/>
            <w:vAlign w:val="bottom"/>
          </w:tcPr>
          <w:p>
            <w:pPr>
              <w:ind w:left="20"/>
              <w:spacing w:after="0"/>
              <w:rPr>
                <w:sz w:val="20"/>
                <w:szCs w:val="20"/>
                <w:color w:val="auto"/>
              </w:rPr>
            </w:pPr>
            <w:r>
              <w:rPr>
                <w:rFonts w:ascii="Arial" w:cs="Arial" w:eastAsia="Arial" w:hAnsi="Arial"/>
                <w:sz w:val="16"/>
                <w:szCs w:val="16"/>
                <w:color w:val="auto"/>
                <w:w w:val="99"/>
              </w:rPr>
              <w:t xml:space="preserve">Adjusted EBIT margin </w:t>
            </w:r>
            <w:r>
              <w:rPr>
                <w:rFonts w:ascii="Arial" w:cs="Arial" w:eastAsia="Arial" w:hAnsi="Arial"/>
                <w:sz w:val="21"/>
                <w:szCs w:val="21"/>
                <w:color w:val="auto"/>
                <w:w w:val="99"/>
                <w:vertAlign w:val="superscript"/>
              </w:rPr>
              <w:t>(1)</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46.1 %</w:t>
            </w:r>
          </w:p>
        </w:tc>
        <w:tc>
          <w:tcPr>
            <w:tcW w:w="20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42.7 %</w:t>
            </w:r>
          </w:p>
        </w:tc>
        <w:tc>
          <w:tcPr>
            <w:tcW w:w="880" w:type="dxa"/>
            <w:vAlign w:val="bottom"/>
          </w:tcPr>
          <w:p>
            <w:pPr>
              <w:jc w:val="right"/>
              <w:spacing w:after="0"/>
              <w:rPr>
                <w:sz w:val="20"/>
                <w:szCs w:val="20"/>
                <w:color w:val="auto"/>
              </w:rPr>
            </w:pPr>
            <w:r>
              <w:rPr>
                <w:rFonts w:ascii="Arial" w:cs="Arial" w:eastAsia="Arial" w:hAnsi="Arial"/>
                <w:sz w:val="16"/>
                <w:szCs w:val="16"/>
                <w:color w:val="auto"/>
              </w:rPr>
              <w:t>343 bps</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353 bps</w:t>
            </w:r>
          </w:p>
        </w:tc>
        <w:tc>
          <w:tcPr>
            <w:tcW w:w="0" w:type="dxa"/>
            <w:vAlign w:val="bottom"/>
          </w:tcPr>
          <w:p>
            <w:pPr>
              <w:spacing w:after="0"/>
              <w:rPr>
                <w:sz w:val="1"/>
                <w:szCs w:val="1"/>
                <w:color w:val="auto"/>
              </w:rPr>
            </w:pPr>
          </w:p>
        </w:tc>
      </w:tr>
      <w:tr>
        <w:trPr>
          <w:trHeight w:val="246"/>
        </w:trPr>
        <w:tc>
          <w:tcPr>
            <w:tcW w:w="1800" w:type="dxa"/>
            <w:vAlign w:val="bottom"/>
          </w:tcPr>
          <w:p>
            <w:pPr>
              <w:ind w:left="20"/>
              <w:spacing w:after="0"/>
              <w:rPr>
                <w:sz w:val="20"/>
                <w:szCs w:val="20"/>
                <w:color w:val="auto"/>
              </w:rPr>
            </w:pPr>
            <w:r>
              <w:rPr>
                <w:rFonts w:ascii="Arial" w:cs="Arial" w:eastAsia="Arial" w:hAnsi="Arial"/>
                <w:sz w:val="16"/>
                <w:szCs w:val="16"/>
                <w:color w:val="auto"/>
              </w:rPr>
              <w:t xml:space="preserve">Adjusted Net Income </w:t>
            </w:r>
            <w:r>
              <w:rPr>
                <w:rFonts w:ascii="Arial" w:cs="Arial" w:eastAsia="Arial" w:hAnsi="Arial"/>
                <w:sz w:val="21"/>
                <w:szCs w:val="2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93,558</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70,383</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32.9 %</w:t>
            </w:r>
          </w:p>
        </w:tc>
        <w:tc>
          <w:tcPr>
            <w:tcW w:w="560" w:type="dxa"/>
            <w:vAlign w:val="bottom"/>
          </w:tcPr>
          <w:p>
            <w:pPr>
              <w:jc w:val="right"/>
              <w:spacing w:after="0"/>
              <w:rPr>
                <w:sz w:val="20"/>
                <w:szCs w:val="20"/>
                <w:color w:val="auto"/>
              </w:rPr>
            </w:pPr>
            <w:r>
              <w:rPr>
                <w:rFonts w:ascii="Arial" w:cs="Arial" w:eastAsia="Arial" w:hAnsi="Arial"/>
                <w:sz w:val="16"/>
                <w:szCs w:val="16"/>
                <w:color w:val="auto"/>
              </w:rPr>
              <w:t>30.2</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7"/>
        </w:trPr>
        <w:tc>
          <w:tcPr>
            <w:tcW w:w="1800" w:type="dxa"/>
            <w:vAlign w:val="bottom"/>
          </w:tcPr>
          <w:p>
            <w:pPr>
              <w:ind w:left="20"/>
              <w:spacing w:after="0" w:line="147" w:lineRule="exact"/>
              <w:rPr>
                <w:sz w:val="20"/>
                <w:szCs w:val="20"/>
                <w:color w:val="auto"/>
              </w:rPr>
            </w:pPr>
            <w:r>
              <w:rPr>
                <w:rFonts w:ascii="Arial" w:cs="Arial" w:eastAsia="Arial" w:hAnsi="Arial"/>
                <w:sz w:val="16"/>
                <w:szCs w:val="16"/>
                <w:color w:val="auto"/>
              </w:rPr>
              <w:t>Adjusted Diluted EPS</w:t>
            </w: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ind w:right="119"/>
              <w:spacing w:after="0"/>
              <w:rPr>
                <w:sz w:val="20"/>
                <w:szCs w:val="20"/>
                <w:color w:val="auto"/>
              </w:rPr>
            </w:pPr>
            <w:r>
              <w:rPr>
                <w:rFonts w:ascii="Arial" w:cs="Arial" w:eastAsia="Arial" w:hAnsi="Arial"/>
                <w:sz w:val="16"/>
                <w:szCs w:val="16"/>
                <w:color w:val="auto"/>
              </w:rPr>
              <w:t>0.39</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ind w:right="199"/>
              <w:spacing w:after="0"/>
              <w:rPr>
                <w:sz w:val="20"/>
                <w:szCs w:val="20"/>
                <w:color w:val="auto"/>
              </w:rPr>
            </w:pPr>
            <w:r>
              <w:rPr>
                <w:rFonts w:ascii="Arial" w:cs="Arial" w:eastAsia="Arial" w:hAnsi="Arial"/>
                <w:sz w:val="16"/>
                <w:szCs w:val="16"/>
                <w:color w:val="auto"/>
              </w:rPr>
              <w:t>0.30</w:t>
            </w:r>
          </w:p>
        </w:tc>
        <w:tc>
          <w:tcPr>
            <w:tcW w:w="880" w:type="dxa"/>
            <w:vAlign w:val="bottom"/>
            <w:vMerge w:val="restart"/>
          </w:tcPr>
          <w:p>
            <w:pPr>
              <w:jc w:val="right"/>
              <w:ind w:right="119"/>
              <w:spacing w:after="0"/>
              <w:rPr>
                <w:sz w:val="20"/>
                <w:szCs w:val="20"/>
                <w:color w:val="auto"/>
              </w:rPr>
            </w:pPr>
            <w:r>
              <w:rPr>
                <w:rFonts w:ascii="Arial" w:cs="Arial" w:eastAsia="Arial" w:hAnsi="Arial"/>
                <w:sz w:val="16"/>
                <w:szCs w:val="16"/>
                <w:color w:val="auto"/>
              </w:rPr>
              <w:t>30.0 %</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30.0</w:t>
            </w:r>
          </w:p>
        </w:tc>
        <w:tc>
          <w:tcPr>
            <w:tcW w:w="38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1800" w:type="dxa"/>
            <w:vAlign w:val="bottom"/>
          </w:tcPr>
          <w:p>
            <w:pPr>
              <w:ind w:left="20"/>
              <w:spacing w:after="0" w:line="125" w:lineRule="exact"/>
              <w:rPr>
                <w:sz w:val="20"/>
                <w:szCs w:val="20"/>
                <w:color w:val="auto"/>
              </w:rPr>
            </w:pPr>
            <w:r>
              <w:rPr>
                <w:rFonts w:ascii="Arial" w:cs="Arial" w:eastAsia="Arial" w:hAnsi="Arial"/>
                <w:sz w:val="11"/>
                <w:szCs w:val="11"/>
                <w:color w:val="auto"/>
              </w:rPr>
              <w:t>(1)</w:t>
            </w:r>
          </w:p>
        </w:tc>
        <w:tc>
          <w:tcPr>
            <w:tcW w:w="2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497F"/>
        </w:rPr>
        <w:t>Lee Olesky, CEO of Tradeweb Markets:</w:t>
      </w:r>
    </w:p>
    <w:p>
      <w:pPr>
        <w:spacing w:after="0" w:line="121" w:lineRule="exact"/>
        <w:rPr>
          <w:sz w:val="20"/>
          <w:szCs w:val="20"/>
          <w:color w:val="auto"/>
        </w:rPr>
      </w:pPr>
    </w:p>
    <w:p>
      <w:pPr>
        <w:ind w:left="200" w:right="460"/>
        <w:spacing w:after="0" w:line="251" w:lineRule="auto"/>
        <w:rPr>
          <w:sz w:val="20"/>
          <w:szCs w:val="20"/>
          <w:color w:val="auto"/>
        </w:rPr>
      </w:pPr>
      <w:r>
        <w:rPr>
          <w:rFonts w:ascii="Arial" w:cs="Arial" w:eastAsia="Arial" w:hAnsi="Arial"/>
          <w:sz w:val="18"/>
          <w:szCs w:val="18"/>
          <w:color w:val="auto"/>
        </w:rPr>
        <w:t>"Broadening client choice was an important theme this quarter in both credit and rates. Our clients utilized a wider range of electronic trading tools and protocols in credit including RFQ, Tradeweb AllTrade and Portfolio Trading — further evidence that electronic trading activity continues to grow in terms of both volume and sophistication. With the acquisition of the Nasdaq Fixed Income platform completed in June, clients trading wholesale U.S. Treasuries have more choice between our popular streams protocol and the new central limit order book. From a broader Tradeweb perspective, this acquisition is a great opportunity and we believe it positions us well to drive additional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459740</wp:posOffset>
            </wp:positionV>
            <wp:extent cx="3094355" cy="548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9435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 xml:space="preserve">ADV </w:t>
      </w:r>
      <w:r>
        <w:rPr>
          <w:rFonts w:ascii="Arial" w:cs="Arial" w:eastAsia="Arial" w:hAnsi="Arial"/>
          <w:sz w:val="16"/>
          <w:szCs w:val="16"/>
          <w:color w:val="FFFFFF"/>
        </w:rPr>
        <w:t>(US $bn)</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FFFFFF"/>
        </w:rPr>
        <w:t>(Unaudited)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80" w:type="dxa"/>
            <w:vAlign w:val="bottom"/>
          </w:tcPr>
          <w:p>
            <w:pPr>
              <w:ind w:left="20"/>
              <w:spacing w:after="0"/>
              <w:rPr>
                <w:sz w:val="20"/>
                <w:szCs w:val="20"/>
                <w:color w:val="auto"/>
              </w:rPr>
            </w:pPr>
            <w:r>
              <w:rPr>
                <w:rFonts w:ascii="Arial" w:cs="Arial" w:eastAsia="Arial" w:hAnsi="Arial"/>
                <w:sz w:val="16"/>
                <w:szCs w:val="16"/>
                <w:b w:val="1"/>
                <w:bCs w:val="1"/>
                <w:color w:val="FFFFFF"/>
              </w:rPr>
              <w:t>Asset Class</w:t>
            </w:r>
          </w:p>
        </w:tc>
        <w:tc>
          <w:tcPr>
            <w:tcW w:w="1000" w:type="dxa"/>
            <w:vAlign w:val="bottom"/>
          </w:tcPr>
          <w:p>
            <w:pPr>
              <w:ind w:left="20"/>
              <w:spacing w:after="0"/>
              <w:rPr>
                <w:sz w:val="20"/>
                <w:szCs w:val="20"/>
                <w:color w:val="auto"/>
              </w:rPr>
            </w:pPr>
            <w:r>
              <w:rPr>
                <w:rFonts w:ascii="Arial" w:cs="Arial" w:eastAsia="Arial" w:hAnsi="Arial"/>
                <w:sz w:val="16"/>
                <w:szCs w:val="16"/>
                <w:b w:val="1"/>
                <w:bCs w:val="1"/>
                <w:color w:val="FFFFFF"/>
              </w:rPr>
              <w:t>Product</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FFFFFF"/>
              </w:rPr>
              <w:t>2Q21</w:t>
            </w:r>
          </w:p>
        </w:tc>
        <w:tc>
          <w:tcPr>
            <w:tcW w:w="240" w:type="dxa"/>
            <w:vAlign w:val="bottom"/>
          </w:tcPr>
          <w:p>
            <w:pPr>
              <w:spacing w:after="0"/>
              <w:rPr>
                <w:sz w:val="18"/>
                <w:szCs w:val="18"/>
                <w:color w:val="auto"/>
              </w:rPr>
            </w:pPr>
          </w:p>
        </w:tc>
        <w:tc>
          <w:tcPr>
            <w:tcW w:w="780" w:type="dxa"/>
            <w:vAlign w:val="bottom"/>
          </w:tcPr>
          <w:p>
            <w:pPr>
              <w:jc w:val="right"/>
              <w:ind w:right="159"/>
              <w:spacing w:after="0"/>
              <w:rPr>
                <w:sz w:val="20"/>
                <w:szCs w:val="20"/>
                <w:color w:val="auto"/>
              </w:rPr>
            </w:pPr>
            <w:r>
              <w:rPr>
                <w:rFonts w:ascii="Arial" w:cs="Arial" w:eastAsia="Arial" w:hAnsi="Arial"/>
                <w:sz w:val="16"/>
                <w:szCs w:val="16"/>
                <w:b w:val="1"/>
                <w:bCs w:val="1"/>
                <w:color w:val="FFFFFF"/>
              </w:rPr>
              <w:t>2Q20</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FFFFFF"/>
              </w:rPr>
              <w:t>YoY</w:t>
            </w:r>
          </w:p>
        </w:tc>
      </w:tr>
      <w:tr>
        <w:trPr>
          <w:trHeight w:val="243"/>
        </w:trPr>
        <w:tc>
          <w:tcPr>
            <w:tcW w:w="1180" w:type="dxa"/>
            <w:vAlign w:val="bottom"/>
          </w:tcPr>
          <w:p>
            <w:pPr>
              <w:ind w:left="20"/>
              <w:spacing w:after="0"/>
              <w:rPr>
                <w:sz w:val="20"/>
                <w:szCs w:val="20"/>
                <w:color w:val="auto"/>
              </w:rPr>
            </w:pPr>
            <w:r>
              <w:rPr>
                <w:rFonts w:ascii="Arial" w:cs="Arial" w:eastAsia="Arial" w:hAnsi="Arial"/>
                <w:sz w:val="16"/>
                <w:szCs w:val="16"/>
                <w:color w:val="auto"/>
              </w:rPr>
              <w:t>Rates</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319</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19"/>
              <w:spacing w:after="0"/>
              <w:rPr>
                <w:sz w:val="20"/>
                <w:szCs w:val="20"/>
                <w:color w:val="auto"/>
              </w:rPr>
            </w:pPr>
            <w:r>
              <w:rPr>
                <w:rFonts w:ascii="Arial" w:cs="Arial" w:eastAsia="Arial" w:hAnsi="Arial"/>
                <w:sz w:val="16"/>
                <w:szCs w:val="16"/>
                <w:color w:val="auto"/>
              </w:rPr>
              <w:t>298</w:t>
            </w:r>
          </w:p>
        </w:tc>
        <w:tc>
          <w:tcPr>
            <w:tcW w:w="860" w:type="dxa"/>
            <w:vAlign w:val="bottom"/>
          </w:tcPr>
          <w:p>
            <w:pPr>
              <w:jc w:val="right"/>
              <w:spacing w:after="0"/>
              <w:rPr>
                <w:sz w:val="20"/>
                <w:szCs w:val="20"/>
                <w:color w:val="auto"/>
              </w:rPr>
            </w:pPr>
            <w:r>
              <w:rPr>
                <w:rFonts w:ascii="Arial" w:cs="Arial" w:eastAsia="Arial" w:hAnsi="Arial"/>
                <w:sz w:val="16"/>
                <w:szCs w:val="16"/>
                <w:color w:val="auto"/>
              </w:rPr>
              <w:t>7.2 %</w:t>
            </w:r>
          </w:p>
        </w:tc>
      </w:tr>
      <w:tr>
        <w:trPr>
          <w:trHeight w:val="253"/>
        </w:trPr>
        <w:tc>
          <w:tcPr>
            <w:tcW w:w="118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257</w:t>
            </w:r>
          </w:p>
        </w:tc>
        <w:tc>
          <w:tcPr>
            <w:tcW w:w="240" w:type="dxa"/>
            <w:vAlign w:val="bottom"/>
          </w:tcPr>
          <w:p>
            <w:pPr>
              <w:spacing w:after="0"/>
              <w:rPr>
                <w:sz w:val="21"/>
                <w:szCs w:val="21"/>
                <w:color w:val="auto"/>
              </w:rPr>
            </w:pPr>
          </w:p>
        </w:tc>
        <w:tc>
          <w:tcPr>
            <w:tcW w:w="780" w:type="dxa"/>
            <w:vAlign w:val="bottom"/>
          </w:tcPr>
          <w:p>
            <w:pPr>
              <w:jc w:val="right"/>
              <w:ind w:right="219"/>
              <w:spacing w:after="0"/>
              <w:rPr>
                <w:sz w:val="20"/>
                <w:szCs w:val="20"/>
                <w:color w:val="auto"/>
              </w:rPr>
            </w:pPr>
            <w:r>
              <w:rPr>
                <w:rFonts w:ascii="Arial" w:cs="Arial" w:eastAsia="Arial" w:hAnsi="Arial"/>
                <w:sz w:val="16"/>
                <w:szCs w:val="16"/>
                <w:color w:val="auto"/>
              </w:rPr>
              <w:t>209</w:t>
            </w:r>
          </w:p>
        </w:tc>
        <w:tc>
          <w:tcPr>
            <w:tcW w:w="860" w:type="dxa"/>
            <w:vAlign w:val="bottom"/>
          </w:tcPr>
          <w:p>
            <w:pPr>
              <w:jc w:val="right"/>
              <w:spacing w:after="0"/>
              <w:rPr>
                <w:sz w:val="20"/>
                <w:szCs w:val="20"/>
                <w:color w:val="auto"/>
              </w:rPr>
            </w:pPr>
            <w:r>
              <w:rPr>
                <w:rFonts w:ascii="Arial" w:cs="Arial" w:eastAsia="Arial" w:hAnsi="Arial"/>
                <w:sz w:val="16"/>
                <w:szCs w:val="16"/>
                <w:color w:val="auto"/>
              </w:rPr>
              <w:t>22.7 %</w:t>
            </w:r>
          </w:p>
        </w:tc>
      </w:tr>
      <w:tr>
        <w:trPr>
          <w:trHeight w:val="246"/>
        </w:trPr>
        <w:tc>
          <w:tcPr>
            <w:tcW w:w="118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083566"/>
            </w:tcBorders>
            <w:shd w:val="clear" w:color="auto" w:fill="D5DCE4"/>
          </w:tcPr>
          <w:p>
            <w:pPr>
              <w:spacing w:after="0"/>
              <w:rPr>
                <w:sz w:val="21"/>
                <w:szCs w:val="21"/>
                <w:color w:val="auto"/>
              </w:rPr>
            </w:pPr>
          </w:p>
        </w:tc>
        <w:tc>
          <w:tcPr>
            <w:tcW w:w="56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576</w:t>
            </w:r>
          </w:p>
        </w:tc>
        <w:tc>
          <w:tcPr>
            <w:tcW w:w="240" w:type="dxa"/>
            <w:vAlign w:val="bottom"/>
            <w:tcBorders>
              <w:bottom w:val="single" w:sz="8" w:color="083566"/>
            </w:tcBorders>
            <w:shd w:val="clear" w:color="auto" w:fill="D5DCE4"/>
          </w:tcPr>
          <w:p>
            <w:pPr>
              <w:spacing w:after="0"/>
              <w:rPr>
                <w:sz w:val="21"/>
                <w:szCs w:val="21"/>
                <w:color w:val="auto"/>
              </w:rPr>
            </w:pPr>
          </w:p>
        </w:tc>
        <w:tc>
          <w:tcPr>
            <w:tcW w:w="780" w:type="dxa"/>
            <w:vAlign w:val="bottom"/>
            <w:tcBorders>
              <w:bottom w:val="single" w:sz="8" w:color="083566"/>
            </w:tcBorders>
            <w:shd w:val="clear" w:color="auto" w:fill="D5DCE4"/>
          </w:tcPr>
          <w:p>
            <w:pPr>
              <w:jc w:val="right"/>
              <w:ind w:right="219"/>
              <w:spacing w:after="0"/>
              <w:rPr>
                <w:sz w:val="20"/>
                <w:szCs w:val="20"/>
                <w:color w:val="auto"/>
              </w:rPr>
            </w:pPr>
            <w:r>
              <w:rPr>
                <w:rFonts w:ascii="Arial" w:cs="Arial" w:eastAsia="Arial" w:hAnsi="Arial"/>
                <w:sz w:val="16"/>
                <w:szCs w:val="16"/>
                <w:color w:val="auto"/>
              </w:rPr>
              <w:t>507</w:t>
            </w:r>
          </w:p>
        </w:tc>
        <w:tc>
          <w:tcPr>
            <w:tcW w:w="86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13.6 %</w:t>
            </w:r>
          </w:p>
        </w:tc>
      </w:tr>
      <w:tr>
        <w:trPr>
          <w:trHeight w:val="223"/>
        </w:trPr>
        <w:tc>
          <w:tcPr>
            <w:tcW w:w="1180" w:type="dxa"/>
            <w:vAlign w:val="bottom"/>
          </w:tcPr>
          <w:p>
            <w:pPr>
              <w:ind w:left="20"/>
              <w:spacing w:after="0"/>
              <w:rPr>
                <w:sz w:val="20"/>
                <w:szCs w:val="20"/>
                <w:color w:val="auto"/>
              </w:rPr>
            </w:pPr>
            <w:r>
              <w:rPr>
                <w:rFonts w:ascii="Arial" w:cs="Arial" w:eastAsia="Arial" w:hAnsi="Arial"/>
                <w:sz w:val="16"/>
                <w:szCs w:val="16"/>
                <w:color w:val="auto"/>
              </w:rPr>
              <w:t>Credit</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19"/>
                <w:szCs w:val="19"/>
                <w:color w:val="auto"/>
              </w:rPr>
            </w:pPr>
          </w:p>
        </w:tc>
        <w:tc>
          <w:tcPr>
            <w:tcW w:w="780" w:type="dxa"/>
            <w:vAlign w:val="bottom"/>
          </w:tcPr>
          <w:p>
            <w:pPr>
              <w:jc w:val="right"/>
              <w:ind w:right="219"/>
              <w:spacing w:after="0"/>
              <w:rPr>
                <w:sz w:val="20"/>
                <w:szCs w:val="20"/>
                <w:color w:val="auto"/>
              </w:rPr>
            </w:pPr>
            <w:r>
              <w:rPr>
                <w:rFonts w:ascii="Arial" w:cs="Arial" w:eastAsia="Arial" w:hAnsi="Arial"/>
                <w:sz w:val="16"/>
                <w:szCs w:val="16"/>
                <w:color w:val="auto"/>
              </w:rPr>
              <w:t>8</w:t>
            </w:r>
          </w:p>
        </w:tc>
        <w:tc>
          <w:tcPr>
            <w:tcW w:w="860" w:type="dxa"/>
            <w:vAlign w:val="bottom"/>
          </w:tcPr>
          <w:p>
            <w:pPr>
              <w:jc w:val="right"/>
              <w:spacing w:after="0"/>
              <w:rPr>
                <w:sz w:val="20"/>
                <w:szCs w:val="20"/>
                <w:color w:val="auto"/>
              </w:rPr>
            </w:pPr>
            <w:r>
              <w:rPr>
                <w:rFonts w:ascii="Arial" w:cs="Arial" w:eastAsia="Arial" w:hAnsi="Arial"/>
                <w:sz w:val="16"/>
                <w:szCs w:val="16"/>
                <w:color w:val="auto"/>
              </w:rPr>
              <w:t>21.9 %</w:t>
            </w:r>
          </w:p>
        </w:tc>
      </w:tr>
      <w:tr>
        <w:trPr>
          <w:trHeight w:val="253"/>
        </w:trPr>
        <w:tc>
          <w:tcPr>
            <w:tcW w:w="118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21"/>
                <w:szCs w:val="21"/>
                <w:color w:val="auto"/>
              </w:rPr>
            </w:pPr>
          </w:p>
        </w:tc>
        <w:tc>
          <w:tcPr>
            <w:tcW w:w="780" w:type="dxa"/>
            <w:vAlign w:val="bottom"/>
          </w:tcPr>
          <w:p>
            <w:pPr>
              <w:jc w:val="right"/>
              <w:ind w:right="219"/>
              <w:spacing w:after="0"/>
              <w:rPr>
                <w:sz w:val="20"/>
                <w:szCs w:val="20"/>
                <w:color w:val="auto"/>
              </w:rPr>
            </w:pPr>
            <w:r>
              <w:rPr>
                <w:rFonts w:ascii="Arial" w:cs="Arial" w:eastAsia="Arial" w:hAnsi="Arial"/>
                <w:sz w:val="16"/>
                <w:szCs w:val="16"/>
                <w:color w:val="auto"/>
              </w:rPr>
              <w:t>10</w:t>
            </w:r>
          </w:p>
        </w:tc>
        <w:tc>
          <w:tcPr>
            <w:tcW w:w="86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46"/>
        </w:trPr>
        <w:tc>
          <w:tcPr>
            <w:tcW w:w="118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083566"/>
            </w:tcBorders>
            <w:shd w:val="clear" w:color="auto" w:fill="D5DCE4"/>
          </w:tcPr>
          <w:p>
            <w:pPr>
              <w:spacing w:after="0"/>
              <w:rPr>
                <w:sz w:val="21"/>
                <w:szCs w:val="21"/>
                <w:color w:val="auto"/>
              </w:rPr>
            </w:pPr>
          </w:p>
        </w:tc>
        <w:tc>
          <w:tcPr>
            <w:tcW w:w="56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18</w:t>
            </w:r>
          </w:p>
        </w:tc>
        <w:tc>
          <w:tcPr>
            <w:tcW w:w="240" w:type="dxa"/>
            <w:vAlign w:val="bottom"/>
            <w:tcBorders>
              <w:bottom w:val="single" w:sz="8" w:color="083566"/>
            </w:tcBorders>
            <w:shd w:val="clear" w:color="auto" w:fill="D5DCE4"/>
          </w:tcPr>
          <w:p>
            <w:pPr>
              <w:spacing w:after="0"/>
              <w:rPr>
                <w:sz w:val="21"/>
                <w:szCs w:val="21"/>
                <w:color w:val="auto"/>
              </w:rPr>
            </w:pPr>
          </w:p>
        </w:tc>
        <w:tc>
          <w:tcPr>
            <w:tcW w:w="780" w:type="dxa"/>
            <w:vAlign w:val="bottom"/>
            <w:tcBorders>
              <w:bottom w:val="single" w:sz="8" w:color="083566"/>
            </w:tcBorders>
            <w:shd w:val="clear" w:color="auto" w:fill="D5DCE4"/>
          </w:tcPr>
          <w:p>
            <w:pPr>
              <w:jc w:val="right"/>
              <w:ind w:right="219"/>
              <w:spacing w:after="0"/>
              <w:rPr>
                <w:sz w:val="20"/>
                <w:szCs w:val="20"/>
                <w:color w:val="auto"/>
              </w:rPr>
            </w:pPr>
            <w:r>
              <w:rPr>
                <w:rFonts w:ascii="Arial" w:cs="Arial" w:eastAsia="Arial" w:hAnsi="Arial"/>
                <w:sz w:val="16"/>
                <w:szCs w:val="16"/>
                <w:color w:val="auto"/>
              </w:rPr>
              <w:t>18</w:t>
            </w:r>
          </w:p>
        </w:tc>
        <w:tc>
          <w:tcPr>
            <w:tcW w:w="86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0.8 %</w:t>
            </w:r>
          </w:p>
        </w:tc>
      </w:tr>
      <w:tr>
        <w:trPr>
          <w:trHeight w:val="223"/>
        </w:trPr>
        <w:tc>
          <w:tcPr>
            <w:tcW w:w="1180" w:type="dxa"/>
            <w:vAlign w:val="bottom"/>
          </w:tcPr>
          <w:p>
            <w:pPr>
              <w:ind w:left="20"/>
              <w:spacing w:after="0"/>
              <w:rPr>
                <w:sz w:val="20"/>
                <w:szCs w:val="20"/>
                <w:color w:val="auto"/>
              </w:rPr>
            </w:pPr>
            <w:r>
              <w:rPr>
                <w:rFonts w:ascii="Arial" w:cs="Arial" w:eastAsia="Arial" w:hAnsi="Arial"/>
                <w:sz w:val="16"/>
                <w:szCs w:val="16"/>
                <w:color w:val="auto"/>
              </w:rPr>
              <w:t>Equities</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9"/>
                <w:szCs w:val="19"/>
                <w:color w:val="auto"/>
              </w:rPr>
            </w:pPr>
          </w:p>
        </w:tc>
        <w:tc>
          <w:tcPr>
            <w:tcW w:w="780" w:type="dxa"/>
            <w:vAlign w:val="bottom"/>
          </w:tcPr>
          <w:p>
            <w:pPr>
              <w:jc w:val="right"/>
              <w:ind w:right="219"/>
              <w:spacing w:after="0"/>
              <w:rPr>
                <w:sz w:val="20"/>
                <w:szCs w:val="20"/>
                <w:color w:val="auto"/>
              </w:rPr>
            </w:pPr>
            <w:r>
              <w:rPr>
                <w:rFonts w:ascii="Arial" w:cs="Arial" w:eastAsia="Arial" w:hAnsi="Arial"/>
                <w:sz w:val="16"/>
                <w:szCs w:val="16"/>
                <w:color w:val="auto"/>
              </w:rPr>
              <w:t>6</w:t>
            </w:r>
          </w:p>
        </w:tc>
        <w:tc>
          <w:tcPr>
            <w:tcW w:w="860" w:type="dxa"/>
            <w:vAlign w:val="bottom"/>
          </w:tcPr>
          <w:p>
            <w:pPr>
              <w:jc w:val="right"/>
              <w:spacing w:after="0"/>
              <w:rPr>
                <w:sz w:val="20"/>
                <w:szCs w:val="20"/>
                <w:color w:val="auto"/>
              </w:rPr>
            </w:pPr>
            <w:r>
              <w:rPr>
                <w:rFonts w:ascii="Arial" w:cs="Arial" w:eastAsia="Arial" w:hAnsi="Arial"/>
                <w:sz w:val="16"/>
                <w:szCs w:val="16"/>
                <w:color w:val="auto"/>
              </w:rPr>
              <w:t>30.2 %</w:t>
            </w:r>
          </w:p>
        </w:tc>
      </w:tr>
      <w:tr>
        <w:trPr>
          <w:trHeight w:val="253"/>
        </w:trPr>
        <w:tc>
          <w:tcPr>
            <w:tcW w:w="118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21"/>
                <w:szCs w:val="21"/>
                <w:color w:val="auto"/>
              </w:rPr>
            </w:pPr>
          </w:p>
        </w:tc>
        <w:tc>
          <w:tcPr>
            <w:tcW w:w="780" w:type="dxa"/>
            <w:vAlign w:val="bottom"/>
          </w:tcPr>
          <w:p>
            <w:pPr>
              <w:jc w:val="right"/>
              <w:ind w:right="219"/>
              <w:spacing w:after="0"/>
              <w:rPr>
                <w:sz w:val="20"/>
                <w:szCs w:val="20"/>
                <w:color w:val="auto"/>
              </w:rPr>
            </w:pPr>
            <w:r>
              <w:rPr>
                <w:rFonts w:ascii="Arial" w:cs="Arial" w:eastAsia="Arial" w:hAnsi="Arial"/>
                <w:sz w:val="16"/>
                <w:szCs w:val="16"/>
                <w:color w:val="auto"/>
              </w:rPr>
              <w:t>4</w:t>
            </w:r>
          </w:p>
        </w:tc>
        <w:tc>
          <w:tcPr>
            <w:tcW w:w="860" w:type="dxa"/>
            <w:vAlign w:val="bottom"/>
          </w:tcPr>
          <w:p>
            <w:pPr>
              <w:jc w:val="right"/>
              <w:spacing w:after="0"/>
              <w:rPr>
                <w:sz w:val="20"/>
                <w:szCs w:val="20"/>
                <w:color w:val="auto"/>
              </w:rPr>
            </w:pPr>
            <w:r>
              <w:rPr>
                <w:rFonts w:ascii="Arial" w:cs="Arial" w:eastAsia="Arial" w:hAnsi="Arial"/>
                <w:sz w:val="16"/>
                <w:szCs w:val="16"/>
                <w:color w:val="auto"/>
              </w:rPr>
              <w:t>113.1 %</w:t>
            </w:r>
          </w:p>
        </w:tc>
      </w:tr>
      <w:tr>
        <w:trPr>
          <w:trHeight w:val="246"/>
        </w:trPr>
        <w:tc>
          <w:tcPr>
            <w:tcW w:w="118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083566"/>
            </w:tcBorders>
            <w:shd w:val="clear" w:color="auto" w:fill="D5DCE4"/>
          </w:tcPr>
          <w:p>
            <w:pPr>
              <w:spacing w:after="0"/>
              <w:rPr>
                <w:sz w:val="21"/>
                <w:szCs w:val="21"/>
                <w:color w:val="auto"/>
              </w:rPr>
            </w:pPr>
          </w:p>
        </w:tc>
        <w:tc>
          <w:tcPr>
            <w:tcW w:w="56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16</w:t>
            </w:r>
          </w:p>
        </w:tc>
        <w:tc>
          <w:tcPr>
            <w:tcW w:w="240" w:type="dxa"/>
            <w:vAlign w:val="bottom"/>
            <w:tcBorders>
              <w:bottom w:val="single" w:sz="8" w:color="083566"/>
            </w:tcBorders>
            <w:shd w:val="clear" w:color="auto" w:fill="D5DCE4"/>
          </w:tcPr>
          <w:p>
            <w:pPr>
              <w:spacing w:after="0"/>
              <w:rPr>
                <w:sz w:val="21"/>
                <w:szCs w:val="21"/>
                <w:color w:val="auto"/>
              </w:rPr>
            </w:pPr>
          </w:p>
        </w:tc>
        <w:tc>
          <w:tcPr>
            <w:tcW w:w="780" w:type="dxa"/>
            <w:vAlign w:val="bottom"/>
            <w:tcBorders>
              <w:bottom w:val="single" w:sz="8" w:color="083566"/>
            </w:tcBorders>
            <w:shd w:val="clear" w:color="auto" w:fill="D5DCE4"/>
          </w:tcPr>
          <w:p>
            <w:pPr>
              <w:jc w:val="right"/>
              <w:ind w:right="219"/>
              <w:spacing w:after="0"/>
              <w:rPr>
                <w:sz w:val="20"/>
                <w:szCs w:val="20"/>
                <w:color w:val="auto"/>
              </w:rPr>
            </w:pPr>
            <w:r>
              <w:rPr>
                <w:rFonts w:ascii="Arial" w:cs="Arial" w:eastAsia="Arial" w:hAnsi="Arial"/>
                <w:sz w:val="16"/>
                <w:szCs w:val="16"/>
                <w:color w:val="auto"/>
              </w:rPr>
              <w:t>10</w:t>
            </w:r>
          </w:p>
        </w:tc>
        <w:tc>
          <w:tcPr>
            <w:tcW w:w="86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60.6 %</w:t>
            </w:r>
          </w:p>
        </w:tc>
      </w:tr>
      <w:tr>
        <w:trPr>
          <w:trHeight w:val="287"/>
        </w:trPr>
        <w:tc>
          <w:tcPr>
            <w:tcW w:w="2180" w:type="dxa"/>
            <w:vAlign w:val="bottom"/>
            <w:gridSpan w:val="2"/>
          </w:tcPr>
          <w:p>
            <w:pPr>
              <w:ind w:left="20"/>
              <w:spacing w:after="0"/>
              <w:rPr>
                <w:sz w:val="20"/>
                <w:szCs w:val="20"/>
                <w:color w:val="auto"/>
              </w:rPr>
            </w:pPr>
            <w:r>
              <w:rPr>
                <w:rFonts w:ascii="Arial" w:cs="Arial" w:eastAsia="Arial" w:hAnsi="Arial"/>
                <w:sz w:val="16"/>
                <w:szCs w:val="16"/>
                <w:color w:val="auto"/>
              </w:rPr>
              <w:t>Money Markets Cash</w:t>
            </w:r>
          </w:p>
        </w:tc>
        <w:tc>
          <w:tcPr>
            <w:tcW w:w="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367</w:t>
            </w:r>
          </w:p>
        </w:tc>
        <w:tc>
          <w:tcPr>
            <w:tcW w:w="240" w:type="dxa"/>
            <w:vAlign w:val="bottom"/>
          </w:tcPr>
          <w:p>
            <w:pPr>
              <w:spacing w:after="0"/>
              <w:rPr>
                <w:sz w:val="24"/>
                <w:szCs w:val="24"/>
                <w:color w:val="auto"/>
              </w:rPr>
            </w:pPr>
          </w:p>
        </w:tc>
        <w:tc>
          <w:tcPr>
            <w:tcW w:w="780" w:type="dxa"/>
            <w:vAlign w:val="bottom"/>
          </w:tcPr>
          <w:p>
            <w:pPr>
              <w:jc w:val="right"/>
              <w:ind w:right="219"/>
              <w:spacing w:after="0"/>
              <w:rPr>
                <w:sz w:val="20"/>
                <w:szCs w:val="20"/>
                <w:color w:val="auto"/>
              </w:rPr>
            </w:pPr>
            <w:r>
              <w:rPr>
                <w:rFonts w:ascii="Arial" w:cs="Arial" w:eastAsia="Arial" w:hAnsi="Arial"/>
                <w:sz w:val="16"/>
                <w:szCs w:val="16"/>
                <w:color w:val="auto"/>
              </w:rPr>
              <w:t>244</w:t>
            </w:r>
          </w:p>
        </w:tc>
        <w:tc>
          <w:tcPr>
            <w:tcW w:w="860" w:type="dxa"/>
            <w:vAlign w:val="bottom"/>
          </w:tcPr>
          <w:p>
            <w:pPr>
              <w:jc w:val="right"/>
              <w:spacing w:after="0"/>
              <w:rPr>
                <w:sz w:val="20"/>
                <w:szCs w:val="20"/>
                <w:color w:val="auto"/>
              </w:rPr>
            </w:pPr>
            <w:r>
              <w:rPr>
                <w:rFonts w:ascii="Arial" w:cs="Arial" w:eastAsia="Arial" w:hAnsi="Arial"/>
                <w:sz w:val="16"/>
                <w:szCs w:val="16"/>
                <w:color w:val="auto"/>
              </w:rPr>
              <w:t>50.6 %</w:t>
            </w:r>
          </w:p>
        </w:tc>
      </w:tr>
      <w:tr>
        <w:trPr>
          <w:trHeight w:val="314"/>
        </w:trPr>
        <w:tc>
          <w:tcPr>
            <w:tcW w:w="1180" w:type="dxa"/>
            <w:vAlign w:val="bottom"/>
            <w:tcBorders>
              <w:bottom w:val="single" w:sz="8" w:color="083566"/>
            </w:tcBorders>
          </w:tcPr>
          <w:p>
            <w:pPr>
              <w:spacing w:after="0"/>
              <w:rPr>
                <w:sz w:val="24"/>
                <w:szCs w:val="24"/>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083566"/>
            </w:tcBorders>
            <w:shd w:val="clear" w:color="auto" w:fill="D5DCE4"/>
          </w:tcPr>
          <w:p>
            <w:pPr>
              <w:spacing w:after="0"/>
              <w:rPr>
                <w:sz w:val="24"/>
                <w:szCs w:val="24"/>
                <w:color w:val="auto"/>
              </w:rPr>
            </w:pPr>
          </w:p>
        </w:tc>
        <w:tc>
          <w:tcPr>
            <w:tcW w:w="56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367</w:t>
            </w:r>
          </w:p>
        </w:tc>
        <w:tc>
          <w:tcPr>
            <w:tcW w:w="240" w:type="dxa"/>
            <w:vAlign w:val="bottom"/>
            <w:tcBorders>
              <w:bottom w:val="single" w:sz="8" w:color="083566"/>
            </w:tcBorders>
            <w:shd w:val="clear" w:color="auto" w:fill="D5DCE4"/>
          </w:tcPr>
          <w:p>
            <w:pPr>
              <w:spacing w:after="0"/>
              <w:rPr>
                <w:sz w:val="24"/>
                <w:szCs w:val="24"/>
                <w:color w:val="auto"/>
              </w:rPr>
            </w:pPr>
          </w:p>
        </w:tc>
        <w:tc>
          <w:tcPr>
            <w:tcW w:w="780" w:type="dxa"/>
            <w:vAlign w:val="bottom"/>
            <w:tcBorders>
              <w:bottom w:val="single" w:sz="8" w:color="083566"/>
            </w:tcBorders>
            <w:shd w:val="clear" w:color="auto" w:fill="D5DCE4"/>
          </w:tcPr>
          <w:p>
            <w:pPr>
              <w:jc w:val="right"/>
              <w:ind w:right="219"/>
              <w:spacing w:after="0"/>
              <w:rPr>
                <w:sz w:val="20"/>
                <w:szCs w:val="20"/>
                <w:color w:val="auto"/>
              </w:rPr>
            </w:pPr>
            <w:r>
              <w:rPr>
                <w:rFonts w:ascii="Arial" w:cs="Arial" w:eastAsia="Arial" w:hAnsi="Arial"/>
                <w:sz w:val="16"/>
                <w:szCs w:val="16"/>
                <w:color w:val="auto"/>
              </w:rPr>
              <w:t>244</w:t>
            </w:r>
          </w:p>
        </w:tc>
        <w:tc>
          <w:tcPr>
            <w:tcW w:w="86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50.6 %</w:t>
            </w:r>
          </w:p>
        </w:tc>
      </w:tr>
      <w:tr>
        <w:trPr>
          <w:trHeight w:val="243"/>
        </w:trPr>
        <w:tc>
          <w:tcPr>
            <w:tcW w:w="1180" w:type="dxa"/>
            <w:vAlign w:val="bottom"/>
          </w:tcPr>
          <w:p>
            <w:pPr>
              <w:spacing w:after="0"/>
              <w:rPr>
                <w:sz w:val="21"/>
                <w:szCs w:val="21"/>
                <w:color w:val="auto"/>
              </w:rPr>
            </w:pPr>
          </w:p>
        </w:tc>
        <w:tc>
          <w:tcPr>
            <w:tcW w:w="100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Total</w:t>
            </w:r>
          </w:p>
        </w:tc>
        <w:tc>
          <w:tcPr>
            <w:tcW w:w="240" w:type="dxa"/>
            <w:vAlign w:val="bottom"/>
            <w:shd w:val="clear" w:color="auto" w:fill="D5DCE4"/>
          </w:tcPr>
          <w:p>
            <w:pPr>
              <w:jc w:val="right"/>
              <w:ind w:right="39"/>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977</w:t>
            </w:r>
          </w:p>
        </w:tc>
        <w:tc>
          <w:tcPr>
            <w:tcW w:w="240" w:type="dxa"/>
            <w:vAlign w:val="bottom"/>
            <w:shd w:val="clear" w:color="auto" w:fill="D5DCE4"/>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D5DCE4"/>
          </w:tcPr>
          <w:p>
            <w:pPr>
              <w:jc w:val="right"/>
              <w:ind w:right="219"/>
              <w:spacing w:after="0"/>
              <w:rPr>
                <w:sz w:val="20"/>
                <w:szCs w:val="20"/>
                <w:color w:val="auto"/>
              </w:rPr>
            </w:pPr>
            <w:r>
              <w:rPr>
                <w:rFonts w:ascii="Arial" w:cs="Arial" w:eastAsia="Arial" w:hAnsi="Arial"/>
                <w:sz w:val="16"/>
                <w:szCs w:val="16"/>
                <w:b w:val="1"/>
                <w:bCs w:val="1"/>
                <w:color w:val="auto"/>
              </w:rPr>
              <w:t>778</w:t>
            </w:r>
          </w:p>
        </w:tc>
        <w:tc>
          <w:tcPr>
            <w:tcW w:w="8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25.5 %</w:t>
            </w:r>
          </w:p>
        </w:tc>
      </w:tr>
    </w:tbl>
    <w:p>
      <w:pPr>
        <w:spacing w:after="0" w:line="269" w:lineRule="exact"/>
        <w:rPr>
          <w:sz w:val="20"/>
          <w:szCs w:val="20"/>
          <w:color w:val="auto"/>
        </w:rPr>
      </w:pPr>
    </w:p>
    <w:p>
      <w:pPr>
        <w:ind w:left="260" w:right="360" w:hanging="246"/>
        <w:spacing w:after="0" w:line="238" w:lineRule="auto"/>
        <w:tabs>
          <w:tab w:leader="none" w:pos="198" w:val="left"/>
        </w:tabs>
        <w:numPr>
          <w:ilvl w:val="0"/>
          <w:numId w:val="2"/>
        </w:numPr>
        <w:rPr>
          <w:rFonts w:ascii="Arial" w:cs="Arial" w:eastAsia="Arial" w:hAnsi="Arial"/>
          <w:sz w:val="12"/>
          <w:szCs w:val="12"/>
          <w:color w:val="auto"/>
        </w:rPr>
      </w:pPr>
      <w:r>
        <w:rPr>
          <w:rFonts w:ascii="Arial" w:cs="Arial" w:eastAsia="Arial" w:hAnsi="Arial"/>
          <w:sz w:val="12"/>
          <w:szCs w:val="12"/>
          <w:color w:val="auto"/>
        </w:rPr>
        <w:t>Adjusted EBITDA, Adjusted EBITDA margin, Adjusted EBIT, Adjusted EBIT margin, Adjusted Net Income, Adjusted Diluted EPS and constant currency growth are non-GAAP financial measures. See "Non-GAAP Financial Measures" below and the attached schedules for additional information and reconciliations of such non-GAAP financial measures.</w:t>
      </w:r>
    </w:p>
    <w:p>
      <w:pPr>
        <w:spacing w:after="0" w:line="260" w:lineRule="exact"/>
        <w:rPr>
          <w:rFonts w:ascii="Arial" w:cs="Arial" w:eastAsia="Arial" w:hAnsi="Arial"/>
          <w:sz w:val="12"/>
          <w:szCs w:val="12"/>
          <w:color w:val="auto"/>
        </w:rPr>
      </w:pPr>
    </w:p>
    <w:p>
      <w:pPr>
        <w:ind w:left="200" w:hanging="186"/>
        <w:spacing w:after="0"/>
        <w:tabs>
          <w:tab w:leader="none" w:pos="200" w:val="left"/>
        </w:tabs>
        <w:numPr>
          <w:ilvl w:val="0"/>
          <w:numId w:val="2"/>
        </w:numPr>
        <w:rPr>
          <w:rFonts w:ascii="Arial" w:cs="Arial" w:eastAsia="Arial" w:hAnsi="Arial"/>
          <w:sz w:val="12"/>
          <w:szCs w:val="12"/>
          <w:color w:val="auto"/>
        </w:rPr>
      </w:pPr>
      <w:r>
        <w:rPr>
          <w:rFonts w:ascii="Arial" w:cs="Arial" w:eastAsia="Arial" w:hAnsi="Arial"/>
          <w:sz w:val="12"/>
          <w:szCs w:val="12"/>
          <w:color w:val="auto"/>
        </w:rPr>
        <w:t>Represents net income less net income attributable to non-controlling interests.</w:t>
      </w:r>
    </w:p>
    <w:p>
      <w:pPr>
        <w:sectPr>
          <w:pgSz w:w="11900" w:h="16838" w:orient="portrait"/>
          <w:cols w:equalWidth="0" w:num="2">
            <w:col w:w="5900" w:space="200"/>
            <w:col w:w="5080"/>
          </w:cols>
          <w:pgMar w:left="320" w:top="283" w:right="39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color w:val="083566"/>
        </w:rPr>
        <w:t>DISCUSSION OF RESULTS</w:t>
      </w:r>
    </w:p>
    <w:p>
      <w:pPr>
        <w:spacing w:after="0" w:line="100" w:lineRule="exact"/>
        <w:rPr>
          <w:sz w:val="20"/>
          <w:szCs w:val="20"/>
          <w:color w:val="auto"/>
        </w:rPr>
      </w:pPr>
    </w:p>
    <w:p>
      <w:pPr>
        <w:ind w:right="180"/>
        <w:spacing w:after="0" w:line="228" w:lineRule="auto"/>
        <w:rPr>
          <w:sz w:val="20"/>
          <w:szCs w:val="20"/>
          <w:color w:val="auto"/>
        </w:rPr>
      </w:pPr>
      <w:r>
        <w:rPr>
          <w:rFonts w:ascii="Arial" w:cs="Arial" w:eastAsia="Arial" w:hAnsi="Arial"/>
          <w:sz w:val="16"/>
          <w:szCs w:val="16"/>
          <w:b w:val="1"/>
          <w:bCs w:val="1"/>
          <w:color w:val="auto"/>
        </w:rPr>
        <w:t xml:space="preserve">Rates </w:t>
      </w:r>
      <w:r>
        <w:rPr>
          <w:rFonts w:ascii="Arial" w:cs="Arial" w:eastAsia="Arial" w:hAnsi="Arial"/>
          <w:sz w:val="16"/>
          <w:szCs w:val="16"/>
          <w:color w:val="auto"/>
        </w:rPr>
        <w:t>– Revenues of $134.0 million in the second quarter of 2021 increased 18.8% compared to prior year period (15.9% on a constant currency basis).</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Increased client activity in streams and session-based trading drove higher volumes in U.S. Treasuries, while volumes in higher fee long-tenor swaps/swaptions were driven by a mix of: strong engagement from international clients; faster growth in the request-for-market (RFM) protocol; and record trading across emerging market currencies.</w:t>
      </w:r>
    </w:p>
    <w:p>
      <w:pPr>
        <w:spacing w:after="0" w:line="192" w:lineRule="exact"/>
        <w:rPr>
          <w:sz w:val="20"/>
          <w:szCs w:val="20"/>
          <w:color w:val="auto"/>
        </w:rPr>
      </w:pPr>
    </w:p>
    <w:p>
      <w:pPr>
        <w:ind w:right="100"/>
        <w:spacing w:after="0" w:line="239" w:lineRule="auto"/>
        <w:rPr>
          <w:sz w:val="20"/>
          <w:szCs w:val="20"/>
          <w:color w:val="auto"/>
        </w:rPr>
      </w:pPr>
      <w:r>
        <w:rPr>
          <w:rFonts w:ascii="Arial" w:cs="Arial" w:eastAsia="Arial" w:hAnsi="Arial"/>
          <w:sz w:val="16"/>
          <w:szCs w:val="16"/>
          <w:b w:val="1"/>
          <w:bCs w:val="1"/>
          <w:color w:val="auto"/>
        </w:rPr>
        <w:t xml:space="preserve">Credit </w:t>
      </w:r>
      <w:r>
        <w:rPr>
          <w:rFonts w:ascii="Arial" w:cs="Arial" w:eastAsia="Arial" w:hAnsi="Arial"/>
          <w:sz w:val="16"/>
          <w:szCs w:val="16"/>
          <w:color w:val="auto"/>
        </w:rPr>
        <w:t>– Revenues of $72.2 million in the second quarter of 2021 increased 47.1% compared to prior year period (44.3% on a constant currency basis).</w:t>
      </w:r>
      <w:r>
        <w:rPr>
          <w:rFonts w:ascii="Arial" w:cs="Arial" w:eastAsia="Arial" w:hAnsi="Arial"/>
          <w:sz w:val="16"/>
          <w:szCs w:val="16"/>
          <w:b w:val="1"/>
          <w:bCs w:val="1"/>
          <w:color w:val="auto"/>
        </w:rPr>
        <w:t xml:space="preserve"> </w:t>
      </w:r>
      <w:r>
        <w:rPr>
          <w:rFonts w:ascii="Arial" w:cs="Arial" w:eastAsia="Arial" w:hAnsi="Arial"/>
          <w:sz w:val="16"/>
          <w:szCs w:val="16"/>
          <w:color w:val="auto"/>
        </w:rPr>
        <w:t>Credit posted its second-best quarter ever, driven by record U.S. electronic high yield and strong U.S. investment grade trading, as well as robust European credit trading. Clients utilized a wider range of protocols and services, with continued solid growth in RFQ and electronic portfolio trading. In U.S. credit, Tradeweb set new platform records for its share of fully electronic TRACE volume: High Grade was 12.1% up from 5.8% in the prior year period and High Yield was 4.8%, up from 1.5% over prior year period.</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Equities </w:t>
      </w:r>
      <w:r>
        <w:rPr>
          <w:rFonts w:ascii="Arial" w:cs="Arial" w:eastAsia="Arial" w:hAnsi="Arial"/>
          <w:sz w:val="16"/>
          <w:szCs w:val="16"/>
          <w:color w:val="auto"/>
        </w:rPr>
        <w:t>– Revenues of $17.4 million in the second quarter of 2021 increased 12.9% compared to prior year period (8.7% on a constant currency basis).</w:t>
      </w:r>
    </w:p>
    <w:p>
      <w:pPr>
        <w:spacing w:after="0"/>
        <w:rPr>
          <w:sz w:val="20"/>
          <w:szCs w:val="20"/>
          <w:color w:val="auto"/>
        </w:rPr>
      </w:pPr>
      <w:r>
        <w:rPr>
          <w:rFonts w:ascii="Arial" w:cs="Arial" w:eastAsia="Arial" w:hAnsi="Arial"/>
          <w:sz w:val="16"/>
          <w:szCs w:val="16"/>
          <w:color w:val="auto"/>
        </w:rPr>
        <w:t>Client growth and adoption, particularly among institutional clients, continued to drive overall volumes.</w:t>
      </w:r>
    </w:p>
    <w:p>
      <w:pPr>
        <w:spacing w:after="0" w:line="201" w:lineRule="exact"/>
        <w:rPr>
          <w:sz w:val="20"/>
          <w:szCs w:val="20"/>
          <w:color w:val="auto"/>
        </w:rPr>
      </w:pPr>
    </w:p>
    <w:p>
      <w:pPr>
        <w:jc w:val="both"/>
        <w:ind w:right="380"/>
        <w:spacing w:after="0" w:line="234" w:lineRule="auto"/>
        <w:rPr>
          <w:sz w:val="20"/>
          <w:szCs w:val="20"/>
          <w:color w:val="auto"/>
        </w:rPr>
      </w:pPr>
      <w:r>
        <w:rPr>
          <w:rFonts w:ascii="Arial" w:cs="Arial" w:eastAsia="Arial" w:hAnsi="Arial"/>
          <w:sz w:val="16"/>
          <w:szCs w:val="16"/>
          <w:b w:val="1"/>
          <w:bCs w:val="1"/>
          <w:color w:val="auto"/>
        </w:rPr>
        <w:t xml:space="preserve">Money Markets </w:t>
      </w:r>
      <w:r>
        <w:rPr>
          <w:rFonts w:ascii="Arial" w:cs="Arial" w:eastAsia="Arial" w:hAnsi="Arial"/>
          <w:sz w:val="16"/>
          <w:szCs w:val="16"/>
          <w:color w:val="auto"/>
        </w:rPr>
        <w:t>– Revenues of $11.3 million in the second quarter of 2021 increased 7.6% compared to prior year period (5.7%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 Strong growth in Global Repo activity was supported by the continued addition of new clients and dealers on the platform. Retail money markets activity remained pressured by the low interest rate environment.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Market Data </w:t>
      </w:r>
      <w:r>
        <w:rPr>
          <w:rFonts w:ascii="Arial" w:cs="Arial" w:eastAsia="Arial" w:hAnsi="Arial"/>
          <w:sz w:val="16"/>
          <w:szCs w:val="16"/>
          <w:color w:val="auto"/>
        </w:rPr>
        <w:t>– Revenues of $20.0 million in the second quarter of 2021 increased 8.2% compared to prior year period (6.1% on a constant currency basis).</w:t>
      </w:r>
    </w:p>
    <w:p>
      <w:pPr>
        <w:spacing w:after="0"/>
        <w:rPr>
          <w:sz w:val="20"/>
          <w:szCs w:val="20"/>
          <w:color w:val="auto"/>
        </w:rPr>
      </w:pPr>
      <w:r>
        <w:rPr>
          <w:rFonts w:ascii="Arial" w:cs="Arial" w:eastAsia="Arial" w:hAnsi="Arial"/>
          <w:sz w:val="16"/>
          <w:szCs w:val="16"/>
          <w:color w:val="auto"/>
        </w:rPr>
        <w:t>The increase was derived from increased third party market data fees, revenue from our APA reporting service and Refinitiv market data fees.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 Revenues of $5.9 million in the second quarter of 2021 increased 2.5% compared to prior year period (2.5% on a constant currency basis).</w:t>
      </w:r>
    </w:p>
    <w:p>
      <w:pPr>
        <w:spacing w:after="0" w:line="221" w:lineRule="exact"/>
        <w:rPr>
          <w:sz w:val="20"/>
          <w:szCs w:val="20"/>
          <w:color w:val="auto"/>
        </w:rPr>
      </w:pPr>
    </w:p>
    <w:p>
      <w:pPr>
        <w:ind w:right="40"/>
        <w:spacing w:after="0" w:line="221" w:lineRule="auto"/>
        <w:rPr>
          <w:sz w:val="20"/>
          <w:szCs w:val="20"/>
          <w:color w:val="auto"/>
        </w:rPr>
      </w:pPr>
      <w:r>
        <w:rPr>
          <w:rFonts w:ascii="Arial" w:cs="Arial" w:eastAsia="Arial" w:hAnsi="Arial"/>
          <w:sz w:val="16"/>
          <w:szCs w:val="16"/>
          <w:b w:val="1"/>
          <w:bCs w:val="1"/>
          <w:color w:val="auto"/>
        </w:rPr>
        <w:t xml:space="preserve">Operating Expenses </w:t>
      </w:r>
      <w:r>
        <w:rPr>
          <w:rFonts w:ascii="Arial" w:cs="Arial" w:eastAsia="Arial" w:hAnsi="Arial"/>
          <w:sz w:val="16"/>
          <w:szCs w:val="16"/>
          <w:color w:val="auto"/>
        </w:rPr>
        <w:t>– Operating expenses of $177.0 million in the second quarter of 2021 increased 13.2% compared to $156.5 million in the prior year</w:t>
      </w:r>
      <w:r>
        <w:rPr>
          <w:rFonts w:ascii="Arial" w:cs="Arial" w:eastAsia="Arial" w:hAnsi="Arial"/>
          <w:sz w:val="16"/>
          <w:szCs w:val="16"/>
          <w:b w:val="1"/>
          <w:bCs w:val="1"/>
          <w:color w:val="auto"/>
        </w:rPr>
        <w:t xml:space="preserve"> </w:t>
      </w:r>
      <w:r>
        <w:rPr>
          <w:rFonts w:ascii="Arial" w:cs="Arial" w:eastAsia="Arial" w:hAnsi="Arial"/>
          <w:sz w:val="16"/>
          <w:szCs w:val="16"/>
          <w:color w:val="auto"/>
        </w:rPr>
        <w:t>period due to: higher employee compensation and benefits associated with higher headcount to support growth and higher performance-related compensation; higher depreciation and amortization expense; higher professional fees primarily related to the NFI Acquisition (as defined below); and higher general and administrative expenses as we gradually recover from the pandemic, which were partially offset by lower foreign exchange losses. Adjusted Expenses of $140.6 million increased 15.6% (12.8% on a constant currency basis) compared to the prior year period due to: higher employee compensation and benefits associated with higher headcount to support growth and higher performance-related compensation; as well as higher general and administrative expenses. Please see "Non-GAAP Financial Measures" below for additional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RECENT HIGHLIGHTS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Second Quarter 2021</w:t>
      </w:r>
    </w:p>
    <w:p>
      <w:pPr>
        <w:spacing w:after="0" w:line="5"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Completed acquisition of Nasdaq’s U.S. fixed income electronic trading platform (the “NFI Acquisition”) for $190 million in cash</w:t>
      </w:r>
    </w:p>
    <w:p>
      <w:pPr>
        <w:spacing w:after="0" w:line="5" w:lineRule="exact"/>
        <w:rPr>
          <w:rFonts w:ascii="Arial" w:cs="Arial" w:eastAsia="Arial" w:hAnsi="Arial"/>
          <w:sz w:val="16"/>
          <w:szCs w:val="16"/>
          <w:color w:val="auto"/>
        </w:rPr>
      </w:pPr>
    </w:p>
    <w:p>
      <w:pPr>
        <w:ind w:left="660" w:right="340" w:hanging="328"/>
        <w:spacing w:after="0" w:line="24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Appointed Balbir Bakhshi, Chief Risk Officer, London Stock Exchange Group plc, to the Tradeweb Markets Board of Directors succeeding Brian West</w:t>
      </w:r>
    </w:p>
    <w:p>
      <w:pPr>
        <w:jc w:val="both"/>
        <w:ind w:left="660" w:right="360" w:hanging="328"/>
        <w:spacing w:after="0" w:line="24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Joined the Climate Bonds Initiative’s Partners Program, a global movement seeking to mobilize bond markets for climate change solutions, and announced that Climate Bonds Initiative-screened Green bonds accounted for $79 billion of trading volume executed on Tradeweb in 2020, an increase of 65% over 2019 volumes</w:t>
      </w:r>
    </w:p>
    <w:p>
      <w:pPr>
        <w:spacing w:after="0" w:line="1" w:lineRule="exact"/>
        <w:rPr>
          <w:rFonts w:ascii="Arial" w:cs="Arial" w:eastAsia="Arial" w:hAnsi="Arial"/>
          <w:sz w:val="16"/>
          <w:szCs w:val="16"/>
          <w:color w:val="auto"/>
        </w:rPr>
      </w:pPr>
    </w:p>
    <w:p>
      <w:pPr>
        <w:ind w:left="660" w:right="180" w:hanging="328"/>
        <w:spacing w:after="0" w:line="24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Announced collaboration with Amazon Web Services to broaden access to Tradeweb U.S. Treasury and U.K. Gilt closing price data through AWS Data Exchange, making it easier to find, subscribe to, and use third-party data in the cloud</w:t>
      </w:r>
    </w:p>
    <w:p>
      <w:pPr>
        <w:ind w:left="660" w:right="180" w:hanging="328"/>
        <w:spacing w:after="0" w:line="24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Recognized in numerous awards including: Swap Execution Facility of the Year (GlobalCapital); Best SSA Bond Trading Platform (GlobalCapital); Best Trading Venue for OTC Products (Markets Media); Best Fixed Income Trading Platform (Financial News); Trading Initiative of the Year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(Financial News); Best in Fintech – Elsa Lau (Markets Media)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July 2021</w:t>
      </w:r>
    </w:p>
    <w:p>
      <w:pPr>
        <w:spacing w:after="0" w:line="5" w:lineRule="exact"/>
        <w:rPr>
          <w:sz w:val="20"/>
          <w:szCs w:val="20"/>
          <w:color w:val="auto"/>
        </w:rPr>
      </w:pPr>
    </w:p>
    <w:p>
      <w:pPr>
        <w:ind w:left="660" w:right="40" w:hanging="328"/>
        <w:spacing w:after="0" w:line="260"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Tradeweb completed the first fully electronic institutional Secured Overnight Financing Rate (SOFR) swap spread trade, executed via the Tradeweb Swap Execution Facility (TW SEF) with BlackRock and J.P. Morgan as counterparties to the trade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2</w:t>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083566"/>
        </w:rPr>
        <w:t>CAPITAL MANAGEMENT</w:t>
      </w:r>
    </w:p>
    <w:p>
      <w:pPr>
        <w:spacing w:after="0" w:line="133"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$681.2 million in cash and cash equivalents and an undrawn $500 million credit facility at June 30, 2021</w:t>
      </w:r>
    </w:p>
    <w:p>
      <w:pPr>
        <w:spacing w:after="0" w:line="5" w:lineRule="exact"/>
        <w:rPr>
          <w:rFonts w:ascii="Arial" w:cs="Arial" w:eastAsia="Arial" w:hAnsi="Arial"/>
          <w:sz w:val="16"/>
          <w:szCs w:val="16"/>
          <w:color w:val="auto"/>
        </w:rPr>
      </w:pPr>
    </w:p>
    <w:p>
      <w:pPr>
        <w:ind w:left="660" w:right="220" w:hanging="328"/>
        <w:spacing w:after="0" w:line="246"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On June 25, 2021, Tradeweb completed the NFI Acquisition for an all-cash purchase price of $190.0 million, net of cash acquired, net of deposits with clearing organizations acquired and prior to working capital adjustments</w:t>
      </w: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Non-acquisition related capital expenditures and capitalization of software development in second quarter 2021: $12.9 million</w:t>
      </w:r>
    </w:p>
    <w:p>
      <w:pPr>
        <w:spacing w:after="0" w:line="5" w:lineRule="exact"/>
        <w:rPr>
          <w:rFonts w:ascii="Arial" w:cs="Arial" w:eastAsia="Arial" w:hAnsi="Arial"/>
          <w:sz w:val="16"/>
          <w:szCs w:val="16"/>
          <w:color w:val="auto"/>
        </w:rPr>
      </w:pPr>
    </w:p>
    <w:p>
      <w:pPr>
        <w:ind w:left="660" w:right="20" w:hanging="328"/>
        <w:spacing w:after="0" w:line="246"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Free cash flow for the trailing twelve months ended June 30, 2021 of $433.8 million, up 23.0% year over year. See “Non-GAAP Financial Measures” for additional information</w:t>
      </w:r>
    </w:p>
    <w:p>
      <w:pPr>
        <w:ind w:left="660" w:right="20" w:hanging="328"/>
        <w:spacing w:after="0" w:line="246"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During the second quarter of 2021, as part of its Share Repurchase Program, Tradeweb purchased 617,644 shares of Class A common stock, at an average price of $83.67, for purchases totaling $51.7 million. As of June 30, 2021, a total of $98.3 million remained available for repurchase pursuant to the Share Repurchase Program</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$8.0 million in shares were withheld in the second quarter of 2021 to satisfy tax obligations related to the exercise of stock options</w:t>
      </w:r>
    </w:p>
    <w:p>
      <w:pPr>
        <w:spacing w:after="0" w:line="5" w:lineRule="exact"/>
        <w:rPr>
          <w:rFonts w:ascii="Arial" w:cs="Arial" w:eastAsia="Arial" w:hAnsi="Arial"/>
          <w:sz w:val="16"/>
          <w:szCs w:val="16"/>
          <w:color w:val="auto"/>
        </w:rPr>
      </w:pPr>
    </w:p>
    <w:p>
      <w:pPr>
        <w:ind w:left="660" w:right="440" w:hanging="328"/>
        <w:spacing w:after="0" w:line="260"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Board of Directors of Tradeweb Markets Inc. declared a quarterly cash dividend of $0.08 per share of Class A common stock and Class B common stock. The dividend will be payable on September 15, 2021 to stockholders of record as of September 1, 2021</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OTHER MATTERS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Updated Full-Year 2021 Guidance*</w:t>
      </w:r>
    </w:p>
    <w:p>
      <w:pPr>
        <w:spacing w:after="0" w:line="120" w:lineRule="exact"/>
        <w:rPr>
          <w:sz w:val="20"/>
          <w:szCs w:val="20"/>
          <w:color w:val="auto"/>
        </w:rPr>
      </w:pPr>
    </w:p>
    <w:p>
      <w:pPr>
        <w:ind w:right="500"/>
        <w:spacing w:after="0" w:line="235" w:lineRule="auto"/>
        <w:rPr>
          <w:sz w:val="20"/>
          <w:szCs w:val="20"/>
          <w:color w:val="auto"/>
        </w:rPr>
      </w:pPr>
      <w:r>
        <w:rPr>
          <w:rFonts w:ascii="Arial" w:cs="Arial" w:eastAsia="Arial" w:hAnsi="Arial"/>
          <w:sz w:val="16"/>
          <w:szCs w:val="16"/>
          <w:color w:val="auto"/>
        </w:rPr>
        <w:t>We have updated our guidance to incorporate our recent NFI acquisition; expectation of a strong revenue environment in the second half of 2021; and increased investment to support our growth businesses.</w:t>
      </w:r>
    </w:p>
    <w:p>
      <w:pPr>
        <w:spacing w:after="0" w:line="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6"/>
          <w:szCs w:val="16"/>
          <w:color w:val="auto"/>
        </w:rPr>
        <w:t>Adjusted Expenses: $565 - $580 million</w:t>
      </w:r>
    </w:p>
    <w:p>
      <w:pPr>
        <w:spacing w:after="0" w:line="7" w:lineRule="exact"/>
        <w:rPr>
          <w:rFonts w:ascii="Arial" w:cs="Arial" w:eastAsia="Arial" w:hAnsi="Arial"/>
          <w:sz w:val="18"/>
          <w:szCs w:val="18"/>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Acquisition and Refinitiv Transaction related depreciation and amortization expense: $124 million</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Assumed non-GAAP tax rate: 22.0%</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Capital expenditures and capitalization of software development: $49 - $53 million</w:t>
      </w:r>
    </w:p>
    <w:p>
      <w:pPr>
        <w:spacing w:after="0" w:line="237" w:lineRule="exact"/>
        <w:rPr>
          <w:sz w:val="20"/>
          <w:szCs w:val="20"/>
          <w:color w:val="auto"/>
        </w:rPr>
      </w:pPr>
    </w:p>
    <w:p>
      <w:pPr>
        <w:ind w:left="340" w:right="400"/>
        <w:spacing w:after="0" w:line="279" w:lineRule="auto"/>
        <w:rPr>
          <w:sz w:val="20"/>
          <w:szCs w:val="20"/>
          <w:color w:val="auto"/>
        </w:rPr>
      </w:pPr>
      <w:r>
        <w:rPr>
          <w:rFonts w:ascii="Arial" w:cs="Arial" w:eastAsia="Arial" w:hAnsi="Arial"/>
          <w:sz w:val="14"/>
          <w:szCs w:val="14"/>
          <w:i w:val="1"/>
          <w:iCs w:val="1"/>
          <w:color w:val="auto"/>
        </w:rPr>
        <w:t>*GAAP operating expenses and tax rate guidance are not provided due to the inherent difficulty in quantifying certain amounts due to a variety of factors including the unpredictability in the movement of foreign currency rates.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CONFERENCE CALL</w:t>
      </w:r>
    </w:p>
    <w:p>
      <w:pPr>
        <w:spacing w:after="0" w:line="133"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 xml:space="preserve">Tradeweb Markets will hold a conference call to discuss second quarter 2021 results starting at 9:30 AM EDT today, July 29, 2021. A live, audio webcast of the conference call along with related materials will be available at </w:t>
      </w:r>
      <w:r>
        <w:rPr>
          <w:rFonts w:ascii="Arial" w:cs="Arial" w:eastAsia="Arial" w:hAnsi="Arial"/>
          <w:sz w:val="16"/>
          <w:szCs w:val="16"/>
          <w:u w:val="single" w:color="auto"/>
          <w:color w:val="055FC1"/>
        </w:rPr>
        <w:t>http://investors.tradeweb.com</w:t>
      </w:r>
      <w:r>
        <w:rPr>
          <w:rFonts w:ascii="Arial" w:cs="Arial" w:eastAsia="Arial" w:hAnsi="Arial"/>
          <w:sz w:val="16"/>
          <w:szCs w:val="16"/>
          <w:color w:val="auto"/>
        </w:rPr>
        <w:t xml:space="preserve">. Alternatively, interested parties can access the call by dialing 866-221-1629 (U.S.) or +1 470-495-9175 (international) and entering passcode 8481771. After the conference call, an archived recording will be available at </w:t>
      </w:r>
      <w:r>
        <w:rPr>
          <w:rFonts w:ascii="Arial" w:cs="Arial" w:eastAsia="Arial" w:hAnsi="Arial"/>
          <w:sz w:val="16"/>
          <w:szCs w:val="16"/>
          <w:u w:val="single" w:color="auto"/>
          <w:color w:val="055FC1"/>
        </w:rPr>
        <w:t>http://investors.tradeweb.com</w:t>
      </w:r>
      <w:r>
        <w:rPr>
          <w:rFonts w:ascii="Arial" w:cs="Arial" w:eastAsia="Arial" w:hAnsi="Arial"/>
          <w:sz w:val="16"/>
          <w:szCs w:val="16"/>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ABOUT TRADEWEB MARKETS</w:t>
      </w:r>
    </w:p>
    <w:p>
      <w:pPr>
        <w:spacing w:after="0" w:line="133"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 xml:space="preserve">Tradeweb Markets Inc. (Nasdaq: TW) is a leading, global operator of electronic marketplaces for rates, credit, equities and money markets. Founded in 1996, Tradeweb provides access to markets, data and analytics, electronic trading, straight-through-processing and reporting for more than 40 products to clients in the institutional, wholesale and retail markets. Advanced technologies developed by Tradeweb enhance price discovery, order execution and trade workflows while allowing for greater scale and helping to reduce risks in client trading operations. Tradeweb serves approximately 2,500 clients in more than 65 countries. On average, Tradeweb facilitated more than $920 billion in notional value traded per day over the past four fiscal quarters. For more information, please go to </w:t>
      </w:r>
      <w:r>
        <w:rPr>
          <w:rFonts w:ascii="Arial" w:cs="Arial" w:eastAsia="Arial" w:hAnsi="Arial"/>
          <w:sz w:val="16"/>
          <w:szCs w:val="16"/>
          <w:u w:val="single" w:color="auto"/>
          <w:color w:val="055FC1"/>
        </w:rPr>
        <w:t>www.tradeweb.com</w:t>
      </w:r>
      <w:r>
        <w:rPr>
          <w:rFonts w:ascii="Arial" w:cs="Arial" w:eastAsia="Arial" w:hAnsi="Arial"/>
          <w:sz w:val="16"/>
          <w:szCs w:val="16"/>
          <w:color w:val="0E32E1"/>
        </w:rPr>
        <w:t>.</w:t>
      </w:r>
    </w:p>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3</w:t>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083566"/>
        </w:rPr>
        <w:t>TRADEWEB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INCOME STATEMENT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Dollars in Thousands, Except Per Share Data</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June 30,</w:t>
            </w:r>
          </w:p>
        </w:tc>
        <w:tc>
          <w:tcPr>
            <w:tcW w:w="220" w:type="dxa"/>
            <w:vAlign w:val="bottom"/>
          </w:tcPr>
          <w:p>
            <w:pPr>
              <w:spacing w:after="0"/>
              <w:rPr>
                <w:sz w:val="18"/>
                <w:szCs w:val="18"/>
                <w:color w:val="auto"/>
              </w:rPr>
            </w:pPr>
          </w:p>
        </w:tc>
        <w:tc>
          <w:tcPr>
            <w:tcW w:w="288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Six Months Ended June 30,</w:t>
            </w:r>
          </w:p>
        </w:tc>
      </w:tr>
      <w:tr>
        <w:trPr>
          <w:trHeight w:val="256"/>
        </w:trPr>
        <w:tc>
          <w:tcPr>
            <w:tcW w:w="4980" w:type="dxa"/>
            <w:vAlign w:val="bottom"/>
            <w:tcBorders>
              <w:bottom w:val="single" w:sz="8" w:color="D5DCE4"/>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D5DCE4"/>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D5DCE4"/>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D5DCE4"/>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r>
      <w:tr>
        <w:trPr>
          <w:trHeight w:val="243"/>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Revenues</w:t>
            </w:r>
          </w:p>
        </w:tc>
        <w:tc>
          <w:tcPr>
            <w:tcW w:w="220" w:type="dxa"/>
            <w:vAlign w:val="bottom"/>
            <w:shd w:val="clear" w:color="auto" w:fill="D5DCE4"/>
          </w:tcPr>
          <w:p>
            <w:pPr>
              <w:spacing w:after="0"/>
              <w:rPr>
                <w:sz w:val="21"/>
                <w:szCs w:val="21"/>
                <w:color w:val="auto"/>
              </w:rPr>
            </w:pPr>
          </w:p>
        </w:tc>
        <w:tc>
          <w:tcPr>
            <w:tcW w:w="1360" w:type="dxa"/>
            <w:vAlign w:val="bottom"/>
            <w:gridSpan w:val="2"/>
            <w:shd w:val="clear" w:color="auto" w:fill="D5DCE4"/>
          </w:tcPr>
          <w:p>
            <w:pPr>
              <w:ind w:left="120"/>
              <w:spacing w:after="0"/>
              <w:rPr>
                <w:sz w:val="20"/>
                <w:szCs w:val="20"/>
                <w:color w:val="auto"/>
              </w:rPr>
            </w:pPr>
            <w:r>
              <w:rPr>
                <w:rFonts w:ascii="Arial" w:cs="Arial" w:eastAsia="Arial" w:hAnsi="Arial"/>
                <w:sz w:val="16"/>
                <w:szCs w:val="16"/>
                <w:color w:val="auto"/>
              </w:rPr>
              <w:t>(unaudited)</w:t>
            </w:r>
          </w:p>
        </w:tc>
        <w:tc>
          <w:tcPr>
            <w:tcW w:w="220" w:type="dxa"/>
            <w:vAlign w:val="bottom"/>
            <w:shd w:val="clear" w:color="auto" w:fill="D5DCE4"/>
          </w:tcPr>
          <w:p>
            <w:pPr>
              <w:spacing w:after="0"/>
              <w:rPr>
                <w:sz w:val="21"/>
                <w:szCs w:val="21"/>
                <w:color w:val="auto"/>
              </w:rPr>
            </w:pPr>
          </w:p>
        </w:tc>
        <w:tc>
          <w:tcPr>
            <w:tcW w:w="1360" w:type="dxa"/>
            <w:vAlign w:val="bottom"/>
            <w:gridSpan w:val="2"/>
            <w:shd w:val="clear" w:color="auto" w:fill="D5DCE4"/>
          </w:tcPr>
          <w:p>
            <w:pPr>
              <w:ind w:left="120"/>
              <w:spacing w:after="0"/>
              <w:rPr>
                <w:sz w:val="20"/>
                <w:szCs w:val="20"/>
                <w:color w:val="auto"/>
              </w:rPr>
            </w:pPr>
            <w:r>
              <w:rPr>
                <w:rFonts w:ascii="Arial" w:cs="Arial" w:eastAsia="Arial" w:hAnsi="Arial"/>
                <w:sz w:val="16"/>
                <w:szCs w:val="16"/>
                <w:color w:val="auto"/>
              </w:rPr>
              <w:t>(unaudited)</w:t>
            </w:r>
          </w:p>
        </w:tc>
        <w:tc>
          <w:tcPr>
            <w:tcW w:w="220" w:type="dxa"/>
            <w:vAlign w:val="bottom"/>
            <w:shd w:val="clear" w:color="auto" w:fill="D5DCE4"/>
          </w:tcPr>
          <w:p>
            <w:pPr>
              <w:spacing w:after="0"/>
              <w:rPr>
                <w:sz w:val="21"/>
                <w:szCs w:val="21"/>
                <w:color w:val="auto"/>
              </w:rPr>
            </w:pPr>
          </w:p>
        </w:tc>
        <w:tc>
          <w:tcPr>
            <w:tcW w:w="1360" w:type="dxa"/>
            <w:vAlign w:val="bottom"/>
            <w:gridSpan w:val="2"/>
            <w:shd w:val="clear" w:color="auto" w:fill="D5DCE4"/>
          </w:tcPr>
          <w:p>
            <w:pPr>
              <w:ind w:left="120"/>
              <w:spacing w:after="0"/>
              <w:rPr>
                <w:sz w:val="20"/>
                <w:szCs w:val="20"/>
                <w:color w:val="auto"/>
              </w:rPr>
            </w:pPr>
            <w:r>
              <w:rPr>
                <w:rFonts w:ascii="Arial" w:cs="Arial" w:eastAsia="Arial" w:hAnsi="Arial"/>
                <w:sz w:val="16"/>
                <w:szCs w:val="16"/>
                <w:color w:val="auto"/>
              </w:rPr>
              <w:t>(unaudited)</w:t>
            </w:r>
          </w:p>
        </w:tc>
        <w:tc>
          <w:tcPr>
            <w:tcW w:w="240" w:type="dxa"/>
            <w:vAlign w:val="bottom"/>
            <w:shd w:val="clear" w:color="auto" w:fill="D5DCE4"/>
          </w:tcPr>
          <w:p>
            <w:pPr>
              <w:spacing w:after="0"/>
              <w:rPr>
                <w:sz w:val="21"/>
                <w:szCs w:val="21"/>
                <w:color w:val="auto"/>
              </w:rPr>
            </w:pPr>
          </w:p>
        </w:tc>
        <w:tc>
          <w:tcPr>
            <w:tcW w:w="1280" w:type="dxa"/>
            <w:vAlign w:val="bottom"/>
            <w:shd w:val="clear" w:color="auto" w:fill="D5DCE4"/>
          </w:tcPr>
          <w:p>
            <w:pPr>
              <w:jc w:val="right"/>
              <w:ind w:right="259"/>
              <w:spacing w:after="0"/>
              <w:rPr>
                <w:sz w:val="20"/>
                <w:szCs w:val="20"/>
                <w:color w:val="auto"/>
              </w:rPr>
            </w:pPr>
            <w:r>
              <w:rPr>
                <w:rFonts w:ascii="Arial" w:cs="Arial" w:eastAsia="Arial" w:hAnsi="Arial"/>
                <w:sz w:val="16"/>
                <w:szCs w:val="16"/>
                <w:color w:val="auto"/>
              </w:rPr>
              <w:t>(unaudited)</w:t>
            </w:r>
          </w:p>
        </w:tc>
      </w:tr>
      <w:tr>
        <w:trPr>
          <w:trHeight w:val="233"/>
        </w:trPr>
        <w:tc>
          <w:tcPr>
            <w:tcW w:w="4980" w:type="dxa"/>
            <w:vAlign w:val="bottom"/>
          </w:tcPr>
          <w:p>
            <w:pPr>
              <w:ind w:left="140"/>
              <w:spacing w:after="0"/>
              <w:rPr>
                <w:sz w:val="20"/>
                <w:szCs w:val="20"/>
                <w:color w:val="auto"/>
              </w:rPr>
            </w:pPr>
            <w:r>
              <w:rPr>
                <w:rFonts w:ascii="Arial" w:cs="Arial" w:eastAsia="Arial" w:hAnsi="Arial"/>
                <w:sz w:val="16"/>
                <w:szCs w:val="16"/>
                <w:color w:val="auto"/>
              </w:rPr>
              <w:t>Transaction fees and commissions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205,381</w:t>
            </w:r>
          </w:p>
        </w:tc>
        <w:tc>
          <w:tcPr>
            <w:tcW w:w="8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160,261</w:t>
            </w:r>
          </w:p>
        </w:tc>
        <w:tc>
          <w:tcPr>
            <w:tcW w:w="8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423,197</w:t>
            </w:r>
          </w:p>
        </w:tc>
        <w:tc>
          <w:tcPr>
            <w:tcW w:w="8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343,578</w:t>
            </w:r>
          </w:p>
        </w:tc>
      </w:tr>
      <w:tr>
        <w:trPr>
          <w:trHeight w:val="253"/>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Subscription fees</w:t>
            </w: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37,883</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35,006</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75,751</w:t>
            </w:r>
          </w:p>
        </w:tc>
        <w:tc>
          <w:tcPr>
            <w:tcW w:w="80" w:type="dxa"/>
            <w:vAlign w:val="bottom"/>
            <w:shd w:val="clear" w:color="auto" w:fill="D5DCE4"/>
          </w:tcPr>
          <w:p>
            <w:pPr>
              <w:spacing w:after="0"/>
              <w:rPr>
                <w:sz w:val="21"/>
                <w:szCs w:val="21"/>
                <w:color w:val="auto"/>
              </w:rPr>
            </w:pPr>
          </w:p>
        </w:tc>
        <w:tc>
          <w:tcPr>
            <w:tcW w:w="2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69,489</w:t>
            </w:r>
          </w:p>
        </w:tc>
      </w:tr>
      <w:tr>
        <w:trPr>
          <w:trHeight w:val="233"/>
        </w:trPr>
        <w:tc>
          <w:tcPr>
            <w:tcW w:w="4980" w:type="dxa"/>
            <w:vAlign w:val="bottom"/>
          </w:tcPr>
          <w:p>
            <w:pPr>
              <w:ind w:left="140"/>
              <w:spacing w:after="0"/>
              <w:rPr>
                <w:sz w:val="20"/>
                <w:szCs w:val="20"/>
                <w:color w:val="auto"/>
              </w:rPr>
            </w:pPr>
            <w:r>
              <w:rPr>
                <w:rFonts w:ascii="Arial" w:cs="Arial" w:eastAsia="Arial" w:hAnsi="Arial"/>
                <w:sz w:val="16"/>
                <w:szCs w:val="16"/>
                <w:color w:val="auto"/>
              </w:rPr>
              <w:t>Refinitiv market data fees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14,926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14,565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30,043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29,193</w:t>
            </w:r>
          </w:p>
        </w:tc>
      </w:tr>
      <w:tr>
        <w:trPr>
          <w:trHeight w:val="246"/>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2,650</w:t>
            </w:r>
          </w:p>
        </w:tc>
        <w:tc>
          <w:tcPr>
            <w:tcW w:w="80" w:type="dxa"/>
            <w:vAlign w:val="bottom"/>
            <w:shd w:val="clear" w:color="auto" w:fill="D5DCE4"/>
          </w:tcPr>
          <w:p>
            <w:pPr>
              <w:spacing w:after="0"/>
              <w:rPr>
                <w:sz w:val="21"/>
                <w:szCs w:val="21"/>
                <w:color w:val="auto"/>
              </w:rPr>
            </w:pP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2,275</w:t>
            </w:r>
          </w:p>
        </w:tc>
        <w:tc>
          <w:tcPr>
            <w:tcW w:w="80" w:type="dxa"/>
            <w:vAlign w:val="bottom"/>
            <w:shd w:val="clear" w:color="auto" w:fill="D5DCE4"/>
          </w:tcPr>
          <w:p>
            <w:pPr>
              <w:spacing w:after="0"/>
              <w:rPr>
                <w:sz w:val="21"/>
                <w:szCs w:val="21"/>
                <w:color w:val="auto"/>
              </w:rPr>
            </w:pP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5,248</w:t>
            </w:r>
          </w:p>
        </w:tc>
        <w:tc>
          <w:tcPr>
            <w:tcW w:w="80" w:type="dxa"/>
            <w:vAlign w:val="bottom"/>
            <w:shd w:val="clear" w:color="auto" w:fill="D5DCE4"/>
          </w:tcPr>
          <w:p>
            <w:pPr>
              <w:spacing w:after="0"/>
              <w:rPr>
                <w:sz w:val="21"/>
                <w:szCs w:val="21"/>
                <w:color w:val="auto"/>
              </w:rPr>
            </w:pPr>
          </w:p>
        </w:tc>
        <w:tc>
          <w:tcPr>
            <w:tcW w:w="24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4,453</w:t>
            </w:r>
          </w:p>
        </w:tc>
      </w:tr>
      <w:tr>
        <w:trPr>
          <w:trHeight w:val="233"/>
        </w:trPr>
        <w:tc>
          <w:tcPr>
            <w:tcW w:w="4980" w:type="dxa"/>
            <w:vAlign w:val="bottom"/>
          </w:tcPr>
          <w:p>
            <w:pPr>
              <w:ind w:left="220"/>
              <w:spacing w:after="0"/>
              <w:rPr>
                <w:sz w:val="20"/>
                <w:szCs w:val="20"/>
                <w:color w:val="auto"/>
              </w:rPr>
            </w:pPr>
            <w:r>
              <w:rPr>
                <w:rFonts w:ascii="Arial" w:cs="Arial" w:eastAsia="Arial" w:hAnsi="Arial"/>
                <w:sz w:val="16"/>
                <w:szCs w:val="16"/>
                <w:b w:val="1"/>
                <w:bCs w:val="1"/>
                <w:color w:val="auto"/>
              </w:rPr>
              <w:t>Total revenue</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260,840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212,107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534,239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446,713</w:t>
            </w:r>
          </w:p>
        </w:tc>
      </w:tr>
      <w:tr>
        <w:trPr>
          <w:trHeight w:val="280"/>
        </w:trPr>
        <w:tc>
          <w:tcPr>
            <w:tcW w:w="4980" w:type="dxa"/>
            <w:vAlign w:val="bottom"/>
            <w:shd w:val="clear" w:color="auto" w:fill="D5DCE4"/>
          </w:tcPr>
          <w:p>
            <w:pPr>
              <w:spacing w:after="0"/>
              <w:rPr>
                <w:sz w:val="24"/>
                <w:szCs w:val="24"/>
                <w:color w:val="auto"/>
              </w:rPr>
            </w:pPr>
          </w:p>
        </w:tc>
        <w:tc>
          <w:tcPr>
            <w:tcW w:w="220" w:type="dxa"/>
            <w:vAlign w:val="bottom"/>
            <w:shd w:val="clear" w:color="auto" w:fill="D5DCE4"/>
          </w:tcPr>
          <w:p>
            <w:pPr>
              <w:spacing w:after="0"/>
              <w:rPr>
                <w:sz w:val="24"/>
                <w:szCs w:val="24"/>
                <w:color w:val="auto"/>
              </w:rPr>
            </w:pPr>
          </w:p>
        </w:tc>
        <w:tc>
          <w:tcPr>
            <w:tcW w:w="1280" w:type="dxa"/>
            <w:vAlign w:val="bottom"/>
            <w:shd w:val="clear" w:color="auto" w:fill="D5DCE4"/>
          </w:tcPr>
          <w:p>
            <w:pPr>
              <w:spacing w:after="0"/>
              <w:rPr>
                <w:sz w:val="24"/>
                <w:szCs w:val="24"/>
                <w:color w:val="auto"/>
              </w:rPr>
            </w:pPr>
          </w:p>
        </w:tc>
        <w:tc>
          <w:tcPr>
            <w:tcW w:w="80" w:type="dxa"/>
            <w:vAlign w:val="bottom"/>
            <w:shd w:val="clear" w:color="auto" w:fill="D5DCE4"/>
          </w:tcPr>
          <w:p>
            <w:pPr>
              <w:spacing w:after="0"/>
              <w:rPr>
                <w:sz w:val="24"/>
                <w:szCs w:val="24"/>
                <w:color w:val="auto"/>
              </w:rPr>
            </w:pPr>
          </w:p>
        </w:tc>
        <w:tc>
          <w:tcPr>
            <w:tcW w:w="220" w:type="dxa"/>
            <w:vAlign w:val="bottom"/>
            <w:shd w:val="clear" w:color="auto" w:fill="D5DCE4"/>
          </w:tcPr>
          <w:p>
            <w:pPr>
              <w:spacing w:after="0"/>
              <w:rPr>
                <w:sz w:val="24"/>
                <w:szCs w:val="24"/>
                <w:color w:val="auto"/>
              </w:rPr>
            </w:pPr>
          </w:p>
        </w:tc>
        <w:tc>
          <w:tcPr>
            <w:tcW w:w="1280" w:type="dxa"/>
            <w:vAlign w:val="bottom"/>
            <w:shd w:val="clear" w:color="auto" w:fill="D5DCE4"/>
          </w:tcPr>
          <w:p>
            <w:pPr>
              <w:spacing w:after="0"/>
              <w:rPr>
                <w:sz w:val="24"/>
                <w:szCs w:val="24"/>
                <w:color w:val="auto"/>
              </w:rPr>
            </w:pPr>
          </w:p>
        </w:tc>
        <w:tc>
          <w:tcPr>
            <w:tcW w:w="80" w:type="dxa"/>
            <w:vAlign w:val="bottom"/>
            <w:shd w:val="clear" w:color="auto" w:fill="D5DCE4"/>
          </w:tcPr>
          <w:p>
            <w:pPr>
              <w:spacing w:after="0"/>
              <w:rPr>
                <w:sz w:val="24"/>
                <w:szCs w:val="24"/>
                <w:color w:val="auto"/>
              </w:rPr>
            </w:pPr>
          </w:p>
        </w:tc>
        <w:tc>
          <w:tcPr>
            <w:tcW w:w="220" w:type="dxa"/>
            <w:vAlign w:val="bottom"/>
            <w:shd w:val="clear" w:color="auto" w:fill="D5DCE4"/>
          </w:tcPr>
          <w:p>
            <w:pPr>
              <w:spacing w:after="0"/>
              <w:rPr>
                <w:sz w:val="24"/>
                <w:szCs w:val="24"/>
                <w:color w:val="auto"/>
              </w:rPr>
            </w:pPr>
          </w:p>
        </w:tc>
        <w:tc>
          <w:tcPr>
            <w:tcW w:w="1280" w:type="dxa"/>
            <w:vAlign w:val="bottom"/>
            <w:shd w:val="clear" w:color="auto" w:fill="D5DCE4"/>
          </w:tcPr>
          <w:p>
            <w:pPr>
              <w:spacing w:after="0"/>
              <w:rPr>
                <w:sz w:val="24"/>
                <w:szCs w:val="24"/>
                <w:color w:val="auto"/>
              </w:rPr>
            </w:pPr>
          </w:p>
        </w:tc>
        <w:tc>
          <w:tcPr>
            <w:tcW w:w="80" w:type="dxa"/>
            <w:vAlign w:val="bottom"/>
            <w:shd w:val="clear" w:color="auto" w:fill="D5DCE4"/>
          </w:tcPr>
          <w:p>
            <w:pPr>
              <w:spacing w:after="0"/>
              <w:rPr>
                <w:sz w:val="24"/>
                <w:szCs w:val="24"/>
                <w:color w:val="auto"/>
              </w:rPr>
            </w:pPr>
          </w:p>
        </w:tc>
        <w:tc>
          <w:tcPr>
            <w:tcW w:w="240" w:type="dxa"/>
            <w:vAlign w:val="bottom"/>
            <w:shd w:val="clear" w:color="auto" w:fill="D5DCE4"/>
          </w:tcPr>
          <w:p>
            <w:pPr>
              <w:spacing w:after="0"/>
              <w:rPr>
                <w:sz w:val="24"/>
                <w:szCs w:val="24"/>
                <w:color w:val="auto"/>
              </w:rPr>
            </w:pPr>
          </w:p>
        </w:tc>
        <w:tc>
          <w:tcPr>
            <w:tcW w:w="1280" w:type="dxa"/>
            <w:vAlign w:val="bottom"/>
            <w:shd w:val="clear" w:color="auto" w:fill="D5DCE4"/>
          </w:tcPr>
          <w:p>
            <w:pPr>
              <w:spacing w:after="0"/>
              <w:rPr>
                <w:sz w:val="24"/>
                <w:szCs w:val="24"/>
                <w:color w:val="auto"/>
              </w:rPr>
            </w:pPr>
          </w:p>
        </w:tc>
      </w:tr>
      <w:tr>
        <w:trPr>
          <w:trHeight w:val="23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3"/>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Employee compensation and benefits</w:t>
            </w: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98,449</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88,866</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202,071</w:t>
            </w:r>
          </w:p>
        </w:tc>
        <w:tc>
          <w:tcPr>
            <w:tcW w:w="80" w:type="dxa"/>
            <w:vAlign w:val="bottom"/>
            <w:shd w:val="clear" w:color="auto" w:fill="D5DCE4"/>
          </w:tcPr>
          <w:p>
            <w:pPr>
              <w:spacing w:after="0"/>
              <w:rPr>
                <w:sz w:val="21"/>
                <w:szCs w:val="21"/>
                <w:color w:val="auto"/>
              </w:rPr>
            </w:pPr>
          </w:p>
        </w:tc>
        <w:tc>
          <w:tcPr>
            <w:tcW w:w="2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179,386</w:t>
            </w:r>
          </w:p>
        </w:tc>
      </w:tr>
      <w:tr>
        <w:trPr>
          <w:trHeight w:val="233"/>
        </w:trPr>
        <w:tc>
          <w:tcPr>
            <w:tcW w:w="498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41,867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37,919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82,833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75,095</w:t>
            </w:r>
          </w:p>
        </w:tc>
      </w:tr>
      <w:tr>
        <w:trPr>
          <w:trHeight w:val="253"/>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Technology and communications</w:t>
            </w: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13,957</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12,042</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27,501</w:t>
            </w:r>
          </w:p>
        </w:tc>
        <w:tc>
          <w:tcPr>
            <w:tcW w:w="80" w:type="dxa"/>
            <w:vAlign w:val="bottom"/>
            <w:shd w:val="clear" w:color="auto" w:fill="D5DCE4"/>
          </w:tcPr>
          <w:p>
            <w:pPr>
              <w:spacing w:after="0"/>
              <w:rPr>
                <w:sz w:val="21"/>
                <w:szCs w:val="21"/>
                <w:color w:val="auto"/>
              </w:rPr>
            </w:pPr>
          </w:p>
        </w:tc>
        <w:tc>
          <w:tcPr>
            <w:tcW w:w="2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22,360</w:t>
            </w:r>
          </w:p>
        </w:tc>
      </w:tr>
      <w:tr>
        <w:trPr>
          <w:trHeight w:val="233"/>
        </w:trPr>
        <w:tc>
          <w:tcPr>
            <w:tcW w:w="4980" w:type="dxa"/>
            <w:vAlign w:val="bottom"/>
          </w:tcPr>
          <w:p>
            <w:pPr>
              <w:ind w:left="14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8,789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7,523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12,248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15,863</w:t>
            </w:r>
          </w:p>
        </w:tc>
      </w:tr>
      <w:tr>
        <w:trPr>
          <w:trHeight w:val="253"/>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Professional fees</w:t>
            </w: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10,368</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6,609</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20,096</w:t>
            </w:r>
          </w:p>
        </w:tc>
        <w:tc>
          <w:tcPr>
            <w:tcW w:w="80" w:type="dxa"/>
            <w:vAlign w:val="bottom"/>
            <w:shd w:val="clear" w:color="auto" w:fill="D5DCE4"/>
          </w:tcPr>
          <w:p>
            <w:pPr>
              <w:spacing w:after="0"/>
              <w:rPr>
                <w:sz w:val="21"/>
                <w:szCs w:val="21"/>
                <w:color w:val="auto"/>
              </w:rPr>
            </w:pPr>
          </w:p>
        </w:tc>
        <w:tc>
          <w:tcPr>
            <w:tcW w:w="2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13,520</w:t>
            </w:r>
          </w:p>
        </w:tc>
      </w:tr>
      <w:tr>
        <w:trPr>
          <w:trHeight w:val="237"/>
        </w:trPr>
        <w:tc>
          <w:tcPr>
            <w:tcW w:w="4980" w:type="dxa"/>
            <w:vAlign w:val="bottom"/>
            <w:tcBorders>
              <w:bottom w:val="single" w:sz="8" w:color="D5DCE4"/>
            </w:tcBorders>
          </w:tcPr>
          <w:p>
            <w:pPr>
              <w:ind w:left="140"/>
              <w:spacing w:after="0"/>
              <w:rPr>
                <w:sz w:val="20"/>
                <w:szCs w:val="20"/>
                <w:color w:val="auto"/>
              </w:rPr>
            </w:pPr>
            <w:r>
              <w:rPr>
                <w:rFonts w:ascii="Arial" w:cs="Arial" w:eastAsia="Arial" w:hAnsi="Arial"/>
                <w:sz w:val="16"/>
                <w:szCs w:val="16"/>
                <w:color w:val="auto"/>
              </w:rPr>
              <w:t>Occupancy</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3,618</w:t>
            </w:r>
          </w:p>
        </w:tc>
        <w:tc>
          <w:tcPr>
            <w:tcW w:w="80" w:type="dxa"/>
            <w:vAlign w:val="bottom"/>
            <w:tcBorders>
              <w:bottom w:val="single" w:sz="8" w:color="D5DCE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3,509</w:t>
            </w:r>
          </w:p>
        </w:tc>
        <w:tc>
          <w:tcPr>
            <w:tcW w:w="80" w:type="dxa"/>
            <w:vAlign w:val="bottom"/>
            <w:tcBorders>
              <w:bottom w:val="single" w:sz="8" w:color="D5DCE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7,371</w:t>
            </w:r>
          </w:p>
        </w:tc>
        <w:tc>
          <w:tcPr>
            <w:tcW w:w="80" w:type="dxa"/>
            <w:vAlign w:val="bottom"/>
            <w:tcBorders>
              <w:bottom w:val="single" w:sz="8" w:color="D5DCE4"/>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7,235</w:t>
            </w:r>
          </w:p>
        </w:tc>
      </w:tr>
      <w:tr>
        <w:trPr>
          <w:trHeight w:val="237"/>
        </w:trPr>
        <w:tc>
          <w:tcPr>
            <w:tcW w:w="4980" w:type="dxa"/>
            <w:vAlign w:val="bottom"/>
            <w:shd w:val="clear" w:color="auto" w:fill="D5DCE4"/>
          </w:tcPr>
          <w:p>
            <w:pPr>
              <w:ind w:left="220"/>
              <w:spacing w:after="0"/>
              <w:rPr>
                <w:sz w:val="20"/>
                <w:szCs w:val="20"/>
                <w:color w:val="auto"/>
              </w:rPr>
            </w:pPr>
            <w:r>
              <w:rPr>
                <w:rFonts w:ascii="Arial" w:cs="Arial" w:eastAsia="Arial" w:hAnsi="Arial"/>
                <w:sz w:val="16"/>
                <w:szCs w:val="16"/>
                <w:b w:val="1"/>
                <w:bCs w:val="1"/>
                <w:color w:val="auto"/>
              </w:rPr>
              <w:t>Total expenses</w:t>
            </w:r>
          </w:p>
        </w:tc>
        <w:tc>
          <w:tcPr>
            <w:tcW w:w="220" w:type="dxa"/>
            <w:vAlign w:val="bottom"/>
            <w:tcBorders>
              <w:bottom w:val="single" w:sz="8" w:color="auto"/>
            </w:tcBorders>
            <w:shd w:val="clear" w:color="auto" w:fill="D5DCE4"/>
          </w:tcPr>
          <w:p>
            <w:pPr>
              <w:spacing w:after="0"/>
              <w:rPr>
                <w:sz w:val="20"/>
                <w:szCs w:val="20"/>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177,048</w:t>
            </w:r>
          </w:p>
        </w:tc>
        <w:tc>
          <w:tcPr>
            <w:tcW w:w="80" w:type="dxa"/>
            <w:vAlign w:val="bottom"/>
            <w:shd w:val="clear" w:color="auto" w:fill="D5DCE4"/>
          </w:tcPr>
          <w:p>
            <w:pPr>
              <w:spacing w:after="0"/>
              <w:rPr>
                <w:sz w:val="20"/>
                <w:szCs w:val="20"/>
                <w:color w:val="auto"/>
              </w:rPr>
            </w:pPr>
          </w:p>
        </w:tc>
        <w:tc>
          <w:tcPr>
            <w:tcW w:w="220" w:type="dxa"/>
            <w:vAlign w:val="bottom"/>
            <w:tcBorders>
              <w:bottom w:val="single" w:sz="8" w:color="auto"/>
            </w:tcBorders>
            <w:shd w:val="clear" w:color="auto" w:fill="D5DCE4"/>
          </w:tcPr>
          <w:p>
            <w:pPr>
              <w:spacing w:after="0"/>
              <w:rPr>
                <w:sz w:val="20"/>
                <w:szCs w:val="20"/>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156,468</w:t>
            </w:r>
          </w:p>
        </w:tc>
        <w:tc>
          <w:tcPr>
            <w:tcW w:w="80" w:type="dxa"/>
            <w:vAlign w:val="bottom"/>
            <w:shd w:val="clear" w:color="auto" w:fill="D5DCE4"/>
          </w:tcPr>
          <w:p>
            <w:pPr>
              <w:spacing w:after="0"/>
              <w:rPr>
                <w:sz w:val="20"/>
                <w:szCs w:val="20"/>
                <w:color w:val="auto"/>
              </w:rPr>
            </w:pPr>
          </w:p>
        </w:tc>
        <w:tc>
          <w:tcPr>
            <w:tcW w:w="220" w:type="dxa"/>
            <w:vAlign w:val="bottom"/>
            <w:tcBorders>
              <w:bottom w:val="single" w:sz="8" w:color="auto"/>
            </w:tcBorders>
            <w:shd w:val="clear" w:color="auto" w:fill="D5DCE4"/>
          </w:tcPr>
          <w:p>
            <w:pPr>
              <w:spacing w:after="0"/>
              <w:rPr>
                <w:sz w:val="20"/>
                <w:szCs w:val="20"/>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352,120</w:t>
            </w:r>
          </w:p>
        </w:tc>
        <w:tc>
          <w:tcPr>
            <w:tcW w:w="80" w:type="dxa"/>
            <w:vAlign w:val="bottom"/>
            <w:shd w:val="clear" w:color="auto" w:fill="D5DCE4"/>
          </w:tcPr>
          <w:p>
            <w:pPr>
              <w:spacing w:after="0"/>
              <w:rPr>
                <w:sz w:val="20"/>
                <w:szCs w:val="20"/>
                <w:color w:val="auto"/>
              </w:rPr>
            </w:pPr>
          </w:p>
        </w:tc>
        <w:tc>
          <w:tcPr>
            <w:tcW w:w="240" w:type="dxa"/>
            <w:vAlign w:val="bottom"/>
            <w:tcBorders>
              <w:bottom w:val="single" w:sz="8" w:color="auto"/>
            </w:tcBorders>
            <w:shd w:val="clear" w:color="auto" w:fill="D5DCE4"/>
          </w:tcPr>
          <w:p>
            <w:pPr>
              <w:spacing w:after="0"/>
              <w:rPr>
                <w:sz w:val="20"/>
                <w:szCs w:val="20"/>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313,459</w:t>
            </w:r>
          </w:p>
        </w:tc>
      </w:tr>
      <w:tr>
        <w:trPr>
          <w:trHeight w:val="23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83,792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55,639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182,119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133,254</w:t>
            </w:r>
          </w:p>
        </w:tc>
      </w:tr>
      <w:tr>
        <w:trPr>
          <w:trHeight w:val="246"/>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Net interest income (expense)</w:t>
            </w: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(325)</w:t>
            </w:r>
          </w:p>
        </w:tc>
        <w:tc>
          <w:tcPr>
            <w:tcW w:w="80" w:type="dxa"/>
            <w:vAlign w:val="bottom"/>
            <w:shd w:val="clear" w:color="auto" w:fill="D5DCE4"/>
          </w:tcPr>
          <w:p>
            <w:pPr>
              <w:spacing w:after="0"/>
              <w:rPr>
                <w:sz w:val="21"/>
                <w:szCs w:val="21"/>
                <w:color w:val="auto"/>
              </w:rPr>
            </w:pP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(286)</w:t>
            </w:r>
          </w:p>
        </w:tc>
        <w:tc>
          <w:tcPr>
            <w:tcW w:w="80" w:type="dxa"/>
            <w:vAlign w:val="bottom"/>
            <w:shd w:val="clear" w:color="auto" w:fill="D5DCE4"/>
          </w:tcPr>
          <w:p>
            <w:pPr>
              <w:spacing w:after="0"/>
              <w:rPr>
                <w:sz w:val="21"/>
                <w:szCs w:val="21"/>
                <w:color w:val="auto"/>
              </w:rPr>
            </w:pP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(818)</w:t>
            </w:r>
          </w:p>
        </w:tc>
        <w:tc>
          <w:tcPr>
            <w:tcW w:w="80" w:type="dxa"/>
            <w:vAlign w:val="bottom"/>
            <w:shd w:val="clear" w:color="auto" w:fill="D5DCE4"/>
          </w:tcPr>
          <w:p>
            <w:pPr>
              <w:spacing w:after="0"/>
              <w:rPr>
                <w:sz w:val="21"/>
                <w:szCs w:val="21"/>
                <w:color w:val="auto"/>
              </w:rPr>
            </w:pPr>
          </w:p>
        </w:tc>
        <w:tc>
          <w:tcPr>
            <w:tcW w:w="24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413</w:t>
            </w:r>
          </w:p>
        </w:tc>
      </w:tr>
      <w:tr>
        <w:trPr>
          <w:trHeight w:val="237"/>
        </w:trPr>
        <w:tc>
          <w:tcPr>
            <w:tcW w:w="4980" w:type="dxa"/>
            <w:vAlign w:val="bottom"/>
            <w:tcBorders>
              <w:bottom w:val="single" w:sz="8" w:color="D5DCE4"/>
            </w:tcBorders>
          </w:tcPr>
          <w:p>
            <w:pPr>
              <w:ind w:left="20"/>
              <w:spacing w:after="0"/>
              <w:rPr>
                <w:sz w:val="20"/>
                <w:szCs w:val="20"/>
                <w:color w:val="auto"/>
              </w:rPr>
            </w:pPr>
            <w:r>
              <w:rPr>
                <w:rFonts w:ascii="Arial" w:cs="Arial" w:eastAsia="Arial" w:hAnsi="Arial"/>
                <w:sz w:val="16"/>
                <w:szCs w:val="16"/>
                <w:b w:val="1"/>
                <w:bCs w:val="1"/>
                <w:color w:val="auto"/>
              </w:rPr>
              <w:t>Income before taxes</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83,467</w:t>
            </w:r>
          </w:p>
        </w:tc>
        <w:tc>
          <w:tcPr>
            <w:tcW w:w="80" w:type="dxa"/>
            <w:vAlign w:val="bottom"/>
            <w:tcBorders>
              <w:bottom w:val="single" w:sz="8" w:color="D5DCE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55,353</w:t>
            </w:r>
          </w:p>
        </w:tc>
        <w:tc>
          <w:tcPr>
            <w:tcW w:w="80" w:type="dxa"/>
            <w:vAlign w:val="bottom"/>
            <w:tcBorders>
              <w:bottom w:val="single" w:sz="8" w:color="D5DCE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181,301</w:t>
            </w:r>
          </w:p>
        </w:tc>
        <w:tc>
          <w:tcPr>
            <w:tcW w:w="80" w:type="dxa"/>
            <w:vAlign w:val="bottom"/>
            <w:tcBorders>
              <w:bottom w:val="single" w:sz="8" w:color="D5DCE4"/>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133,667</w:t>
            </w:r>
          </w:p>
        </w:tc>
      </w:tr>
      <w:tr>
        <w:trPr>
          <w:trHeight w:val="236"/>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color w:val="auto"/>
              </w:rPr>
              <w:t>Provision for income taxes</w:t>
            </w:r>
          </w:p>
        </w:tc>
        <w:tc>
          <w:tcPr>
            <w:tcW w:w="220" w:type="dxa"/>
            <w:vAlign w:val="bottom"/>
            <w:tcBorders>
              <w:bottom w:val="single" w:sz="8" w:color="auto"/>
            </w:tcBorders>
            <w:shd w:val="clear" w:color="auto" w:fill="D5DCE4"/>
          </w:tcPr>
          <w:p>
            <w:pPr>
              <w:spacing w:after="0"/>
              <w:rPr>
                <w:sz w:val="20"/>
                <w:szCs w:val="20"/>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(17,234)</w:t>
            </w:r>
          </w:p>
        </w:tc>
        <w:tc>
          <w:tcPr>
            <w:tcW w:w="80" w:type="dxa"/>
            <w:vAlign w:val="bottom"/>
            <w:shd w:val="clear" w:color="auto" w:fill="D5DCE4"/>
          </w:tcPr>
          <w:p>
            <w:pPr>
              <w:spacing w:after="0"/>
              <w:rPr>
                <w:sz w:val="20"/>
                <w:szCs w:val="20"/>
                <w:color w:val="auto"/>
              </w:rPr>
            </w:pPr>
          </w:p>
        </w:tc>
        <w:tc>
          <w:tcPr>
            <w:tcW w:w="220" w:type="dxa"/>
            <w:vAlign w:val="bottom"/>
            <w:tcBorders>
              <w:bottom w:val="single" w:sz="8" w:color="auto"/>
            </w:tcBorders>
            <w:shd w:val="clear" w:color="auto" w:fill="D5DCE4"/>
          </w:tcPr>
          <w:p>
            <w:pPr>
              <w:spacing w:after="0"/>
              <w:rPr>
                <w:sz w:val="20"/>
                <w:szCs w:val="20"/>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(12,945)</w:t>
            </w:r>
          </w:p>
        </w:tc>
        <w:tc>
          <w:tcPr>
            <w:tcW w:w="80" w:type="dxa"/>
            <w:vAlign w:val="bottom"/>
            <w:shd w:val="clear" w:color="auto" w:fill="D5DCE4"/>
          </w:tcPr>
          <w:p>
            <w:pPr>
              <w:spacing w:after="0"/>
              <w:rPr>
                <w:sz w:val="20"/>
                <w:szCs w:val="20"/>
                <w:color w:val="auto"/>
              </w:rPr>
            </w:pPr>
          </w:p>
        </w:tc>
        <w:tc>
          <w:tcPr>
            <w:tcW w:w="220" w:type="dxa"/>
            <w:vAlign w:val="bottom"/>
            <w:tcBorders>
              <w:bottom w:val="single" w:sz="8" w:color="auto"/>
            </w:tcBorders>
            <w:shd w:val="clear" w:color="auto" w:fill="D5DCE4"/>
          </w:tcPr>
          <w:p>
            <w:pPr>
              <w:spacing w:after="0"/>
              <w:rPr>
                <w:sz w:val="20"/>
                <w:szCs w:val="20"/>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(33,503)</w:t>
            </w:r>
          </w:p>
        </w:tc>
        <w:tc>
          <w:tcPr>
            <w:tcW w:w="80" w:type="dxa"/>
            <w:vAlign w:val="bottom"/>
            <w:shd w:val="clear" w:color="auto" w:fill="D5DCE4"/>
          </w:tcPr>
          <w:p>
            <w:pPr>
              <w:spacing w:after="0"/>
              <w:rPr>
                <w:sz w:val="20"/>
                <w:szCs w:val="20"/>
                <w:color w:val="auto"/>
              </w:rPr>
            </w:pPr>
          </w:p>
        </w:tc>
        <w:tc>
          <w:tcPr>
            <w:tcW w:w="240" w:type="dxa"/>
            <w:vAlign w:val="bottom"/>
            <w:tcBorders>
              <w:bottom w:val="single" w:sz="8" w:color="auto"/>
            </w:tcBorders>
            <w:shd w:val="clear" w:color="auto" w:fill="D5DCE4"/>
          </w:tcPr>
          <w:p>
            <w:pPr>
              <w:spacing w:after="0"/>
              <w:rPr>
                <w:sz w:val="20"/>
                <w:szCs w:val="20"/>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(28,774)</w:t>
            </w:r>
          </w:p>
        </w:tc>
      </w:tr>
      <w:tr>
        <w:trPr>
          <w:trHeight w:val="23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66,233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42,408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147,798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104,893</w:t>
            </w:r>
          </w:p>
        </w:tc>
      </w:tr>
      <w:tr>
        <w:trPr>
          <w:trHeight w:val="246"/>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color w:val="auto"/>
              </w:rPr>
              <w:t>Less: Net income attributable to non-controlling interests</w:t>
            </w: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10,917</w:t>
            </w:r>
          </w:p>
        </w:tc>
        <w:tc>
          <w:tcPr>
            <w:tcW w:w="80" w:type="dxa"/>
            <w:vAlign w:val="bottom"/>
            <w:shd w:val="clear" w:color="auto" w:fill="D5DCE4"/>
          </w:tcPr>
          <w:p>
            <w:pPr>
              <w:spacing w:after="0"/>
              <w:rPr>
                <w:sz w:val="21"/>
                <w:szCs w:val="21"/>
                <w:color w:val="auto"/>
              </w:rPr>
            </w:pP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11,912</w:t>
            </w:r>
          </w:p>
        </w:tc>
        <w:tc>
          <w:tcPr>
            <w:tcW w:w="80" w:type="dxa"/>
            <w:vAlign w:val="bottom"/>
            <w:shd w:val="clear" w:color="auto" w:fill="D5DCE4"/>
          </w:tcPr>
          <w:p>
            <w:pPr>
              <w:spacing w:after="0"/>
              <w:rPr>
                <w:sz w:val="21"/>
                <w:szCs w:val="21"/>
                <w:color w:val="auto"/>
              </w:rPr>
            </w:pP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24,623</w:t>
            </w:r>
          </w:p>
        </w:tc>
        <w:tc>
          <w:tcPr>
            <w:tcW w:w="80" w:type="dxa"/>
            <w:vAlign w:val="bottom"/>
            <w:shd w:val="clear" w:color="auto" w:fill="D5DCE4"/>
          </w:tcPr>
          <w:p>
            <w:pPr>
              <w:spacing w:after="0"/>
              <w:rPr>
                <w:sz w:val="21"/>
                <w:szCs w:val="21"/>
                <w:color w:val="auto"/>
              </w:rPr>
            </w:pPr>
          </w:p>
        </w:tc>
        <w:tc>
          <w:tcPr>
            <w:tcW w:w="24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30,469</w:t>
            </w:r>
          </w:p>
        </w:tc>
      </w:tr>
      <w:tr>
        <w:trPr>
          <w:trHeight w:val="24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Tradeweb Markets Inc.</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55,316</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30,496</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123,175</w:t>
            </w:r>
          </w:p>
        </w:tc>
        <w:tc>
          <w:tcPr>
            <w:tcW w:w="80" w:type="dxa"/>
            <w:vAlign w:val="bottom"/>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74,424</w:t>
            </w:r>
          </w:p>
        </w:tc>
      </w:tr>
      <w:tr>
        <w:trPr>
          <w:trHeight w:val="20"/>
        </w:trPr>
        <w:tc>
          <w:tcPr>
            <w:tcW w:w="4980" w:type="dxa"/>
            <w:vAlign w:val="bottom"/>
            <w:tcBorders>
              <w:bottom w:val="single" w:sz="8" w:color="D5DCE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4"/>
        </w:trPr>
        <w:tc>
          <w:tcPr>
            <w:tcW w:w="4980" w:type="dxa"/>
            <w:vAlign w:val="bottom"/>
            <w:shd w:val="clear" w:color="auto" w:fill="D5DCE4"/>
          </w:tcPr>
          <w:p>
            <w:pPr>
              <w:spacing w:after="0"/>
              <w:rPr>
                <w:sz w:val="19"/>
                <w:szCs w:val="19"/>
                <w:color w:val="auto"/>
              </w:rPr>
            </w:pPr>
          </w:p>
        </w:tc>
        <w:tc>
          <w:tcPr>
            <w:tcW w:w="220" w:type="dxa"/>
            <w:vAlign w:val="bottom"/>
            <w:shd w:val="clear" w:color="auto" w:fill="D5DCE4"/>
          </w:tcPr>
          <w:p>
            <w:pPr>
              <w:spacing w:after="0"/>
              <w:rPr>
                <w:sz w:val="19"/>
                <w:szCs w:val="19"/>
                <w:color w:val="auto"/>
              </w:rPr>
            </w:pPr>
          </w:p>
        </w:tc>
        <w:tc>
          <w:tcPr>
            <w:tcW w:w="12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220" w:type="dxa"/>
            <w:vAlign w:val="bottom"/>
            <w:shd w:val="clear" w:color="auto" w:fill="D5DCE4"/>
          </w:tcPr>
          <w:p>
            <w:pPr>
              <w:spacing w:after="0"/>
              <w:rPr>
                <w:sz w:val="19"/>
                <w:szCs w:val="19"/>
                <w:color w:val="auto"/>
              </w:rPr>
            </w:pPr>
          </w:p>
        </w:tc>
        <w:tc>
          <w:tcPr>
            <w:tcW w:w="12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220" w:type="dxa"/>
            <w:vAlign w:val="bottom"/>
            <w:shd w:val="clear" w:color="auto" w:fill="D5DCE4"/>
          </w:tcPr>
          <w:p>
            <w:pPr>
              <w:spacing w:after="0"/>
              <w:rPr>
                <w:sz w:val="19"/>
                <w:szCs w:val="19"/>
                <w:color w:val="auto"/>
              </w:rPr>
            </w:pPr>
          </w:p>
        </w:tc>
        <w:tc>
          <w:tcPr>
            <w:tcW w:w="12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240" w:type="dxa"/>
            <w:vAlign w:val="bottom"/>
            <w:shd w:val="clear" w:color="auto" w:fill="D5DCE4"/>
          </w:tcPr>
          <w:p>
            <w:pPr>
              <w:spacing w:after="0"/>
              <w:rPr>
                <w:sz w:val="19"/>
                <w:szCs w:val="19"/>
                <w:color w:val="auto"/>
              </w:rPr>
            </w:pPr>
          </w:p>
        </w:tc>
        <w:tc>
          <w:tcPr>
            <w:tcW w:w="1280" w:type="dxa"/>
            <w:vAlign w:val="bottom"/>
            <w:shd w:val="clear" w:color="auto" w:fill="D5DCE4"/>
          </w:tcPr>
          <w:p>
            <w:pPr>
              <w:spacing w:after="0"/>
              <w:rPr>
                <w:sz w:val="19"/>
                <w:szCs w:val="19"/>
                <w:color w:val="auto"/>
              </w:rPr>
            </w:pPr>
          </w:p>
        </w:tc>
      </w:tr>
      <w:tr>
        <w:trPr>
          <w:trHeight w:val="218"/>
        </w:trPr>
        <w:tc>
          <w:tcPr>
            <w:tcW w:w="4980" w:type="dxa"/>
            <w:vAlign w:val="bottom"/>
          </w:tcPr>
          <w:p>
            <w:pPr>
              <w:ind w:left="20"/>
              <w:spacing w:after="0"/>
              <w:rPr>
                <w:sz w:val="20"/>
                <w:szCs w:val="20"/>
                <w:color w:val="auto"/>
              </w:rPr>
            </w:pPr>
            <w:r>
              <w:rPr>
                <w:rFonts w:ascii="Arial" w:cs="Arial" w:eastAsia="Arial" w:hAnsi="Arial"/>
                <w:sz w:val="16"/>
                <w:szCs w:val="16"/>
                <w:color w:val="auto"/>
              </w:rPr>
              <w:t>Earnings per share attributable to Tradeweb Markets Inc. Class A</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4"/>
        </w:trPr>
        <w:tc>
          <w:tcPr>
            <w:tcW w:w="4980" w:type="dxa"/>
            <w:vAlign w:val="bottom"/>
          </w:tcPr>
          <w:p>
            <w:pPr>
              <w:ind w:left="20"/>
              <w:spacing w:after="0"/>
              <w:rPr>
                <w:sz w:val="20"/>
                <w:szCs w:val="20"/>
                <w:color w:val="auto"/>
              </w:rPr>
            </w:pPr>
            <w:r>
              <w:rPr>
                <w:rFonts w:ascii="Arial" w:cs="Arial" w:eastAsia="Arial" w:hAnsi="Arial"/>
                <w:sz w:val="16"/>
                <w:szCs w:val="16"/>
                <w:color w:val="auto"/>
              </w:rPr>
              <w:t>and B common stockholders:</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78"/>
        </w:trPr>
        <w:tc>
          <w:tcPr>
            <w:tcW w:w="4980" w:type="dxa"/>
            <w:vAlign w:val="bottom"/>
            <w:tcBorders>
              <w:bottom w:val="single" w:sz="8" w:color="D5DCE4"/>
            </w:tcBorders>
            <w:shd w:val="clear" w:color="auto" w:fill="D5DCE4"/>
          </w:tcPr>
          <w:p>
            <w:pPr>
              <w:ind w:left="140"/>
              <w:spacing w:after="0"/>
              <w:rPr>
                <w:sz w:val="20"/>
                <w:szCs w:val="20"/>
                <w:color w:val="auto"/>
              </w:rPr>
            </w:pPr>
            <w:r>
              <w:rPr>
                <w:rFonts w:ascii="Arial" w:cs="Arial" w:eastAsia="Arial" w:hAnsi="Arial"/>
                <w:sz w:val="16"/>
                <w:szCs w:val="16"/>
                <w:color w:val="auto"/>
              </w:rPr>
              <w:t>Basic</w:t>
            </w:r>
          </w:p>
        </w:tc>
        <w:tc>
          <w:tcPr>
            <w:tcW w:w="220" w:type="dxa"/>
            <w:vAlign w:val="bottom"/>
            <w:tcBorders>
              <w:bottom w:val="single" w:sz="8" w:color="auto"/>
            </w:tcBorders>
            <w:shd w:val="clear" w:color="auto" w:fill="D5DCE4"/>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0.27</w:t>
            </w:r>
          </w:p>
        </w:tc>
        <w:tc>
          <w:tcPr>
            <w:tcW w:w="80" w:type="dxa"/>
            <w:vAlign w:val="bottom"/>
            <w:tcBorders>
              <w:bottom w:val="single" w:sz="8" w:color="D5DCE4"/>
            </w:tcBorders>
            <w:shd w:val="clear" w:color="auto" w:fill="D5DCE4"/>
          </w:tcPr>
          <w:p>
            <w:pPr>
              <w:spacing w:after="0"/>
              <w:rPr>
                <w:sz w:val="23"/>
                <w:szCs w:val="23"/>
                <w:color w:val="auto"/>
              </w:rPr>
            </w:pPr>
          </w:p>
        </w:tc>
        <w:tc>
          <w:tcPr>
            <w:tcW w:w="220" w:type="dxa"/>
            <w:vAlign w:val="bottom"/>
            <w:tcBorders>
              <w:bottom w:val="single" w:sz="8" w:color="auto"/>
            </w:tcBorders>
            <w:shd w:val="clear" w:color="auto" w:fill="D5DCE4"/>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0.17</w:t>
            </w:r>
          </w:p>
        </w:tc>
        <w:tc>
          <w:tcPr>
            <w:tcW w:w="80" w:type="dxa"/>
            <w:vAlign w:val="bottom"/>
            <w:tcBorders>
              <w:bottom w:val="single" w:sz="8" w:color="D5DCE4"/>
            </w:tcBorders>
            <w:shd w:val="clear" w:color="auto" w:fill="D5DCE4"/>
          </w:tcPr>
          <w:p>
            <w:pPr>
              <w:spacing w:after="0"/>
              <w:rPr>
                <w:sz w:val="23"/>
                <w:szCs w:val="23"/>
                <w:color w:val="auto"/>
              </w:rPr>
            </w:pPr>
          </w:p>
        </w:tc>
        <w:tc>
          <w:tcPr>
            <w:tcW w:w="220" w:type="dxa"/>
            <w:vAlign w:val="bottom"/>
            <w:tcBorders>
              <w:bottom w:val="single" w:sz="8" w:color="auto"/>
            </w:tcBorders>
            <w:shd w:val="clear" w:color="auto" w:fill="D5DCE4"/>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0.61</w:t>
            </w:r>
          </w:p>
        </w:tc>
        <w:tc>
          <w:tcPr>
            <w:tcW w:w="80" w:type="dxa"/>
            <w:vAlign w:val="bottom"/>
            <w:tcBorders>
              <w:bottom w:val="single" w:sz="8" w:color="D5DCE4"/>
            </w:tcBorders>
            <w:shd w:val="clear" w:color="auto" w:fill="D5DCE4"/>
          </w:tcPr>
          <w:p>
            <w:pPr>
              <w:spacing w:after="0"/>
              <w:rPr>
                <w:sz w:val="23"/>
                <w:szCs w:val="23"/>
                <w:color w:val="auto"/>
              </w:rPr>
            </w:pPr>
          </w:p>
        </w:tc>
        <w:tc>
          <w:tcPr>
            <w:tcW w:w="240" w:type="dxa"/>
            <w:vAlign w:val="bottom"/>
            <w:tcBorders>
              <w:bottom w:val="single" w:sz="8" w:color="auto"/>
            </w:tcBorders>
            <w:shd w:val="clear" w:color="auto" w:fill="D5DCE4"/>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0.43</w:t>
            </w:r>
          </w:p>
        </w:tc>
      </w:tr>
      <w:tr>
        <w:trPr>
          <w:trHeight w:val="20"/>
        </w:trPr>
        <w:tc>
          <w:tcPr>
            <w:tcW w:w="4980" w:type="dxa"/>
            <w:vAlign w:val="bottom"/>
            <w:tcBorders>
              <w:top w:val="single" w:sz="8" w:color="D5DCE4"/>
            </w:tcBorders>
          </w:tcPr>
          <w:p>
            <w:pPr>
              <w:spacing w:after="0" w:line="20" w:lineRule="exact"/>
              <w:rPr>
                <w:sz w:val="1"/>
                <w:szCs w:val="1"/>
                <w:color w:val="auto"/>
              </w:rPr>
            </w:pPr>
          </w:p>
        </w:tc>
        <w:tc>
          <w:tcPr>
            <w:tcW w:w="220" w:type="dxa"/>
            <w:vAlign w:val="bottom"/>
            <w:tcBorders>
              <w:top w:val="single" w:sz="8" w:color="D5DCE4"/>
              <w:bottom w:val="single" w:sz="8" w:color="auto"/>
            </w:tcBorders>
          </w:tcPr>
          <w:p>
            <w:pPr>
              <w:spacing w:after="0" w:line="20" w:lineRule="exact"/>
              <w:rPr>
                <w:sz w:val="1"/>
                <w:szCs w:val="1"/>
                <w:color w:val="auto"/>
              </w:rPr>
            </w:pPr>
          </w:p>
        </w:tc>
        <w:tc>
          <w:tcPr>
            <w:tcW w:w="12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20" w:type="dxa"/>
            <w:vAlign w:val="bottom"/>
            <w:tcBorders>
              <w:top w:val="single" w:sz="8" w:color="D5DCE4"/>
              <w:bottom w:val="single" w:sz="8" w:color="auto"/>
            </w:tcBorders>
          </w:tcPr>
          <w:p>
            <w:pPr>
              <w:spacing w:after="0" w:line="20" w:lineRule="exact"/>
              <w:rPr>
                <w:sz w:val="1"/>
                <w:szCs w:val="1"/>
                <w:color w:val="auto"/>
              </w:rPr>
            </w:pPr>
          </w:p>
        </w:tc>
        <w:tc>
          <w:tcPr>
            <w:tcW w:w="12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20" w:type="dxa"/>
            <w:vAlign w:val="bottom"/>
            <w:tcBorders>
              <w:top w:val="single" w:sz="8" w:color="D5DCE4"/>
              <w:bottom w:val="single" w:sz="8" w:color="auto"/>
            </w:tcBorders>
          </w:tcPr>
          <w:p>
            <w:pPr>
              <w:spacing w:after="0" w:line="20" w:lineRule="exact"/>
              <w:rPr>
                <w:sz w:val="1"/>
                <w:szCs w:val="1"/>
                <w:color w:val="auto"/>
              </w:rPr>
            </w:pPr>
          </w:p>
        </w:tc>
        <w:tc>
          <w:tcPr>
            <w:tcW w:w="12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40" w:type="dxa"/>
            <w:vAlign w:val="bottom"/>
            <w:tcBorders>
              <w:top w:val="single" w:sz="8" w:color="D5DCE4"/>
              <w:bottom w:val="single" w:sz="8" w:color="auto"/>
            </w:tcBorders>
          </w:tcPr>
          <w:p>
            <w:pPr>
              <w:spacing w:after="0" w:line="20" w:lineRule="exact"/>
              <w:rPr>
                <w:sz w:val="1"/>
                <w:szCs w:val="1"/>
                <w:color w:val="auto"/>
              </w:rPr>
            </w:pPr>
          </w:p>
        </w:tc>
        <w:tc>
          <w:tcPr>
            <w:tcW w:w="1280" w:type="dxa"/>
            <w:vAlign w:val="bottom"/>
            <w:tcBorders>
              <w:top w:val="single" w:sz="8" w:color="D5DCE4"/>
              <w:bottom w:val="single" w:sz="8" w:color="auto"/>
            </w:tcBorders>
          </w:tcPr>
          <w:p>
            <w:pPr>
              <w:spacing w:after="0" w:line="20" w:lineRule="exact"/>
              <w:rPr>
                <w:sz w:val="1"/>
                <w:szCs w:val="1"/>
                <w:color w:val="auto"/>
              </w:rPr>
            </w:pPr>
          </w:p>
        </w:tc>
      </w:tr>
      <w:tr>
        <w:trPr>
          <w:trHeight w:val="217"/>
        </w:trPr>
        <w:tc>
          <w:tcPr>
            <w:tcW w:w="4980" w:type="dxa"/>
            <w:vAlign w:val="bottom"/>
          </w:tcPr>
          <w:p>
            <w:pPr>
              <w:ind w:left="140"/>
              <w:spacing w:after="0"/>
              <w:rPr>
                <w:sz w:val="20"/>
                <w:szCs w:val="20"/>
                <w:color w:val="auto"/>
              </w:rPr>
            </w:pPr>
            <w:r>
              <w:rPr>
                <w:rFonts w:ascii="Arial" w:cs="Arial" w:eastAsia="Arial" w:hAnsi="Arial"/>
                <w:sz w:val="16"/>
                <w:szCs w:val="16"/>
                <w:color w:val="auto"/>
              </w:rPr>
              <w:t>Diluted</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0.27</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0.16</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0.60</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0.41</w:t>
            </w:r>
          </w:p>
        </w:tc>
      </w:tr>
      <w:tr>
        <w:trPr>
          <w:trHeight w:val="20"/>
        </w:trPr>
        <w:tc>
          <w:tcPr>
            <w:tcW w:w="4980" w:type="dxa"/>
            <w:vAlign w:val="bottom"/>
            <w:tcBorders>
              <w:bottom w:val="single" w:sz="8" w:color="D5DCE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0"/>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color w:val="auto"/>
              </w:rPr>
              <w:t>Weighted average shares outstanding:</w:t>
            </w:r>
          </w:p>
        </w:tc>
        <w:tc>
          <w:tcPr>
            <w:tcW w:w="220" w:type="dxa"/>
            <w:vAlign w:val="bottom"/>
            <w:shd w:val="clear" w:color="auto" w:fill="D5DCE4"/>
          </w:tcPr>
          <w:p>
            <w:pPr>
              <w:spacing w:after="0"/>
              <w:rPr>
                <w:sz w:val="18"/>
                <w:szCs w:val="18"/>
                <w:color w:val="auto"/>
              </w:rPr>
            </w:pPr>
          </w:p>
        </w:tc>
        <w:tc>
          <w:tcPr>
            <w:tcW w:w="12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220" w:type="dxa"/>
            <w:vAlign w:val="bottom"/>
            <w:shd w:val="clear" w:color="auto" w:fill="D5DCE4"/>
          </w:tcPr>
          <w:p>
            <w:pPr>
              <w:spacing w:after="0"/>
              <w:rPr>
                <w:sz w:val="18"/>
                <w:szCs w:val="18"/>
                <w:color w:val="auto"/>
              </w:rPr>
            </w:pPr>
          </w:p>
        </w:tc>
        <w:tc>
          <w:tcPr>
            <w:tcW w:w="12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220" w:type="dxa"/>
            <w:vAlign w:val="bottom"/>
            <w:shd w:val="clear" w:color="auto" w:fill="D5DCE4"/>
          </w:tcPr>
          <w:p>
            <w:pPr>
              <w:spacing w:after="0"/>
              <w:rPr>
                <w:sz w:val="18"/>
                <w:szCs w:val="18"/>
                <w:color w:val="auto"/>
              </w:rPr>
            </w:pPr>
          </w:p>
        </w:tc>
        <w:tc>
          <w:tcPr>
            <w:tcW w:w="12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240" w:type="dxa"/>
            <w:vAlign w:val="bottom"/>
            <w:shd w:val="clear" w:color="auto" w:fill="D5DCE4"/>
          </w:tcPr>
          <w:p>
            <w:pPr>
              <w:spacing w:after="0"/>
              <w:rPr>
                <w:sz w:val="18"/>
                <w:szCs w:val="18"/>
                <w:color w:val="auto"/>
              </w:rPr>
            </w:pPr>
          </w:p>
        </w:tc>
        <w:tc>
          <w:tcPr>
            <w:tcW w:w="1280" w:type="dxa"/>
            <w:vAlign w:val="bottom"/>
            <w:shd w:val="clear" w:color="auto" w:fill="D5DCE4"/>
          </w:tcPr>
          <w:p>
            <w:pPr>
              <w:spacing w:after="0"/>
              <w:rPr>
                <w:sz w:val="18"/>
                <w:szCs w:val="18"/>
                <w:color w:val="auto"/>
              </w:rPr>
            </w:pPr>
          </w:p>
        </w:tc>
      </w:tr>
      <w:tr>
        <w:trPr>
          <w:trHeight w:val="233"/>
        </w:trPr>
        <w:tc>
          <w:tcPr>
            <w:tcW w:w="4980" w:type="dxa"/>
            <w:vAlign w:val="bottom"/>
          </w:tcPr>
          <w:p>
            <w:pPr>
              <w:ind w:left="140"/>
              <w:spacing w:after="0"/>
              <w:rPr>
                <w:sz w:val="20"/>
                <w:szCs w:val="20"/>
                <w:color w:val="auto"/>
              </w:rPr>
            </w:pPr>
            <w:r>
              <w:rPr>
                <w:rFonts w:ascii="Arial" w:cs="Arial" w:eastAsia="Arial" w:hAnsi="Arial"/>
                <w:sz w:val="16"/>
                <w:szCs w:val="16"/>
                <w:color w:val="auto"/>
              </w:rPr>
              <w:t>Basic</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201,749,985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177,649,501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200,414,714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171,942,125</w:t>
            </w:r>
          </w:p>
        </w:tc>
      </w:tr>
      <w:tr>
        <w:trPr>
          <w:trHeight w:val="253"/>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Diluted</w:t>
            </w: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207,463,960</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185,489,824</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206,253,756</w:t>
            </w:r>
          </w:p>
        </w:tc>
        <w:tc>
          <w:tcPr>
            <w:tcW w:w="80" w:type="dxa"/>
            <w:vAlign w:val="bottom"/>
            <w:shd w:val="clear" w:color="auto" w:fill="D5DCE4"/>
          </w:tcPr>
          <w:p>
            <w:pPr>
              <w:spacing w:after="0"/>
              <w:rPr>
                <w:sz w:val="21"/>
                <w:szCs w:val="21"/>
                <w:color w:val="auto"/>
              </w:rPr>
            </w:pPr>
          </w:p>
        </w:tc>
        <w:tc>
          <w:tcPr>
            <w:tcW w:w="2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180,008,891</w:t>
            </w:r>
          </w:p>
        </w:tc>
      </w:tr>
    </w:tbl>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4</w:t>
      </w:r>
    </w:p>
    <w:p>
      <w:pPr>
        <w:sectPr>
          <w:pgSz w:w="11900" w:h="16838" w:orient="portrait"/>
          <w:cols w:equalWidth="0" w:num="1">
            <w:col w:w="11240"/>
          </w:cols>
          <w:pgMar w:left="320" w:top="1039"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083566"/>
        </w:rPr>
        <w:t>TRADEWEB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RECONCILIATION OF NON-GAAP FINANCIAL MEASURES (UNAUDITED)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Dollars in Thousands, Except per Share Data</w:t>
      </w:r>
    </w:p>
    <w:p>
      <w:pPr>
        <w:sectPr>
          <w:pgSz w:w="11900" w:h="16838" w:orient="portrait"/>
          <w:cols w:equalWidth="0" w:num="1">
            <w:col w:w="11240"/>
          </w:cols>
          <w:pgMar w:left="320" w:top="688" w:right="339" w:bottom="1440" w:gutter="0" w:footer="0" w:header="0"/>
        </w:sectPr>
      </w:pPr>
    </w:p>
    <w:p>
      <w:pPr>
        <w:spacing w:after="0" w:line="39" w:lineRule="exact"/>
        <w:rPr>
          <w:sz w:val="20"/>
          <w:szCs w:val="20"/>
          <w:color w:val="auto"/>
        </w:rPr>
      </w:pPr>
    </w:p>
    <w:p>
      <w:pPr>
        <w:ind w:left="20"/>
        <w:spacing w:after="0" w:line="266" w:lineRule="auto"/>
        <w:rPr>
          <w:sz w:val="20"/>
          <w:szCs w:val="20"/>
          <w:color w:val="auto"/>
        </w:rPr>
      </w:pPr>
      <w:r>
        <w:rPr>
          <w:rFonts w:ascii="Arial" w:cs="Arial" w:eastAsia="Arial" w:hAnsi="Arial"/>
          <w:sz w:val="16"/>
          <w:szCs w:val="16"/>
          <w:b w:val="1"/>
          <w:bCs w:val="1"/>
          <w:color w:val="auto"/>
        </w:rPr>
        <w:t>Reconciliation of Net Income to Adjusted EBITDA, Adjusted EBITDA Margin, Adjusted EBIT and Adjusted EBIT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28803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280" w:type="dxa"/>
            <w:vAlign w:val="bottom"/>
            <w:gridSpan w:val="4"/>
          </w:tcPr>
          <w:p>
            <w:pPr>
              <w:ind w:left="460"/>
              <w:spacing w:after="0"/>
              <w:rPr>
                <w:sz w:val="20"/>
                <w:szCs w:val="20"/>
                <w:color w:val="auto"/>
              </w:rPr>
            </w:pPr>
            <w:r>
              <w:rPr>
                <w:rFonts w:ascii="Arial" w:cs="Arial" w:eastAsia="Arial" w:hAnsi="Arial"/>
                <w:sz w:val="16"/>
                <w:szCs w:val="16"/>
                <w:b w:val="1"/>
                <w:bCs w:val="1"/>
                <w:color w:val="auto"/>
              </w:rPr>
              <w:t>Three Months Ended June 30,</w:t>
            </w:r>
          </w:p>
        </w:tc>
        <w:tc>
          <w:tcPr>
            <w:tcW w:w="3220" w:type="dxa"/>
            <w:vAlign w:val="bottom"/>
            <w:gridSpan w:val="3"/>
          </w:tcPr>
          <w:p>
            <w:pPr>
              <w:jc w:val="right"/>
              <w:ind w:right="479"/>
              <w:spacing w:after="0"/>
              <w:rPr>
                <w:sz w:val="20"/>
                <w:szCs w:val="20"/>
                <w:color w:val="auto"/>
              </w:rPr>
            </w:pPr>
            <w:r>
              <w:rPr>
                <w:rFonts w:ascii="Arial" w:cs="Arial" w:eastAsia="Arial" w:hAnsi="Arial"/>
                <w:sz w:val="16"/>
                <w:szCs w:val="16"/>
                <w:b w:val="1"/>
                <w:bCs w:val="1"/>
                <w:color w:val="auto"/>
              </w:rPr>
              <w:t>Six Months Ended June 30,</w:t>
            </w:r>
          </w:p>
        </w:tc>
      </w:tr>
      <w:tr>
        <w:trPr>
          <w:trHeight w:val="323"/>
        </w:trPr>
        <w:tc>
          <w:tcPr>
            <w:tcW w:w="15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4"/>
                <w:szCs w:val="24"/>
                <w:color w:val="auto"/>
              </w:rPr>
            </w:pPr>
          </w:p>
        </w:tc>
        <w:tc>
          <w:tcPr>
            <w:tcW w:w="15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24"/>
                <w:szCs w:val="24"/>
                <w:color w:val="auto"/>
              </w:rPr>
            </w:pPr>
          </w:p>
        </w:tc>
        <w:tc>
          <w:tcPr>
            <w:tcW w:w="15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4"/>
                <w:szCs w:val="24"/>
                <w:color w:val="auto"/>
              </w:rPr>
            </w:pPr>
          </w:p>
        </w:tc>
        <w:tc>
          <w:tcPr>
            <w:tcW w:w="15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r>
      <w:tr>
        <w:trPr>
          <w:trHeight w:val="264"/>
        </w:trPr>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300" w:type="dxa"/>
            <w:vAlign w:val="bottom"/>
            <w:gridSpan w:val="4"/>
          </w:tcPr>
          <w:p>
            <w:pPr>
              <w:ind w:left="760"/>
              <w:spacing w:after="0"/>
              <w:rPr>
                <w:sz w:val="20"/>
                <w:szCs w:val="20"/>
                <w:color w:val="auto"/>
              </w:rPr>
            </w:pPr>
            <w:r>
              <w:rPr>
                <w:rFonts w:ascii="Arial" w:cs="Arial" w:eastAsia="Arial" w:hAnsi="Arial"/>
                <w:sz w:val="16"/>
                <w:szCs w:val="16"/>
                <w:b w:val="1"/>
                <w:bCs w:val="1"/>
                <w:color w:val="auto"/>
              </w:rPr>
              <w:t>(dollars in thousands)</w:t>
            </w:r>
          </w:p>
        </w:tc>
        <w:tc>
          <w:tcPr>
            <w:tcW w:w="1560" w:type="dxa"/>
            <w:vAlign w:val="bottom"/>
          </w:tcPr>
          <w:p>
            <w:pPr>
              <w:spacing w:after="0"/>
              <w:rPr>
                <w:sz w:val="22"/>
                <w:szCs w:val="22"/>
                <w:color w:val="auto"/>
              </w:rPr>
            </w:pPr>
          </w:p>
        </w:tc>
      </w:tr>
    </w:tbl>
    <w:p>
      <w:pPr>
        <w:spacing w:after="0" w:line="20" w:lineRule="exact"/>
        <w:rPr>
          <w:sz w:val="20"/>
          <w:szCs w:val="20"/>
          <w:color w:val="auto"/>
        </w:rPr>
      </w:pPr>
    </w:p>
    <w:p>
      <w:pPr>
        <w:sectPr>
          <w:pgSz w:w="11900" w:h="16838" w:orient="portrait"/>
          <w:cols w:equalWidth="0" w:num="2">
            <w:col w:w="4220" w:space="520"/>
            <w:col w:w="6500"/>
          </w:cols>
          <w:pgMar w:left="320" w:top="688"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4740" w:type="dxa"/>
            <w:vAlign w:val="bottom"/>
            <w:shd w:val="clear" w:color="auto" w:fill="D5DCE4"/>
          </w:tcPr>
          <w:p>
            <w:pPr>
              <w:ind w:left="20"/>
              <w:spacing w:after="0"/>
              <w:rPr>
                <w:sz w:val="20"/>
                <w:szCs w:val="20"/>
                <w:color w:val="auto"/>
              </w:rPr>
            </w:pPr>
            <w:r>
              <w:rPr>
                <w:rFonts w:ascii="Arial" w:cs="Arial" w:eastAsia="Arial" w:hAnsi="Arial"/>
                <w:sz w:val="16"/>
                <w:szCs w:val="16"/>
                <w:color w:val="auto"/>
              </w:rPr>
              <w:t>Net income</w:t>
            </w:r>
          </w:p>
        </w:tc>
        <w:tc>
          <w:tcPr>
            <w:tcW w:w="440" w:type="dxa"/>
            <w:vAlign w:val="bottom"/>
            <w:shd w:val="clear" w:color="auto" w:fill="D5DCE4"/>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66,233</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42,408</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147,798</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104,893</w:t>
            </w:r>
          </w:p>
        </w:tc>
      </w:tr>
      <w:tr>
        <w:trPr>
          <w:trHeight w:val="243"/>
        </w:trPr>
        <w:tc>
          <w:tcPr>
            <w:tcW w:w="4740" w:type="dxa"/>
            <w:vAlign w:val="bottom"/>
          </w:tcPr>
          <w:p>
            <w:pPr>
              <w:ind w:left="20"/>
              <w:spacing w:after="0"/>
              <w:rPr>
                <w:sz w:val="20"/>
                <w:szCs w:val="20"/>
                <w:color w:val="auto"/>
              </w:rPr>
            </w:pPr>
            <w:r>
              <w:rPr>
                <w:rFonts w:ascii="Arial" w:cs="Arial" w:eastAsia="Arial" w:hAnsi="Arial"/>
                <w:sz w:val="16"/>
                <w:szCs w:val="16"/>
                <w:color w:val="auto"/>
              </w:rPr>
              <w:t xml:space="preserve">Acquisition transaction costs </w:t>
            </w:r>
            <w:r>
              <w:rPr>
                <w:rFonts w:ascii="Arial" w:cs="Arial" w:eastAsia="Arial" w:hAnsi="Arial"/>
                <w:sz w:val="21"/>
                <w:szCs w:val="21"/>
                <w:color w:val="auto"/>
                <w:vertAlign w:val="superscript"/>
              </w:rPr>
              <w:t>(1)</w:t>
            </w:r>
          </w:p>
        </w:tc>
        <w:tc>
          <w:tcPr>
            <w:tcW w:w="440" w:type="dxa"/>
            <w:vAlign w:val="bottom"/>
          </w:tcPr>
          <w:p>
            <w:pPr>
              <w:spacing w:after="0"/>
              <w:rPr>
                <w:sz w:val="21"/>
                <w:szCs w:val="21"/>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2,966</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1"/>
                <w:szCs w:val="21"/>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4,727</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43"/>
        </w:trPr>
        <w:tc>
          <w:tcPr>
            <w:tcW w:w="4740" w:type="dxa"/>
            <w:vAlign w:val="bottom"/>
            <w:shd w:val="clear" w:color="auto" w:fill="D5DCE4"/>
          </w:tcPr>
          <w:p>
            <w:pPr>
              <w:ind w:left="20"/>
              <w:spacing w:after="0"/>
              <w:rPr>
                <w:sz w:val="20"/>
                <w:szCs w:val="20"/>
                <w:color w:val="auto"/>
              </w:rPr>
            </w:pPr>
            <w:r>
              <w:rPr>
                <w:rFonts w:ascii="Arial" w:cs="Arial" w:eastAsia="Arial" w:hAnsi="Arial"/>
                <w:sz w:val="16"/>
                <w:szCs w:val="16"/>
                <w:color w:val="auto"/>
              </w:rPr>
              <w:t>Net interest (income) expense</w:t>
            </w:r>
          </w:p>
        </w:tc>
        <w:tc>
          <w:tcPr>
            <w:tcW w:w="440" w:type="dxa"/>
            <w:vAlign w:val="bottom"/>
            <w:shd w:val="clear" w:color="auto" w:fill="D5DCE4"/>
          </w:tcPr>
          <w:p>
            <w:pPr>
              <w:spacing w:after="0"/>
              <w:rPr>
                <w:sz w:val="21"/>
                <w:szCs w:val="21"/>
                <w:color w:val="auto"/>
              </w:rPr>
            </w:pP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325</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286</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14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818</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1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(413)</w:t>
            </w:r>
          </w:p>
        </w:tc>
      </w:tr>
      <w:tr>
        <w:trPr>
          <w:trHeight w:val="233"/>
        </w:trPr>
        <w:tc>
          <w:tcPr>
            <w:tcW w:w="474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44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41,867</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37,919</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82,833</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75,095</w:t>
            </w:r>
          </w:p>
        </w:tc>
      </w:tr>
      <w:tr>
        <w:trPr>
          <w:trHeight w:val="253"/>
        </w:trPr>
        <w:tc>
          <w:tcPr>
            <w:tcW w:w="474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(2)</w:t>
            </w:r>
          </w:p>
        </w:tc>
        <w:tc>
          <w:tcPr>
            <w:tcW w:w="440" w:type="dxa"/>
            <w:vAlign w:val="bottom"/>
            <w:shd w:val="clear" w:color="auto" w:fill="D5DCE4"/>
          </w:tcPr>
          <w:p>
            <w:pPr>
              <w:spacing w:after="0"/>
              <w:rPr>
                <w:sz w:val="21"/>
                <w:szCs w:val="21"/>
                <w:color w:val="auto"/>
              </w:rPr>
            </w:pP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2,803</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4,995</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14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9,186</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8,492</w:t>
            </w:r>
          </w:p>
        </w:tc>
      </w:tr>
      <w:tr>
        <w:trPr>
          <w:trHeight w:val="233"/>
        </w:trPr>
        <w:tc>
          <w:tcPr>
            <w:tcW w:w="474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44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17,234</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12,945</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33,503</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28,774</w:t>
            </w:r>
          </w:p>
        </w:tc>
      </w:tr>
      <w:tr>
        <w:trPr>
          <w:trHeight w:val="253"/>
        </w:trPr>
        <w:tc>
          <w:tcPr>
            <w:tcW w:w="474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(3)</w:t>
            </w:r>
          </w:p>
        </w:tc>
        <w:tc>
          <w:tcPr>
            <w:tcW w:w="440" w:type="dxa"/>
            <w:vAlign w:val="bottom"/>
            <w:shd w:val="clear" w:color="auto" w:fill="D5DCE4"/>
          </w:tcPr>
          <w:p>
            <w:pPr>
              <w:spacing w:after="0"/>
              <w:rPr>
                <w:sz w:val="21"/>
                <w:szCs w:val="21"/>
                <w:color w:val="auto"/>
              </w:rPr>
            </w:pP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470</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2,756</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14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(4,883)</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4,118</w:t>
            </w:r>
          </w:p>
        </w:tc>
      </w:tr>
      <w:tr>
        <w:trPr>
          <w:trHeight w:val="243"/>
        </w:trPr>
        <w:tc>
          <w:tcPr>
            <w:tcW w:w="4740" w:type="dxa"/>
            <w:vAlign w:val="bottom"/>
          </w:tcPr>
          <w:p>
            <w:pPr>
              <w:ind w:left="20"/>
              <w:spacing w:after="0"/>
              <w:rPr>
                <w:sz w:val="20"/>
                <w:szCs w:val="20"/>
                <w:color w:val="auto"/>
              </w:rPr>
            </w:pPr>
            <w:r>
              <w:rPr>
                <w:rFonts w:ascii="Arial" w:cs="Arial" w:eastAsia="Arial" w:hAnsi="Arial"/>
                <w:sz w:val="16"/>
                <w:szCs w:val="16"/>
                <w:color w:val="auto"/>
              </w:rPr>
              <w:t xml:space="preserve">Tax receivable agreement liability adjustment </w:t>
            </w:r>
            <w:r>
              <w:rPr>
                <w:rFonts w:ascii="Arial" w:cs="Arial" w:eastAsia="Arial" w:hAnsi="Arial"/>
                <w:sz w:val="21"/>
                <w:szCs w:val="21"/>
                <w:color w:val="auto"/>
                <w:vertAlign w:val="superscript"/>
              </w:rPr>
              <w:t>(4)</w:t>
            </w:r>
          </w:p>
        </w:tc>
        <w:tc>
          <w:tcPr>
            <w:tcW w:w="44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1"/>
                <w:szCs w:val="21"/>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1"/>
                <w:szCs w:val="21"/>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62"/>
        </w:trPr>
        <w:tc>
          <w:tcPr>
            <w:tcW w:w="4740" w:type="dxa"/>
            <w:vAlign w:val="bottom"/>
            <w:tcBorders>
              <w:top w:val="single" w:sz="8" w:color="D5DCE4"/>
              <w:bottom w:val="single" w:sz="8" w:color="D5DCE4"/>
            </w:tcBorders>
            <w:shd w:val="clear" w:color="auto" w:fill="D5DCE4"/>
          </w:tcPr>
          <w:p>
            <w:pPr>
              <w:ind w:left="20"/>
              <w:spacing w:after="0"/>
              <w:rPr>
                <w:sz w:val="20"/>
                <w:szCs w:val="20"/>
                <w:color w:val="auto"/>
              </w:rPr>
            </w:pPr>
            <w:r>
              <w:rPr>
                <w:rFonts w:ascii="Arial" w:cs="Arial" w:eastAsia="Arial" w:hAnsi="Arial"/>
                <w:sz w:val="16"/>
                <w:szCs w:val="16"/>
                <w:color w:val="auto"/>
              </w:rPr>
              <w:t>Adjusted EBITDA</w:t>
            </w:r>
          </w:p>
        </w:tc>
        <w:tc>
          <w:tcPr>
            <w:tcW w:w="440" w:type="dxa"/>
            <w:vAlign w:val="bottom"/>
            <w:tcBorders>
              <w:top w:val="single" w:sz="8" w:color="auto"/>
              <w:bottom w:val="single" w:sz="8" w:color="auto"/>
            </w:tcBorders>
            <w:shd w:val="clear" w:color="auto" w:fill="D5DCE4"/>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131,898</w:t>
            </w:r>
          </w:p>
        </w:tc>
        <w:tc>
          <w:tcPr>
            <w:tcW w:w="80" w:type="dxa"/>
            <w:vAlign w:val="bottom"/>
            <w:tcBorders>
              <w:top w:val="single" w:sz="8" w:color="D5DCE4"/>
              <w:bottom w:val="single" w:sz="8" w:color="D5DCE4"/>
            </w:tcBorders>
            <w:shd w:val="clear" w:color="auto" w:fill="D5DCE4"/>
          </w:tcPr>
          <w:p>
            <w:pPr>
              <w:spacing w:after="0"/>
              <w:rPr>
                <w:sz w:val="22"/>
                <w:szCs w:val="22"/>
                <w:color w:val="auto"/>
              </w:rPr>
            </w:pPr>
          </w:p>
        </w:tc>
        <w:tc>
          <w:tcPr>
            <w:tcW w:w="440" w:type="dxa"/>
            <w:vAlign w:val="bottom"/>
            <w:tcBorders>
              <w:top w:val="single" w:sz="8" w:color="auto"/>
              <w:bottom w:val="single" w:sz="8" w:color="auto"/>
            </w:tcBorders>
            <w:shd w:val="clear" w:color="auto" w:fill="D5DCE4"/>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101,309</w:t>
            </w:r>
          </w:p>
        </w:tc>
        <w:tc>
          <w:tcPr>
            <w:tcW w:w="80" w:type="dxa"/>
            <w:vAlign w:val="bottom"/>
            <w:tcBorders>
              <w:top w:val="single" w:sz="8" w:color="D5DCE4"/>
              <w:bottom w:val="single" w:sz="8" w:color="D5DCE4"/>
            </w:tcBorders>
            <w:shd w:val="clear" w:color="auto" w:fill="D5DCE4"/>
          </w:tcPr>
          <w:p>
            <w:pPr>
              <w:spacing w:after="0"/>
              <w:rPr>
                <w:sz w:val="22"/>
                <w:szCs w:val="22"/>
                <w:color w:val="auto"/>
              </w:rPr>
            </w:pPr>
          </w:p>
        </w:tc>
        <w:tc>
          <w:tcPr>
            <w:tcW w:w="440" w:type="dxa"/>
            <w:vAlign w:val="bottom"/>
            <w:tcBorders>
              <w:top w:val="single" w:sz="8" w:color="auto"/>
              <w:bottom w:val="single" w:sz="8" w:color="auto"/>
            </w:tcBorders>
            <w:shd w:val="clear" w:color="auto" w:fill="D5DCE4"/>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rPr>
              <w:t>273,982</w:t>
            </w:r>
          </w:p>
        </w:tc>
        <w:tc>
          <w:tcPr>
            <w:tcW w:w="80" w:type="dxa"/>
            <w:vAlign w:val="bottom"/>
            <w:tcBorders>
              <w:top w:val="single" w:sz="8" w:color="D5DCE4"/>
              <w:bottom w:val="single" w:sz="8" w:color="D5DCE4"/>
            </w:tcBorders>
            <w:shd w:val="clear" w:color="auto" w:fill="D5DCE4"/>
          </w:tcPr>
          <w:p>
            <w:pPr>
              <w:spacing w:after="0"/>
              <w:rPr>
                <w:sz w:val="22"/>
                <w:szCs w:val="22"/>
                <w:color w:val="auto"/>
              </w:rPr>
            </w:pPr>
          </w:p>
        </w:tc>
        <w:tc>
          <w:tcPr>
            <w:tcW w:w="440" w:type="dxa"/>
            <w:vAlign w:val="bottom"/>
            <w:tcBorders>
              <w:top w:val="single" w:sz="8" w:color="auto"/>
              <w:bottom w:val="single" w:sz="8" w:color="auto"/>
            </w:tcBorders>
            <w:shd w:val="clear" w:color="auto" w:fill="D5DCE4"/>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220,959</w:t>
            </w:r>
          </w:p>
        </w:tc>
      </w:tr>
      <w:tr>
        <w:trPr>
          <w:trHeight w:val="20"/>
        </w:trPr>
        <w:tc>
          <w:tcPr>
            <w:tcW w:w="4740" w:type="dxa"/>
            <w:vAlign w:val="bottom"/>
            <w:tcBorders>
              <w:top w:val="single" w:sz="8" w:color="D5DCE4"/>
            </w:tcBorders>
          </w:tcPr>
          <w:p>
            <w:pPr>
              <w:spacing w:after="0" w:line="20" w:lineRule="exact"/>
              <w:rPr>
                <w:sz w:val="1"/>
                <w:szCs w:val="1"/>
                <w:color w:val="auto"/>
              </w:rPr>
            </w:pPr>
          </w:p>
        </w:tc>
        <w:tc>
          <w:tcPr>
            <w:tcW w:w="440" w:type="dxa"/>
            <w:vAlign w:val="bottom"/>
            <w:tcBorders>
              <w:top w:val="single" w:sz="8" w:color="D5DCE4"/>
              <w:bottom w:val="single" w:sz="8" w:color="auto"/>
            </w:tcBorders>
          </w:tcPr>
          <w:p>
            <w:pPr>
              <w:spacing w:after="0" w:line="20" w:lineRule="exact"/>
              <w:rPr>
                <w:sz w:val="1"/>
                <w:szCs w:val="1"/>
                <w:color w:val="auto"/>
              </w:rPr>
            </w:pPr>
          </w:p>
        </w:tc>
        <w:tc>
          <w:tcPr>
            <w:tcW w:w="11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40" w:type="dxa"/>
            <w:vAlign w:val="bottom"/>
            <w:tcBorders>
              <w:top w:val="single" w:sz="8" w:color="D5DCE4"/>
              <w:bottom w:val="single" w:sz="8" w:color="auto"/>
            </w:tcBorders>
          </w:tcPr>
          <w:p>
            <w:pPr>
              <w:spacing w:after="0" w:line="20" w:lineRule="exact"/>
              <w:rPr>
                <w:sz w:val="1"/>
                <w:szCs w:val="1"/>
                <w:color w:val="auto"/>
              </w:rPr>
            </w:pPr>
          </w:p>
        </w:tc>
        <w:tc>
          <w:tcPr>
            <w:tcW w:w="11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40" w:type="dxa"/>
            <w:vAlign w:val="bottom"/>
            <w:tcBorders>
              <w:top w:val="single" w:sz="8" w:color="D5DCE4"/>
              <w:bottom w:val="single" w:sz="8" w:color="auto"/>
            </w:tcBorders>
          </w:tcPr>
          <w:p>
            <w:pPr>
              <w:spacing w:after="0" w:line="20" w:lineRule="exact"/>
              <w:rPr>
                <w:sz w:val="1"/>
                <w:szCs w:val="1"/>
                <w:color w:val="auto"/>
              </w:rPr>
            </w:pPr>
          </w:p>
        </w:tc>
        <w:tc>
          <w:tcPr>
            <w:tcW w:w="114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40" w:type="dxa"/>
            <w:vAlign w:val="bottom"/>
            <w:tcBorders>
              <w:top w:val="single" w:sz="8" w:color="D5DCE4"/>
              <w:bottom w:val="single" w:sz="8" w:color="auto"/>
            </w:tcBorders>
          </w:tcPr>
          <w:p>
            <w:pPr>
              <w:spacing w:after="0" w:line="20" w:lineRule="exact"/>
              <w:rPr>
                <w:sz w:val="1"/>
                <w:szCs w:val="1"/>
                <w:color w:val="auto"/>
              </w:rPr>
            </w:pPr>
          </w:p>
        </w:tc>
        <w:tc>
          <w:tcPr>
            <w:tcW w:w="1120" w:type="dxa"/>
            <w:vAlign w:val="bottom"/>
            <w:tcBorders>
              <w:top w:val="single" w:sz="8" w:color="D5DCE4"/>
              <w:bottom w:val="single" w:sz="8" w:color="auto"/>
            </w:tcBorders>
          </w:tcPr>
          <w:p>
            <w:pPr>
              <w:spacing w:after="0" w:line="20" w:lineRule="exact"/>
              <w:rPr>
                <w:sz w:val="1"/>
                <w:szCs w:val="1"/>
                <w:color w:val="auto"/>
              </w:rPr>
            </w:pPr>
          </w:p>
        </w:tc>
      </w:tr>
      <w:tr>
        <w:trPr>
          <w:trHeight w:val="207"/>
        </w:trPr>
        <w:tc>
          <w:tcPr>
            <w:tcW w:w="4740" w:type="dxa"/>
            <w:vAlign w:val="bottom"/>
          </w:tcPr>
          <w:p>
            <w:pPr>
              <w:ind w:left="20"/>
              <w:spacing w:after="0"/>
              <w:rPr>
                <w:sz w:val="20"/>
                <w:szCs w:val="20"/>
                <w:color w:val="auto"/>
              </w:rPr>
            </w:pPr>
            <w:r>
              <w:rPr>
                <w:rFonts w:ascii="Arial" w:cs="Arial" w:eastAsia="Arial" w:hAnsi="Arial"/>
                <w:sz w:val="16"/>
                <w:szCs w:val="16"/>
                <w:color w:val="auto"/>
              </w:rPr>
              <w:t>Less: Depreciation and amortization</w:t>
            </w:r>
          </w:p>
        </w:tc>
        <w:tc>
          <w:tcPr>
            <w:tcW w:w="44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(41,867)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(37,919)</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(82,833)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(75,095)</w:t>
            </w:r>
          </w:p>
        </w:tc>
      </w:tr>
      <w:tr>
        <w:trPr>
          <w:trHeight w:val="225"/>
        </w:trPr>
        <w:tc>
          <w:tcPr>
            <w:tcW w:w="4740" w:type="dxa"/>
            <w:vAlign w:val="bottom"/>
            <w:shd w:val="clear" w:color="auto" w:fill="D5DCE4"/>
          </w:tcPr>
          <w:p>
            <w:pPr>
              <w:ind w:left="20"/>
              <w:spacing w:after="0"/>
              <w:rPr>
                <w:sz w:val="20"/>
                <w:szCs w:val="20"/>
                <w:color w:val="auto"/>
              </w:rPr>
            </w:pPr>
            <w:r>
              <w:rPr>
                <w:rFonts w:ascii="Arial" w:cs="Arial" w:eastAsia="Arial" w:hAnsi="Arial"/>
                <w:sz w:val="16"/>
                <w:szCs w:val="16"/>
                <w:color w:val="auto"/>
              </w:rPr>
              <w:t>Add: D&amp;A related to acquisitions and the Refinitiv</w:t>
            </w:r>
          </w:p>
        </w:tc>
        <w:tc>
          <w:tcPr>
            <w:tcW w:w="440" w:type="dxa"/>
            <w:vAlign w:val="bottom"/>
            <w:shd w:val="clear" w:color="auto" w:fill="D5DCE4"/>
          </w:tcPr>
          <w:p>
            <w:pPr>
              <w:spacing w:after="0"/>
              <w:rPr>
                <w:sz w:val="19"/>
                <w:szCs w:val="19"/>
                <w:color w:val="auto"/>
              </w:rPr>
            </w:pPr>
          </w:p>
        </w:tc>
        <w:tc>
          <w:tcPr>
            <w:tcW w:w="112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440" w:type="dxa"/>
            <w:vAlign w:val="bottom"/>
            <w:shd w:val="clear" w:color="auto" w:fill="D5DCE4"/>
          </w:tcPr>
          <w:p>
            <w:pPr>
              <w:spacing w:after="0"/>
              <w:rPr>
                <w:sz w:val="19"/>
                <w:szCs w:val="19"/>
                <w:color w:val="auto"/>
              </w:rPr>
            </w:pPr>
          </w:p>
        </w:tc>
        <w:tc>
          <w:tcPr>
            <w:tcW w:w="112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440" w:type="dxa"/>
            <w:vAlign w:val="bottom"/>
            <w:shd w:val="clear" w:color="auto" w:fill="D5DCE4"/>
          </w:tcPr>
          <w:p>
            <w:pPr>
              <w:spacing w:after="0"/>
              <w:rPr>
                <w:sz w:val="19"/>
                <w:szCs w:val="19"/>
                <w:color w:val="auto"/>
              </w:rPr>
            </w:pPr>
          </w:p>
        </w:tc>
        <w:tc>
          <w:tcPr>
            <w:tcW w:w="114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440" w:type="dxa"/>
            <w:vAlign w:val="bottom"/>
            <w:shd w:val="clear" w:color="auto" w:fill="D5DCE4"/>
          </w:tcPr>
          <w:p>
            <w:pPr>
              <w:spacing w:after="0"/>
              <w:rPr>
                <w:sz w:val="19"/>
                <w:szCs w:val="19"/>
                <w:color w:val="auto"/>
              </w:rPr>
            </w:pPr>
          </w:p>
        </w:tc>
        <w:tc>
          <w:tcPr>
            <w:tcW w:w="1120" w:type="dxa"/>
            <w:vAlign w:val="bottom"/>
            <w:shd w:val="clear" w:color="auto" w:fill="D5DCE4"/>
          </w:tcPr>
          <w:p>
            <w:pPr>
              <w:spacing w:after="0"/>
              <w:rPr>
                <w:sz w:val="19"/>
                <w:szCs w:val="19"/>
                <w:color w:val="auto"/>
              </w:rPr>
            </w:pPr>
          </w:p>
        </w:tc>
      </w:tr>
      <w:tr>
        <w:trPr>
          <w:trHeight w:val="217"/>
        </w:trPr>
        <w:tc>
          <w:tcPr>
            <w:tcW w:w="4740" w:type="dxa"/>
            <w:vAlign w:val="bottom"/>
            <w:shd w:val="clear" w:color="auto" w:fill="D5DCE4"/>
          </w:tcPr>
          <w:p>
            <w:pPr>
              <w:ind w:left="20"/>
              <w:spacing w:after="0" w:line="217" w:lineRule="exact"/>
              <w:rPr>
                <w:sz w:val="20"/>
                <w:szCs w:val="20"/>
                <w:color w:val="auto"/>
              </w:rPr>
            </w:pPr>
            <w:r>
              <w:rPr>
                <w:rFonts w:ascii="Arial" w:cs="Arial" w:eastAsia="Arial" w:hAnsi="Arial"/>
                <w:sz w:val="16"/>
                <w:szCs w:val="16"/>
                <w:color w:val="auto"/>
              </w:rPr>
              <w:t>Transaction</w:t>
            </w:r>
            <w:r>
              <w:rPr>
                <w:rFonts w:ascii="Arial" w:cs="Arial" w:eastAsia="Arial" w:hAnsi="Arial"/>
                <w:sz w:val="21"/>
                <w:szCs w:val="21"/>
                <w:color w:val="auto"/>
                <w:vertAlign w:val="superscript"/>
              </w:rPr>
              <w:t>(5)</w:t>
            </w:r>
          </w:p>
        </w:tc>
        <w:tc>
          <w:tcPr>
            <w:tcW w:w="440" w:type="dxa"/>
            <w:vAlign w:val="bottom"/>
            <w:tcBorders>
              <w:bottom w:val="single" w:sz="8" w:color="auto"/>
            </w:tcBorders>
            <w:shd w:val="clear" w:color="auto" w:fill="D5DCE4"/>
          </w:tcPr>
          <w:p>
            <w:pPr>
              <w:spacing w:after="0"/>
              <w:rPr>
                <w:sz w:val="18"/>
                <w:szCs w:val="18"/>
                <w:color w:val="auto"/>
              </w:rPr>
            </w:pPr>
          </w:p>
        </w:tc>
        <w:tc>
          <w:tcPr>
            <w:tcW w:w="11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30,240</w:t>
            </w:r>
          </w:p>
        </w:tc>
        <w:tc>
          <w:tcPr>
            <w:tcW w:w="80" w:type="dxa"/>
            <w:vAlign w:val="bottom"/>
            <w:shd w:val="clear" w:color="auto" w:fill="D5DCE4"/>
          </w:tcPr>
          <w:p>
            <w:pPr>
              <w:spacing w:after="0"/>
              <w:rPr>
                <w:sz w:val="18"/>
                <w:szCs w:val="18"/>
                <w:color w:val="auto"/>
              </w:rPr>
            </w:pPr>
          </w:p>
        </w:tc>
        <w:tc>
          <w:tcPr>
            <w:tcW w:w="440" w:type="dxa"/>
            <w:vAlign w:val="bottom"/>
            <w:tcBorders>
              <w:bottom w:val="single" w:sz="8" w:color="auto"/>
            </w:tcBorders>
            <w:shd w:val="clear" w:color="auto" w:fill="D5DCE4"/>
          </w:tcPr>
          <w:p>
            <w:pPr>
              <w:spacing w:after="0"/>
              <w:rPr>
                <w:sz w:val="18"/>
                <w:szCs w:val="18"/>
                <w:color w:val="auto"/>
              </w:rPr>
            </w:pPr>
          </w:p>
        </w:tc>
        <w:tc>
          <w:tcPr>
            <w:tcW w:w="11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27,131</w:t>
            </w:r>
          </w:p>
        </w:tc>
        <w:tc>
          <w:tcPr>
            <w:tcW w:w="80" w:type="dxa"/>
            <w:vAlign w:val="bottom"/>
            <w:shd w:val="clear" w:color="auto" w:fill="D5DCE4"/>
          </w:tcPr>
          <w:p>
            <w:pPr>
              <w:spacing w:after="0"/>
              <w:rPr>
                <w:sz w:val="18"/>
                <w:szCs w:val="18"/>
                <w:color w:val="auto"/>
              </w:rPr>
            </w:pPr>
          </w:p>
        </w:tc>
        <w:tc>
          <w:tcPr>
            <w:tcW w:w="440" w:type="dxa"/>
            <w:vAlign w:val="bottom"/>
            <w:tcBorders>
              <w:bottom w:val="single" w:sz="8" w:color="auto"/>
            </w:tcBorders>
            <w:shd w:val="clear" w:color="auto" w:fill="D5DCE4"/>
          </w:tcPr>
          <w:p>
            <w:pPr>
              <w:spacing w:after="0"/>
              <w:rPr>
                <w:sz w:val="18"/>
                <w:szCs w:val="18"/>
                <w:color w:val="auto"/>
              </w:rPr>
            </w:pPr>
          </w:p>
        </w:tc>
        <w:tc>
          <w:tcPr>
            <w:tcW w:w="114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rPr>
              <w:t>59,843</w:t>
            </w:r>
          </w:p>
        </w:tc>
        <w:tc>
          <w:tcPr>
            <w:tcW w:w="80" w:type="dxa"/>
            <w:vAlign w:val="bottom"/>
            <w:shd w:val="clear" w:color="auto" w:fill="D5DCE4"/>
          </w:tcPr>
          <w:p>
            <w:pPr>
              <w:spacing w:after="0"/>
              <w:rPr>
                <w:sz w:val="18"/>
                <w:szCs w:val="18"/>
                <w:color w:val="auto"/>
              </w:rPr>
            </w:pPr>
          </w:p>
        </w:tc>
        <w:tc>
          <w:tcPr>
            <w:tcW w:w="440" w:type="dxa"/>
            <w:vAlign w:val="bottom"/>
            <w:tcBorders>
              <w:bottom w:val="single" w:sz="8" w:color="auto"/>
            </w:tcBorders>
            <w:shd w:val="clear" w:color="auto" w:fill="D5DCE4"/>
          </w:tcPr>
          <w:p>
            <w:pPr>
              <w:spacing w:after="0"/>
              <w:rPr>
                <w:sz w:val="18"/>
                <w:szCs w:val="18"/>
                <w:color w:val="auto"/>
              </w:rPr>
            </w:pPr>
          </w:p>
        </w:tc>
        <w:tc>
          <w:tcPr>
            <w:tcW w:w="11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53,404</w:t>
            </w:r>
          </w:p>
        </w:tc>
      </w:tr>
      <w:tr>
        <w:trPr>
          <w:trHeight w:val="237"/>
        </w:trPr>
        <w:tc>
          <w:tcPr>
            <w:tcW w:w="4740" w:type="dxa"/>
            <w:vAlign w:val="bottom"/>
          </w:tcPr>
          <w:p>
            <w:pPr>
              <w:ind w:left="20"/>
              <w:spacing w:after="0"/>
              <w:rPr>
                <w:sz w:val="20"/>
                <w:szCs w:val="20"/>
                <w:color w:val="auto"/>
              </w:rPr>
            </w:pPr>
            <w:r>
              <w:rPr>
                <w:rFonts w:ascii="Arial" w:cs="Arial" w:eastAsia="Arial" w:hAnsi="Arial"/>
                <w:sz w:val="16"/>
                <w:szCs w:val="16"/>
                <w:color w:val="auto"/>
              </w:rPr>
              <w:t>Adjusted EBIT</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120,271</w:t>
            </w:r>
          </w:p>
        </w:tc>
        <w:tc>
          <w:tcPr>
            <w:tcW w:w="80" w:type="dxa"/>
            <w:vAlign w:val="bottom"/>
          </w:tcPr>
          <w:p>
            <w:pPr>
              <w:spacing w:after="0"/>
              <w:rPr>
                <w:sz w:val="20"/>
                <w:szCs w:val="20"/>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90,521</w:t>
            </w:r>
          </w:p>
        </w:tc>
        <w:tc>
          <w:tcPr>
            <w:tcW w:w="80" w:type="dxa"/>
            <w:vAlign w:val="bottom"/>
          </w:tcPr>
          <w:p>
            <w:pPr>
              <w:spacing w:after="0"/>
              <w:rPr>
                <w:sz w:val="20"/>
                <w:szCs w:val="20"/>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250,992</w:t>
            </w:r>
          </w:p>
        </w:tc>
        <w:tc>
          <w:tcPr>
            <w:tcW w:w="80" w:type="dxa"/>
            <w:vAlign w:val="bottom"/>
          </w:tcPr>
          <w:p>
            <w:pPr>
              <w:spacing w:after="0"/>
              <w:rPr>
                <w:sz w:val="20"/>
                <w:szCs w:val="20"/>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199,268</w:t>
            </w:r>
          </w:p>
        </w:tc>
      </w:tr>
      <w:tr>
        <w:trPr>
          <w:trHeight w:val="20"/>
        </w:trPr>
        <w:tc>
          <w:tcPr>
            <w:tcW w:w="4740" w:type="dxa"/>
            <w:vAlign w:val="bottom"/>
            <w:tcBorders>
              <w:bottom w:val="single" w:sz="8" w:color="D5DCE4"/>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4740" w:type="dxa"/>
            <w:vAlign w:val="bottom"/>
            <w:shd w:val="clear" w:color="auto" w:fill="D5DCE4"/>
          </w:tcPr>
          <w:p>
            <w:pPr>
              <w:ind w:left="20"/>
              <w:spacing w:after="0" w:line="237" w:lineRule="exact"/>
              <w:rPr>
                <w:sz w:val="20"/>
                <w:szCs w:val="20"/>
                <w:color w:val="auto"/>
              </w:rPr>
            </w:pPr>
            <w:r>
              <w:rPr>
                <w:rFonts w:ascii="Arial" w:cs="Arial" w:eastAsia="Arial" w:hAnsi="Arial"/>
                <w:sz w:val="16"/>
                <w:szCs w:val="16"/>
                <w:color w:val="auto"/>
              </w:rPr>
              <w:t xml:space="preserve">Adjusted EBITDA margin </w:t>
            </w:r>
            <w:r>
              <w:rPr>
                <w:rFonts w:ascii="Arial" w:cs="Arial" w:eastAsia="Arial" w:hAnsi="Arial"/>
                <w:sz w:val="21"/>
                <w:szCs w:val="21"/>
                <w:color w:val="auto"/>
                <w:vertAlign w:val="superscript"/>
              </w:rPr>
              <w:t>(6)</w:t>
            </w:r>
          </w:p>
        </w:tc>
        <w:tc>
          <w:tcPr>
            <w:tcW w:w="440" w:type="dxa"/>
            <w:vAlign w:val="bottom"/>
            <w:shd w:val="clear" w:color="auto" w:fill="D5DCE4"/>
          </w:tcPr>
          <w:p>
            <w:pPr>
              <w:spacing w:after="0"/>
              <w:rPr>
                <w:sz w:val="20"/>
                <w:szCs w:val="20"/>
                <w:color w:val="auto"/>
              </w:rPr>
            </w:pPr>
          </w:p>
        </w:tc>
        <w:tc>
          <w:tcPr>
            <w:tcW w:w="1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50.6 %</w:t>
            </w:r>
          </w:p>
        </w:tc>
        <w:tc>
          <w:tcPr>
            <w:tcW w:w="80" w:type="dxa"/>
            <w:vAlign w:val="bottom"/>
            <w:shd w:val="clear" w:color="auto" w:fill="D5DCE4"/>
          </w:tcPr>
          <w:p>
            <w:pPr>
              <w:spacing w:after="0"/>
              <w:rPr>
                <w:sz w:val="20"/>
                <w:szCs w:val="20"/>
                <w:color w:val="auto"/>
              </w:rPr>
            </w:pPr>
          </w:p>
        </w:tc>
        <w:tc>
          <w:tcPr>
            <w:tcW w:w="440" w:type="dxa"/>
            <w:vAlign w:val="bottom"/>
            <w:shd w:val="clear" w:color="auto" w:fill="D5DCE4"/>
          </w:tcPr>
          <w:p>
            <w:pPr>
              <w:spacing w:after="0"/>
              <w:rPr>
                <w:sz w:val="20"/>
                <w:szCs w:val="20"/>
                <w:color w:val="auto"/>
              </w:rPr>
            </w:pPr>
          </w:p>
        </w:tc>
        <w:tc>
          <w:tcPr>
            <w:tcW w:w="1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47.8 %</w:t>
            </w:r>
          </w:p>
        </w:tc>
        <w:tc>
          <w:tcPr>
            <w:tcW w:w="80" w:type="dxa"/>
            <w:vAlign w:val="bottom"/>
            <w:shd w:val="clear" w:color="auto" w:fill="D5DCE4"/>
          </w:tcPr>
          <w:p>
            <w:pPr>
              <w:spacing w:after="0"/>
              <w:rPr>
                <w:sz w:val="20"/>
                <w:szCs w:val="20"/>
                <w:color w:val="auto"/>
              </w:rPr>
            </w:pPr>
          </w:p>
        </w:tc>
        <w:tc>
          <w:tcPr>
            <w:tcW w:w="440" w:type="dxa"/>
            <w:vAlign w:val="bottom"/>
            <w:shd w:val="clear" w:color="auto" w:fill="D5DCE4"/>
          </w:tcPr>
          <w:p>
            <w:pPr>
              <w:spacing w:after="0"/>
              <w:rPr>
                <w:sz w:val="20"/>
                <w:szCs w:val="20"/>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51.3 %</w:t>
            </w:r>
          </w:p>
        </w:tc>
        <w:tc>
          <w:tcPr>
            <w:tcW w:w="80" w:type="dxa"/>
            <w:vAlign w:val="bottom"/>
            <w:shd w:val="clear" w:color="auto" w:fill="D5DCE4"/>
          </w:tcPr>
          <w:p>
            <w:pPr>
              <w:spacing w:after="0"/>
              <w:rPr>
                <w:sz w:val="20"/>
                <w:szCs w:val="20"/>
                <w:color w:val="auto"/>
              </w:rPr>
            </w:pPr>
          </w:p>
        </w:tc>
        <w:tc>
          <w:tcPr>
            <w:tcW w:w="440" w:type="dxa"/>
            <w:vAlign w:val="bottom"/>
            <w:shd w:val="clear" w:color="auto" w:fill="D5DCE4"/>
          </w:tcPr>
          <w:p>
            <w:pPr>
              <w:spacing w:after="0"/>
              <w:rPr>
                <w:sz w:val="20"/>
                <w:szCs w:val="20"/>
                <w:color w:val="auto"/>
              </w:rPr>
            </w:pPr>
          </w:p>
        </w:tc>
        <w:tc>
          <w:tcPr>
            <w:tcW w:w="1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49.5 %</w:t>
            </w:r>
          </w:p>
        </w:tc>
      </w:tr>
      <w:tr>
        <w:trPr>
          <w:trHeight w:val="294"/>
        </w:trPr>
        <w:tc>
          <w:tcPr>
            <w:tcW w:w="4740" w:type="dxa"/>
            <w:vAlign w:val="bottom"/>
          </w:tcPr>
          <w:p>
            <w:pPr>
              <w:ind w:left="20"/>
              <w:spacing w:after="0"/>
              <w:rPr>
                <w:sz w:val="20"/>
                <w:szCs w:val="20"/>
                <w:color w:val="auto"/>
              </w:rPr>
            </w:pPr>
            <w:r>
              <w:rPr>
                <w:rFonts w:ascii="Arial" w:cs="Arial" w:eastAsia="Arial" w:hAnsi="Arial"/>
                <w:sz w:val="16"/>
                <w:szCs w:val="16"/>
                <w:color w:val="auto"/>
              </w:rPr>
              <w:t xml:space="preserve">Adjusted EBIT margin </w:t>
            </w:r>
            <w:r>
              <w:rPr>
                <w:rFonts w:ascii="Arial" w:cs="Arial" w:eastAsia="Arial" w:hAnsi="Arial"/>
                <w:sz w:val="21"/>
                <w:szCs w:val="21"/>
                <w:color w:val="auto"/>
                <w:vertAlign w:val="superscript"/>
              </w:rPr>
              <w:t>(6)</w:t>
            </w:r>
          </w:p>
        </w:tc>
        <w:tc>
          <w:tcPr>
            <w:tcW w:w="4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46.1 %</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42.7 %</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47.0 %</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44.6 %</w:t>
            </w:r>
          </w:p>
        </w:tc>
      </w:tr>
    </w:tbl>
    <w:p>
      <w:pPr>
        <w:spacing w:after="0" w:line="150" w:lineRule="exact"/>
        <w:rPr>
          <w:sz w:val="20"/>
          <w:szCs w:val="20"/>
          <w:color w:val="auto"/>
        </w:rPr>
      </w:pPr>
    </w:p>
    <w:p>
      <w:pPr>
        <w:ind w:left="660" w:right="140" w:hanging="328"/>
        <w:spacing w:after="0" w:line="234" w:lineRule="auto"/>
        <w:tabs>
          <w:tab w:leader="none" w:pos="659" w:val="left"/>
        </w:tabs>
        <w:numPr>
          <w:ilvl w:val="0"/>
          <w:numId w:val="7"/>
        </w:numPr>
        <w:rPr>
          <w:rFonts w:ascii="Arial" w:cs="Arial" w:eastAsia="Arial" w:hAnsi="Arial"/>
          <w:sz w:val="12"/>
          <w:szCs w:val="12"/>
          <w:color w:val="auto"/>
        </w:rPr>
      </w:pPr>
      <w:r>
        <w:rPr>
          <w:rFonts w:ascii="Arial" w:cs="Arial" w:eastAsia="Arial" w:hAnsi="Arial"/>
          <w:sz w:val="12"/>
          <w:szCs w:val="12"/>
          <w:color w:val="auto"/>
        </w:rPr>
        <w:t>Represents transaction and other costs related to the NFI Acquisition, which closed in June 2021. Acquisition-related costs primarily include legal, consulting and advisory fees and severance costs incurred that relate to the acquisition transaction.</w:t>
      </w:r>
    </w:p>
    <w:p>
      <w:pPr>
        <w:ind w:left="660" w:right="380" w:hanging="328"/>
        <w:spacing w:after="0" w:line="234" w:lineRule="auto"/>
        <w:tabs>
          <w:tab w:leader="none" w:pos="659" w:val="left"/>
        </w:tabs>
        <w:numPr>
          <w:ilvl w:val="0"/>
          <w:numId w:val="7"/>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exercises of such options during the applicable period.</w:t>
      </w:r>
    </w:p>
    <w:p>
      <w:pPr>
        <w:ind w:left="660" w:right="340" w:hanging="328"/>
        <w:spacing w:after="0" w:line="234" w:lineRule="auto"/>
        <w:tabs>
          <w:tab w:leader="none" w:pos="659" w:val="left"/>
        </w:tabs>
        <w:numPr>
          <w:ilvl w:val="0"/>
          <w:numId w:val="7"/>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ind w:left="660" w:right="20" w:hanging="328"/>
        <w:spacing w:after="0" w:line="234" w:lineRule="auto"/>
        <w:tabs>
          <w:tab w:leader="none" w:pos="659" w:val="left"/>
        </w:tabs>
        <w:numPr>
          <w:ilvl w:val="0"/>
          <w:numId w:val="7"/>
        </w:numPr>
        <w:rPr>
          <w:rFonts w:ascii="Arial" w:cs="Arial" w:eastAsia="Arial" w:hAnsi="Arial"/>
          <w:sz w:val="12"/>
          <w:szCs w:val="12"/>
          <w:color w:val="auto"/>
        </w:rPr>
      </w:pPr>
      <w:r>
        <w:rPr>
          <w:rFonts w:ascii="Arial" w:cs="Arial" w:eastAsia="Arial" w:hAnsi="Arial"/>
          <w:sz w:val="12"/>
          <w:szCs w:val="12"/>
          <w:color w:val="auto"/>
        </w:rPr>
        <w:t>Represents income recognized during the applicable period due to changes in the tax receivable agreement liability recorded in the statement of financial condition as a result of changes in the mix of earnings, tax legislation and tax rates in various jurisdictions which impacted our tax savings.</w:t>
      </w:r>
    </w:p>
    <w:p>
      <w:pPr>
        <w:ind w:left="660" w:right="340" w:hanging="328"/>
        <w:spacing w:after="0" w:line="234" w:lineRule="auto"/>
        <w:tabs>
          <w:tab w:leader="none" w:pos="659" w:val="left"/>
        </w:tabs>
        <w:numPr>
          <w:ilvl w:val="0"/>
          <w:numId w:val="7"/>
        </w:numPr>
        <w:rPr>
          <w:rFonts w:ascii="Arial" w:cs="Arial" w:eastAsia="Arial" w:hAnsi="Arial"/>
          <w:sz w:val="12"/>
          <w:szCs w:val="12"/>
          <w:color w:val="auto"/>
        </w:rPr>
      </w:pPr>
      <w:r>
        <w:rPr>
          <w:rFonts w:ascii="Arial" w:cs="Arial" w:eastAsia="Arial" w:hAnsi="Arial"/>
          <w:sz w:val="12"/>
          <w:szCs w:val="12"/>
          <w:color w:val="auto"/>
        </w:rPr>
        <w:t>Represents intangible asset amortization and increased tangible asset and capitalized software depreciation and amortization resulting from the NFI Acquisition and the application of pushdown accounting to the Refinitiv Transaction (where all assets were marked to fair value as of the closing date of the Refinitiv Transaction).</w:t>
      </w:r>
    </w:p>
    <w:p>
      <w:pPr>
        <w:ind w:left="660" w:hanging="328"/>
        <w:spacing w:after="0"/>
        <w:tabs>
          <w:tab w:leader="none" w:pos="660" w:val="left"/>
        </w:tabs>
        <w:numPr>
          <w:ilvl w:val="0"/>
          <w:numId w:val="7"/>
        </w:numPr>
        <w:rPr>
          <w:rFonts w:ascii="Arial" w:cs="Arial" w:eastAsia="Arial" w:hAnsi="Arial"/>
          <w:sz w:val="12"/>
          <w:szCs w:val="12"/>
          <w:color w:val="auto"/>
        </w:rPr>
      </w:pPr>
      <w:r>
        <w:rPr>
          <w:rFonts w:ascii="Arial" w:cs="Arial" w:eastAsia="Arial" w:hAnsi="Arial"/>
          <w:sz w:val="12"/>
          <w:szCs w:val="12"/>
          <w:color w:val="auto"/>
        </w:rPr>
        <w:t>Adjusted EBITDA margin and Adjusted EBIT margin are defined as Adjusted EBITDA and Adjusted EBIT, respectively, divided by revenue for the applicable period.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0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Net Income to Adjusted Net Income and</w:t>
            </w:r>
          </w:p>
        </w:tc>
        <w:tc>
          <w:tcPr>
            <w:tcW w:w="260" w:type="dxa"/>
            <w:vAlign w:val="bottom"/>
          </w:tcPr>
          <w:p>
            <w:pPr>
              <w:spacing w:after="0"/>
              <w:rPr>
                <w:sz w:val="21"/>
                <w:szCs w:val="21"/>
                <w:color w:val="auto"/>
              </w:rPr>
            </w:pPr>
          </w:p>
        </w:tc>
        <w:tc>
          <w:tcPr>
            <w:tcW w:w="290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21"/>
                <w:szCs w:val="21"/>
                <w:color w:val="auto"/>
              </w:rPr>
            </w:pPr>
          </w:p>
        </w:tc>
        <w:tc>
          <w:tcPr>
            <w:tcW w:w="278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Six Months Ended June 30,</w:t>
            </w:r>
          </w:p>
        </w:tc>
      </w:tr>
      <w:tr>
        <w:trPr>
          <w:trHeight w:val="228"/>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Diluted EPS</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274"/>
        </w:trPr>
        <w:tc>
          <w:tcPr>
            <w:tcW w:w="4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240" w:type="dxa"/>
            <w:vAlign w:val="bottom"/>
            <w:gridSpan w:val="7"/>
          </w:tcPr>
          <w:p>
            <w:pPr>
              <w:ind w:left="20"/>
              <w:spacing w:after="0"/>
              <w:rPr>
                <w:sz w:val="20"/>
                <w:szCs w:val="20"/>
                <w:color w:val="auto"/>
              </w:rPr>
            </w:pPr>
            <w:r>
              <w:rPr>
                <w:rFonts w:ascii="Arial" w:cs="Arial" w:eastAsia="Arial" w:hAnsi="Arial"/>
                <w:sz w:val="16"/>
                <w:szCs w:val="16"/>
                <w:b w:val="1"/>
                <w:bCs w:val="1"/>
                <w:color w:val="auto"/>
              </w:rPr>
              <w:t>(in thousands, except per share amounts)</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3"/>
        </w:trPr>
        <w:tc>
          <w:tcPr>
            <w:tcW w:w="50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Earnings per diluted share</w:t>
            </w:r>
          </w:p>
        </w:tc>
        <w:tc>
          <w:tcPr>
            <w:tcW w:w="260" w:type="dxa"/>
            <w:vAlign w:val="bottom"/>
            <w:shd w:val="clear" w:color="auto" w:fill="D5DCE4"/>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0.27</w:t>
            </w:r>
          </w:p>
        </w:tc>
        <w:tc>
          <w:tcPr>
            <w:tcW w:w="420" w:type="dxa"/>
            <w:vAlign w:val="bottom"/>
            <w:gridSpan w:val="2"/>
            <w:shd w:val="clear" w:color="auto" w:fill="D5DCE4"/>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0.16</w:t>
            </w:r>
          </w:p>
        </w:tc>
        <w:tc>
          <w:tcPr>
            <w:tcW w:w="80" w:type="dxa"/>
            <w:vAlign w:val="bottom"/>
            <w:shd w:val="clear" w:color="auto" w:fill="D5DCE4"/>
          </w:tcPr>
          <w:p>
            <w:pPr>
              <w:spacing w:after="0"/>
              <w:rPr>
                <w:sz w:val="23"/>
                <w:szCs w:val="23"/>
                <w:color w:val="auto"/>
              </w:rPr>
            </w:pPr>
          </w:p>
        </w:tc>
        <w:tc>
          <w:tcPr>
            <w:tcW w:w="300" w:type="dxa"/>
            <w:vAlign w:val="bottom"/>
            <w:shd w:val="clear" w:color="auto" w:fill="D5DCE4"/>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0.60</w:t>
            </w:r>
          </w:p>
        </w:tc>
        <w:tc>
          <w:tcPr>
            <w:tcW w:w="80" w:type="dxa"/>
            <w:vAlign w:val="bottom"/>
            <w:shd w:val="clear" w:color="auto" w:fill="D5DCE4"/>
          </w:tcPr>
          <w:p>
            <w:pPr>
              <w:spacing w:after="0"/>
              <w:rPr>
                <w:sz w:val="23"/>
                <w:szCs w:val="23"/>
                <w:color w:val="auto"/>
              </w:rPr>
            </w:pP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0.41</w:t>
            </w:r>
          </w:p>
        </w:tc>
      </w:tr>
      <w:tr>
        <w:trPr>
          <w:trHeight w:val="20"/>
        </w:trPr>
        <w:tc>
          <w:tcPr>
            <w:tcW w:w="492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07"/>
        </w:trPr>
        <w:tc>
          <w:tcPr>
            <w:tcW w:w="4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50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Net income attributable to Tradeweb Markets Inc.</w:t>
            </w:r>
          </w:p>
        </w:tc>
        <w:tc>
          <w:tcPr>
            <w:tcW w:w="260" w:type="dxa"/>
            <w:vAlign w:val="bottom"/>
            <w:shd w:val="clear" w:color="auto" w:fill="D5DCE4"/>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55,316</w:t>
            </w:r>
          </w:p>
        </w:tc>
        <w:tc>
          <w:tcPr>
            <w:tcW w:w="420" w:type="dxa"/>
            <w:vAlign w:val="bottom"/>
            <w:gridSpan w:val="2"/>
            <w:shd w:val="clear" w:color="auto" w:fill="D5DCE4"/>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30,496</w:t>
            </w:r>
          </w:p>
        </w:tc>
        <w:tc>
          <w:tcPr>
            <w:tcW w:w="80" w:type="dxa"/>
            <w:vAlign w:val="bottom"/>
            <w:shd w:val="clear" w:color="auto" w:fill="D5DCE4"/>
          </w:tcPr>
          <w:p>
            <w:pPr>
              <w:spacing w:after="0"/>
              <w:rPr>
                <w:sz w:val="21"/>
                <w:szCs w:val="21"/>
                <w:color w:val="auto"/>
              </w:rPr>
            </w:pPr>
          </w:p>
        </w:tc>
        <w:tc>
          <w:tcPr>
            <w:tcW w:w="300" w:type="dxa"/>
            <w:vAlign w:val="bottom"/>
            <w:shd w:val="clear" w:color="auto" w:fill="D5DCE4"/>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123,175</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74,424</w:t>
            </w:r>
          </w:p>
        </w:tc>
      </w:tr>
      <w:tr>
        <w:trPr>
          <w:trHeight w:val="243"/>
        </w:trPr>
        <w:tc>
          <w:tcPr>
            <w:tcW w:w="5000" w:type="dxa"/>
            <w:vAlign w:val="bottom"/>
            <w:tcBorders>
              <w:bottom w:val="single" w:sz="8" w:color="D5DCE4"/>
            </w:tcBorders>
            <w:gridSpan w:val="2"/>
          </w:tcPr>
          <w:p>
            <w:pPr>
              <w:ind w:left="20"/>
              <w:spacing w:after="0"/>
              <w:rPr>
                <w:sz w:val="20"/>
                <w:szCs w:val="20"/>
                <w:color w:val="auto"/>
              </w:rPr>
            </w:pPr>
            <w:r>
              <w:rPr>
                <w:rFonts w:ascii="Arial" w:cs="Arial" w:eastAsia="Arial" w:hAnsi="Arial"/>
                <w:sz w:val="16"/>
                <w:szCs w:val="16"/>
                <w:color w:val="auto"/>
              </w:rPr>
              <w:t xml:space="preserve">Net income attributable to non-controlling interests </w:t>
            </w:r>
            <w:r>
              <w:rPr>
                <w:rFonts w:ascii="Arial" w:cs="Arial" w:eastAsia="Arial" w:hAnsi="Arial"/>
                <w:sz w:val="21"/>
                <w:szCs w:val="21"/>
                <w:color w:val="auto"/>
                <w:vertAlign w:val="superscript"/>
              </w:rPr>
              <w:t>(1)</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10,917</w:t>
            </w:r>
          </w:p>
        </w:tc>
        <w:tc>
          <w:tcPr>
            <w:tcW w:w="80" w:type="dxa"/>
            <w:vAlign w:val="bottom"/>
            <w:tcBorders>
              <w:bottom w:val="single" w:sz="8" w:color="D5DCE4"/>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11,912</w:t>
            </w:r>
          </w:p>
        </w:tc>
        <w:tc>
          <w:tcPr>
            <w:tcW w:w="80" w:type="dxa"/>
            <w:vAlign w:val="bottom"/>
            <w:tcBorders>
              <w:bottom w:val="single" w:sz="8" w:color="D5DCE4"/>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24,623</w:t>
            </w:r>
          </w:p>
        </w:tc>
        <w:tc>
          <w:tcPr>
            <w:tcW w:w="80" w:type="dxa"/>
            <w:vAlign w:val="bottom"/>
            <w:tcBorders>
              <w:bottom w:val="single" w:sz="8" w:color="D5DCE4"/>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30,469</w:t>
            </w:r>
          </w:p>
        </w:tc>
      </w:tr>
      <w:tr>
        <w:trPr>
          <w:trHeight w:val="236"/>
        </w:trPr>
        <w:tc>
          <w:tcPr>
            <w:tcW w:w="50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D5DCE4"/>
          </w:tcPr>
          <w:p>
            <w:pPr>
              <w:spacing w:after="0"/>
              <w:rPr>
                <w:sz w:val="20"/>
                <w:szCs w:val="20"/>
                <w:color w:val="auto"/>
              </w:rPr>
            </w:pPr>
          </w:p>
        </w:tc>
        <w:tc>
          <w:tcPr>
            <w:tcW w:w="12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66,233</w:t>
            </w:r>
          </w:p>
        </w:tc>
        <w:tc>
          <w:tcPr>
            <w:tcW w:w="80" w:type="dxa"/>
            <w:vAlign w:val="bottom"/>
            <w:shd w:val="clear" w:color="auto" w:fill="D5DCE4"/>
          </w:tcPr>
          <w:p>
            <w:pPr>
              <w:spacing w:after="0"/>
              <w:rPr>
                <w:sz w:val="20"/>
                <w:szCs w:val="20"/>
                <w:color w:val="auto"/>
              </w:rPr>
            </w:pPr>
          </w:p>
        </w:tc>
        <w:tc>
          <w:tcPr>
            <w:tcW w:w="340" w:type="dxa"/>
            <w:vAlign w:val="bottom"/>
            <w:shd w:val="clear" w:color="auto" w:fill="D5DCE4"/>
          </w:tcPr>
          <w:p>
            <w:pPr>
              <w:spacing w:after="0"/>
              <w:rPr>
                <w:sz w:val="20"/>
                <w:szCs w:val="20"/>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42,408</w:t>
            </w:r>
          </w:p>
        </w:tc>
        <w:tc>
          <w:tcPr>
            <w:tcW w:w="80" w:type="dxa"/>
            <w:vAlign w:val="bottom"/>
            <w:shd w:val="clear" w:color="auto" w:fill="D5DCE4"/>
          </w:tcPr>
          <w:p>
            <w:pPr>
              <w:spacing w:after="0"/>
              <w:rPr>
                <w:sz w:val="20"/>
                <w:szCs w:val="20"/>
                <w:color w:val="auto"/>
              </w:rPr>
            </w:pPr>
          </w:p>
        </w:tc>
        <w:tc>
          <w:tcPr>
            <w:tcW w:w="300" w:type="dxa"/>
            <w:vAlign w:val="bottom"/>
            <w:shd w:val="clear" w:color="auto" w:fill="D5DCE4"/>
          </w:tcPr>
          <w:p>
            <w:pPr>
              <w:spacing w:after="0"/>
              <w:rPr>
                <w:sz w:val="20"/>
                <w:szCs w:val="20"/>
                <w:color w:val="auto"/>
              </w:rPr>
            </w:pP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147,798</w:t>
            </w:r>
          </w:p>
        </w:tc>
        <w:tc>
          <w:tcPr>
            <w:tcW w:w="80" w:type="dxa"/>
            <w:vAlign w:val="bottom"/>
            <w:shd w:val="clear" w:color="auto" w:fill="D5DCE4"/>
          </w:tcPr>
          <w:p>
            <w:pPr>
              <w:spacing w:after="0"/>
              <w:rPr>
                <w:sz w:val="20"/>
                <w:szCs w:val="20"/>
                <w:color w:val="auto"/>
              </w:rPr>
            </w:pPr>
          </w:p>
        </w:tc>
        <w:tc>
          <w:tcPr>
            <w:tcW w:w="340" w:type="dxa"/>
            <w:vAlign w:val="bottom"/>
            <w:shd w:val="clear" w:color="auto" w:fill="D5DCE4"/>
          </w:tcPr>
          <w:p>
            <w:pPr>
              <w:spacing w:after="0"/>
              <w:rPr>
                <w:sz w:val="20"/>
                <w:szCs w:val="20"/>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104,893</w:t>
            </w:r>
          </w:p>
        </w:tc>
      </w:tr>
      <w:tr>
        <w:trPr>
          <w:trHeight w:val="233"/>
        </w:trPr>
        <w:tc>
          <w:tcPr>
            <w:tcW w:w="5000" w:type="dxa"/>
            <w:vAlign w:val="bottom"/>
            <w:gridSpan w:val="2"/>
          </w:tcPr>
          <w:p>
            <w:pPr>
              <w:ind w:left="20"/>
              <w:spacing w:after="0"/>
              <w:rPr>
                <w:sz w:val="20"/>
                <w:szCs w:val="20"/>
                <w:color w:val="auto"/>
              </w:rPr>
            </w:pPr>
            <w:r>
              <w:rPr>
                <w:rFonts w:ascii="Arial" w:cs="Arial" w:eastAsia="Arial" w:hAnsi="Arial"/>
                <w:sz w:val="16"/>
                <w:szCs w:val="16"/>
                <w:color w:val="auto"/>
              </w:rPr>
              <w:t>Provision for income taxes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17,234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12,945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33,503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28,774</w:t>
            </w:r>
          </w:p>
        </w:tc>
      </w:tr>
      <w:tr>
        <w:trPr>
          <w:trHeight w:val="253"/>
        </w:trPr>
        <w:tc>
          <w:tcPr>
            <w:tcW w:w="50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Acquisition transaction costs </w:t>
            </w:r>
            <w:r>
              <w:rPr>
                <w:rFonts w:ascii="Arial" w:cs="Arial" w:eastAsia="Arial" w:hAnsi="Arial"/>
                <w:sz w:val="21"/>
                <w:szCs w:val="21"/>
                <w:color w:val="auto"/>
                <w:vertAlign w:val="superscript"/>
              </w:rPr>
              <w:t>(2)</w:t>
            </w:r>
          </w:p>
        </w:tc>
        <w:tc>
          <w:tcPr>
            <w:tcW w:w="260" w:type="dxa"/>
            <w:vAlign w:val="bottom"/>
            <w:shd w:val="clear" w:color="auto" w:fill="D5DCE4"/>
          </w:tcPr>
          <w:p>
            <w:pPr>
              <w:spacing w:after="0"/>
              <w:rPr>
                <w:sz w:val="21"/>
                <w:szCs w:val="21"/>
                <w:color w:val="auto"/>
              </w:rPr>
            </w:pPr>
          </w:p>
        </w:tc>
        <w:tc>
          <w:tcPr>
            <w:tcW w:w="12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2,966</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240" w:type="dxa"/>
            <w:vAlign w:val="bottom"/>
            <w:gridSpan w:val="2"/>
            <w:shd w:val="clear" w:color="auto" w:fill="D5DCE4"/>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D5DCE4"/>
          </w:tcPr>
          <w:p>
            <w:pPr>
              <w:spacing w:after="0"/>
              <w:rPr>
                <w:sz w:val="21"/>
                <w:szCs w:val="21"/>
                <w:color w:val="auto"/>
              </w:rPr>
            </w:pP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4,727</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5000" w:type="dxa"/>
            <w:vAlign w:val="bottom"/>
            <w:gridSpan w:val="2"/>
          </w:tcPr>
          <w:p>
            <w:pPr>
              <w:ind w:left="20"/>
              <w:spacing w:after="0"/>
              <w:rPr>
                <w:sz w:val="20"/>
                <w:szCs w:val="20"/>
                <w:color w:val="auto"/>
              </w:rPr>
            </w:pPr>
            <w:r>
              <w:rPr>
                <w:rFonts w:ascii="Arial" w:cs="Arial" w:eastAsia="Arial" w:hAnsi="Arial"/>
                <w:sz w:val="16"/>
                <w:szCs w:val="16"/>
                <w:color w:val="auto"/>
              </w:rPr>
              <w:t xml:space="preserve">D&amp;A related to acquisitions and the Refinitiv Transaction </w:t>
            </w:r>
            <w:r>
              <w:rPr>
                <w:rFonts w:ascii="Arial" w:cs="Arial" w:eastAsia="Arial" w:hAnsi="Arial"/>
                <w:sz w:val="21"/>
                <w:szCs w:val="21"/>
                <w:color w:val="auto"/>
                <w:vertAlign w:val="superscript"/>
              </w:rPr>
              <w:t>(3)</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30,240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27,131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59,843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53,404</w:t>
            </w:r>
          </w:p>
        </w:tc>
      </w:tr>
      <w:tr>
        <w:trPr>
          <w:trHeight w:val="243"/>
        </w:trPr>
        <w:tc>
          <w:tcPr>
            <w:tcW w:w="50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(4)</w:t>
            </w:r>
          </w:p>
        </w:tc>
        <w:tc>
          <w:tcPr>
            <w:tcW w:w="260" w:type="dxa"/>
            <w:vAlign w:val="bottom"/>
            <w:shd w:val="clear" w:color="auto" w:fill="D5DCE4"/>
          </w:tcPr>
          <w:p>
            <w:pPr>
              <w:spacing w:after="0"/>
              <w:rPr>
                <w:sz w:val="21"/>
                <w:szCs w:val="21"/>
                <w:color w:val="auto"/>
              </w:rPr>
            </w:pPr>
          </w:p>
        </w:tc>
        <w:tc>
          <w:tcPr>
            <w:tcW w:w="12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2,803</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4,995</w:t>
            </w:r>
          </w:p>
        </w:tc>
        <w:tc>
          <w:tcPr>
            <w:tcW w:w="80" w:type="dxa"/>
            <w:vAlign w:val="bottom"/>
            <w:shd w:val="clear" w:color="auto" w:fill="D5DCE4"/>
          </w:tcPr>
          <w:p>
            <w:pPr>
              <w:spacing w:after="0"/>
              <w:rPr>
                <w:sz w:val="21"/>
                <w:szCs w:val="21"/>
                <w:color w:val="auto"/>
              </w:rPr>
            </w:pPr>
          </w:p>
        </w:tc>
        <w:tc>
          <w:tcPr>
            <w:tcW w:w="300" w:type="dxa"/>
            <w:vAlign w:val="bottom"/>
            <w:shd w:val="clear" w:color="auto" w:fill="D5DCE4"/>
          </w:tcPr>
          <w:p>
            <w:pPr>
              <w:spacing w:after="0"/>
              <w:rPr>
                <w:sz w:val="21"/>
                <w:szCs w:val="21"/>
                <w:color w:val="auto"/>
              </w:rPr>
            </w:pP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9,186</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8,492</w:t>
            </w:r>
          </w:p>
        </w:tc>
      </w:tr>
      <w:tr>
        <w:trPr>
          <w:trHeight w:val="243"/>
        </w:trPr>
        <w:tc>
          <w:tcPr>
            <w:tcW w:w="5000" w:type="dxa"/>
            <w:vAlign w:val="bottom"/>
            <w:gridSpan w:val="2"/>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(5)</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2,756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(4,883)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4,118</w:t>
            </w:r>
          </w:p>
        </w:tc>
      </w:tr>
      <w:tr>
        <w:trPr>
          <w:trHeight w:val="243"/>
        </w:trPr>
        <w:tc>
          <w:tcPr>
            <w:tcW w:w="50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Tax receivable agreement liability adjustment </w:t>
            </w:r>
            <w:r>
              <w:rPr>
                <w:rFonts w:ascii="Arial" w:cs="Arial" w:eastAsia="Arial" w:hAnsi="Arial"/>
                <w:sz w:val="21"/>
                <w:szCs w:val="21"/>
                <w:color w:val="auto"/>
                <w:vertAlign w:val="superscript"/>
              </w:rPr>
              <w:t>(6)</w:t>
            </w:r>
          </w:p>
        </w:tc>
        <w:tc>
          <w:tcPr>
            <w:tcW w:w="260" w:type="dxa"/>
            <w:vAlign w:val="bottom"/>
            <w:shd w:val="clear" w:color="auto" w:fill="D5DCE4"/>
          </w:tcPr>
          <w:p>
            <w:pPr>
              <w:spacing w:after="0"/>
              <w:rPr>
                <w:sz w:val="21"/>
                <w:szCs w:val="21"/>
                <w:color w:val="auto"/>
              </w:rPr>
            </w:pPr>
          </w:p>
        </w:tc>
        <w:tc>
          <w:tcPr>
            <w:tcW w:w="12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240" w:type="dxa"/>
            <w:vAlign w:val="bottom"/>
            <w:gridSpan w:val="2"/>
            <w:shd w:val="clear" w:color="auto" w:fill="D5DCE4"/>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D5DCE4"/>
          </w:tcPr>
          <w:p>
            <w:pPr>
              <w:spacing w:after="0"/>
              <w:rPr>
                <w:sz w:val="21"/>
                <w:szCs w:val="21"/>
                <w:color w:val="auto"/>
              </w:rPr>
            </w:pPr>
          </w:p>
        </w:tc>
        <w:tc>
          <w:tcPr>
            <w:tcW w:w="1280" w:type="dxa"/>
            <w:vAlign w:val="bottom"/>
            <w:gridSpan w:val="2"/>
            <w:shd w:val="clear" w:color="auto" w:fill="D5DCE4"/>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D5DCE4"/>
          </w:tcPr>
          <w:p>
            <w:pPr>
              <w:spacing w:after="0"/>
              <w:rPr>
                <w:sz w:val="21"/>
                <w:szCs w:val="21"/>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5000" w:type="dxa"/>
            <w:vAlign w:val="bottom"/>
            <w:gridSpan w:val="2"/>
          </w:tcPr>
          <w:p>
            <w:pPr>
              <w:ind w:left="20"/>
              <w:spacing w:after="0"/>
              <w:rPr>
                <w:sz w:val="20"/>
                <w:szCs w:val="20"/>
                <w:color w:val="auto"/>
              </w:rPr>
            </w:pPr>
            <w:r>
              <w:rPr>
                <w:rFonts w:ascii="Arial" w:cs="Arial" w:eastAsia="Arial" w:hAnsi="Arial"/>
                <w:sz w:val="16"/>
                <w:szCs w:val="16"/>
                <w:color w:val="auto"/>
              </w:rPr>
              <w:t>Adjusted Net Income before income taxes</w:t>
            </w: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119,946</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90,235</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250,174</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199,681</w:t>
            </w:r>
          </w:p>
        </w:tc>
      </w:tr>
      <w:tr>
        <w:trPr>
          <w:trHeight w:val="253"/>
        </w:trPr>
        <w:tc>
          <w:tcPr>
            <w:tcW w:w="50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Adjusted income taxes </w:t>
            </w:r>
            <w:r>
              <w:rPr>
                <w:rFonts w:ascii="Arial" w:cs="Arial" w:eastAsia="Arial" w:hAnsi="Arial"/>
                <w:sz w:val="21"/>
                <w:szCs w:val="21"/>
                <w:color w:val="auto"/>
                <w:vertAlign w:val="superscript"/>
              </w:rPr>
              <w:t>(7)</w:t>
            </w:r>
          </w:p>
        </w:tc>
        <w:tc>
          <w:tcPr>
            <w:tcW w:w="260" w:type="dxa"/>
            <w:vAlign w:val="bottom"/>
            <w:tcBorders>
              <w:bottom w:val="single" w:sz="8" w:color="auto"/>
            </w:tcBorders>
            <w:shd w:val="clear" w:color="auto" w:fill="D5DCE4"/>
          </w:tcPr>
          <w:p>
            <w:pPr>
              <w:spacing w:after="0"/>
              <w:rPr>
                <w:sz w:val="21"/>
                <w:szCs w:val="21"/>
                <w:color w:val="auto"/>
              </w:rPr>
            </w:pPr>
          </w:p>
        </w:tc>
        <w:tc>
          <w:tcPr>
            <w:tcW w:w="12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(26,388)</w:t>
            </w:r>
          </w:p>
        </w:tc>
        <w:tc>
          <w:tcPr>
            <w:tcW w:w="80" w:type="dxa"/>
            <w:vAlign w:val="bottom"/>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spacing w:after="0"/>
              <w:rPr>
                <w:sz w:val="21"/>
                <w:szCs w:val="21"/>
                <w:color w:val="auto"/>
              </w:rPr>
            </w:pPr>
          </w:p>
        </w:tc>
        <w:tc>
          <w:tcPr>
            <w:tcW w:w="1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(19,852)</w:t>
            </w:r>
          </w:p>
        </w:tc>
        <w:tc>
          <w:tcPr>
            <w:tcW w:w="80" w:type="dxa"/>
            <w:vAlign w:val="bottom"/>
            <w:shd w:val="clear" w:color="auto" w:fill="D5DCE4"/>
          </w:tcPr>
          <w:p>
            <w:pPr>
              <w:spacing w:after="0"/>
              <w:rPr>
                <w:sz w:val="21"/>
                <w:szCs w:val="21"/>
                <w:color w:val="auto"/>
              </w:rPr>
            </w:pPr>
          </w:p>
        </w:tc>
        <w:tc>
          <w:tcPr>
            <w:tcW w:w="300" w:type="dxa"/>
            <w:vAlign w:val="bottom"/>
            <w:tcBorders>
              <w:bottom w:val="single" w:sz="8" w:color="auto"/>
            </w:tcBorders>
            <w:shd w:val="clear" w:color="auto" w:fill="D5DCE4"/>
          </w:tcPr>
          <w:p>
            <w:pPr>
              <w:spacing w:after="0"/>
              <w:rPr>
                <w:sz w:val="21"/>
                <w:szCs w:val="21"/>
                <w:color w:val="auto"/>
              </w:rPr>
            </w:pPr>
          </w:p>
        </w:tc>
        <w:tc>
          <w:tcPr>
            <w:tcW w:w="12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(55,038)</w:t>
            </w:r>
          </w:p>
        </w:tc>
        <w:tc>
          <w:tcPr>
            <w:tcW w:w="80" w:type="dxa"/>
            <w:vAlign w:val="bottom"/>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spacing w:after="0"/>
              <w:rPr>
                <w:sz w:val="21"/>
                <w:szCs w:val="21"/>
                <w:color w:val="auto"/>
              </w:rPr>
            </w:pPr>
          </w:p>
        </w:tc>
        <w:tc>
          <w:tcPr>
            <w:tcW w:w="1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(43,930)</w:t>
            </w:r>
          </w:p>
        </w:tc>
      </w:tr>
      <w:tr>
        <w:trPr>
          <w:trHeight w:val="230"/>
        </w:trPr>
        <w:tc>
          <w:tcPr>
            <w:tcW w:w="5000" w:type="dxa"/>
            <w:vAlign w:val="bottom"/>
            <w:gridSpan w:val="2"/>
          </w:tcPr>
          <w:p>
            <w:pPr>
              <w:ind w:left="20"/>
              <w:spacing w:after="0"/>
              <w:rPr>
                <w:sz w:val="20"/>
                <w:szCs w:val="20"/>
                <w:color w:val="auto"/>
              </w:rPr>
            </w:pPr>
            <w:r>
              <w:rPr>
                <w:rFonts w:ascii="Arial" w:cs="Arial" w:eastAsia="Arial" w:hAnsi="Arial"/>
                <w:sz w:val="16"/>
                <w:szCs w:val="16"/>
                <w:color w:val="auto"/>
              </w:rPr>
              <w:t>Adjusted Net Income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93,558</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70,383</w:t>
            </w:r>
          </w:p>
        </w:tc>
        <w:tc>
          <w:tcPr>
            <w:tcW w:w="8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195,136</w:t>
            </w:r>
          </w:p>
        </w:tc>
        <w:tc>
          <w:tcPr>
            <w:tcW w:w="8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155,751</w:t>
            </w:r>
          </w:p>
        </w:tc>
      </w:tr>
      <w:tr>
        <w:trPr>
          <w:trHeight w:val="20"/>
        </w:trPr>
        <w:tc>
          <w:tcPr>
            <w:tcW w:w="492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63"/>
        </w:trPr>
        <w:tc>
          <w:tcPr>
            <w:tcW w:w="50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Adjusted Diluted EPS </w:t>
            </w:r>
            <w:r>
              <w:rPr>
                <w:rFonts w:ascii="Arial" w:cs="Arial" w:eastAsia="Arial" w:hAnsi="Arial"/>
                <w:sz w:val="21"/>
                <w:szCs w:val="21"/>
                <w:color w:val="auto"/>
                <w:vertAlign w:val="superscript"/>
              </w:rPr>
              <w:t>(8)</w:t>
            </w:r>
          </w:p>
        </w:tc>
        <w:tc>
          <w:tcPr>
            <w:tcW w:w="260" w:type="dxa"/>
            <w:vAlign w:val="bottom"/>
            <w:shd w:val="clear" w:color="auto" w:fill="D5DCE4"/>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0.39</w:t>
            </w:r>
          </w:p>
        </w:tc>
        <w:tc>
          <w:tcPr>
            <w:tcW w:w="420" w:type="dxa"/>
            <w:vAlign w:val="bottom"/>
            <w:gridSpan w:val="2"/>
            <w:shd w:val="clear" w:color="auto" w:fill="D5DCE4"/>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0.30</w:t>
            </w:r>
          </w:p>
        </w:tc>
        <w:tc>
          <w:tcPr>
            <w:tcW w:w="80" w:type="dxa"/>
            <w:vAlign w:val="bottom"/>
            <w:shd w:val="clear" w:color="auto" w:fill="D5DCE4"/>
          </w:tcPr>
          <w:p>
            <w:pPr>
              <w:spacing w:after="0"/>
              <w:rPr>
                <w:sz w:val="22"/>
                <w:szCs w:val="22"/>
                <w:color w:val="auto"/>
              </w:rPr>
            </w:pPr>
          </w:p>
        </w:tc>
        <w:tc>
          <w:tcPr>
            <w:tcW w:w="300" w:type="dxa"/>
            <w:vAlign w:val="bottom"/>
            <w:shd w:val="clear" w:color="auto" w:fill="D5DCE4"/>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0.82</w:t>
            </w:r>
          </w:p>
        </w:tc>
        <w:tc>
          <w:tcPr>
            <w:tcW w:w="80" w:type="dxa"/>
            <w:vAlign w:val="bottom"/>
            <w:shd w:val="clear" w:color="auto" w:fill="D5DCE4"/>
          </w:tcPr>
          <w:p>
            <w:pPr>
              <w:spacing w:after="0"/>
              <w:rPr>
                <w:sz w:val="22"/>
                <w:szCs w:val="22"/>
                <w:color w:val="auto"/>
              </w:rPr>
            </w:pP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0.67</w:t>
            </w:r>
          </w:p>
        </w:tc>
      </w:tr>
      <w:tr>
        <w:trPr>
          <w:trHeight w:val="20"/>
        </w:trPr>
        <w:tc>
          <w:tcPr>
            <w:tcW w:w="492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660" w:right="20" w:hanging="328"/>
        <w:spacing w:after="0" w:line="234" w:lineRule="auto"/>
        <w:tabs>
          <w:tab w:leader="none" w:pos="659" w:val="left"/>
        </w:tabs>
        <w:numPr>
          <w:ilvl w:val="0"/>
          <w:numId w:val="8"/>
        </w:numPr>
        <w:rPr>
          <w:rFonts w:ascii="Arial" w:cs="Arial" w:eastAsia="Arial" w:hAnsi="Arial"/>
          <w:sz w:val="12"/>
          <w:szCs w:val="12"/>
          <w:color w:val="auto"/>
        </w:rPr>
      </w:pPr>
      <w:r>
        <w:rPr>
          <w:rFonts w:ascii="Arial" w:cs="Arial" w:eastAsia="Arial" w:hAnsi="Arial"/>
          <w:sz w:val="12"/>
          <w:szCs w:val="12"/>
          <w:color w:val="auto"/>
        </w:rPr>
        <w:t>Represents the reallocation of net income attributable to non-controlling interests from the assumed exchange of all outstanding LLC Interests held by non-controlling interests for shares of Class A or Class B common stock.</w:t>
      </w:r>
    </w:p>
    <w:p>
      <w:pPr>
        <w:ind w:left="660" w:right="220" w:hanging="328"/>
        <w:spacing w:after="0" w:line="234" w:lineRule="auto"/>
        <w:tabs>
          <w:tab w:leader="none" w:pos="659" w:val="left"/>
        </w:tabs>
        <w:numPr>
          <w:ilvl w:val="0"/>
          <w:numId w:val="8"/>
        </w:numPr>
        <w:rPr>
          <w:rFonts w:ascii="Arial" w:cs="Arial" w:eastAsia="Arial" w:hAnsi="Arial"/>
          <w:sz w:val="12"/>
          <w:szCs w:val="12"/>
          <w:color w:val="auto"/>
        </w:rPr>
      </w:pPr>
      <w:r>
        <w:rPr>
          <w:rFonts w:ascii="Arial" w:cs="Arial" w:eastAsia="Arial" w:hAnsi="Arial"/>
          <w:sz w:val="12"/>
          <w:szCs w:val="12"/>
          <w:color w:val="auto"/>
        </w:rPr>
        <w:t>Represents transaction and other costs related to the NFI Acquisition, which closed in June 2021. During the three and six months ended June 30, 2021, Acquisition-related costs primarily include legal, consulting and advisory fees and severance costs incurred that relate to the acquisition transaction.</w:t>
      </w:r>
    </w:p>
    <w:p>
      <w:pPr>
        <w:ind w:left="660" w:right="340" w:hanging="328"/>
        <w:spacing w:after="0" w:line="234" w:lineRule="auto"/>
        <w:tabs>
          <w:tab w:leader="none" w:pos="659" w:val="left"/>
        </w:tabs>
        <w:numPr>
          <w:ilvl w:val="0"/>
          <w:numId w:val="8"/>
        </w:numPr>
        <w:rPr>
          <w:rFonts w:ascii="Arial" w:cs="Arial" w:eastAsia="Arial" w:hAnsi="Arial"/>
          <w:sz w:val="12"/>
          <w:szCs w:val="12"/>
          <w:color w:val="auto"/>
        </w:rPr>
      </w:pPr>
      <w:r>
        <w:rPr>
          <w:rFonts w:ascii="Arial" w:cs="Arial" w:eastAsia="Arial" w:hAnsi="Arial"/>
          <w:sz w:val="12"/>
          <w:szCs w:val="12"/>
          <w:color w:val="auto"/>
        </w:rPr>
        <w:t>Represents intangible asset amortization and increased tangible asset and capitalized software depreciation and amortization resulting from the NFI Acquisition and the application of pushdown accounting to the Refinitiv Transaction (where all assets were marked to fair value as of the closing date of the Refinitiv Transaction).</w:t>
      </w:r>
    </w:p>
    <w:p>
      <w:pPr>
        <w:ind w:left="660" w:right="380" w:hanging="328"/>
        <w:spacing w:after="0" w:line="234" w:lineRule="auto"/>
        <w:tabs>
          <w:tab w:leader="none" w:pos="659" w:val="left"/>
        </w:tabs>
        <w:numPr>
          <w:ilvl w:val="0"/>
          <w:numId w:val="8"/>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exercises of such options during the applicable period.</w:t>
      </w:r>
    </w:p>
    <w:p>
      <w:pPr>
        <w:ind w:left="660" w:right="340" w:hanging="328"/>
        <w:spacing w:after="0" w:line="234" w:lineRule="auto"/>
        <w:tabs>
          <w:tab w:leader="none" w:pos="659" w:val="left"/>
        </w:tabs>
        <w:numPr>
          <w:ilvl w:val="0"/>
          <w:numId w:val="8"/>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ind w:left="660" w:right="20" w:hanging="328"/>
        <w:spacing w:after="0" w:line="234" w:lineRule="auto"/>
        <w:tabs>
          <w:tab w:leader="none" w:pos="659" w:val="left"/>
        </w:tabs>
        <w:numPr>
          <w:ilvl w:val="0"/>
          <w:numId w:val="8"/>
        </w:numPr>
        <w:rPr>
          <w:rFonts w:ascii="Arial" w:cs="Arial" w:eastAsia="Arial" w:hAnsi="Arial"/>
          <w:sz w:val="12"/>
          <w:szCs w:val="12"/>
          <w:color w:val="auto"/>
        </w:rPr>
      </w:pPr>
      <w:r>
        <w:rPr>
          <w:rFonts w:ascii="Arial" w:cs="Arial" w:eastAsia="Arial" w:hAnsi="Arial"/>
          <w:sz w:val="12"/>
          <w:szCs w:val="12"/>
          <w:color w:val="auto"/>
        </w:rPr>
        <w:t>Represents income recognized during the applicable period due to changes in the tax receivable agreement liability recorded in the statement of financial condition as a result of changes in the mix of earnings, tax legislation and tax rates in various jurisdictions which impacted our tax savings.</w:t>
      </w:r>
    </w:p>
    <w:p>
      <w:pPr>
        <w:ind w:left="660" w:hanging="328"/>
        <w:spacing w:after="0" w:line="234" w:lineRule="auto"/>
        <w:tabs>
          <w:tab w:leader="none" w:pos="660" w:val="left"/>
        </w:tabs>
        <w:numPr>
          <w:ilvl w:val="0"/>
          <w:numId w:val="8"/>
        </w:numPr>
        <w:rPr>
          <w:rFonts w:ascii="Arial" w:cs="Arial" w:eastAsia="Arial" w:hAnsi="Arial"/>
          <w:sz w:val="12"/>
          <w:szCs w:val="12"/>
          <w:color w:val="auto"/>
        </w:rPr>
      </w:pPr>
      <w:r>
        <w:rPr>
          <w:rFonts w:ascii="Arial" w:cs="Arial" w:eastAsia="Arial" w:hAnsi="Arial"/>
          <w:sz w:val="12"/>
          <w:szCs w:val="12"/>
          <w:color w:val="auto"/>
        </w:rPr>
        <w:t>Represents corporate income taxes at an assumed effective tax rate of 22% applied to Adjusted Net Income before income taxes for each of the three and six months ended June 30, 2021 and 2020.</w:t>
      </w:r>
    </w:p>
    <w:p>
      <w:pPr>
        <w:ind w:left="660" w:hanging="328"/>
        <w:spacing w:after="0"/>
        <w:tabs>
          <w:tab w:leader="none" w:pos="660" w:val="left"/>
        </w:tabs>
        <w:numPr>
          <w:ilvl w:val="0"/>
          <w:numId w:val="8"/>
        </w:numPr>
        <w:rPr>
          <w:rFonts w:ascii="Arial" w:cs="Arial" w:eastAsia="Arial" w:hAnsi="Arial"/>
          <w:sz w:val="12"/>
          <w:szCs w:val="12"/>
          <w:color w:val="auto"/>
        </w:rPr>
      </w:pPr>
      <w:r>
        <w:rPr>
          <w:rFonts w:ascii="Arial" w:cs="Arial" w:eastAsia="Arial" w:hAnsi="Arial"/>
          <w:sz w:val="12"/>
          <w:szCs w:val="12"/>
          <w:color w:val="auto"/>
        </w:rPr>
        <w:t>For a summary of the calculation of Adjusted Diluted EPS, see “Reconciliation of Diluted Weighted Average Shares Outstanding to Adjusted Diluted Weighted Average Shares Outstanding” below.</w:t>
      </w:r>
    </w:p>
    <w:p>
      <w:pPr>
        <w:sectPr>
          <w:pgSz w:w="11900" w:h="16838" w:orient="portrait"/>
          <w:cols w:equalWidth="0" w:num="1">
            <w:col w:w="11240"/>
          </w:cols>
          <w:pgMar w:left="320" w:top="688" w:right="339" w:bottom="1440" w:gutter="0" w:footer="0" w:header="0"/>
          <w:type w:val="continuous"/>
        </w:sectPr>
      </w:pPr>
    </w:p>
    <w:p>
      <w:pPr>
        <w:spacing w:after="0" w:line="173"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5</w:t>
      </w:r>
    </w:p>
    <w:p>
      <w:pPr>
        <w:sectPr>
          <w:pgSz w:w="11900" w:h="16838" w:orient="portrait"/>
          <w:cols w:equalWidth="0" w:num="1">
            <w:col w:w="11240"/>
          </w:cols>
          <w:pgMar w:left="320" w:top="688"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color w:val="auto"/>
        </w:rPr>
        <w:t>The following table summarizes the calculation of Adjusted Diluted EPS for the periods presented: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Reconciliation of Diluted Weighted Average Shares Outstanding to</w:t>
            </w:r>
          </w:p>
        </w:tc>
        <w:tc>
          <w:tcPr>
            <w:tcW w:w="140" w:type="dxa"/>
            <w:vAlign w:val="bottom"/>
          </w:tcPr>
          <w:p>
            <w:pPr>
              <w:spacing w:after="0"/>
              <w:rPr>
                <w:sz w:val="18"/>
                <w:szCs w:val="18"/>
                <w:color w:val="auto"/>
              </w:rPr>
            </w:pPr>
          </w:p>
        </w:tc>
        <w:tc>
          <w:tcPr>
            <w:tcW w:w="256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June 30,</w:t>
            </w:r>
          </w:p>
        </w:tc>
        <w:tc>
          <w:tcPr>
            <w:tcW w:w="180" w:type="dxa"/>
            <w:vAlign w:val="bottom"/>
          </w:tcPr>
          <w:p>
            <w:pPr>
              <w:spacing w:after="0"/>
              <w:rPr>
                <w:sz w:val="18"/>
                <w:szCs w:val="18"/>
                <w:color w:val="auto"/>
              </w:rPr>
            </w:pPr>
          </w:p>
        </w:tc>
        <w:tc>
          <w:tcPr>
            <w:tcW w:w="2440" w:type="dxa"/>
            <w:vAlign w:val="bottom"/>
            <w:gridSpan w:val="4"/>
          </w:tcPr>
          <w:p>
            <w:pPr>
              <w:jc w:val="right"/>
              <w:ind w:right="17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42"/>
        </w:trPr>
        <w:tc>
          <w:tcPr>
            <w:tcW w:w="59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Diluted Weighted Average Shares Outstanding</w:t>
            </w:r>
          </w:p>
        </w:tc>
        <w:tc>
          <w:tcPr>
            <w:tcW w:w="80" w:type="dxa"/>
            <w:vAlign w:val="bottom"/>
            <w:tcBorders>
              <w:bottom w:val="single" w:sz="8" w:color="D5DCE4"/>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D5DCE4"/>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D5DCE4"/>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D5DCE4"/>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8"/>
        </w:trPr>
        <w:tc>
          <w:tcPr>
            <w:tcW w:w="592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Diluted weighted average shares of Class A and Class B common stock</w:t>
            </w:r>
          </w:p>
        </w:tc>
        <w:tc>
          <w:tcPr>
            <w:tcW w:w="140" w:type="dxa"/>
            <w:vAlign w:val="bottom"/>
            <w:shd w:val="clear" w:color="auto" w:fill="D5DCE4"/>
          </w:tcPr>
          <w:p>
            <w:pPr>
              <w:spacing w:after="0"/>
              <w:rPr>
                <w:sz w:val="18"/>
                <w:szCs w:val="18"/>
                <w:color w:val="auto"/>
              </w:rPr>
            </w:pPr>
          </w:p>
        </w:tc>
        <w:tc>
          <w:tcPr>
            <w:tcW w:w="1120" w:type="dxa"/>
            <w:vAlign w:val="bottom"/>
            <w:shd w:val="clear" w:color="auto" w:fill="D5DCE4"/>
          </w:tcPr>
          <w:p>
            <w:pPr>
              <w:spacing w:after="0"/>
              <w:rPr>
                <w:sz w:val="18"/>
                <w:szCs w:val="18"/>
                <w:color w:val="auto"/>
              </w:rPr>
            </w:pPr>
          </w:p>
        </w:tc>
        <w:tc>
          <w:tcPr>
            <w:tcW w:w="100" w:type="dxa"/>
            <w:vAlign w:val="bottom"/>
            <w:shd w:val="clear" w:color="auto" w:fill="D5DCE4"/>
          </w:tcPr>
          <w:p>
            <w:pPr>
              <w:spacing w:after="0"/>
              <w:rPr>
                <w:sz w:val="18"/>
                <w:szCs w:val="18"/>
                <w:color w:val="auto"/>
              </w:rPr>
            </w:pPr>
          </w:p>
        </w:tc>
        <w:tc>
          <w:tcPr>
            <w:tcW w:w="200" w:type="dxa"/>
            <w:vAlign w:val="bottom"/>
            <w:shd w:val="clear" w:color="auto" w:fill="D5DCE4"/>
          </w:tcPr>
          <w:p>
            <w:pPr>
              <w:spacing w:after="0"/>
              <w:rPr>
                <w:sz w:val="18"/>
                <w:szCs w:val="18"/>
                <w:color w:val="auto"/>
              </w:rPr>
            </w:pPr>
          </w:p>
        </w:tc>
        <w:tc>
          <w:tcPr>
            <w:tcW w:w="106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180" w:type="dxa"/>
            <w:vAlign w:val="bottom"/>
            <w:shd w:val="clear" w:color="auto" w:fill="D5DCE4"/>
          </w:tcPr>
          <w:p>
            <w:pPr>
              <w:spacing w:after="0"/>
              <w:rPr>
                <w:sz w:val="18"/>
                <w:szCs w:val="18"/>
                <w:color w:val="auto"/>
              </w:rPr>
            </w:pPr>
          </w:p>
        </w:tc>
        <w:tc>
          <w:tcPr>
            <w:tcW w:w="1080" w:type="dxa"/>
            <w:vAlign w:val="bottom"/>
            <w:shd w:val="clear" w:color="auto" w:fill="D5DCE4"/>
          </w:tcPr>
          <w:p>
            <w:pPr>
              <w:spacing w:after="0"/>
              <w:rPr>
                <w:sz w:val="18"/>
                <w:szCs w:val="18"/>
                <w:color w:val="auto"/>
              </w:rPr>
            </w:pPr>
          </w:p>
        </w:tc>
        <w:tc>
          <w:tcPr>
            <w:tcW w:w="100" w:type="dxa"/>
            <w:vAlign w:val="bottom"/>
            <w:shd w:val="clear" w:color="auto" w:fill="D5DCE4"/>
          </w:tcPr>
          <w:p>
            <w:pPr>
              <w:spacing w:after="0"/>
              <w:rPr>
                <w:sz w:val="18"/>
                <w:szCs w:val="18"/>
                <w:color w:val="auto"/>
              </w:rPr>
            </w:pPr>
          </w:p>
        </w:tc>
        <w:tc>
          <w:tcPr>
            <w:tcW w:w="200" w:type="dxa"/>
            <w:vAlign w:val="bottom"/>
            <w:shd w:val="clear" w:color="auto" w:fill="D5DCE4"/>
          </w:tcPr>
          <w:p>
            <w:pPr>
              <w:spacing w:after="0"/>
              <w:rPr>
                <w:sz w:val="18"/>
                <w:szCs w:val="18"/>
                <w:color w:val="auto"/>
              </w:rPr>
            </w:pPr>
          </w:p>
        </w:tc>
        <w:tc>
          <w:tcPr>
            <w:tcW w:w="1060" w:type="dxa"/>
            <w:vAlign w:val="bottom"/>
            <w:shd w:val="clear" w:color="auto" w:fill="D5DCE4"/>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2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outstanding</w:t>
            </w:r>
          </w:p>
        </w:tc>
        <w:tc>
          <w:tcPr>
            <w:tcW w:w="140" w:type="dxa"/>
            <w:vAlign w:val="bottom"/>
            <w:shd w:val="clear" w:color="auto" w:fill="D5DCE4"/>
          </w:tcPr>
          <w:p>
            <w:pPr>
              <w:spacing w:after="0"/>
              <w:rPr>
                <w:sz w:val="18"/>
                <w:szCs w:val="18"/>
                <w:color w:val="auto"/>
              </w:rPr>
            </w:pPr>
          </w:p>
        </w:tc>
        <w:tc>
          <w:tcPr>
            <w:tcW w:w="1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207,463,960</w:t>
            </w:r>
          </w:p>
        </w:tc>
        <w:tc>
          <w:tcPr>
            <w:tcW w:w="100" w:type="dxa"/>
            <w:vAlign w:val="bottom"/>
            <w:shd w:val="clear" w:color="auto" w:fill="D5DCE4"/>
          </w:tcPr>
          <w:p>
            <w:pPr>
              <w:spacing w:after="0"/>
              <w:rPr>
                <w:sz w:val="18"/>
                <w:szCs w:val="18"/>
                <w:color w:val="auto"/>
              </w:rPr>
            </w:pPr>
          </w:p>
        </w:tc>
        <w:tc>
          <w:tcPr>
            <w:tcW w:w="200" w:type="dxa"/>
            <w:vAlign w:val="bottom"/>
            <w:shd w:val="clear" w:color="auto" w:fill="D5DCE4"/>
          </w:tcPr>
          <w:p>
            <w:pPr>
              <w:spacing w:after="0"/>
              <w:rPr>
                <w:sz w:val="18"/>
                <w:szCs w:val="18"/>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185,489,824</w:t>
            </w:r>
          </w:p>
        </w:tc>
        <w:tc>
          <w:tcPr>
            <w:tcW w:w="80" w:type="dxa"/>
            <w:vAlign w:val="bottom"/>
            <w:shd w:val="clear" w:color="auto" w:fill="D5DCE4"/>
          </w:tcPr>
          <w:p>
            <w:pPr>
              <w:spacing w:after="0"/>
              <w:rPr>
                <w:sz w:val="18"/>
                <w:szCs w:val="18"/>
                <w:color w:val="auto"/>
              </w:rPr>
            </w:pPr>
          </w:p>
        </w:tc>
        <w:tc>
          <w:tcPr>
            <w:tcW w:w="180" w:type="dxa"/>
            <w:vAlign w:val="bottom"/>
            <w:shd w:val="clear" w:color="auto" w:fill="D5DCE4"/>
          </w:tcPr>
          <w:p>
            <w:pPr>
              <w:spacing w:after="0"/>
              <w:rPr>
                <w:sz w:val="18"/>
                <w:szCs w:val="18"/>
                <w:color w:val="auto"/>
              </w:rPr>
            </w:pPr>
          </w:p>
        </w:tc>
        <w:tc>
          <w:tcPr>
            <w:tcW w:w="10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206,253,756</w:t>
            </w:r>
          </w:p>
        </w:tc>
        <w:tc>
          <w:tcPr>
            <w:tcW w:w="100" w:type="dxa"/>
            <w:vAlign w:val="bottom"/>
            <w:shd w:val="clear" w:color="auto" w:fill="D5DCE4"/>
          </w:tcPr>
          <w:p>
            <w:pPr>
              <w:spacing w:after="0"/>
              <w:rPr>
                <w:sz w:val="18"/>
                <w:szCs w:val="18"/>
                <w:color w:val="auto"/>
              </w:rPr>
            </w:pPr>
          </w:p>
        </w:tc>
        <w:tc>
          <w:tcPr>
            <w:tcW w:w="200" w:type="dxa"/>
            <w:vAlign w:val="bottom"/>
            <w:shd w:val="clear" w:color="auto" w:fill="D5DCE4"/>
          </w:tcPr>
          <w:p>
            <w:pPr>
              <w:spacing w:after="0"/>
              <w:rPr>
                <w:sz w:val="18"/>
                <w:szCs w:val="18"/>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180,008,891</w:t>
            </w:r>
          </w:p>
        </w:tc>
        <w:tc>
          <w:tcPr>
            <w:tcW w:w="0" w:type="dxa"/>
            <w:vAlign w:val="bottom"/>
          </w:tcPr>
          <w:p>
            <w:pPr>
              <w:spacing w:after="0"/>
              <w:rPr>
                <w:sz w:val="1"/>
                <w:szCs w:val="1"/>
                <w:color w:val="auto"/>
              </w:rPr>
            </w:pPr>
          </w:p>
        </w:tc>
      </w:tr>
      <w:tr>
        <w:trPr>
          <w:trHeight w:val="215"/>
        </w:trPr>
        <w:tc>
          <w:tcPr>
            <w:tcW w:w="5920" w:type="dxa"/>
            <w:vAlign w:val="bottom"/>
            <w:gridSpan w:val="2"/>
          </w:tcPr>
          <w:p>
            <w:pPr>
              <w:ind w:left="20"/>
              <w:spacing w:after="0"/>
              <w:rPr>
                <w:sz w:val="20"/>
                <w:szCs w:val="20"/>
                <w:color w:val="auto"/>
              </w:rPr>
            </w:pPr>
            <w:r>
              <w:rPr>
                <w:rFonts w:ascii="Arial" w:cs="Arial" w:eastAsia="Arial" w:hAnsi="Arial"/>
                <w:sz w:val="16"/>
                <w:szCs w:val="16"/>
                <w:color w:val="auto"/>
              </w:rPr>
              <w:t>Assumed exchange of LLC Interests for shares of Class A or Class B common</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20" w:type="dxa"/>
            <w:vAlign w:val="bottom"/>
            <w:tcBorders>
              <w:bottom w:val="single" w:sz="8" w:color="D5DCE4"/>
            </w:tcBorders>
            <w:gridSpan w:val="2"/>
          </w:tcPr>
          <w:p>
            <w:pPr>
              <w:ind w:left="20"/>
              <w:spacing w:after="0" w:line="217" w:lineRule="exact"/>
              <w:rPr>
                <w:sz w:val="20"/>
                <w:szCs w:val="20"/>
                <w:color w:val="auto"/>
              </w:rPr>
            </w:pPr>
            <w:r>
              <w:rPr>
                <w:rFonts w:ascii="Arial" w:cs="Arial" w:eastAsia="Arial" w:hAnsi="Arial"/>
                <w:sz w:val="16"/>
                <w:szCs w:val="16"/>
                <w:color w:val="auto"/>
              </w:rPr>
              <w:t xml:space="preserve">stock </w:t>
            </w:r>
            <w:r>
              <w:rPr>
                <w:rFonts w:ascii="Arial" w:cs="Arial" w:eastAsia="Arial" w:hAnsi="Arial"/>
                <w:sz w:val="21"/>
                <w:szCs w:val="21"/>
                <w:color w:val="auto"/>
                <w:vertAlign w:val="superscript"/>
              </w:rPr>
              <w:t>(1)</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30,531,933</w:t>
            </w:r>
          </w:p>
        </w:tc>
        <w:tc>
          <w:tcPr>
            <w:tcW w:w="100" w:type="dxa"/>
            <w:vAlign w:val="bottom"/>
            <w:tcBorders>
              <w:bottom w:val="single" w:sz="8" w:color="D5DCE4"/>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48,132,630</w:t>
            </w:r>
          </w:p>
        </w:tc>
        <w:tc>
          <w:tcPr>
            <w:tcW w:w="80" w:type="dxa"/>
            <w:vAlign w:val="bottom"/>
            <w:tcBorders>
              <w:bottom w:val="single" w:sz="8" w:color="D5DCE4"/>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30,871,285</w:t>
            </w:r>
          </w:p>
        </w:tc>
        <w:tc>
          <w:tcPr>
            <w:tcW w:w="100" w:type="dxa"/>
            <w:vAlign w:val="bottom"/>
            <w:tcBorders>
              <w:bottom w:val="single" w:sz="8" w:color="D5DCE4"/>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52,888,588</w:t>
            </w:r>
          </w:p>
        </w:tc>
        <w:tc>
          <w:tcPr>
            <w:tcW w:w="0" w:type="dxa"/>
            <w:vAlign w:val="bottom"/>
          </w:tcPr>
          <w:p>
            <w:pPr>
              <w:spacing w:after="0"/>
              <w:rPr>
                <w:sz w:val="1"/>
                <w:szCs w:val="1"/>
                <w:color w:val="auto"/>
              </w:rPr>
            </w:pPr>
          </w:p>
        </w:tc>
      </w:tr>
      <w:tr>
        <w:trPr>
          <w:trHeight w:val="262"/>
        </w:trPr>
        <w:tc>
          <w:tcPr>
            <w:tcW w:w="5920" w:type="dxa"/>
            <w:vAlign w:val="bottom"/>
            <w:tcBorders>
              <w:bottom w:val="single" w:sz="8" w:color="D5DCE4"/>
            </w:tcBorders>
            <w:gridSpan w:val="2"/>
            <w:shd w:val="clear" w:color="auto" w:fill="D5DCE4"/>
          </w:tcPr>
          <w:p>
            <w:pPr>
              <w:ind w:left="20"/>
              <w:spacing w:after="0"/>
              <w:rPr>
                <w:sz w:val="20"/>
                <w:szCs w:val="20"/>
                <w:color w:val="auto"/>
              </w:rPr>
            </w:pPr>
            <w:r>
              <w:rPr>
                <w:rFonts w:ascii="Arial" w:cs="Arial" w:eastAsia="Arial" w:hAnsi="Arial"/>
                <w:sz w:val="16"/>
                <w:szCs w:val="16"/>
                <w:color w:val="auto"/>
              </w:rPr>
              <w:t>Adjusted diluted weighted average shares outstanding</w:t>
            </w:r>
          </w:p>
        </w:tc>
        <w:tc>
          <w:tcPr>
            <w:tcW w:w="140" w:type="dxa"/>
            <w:vAlign w:val="bottom"/>
            <w:tcBorders>
              <w:bottom w:val="single" w:sz="8" w:color="auto"/>
            </w:tcBorders>
            <w:shd w:val="clear" w:color="auto" w:fill="D5DCE4"/>
          </w:tcPr>
          <w:p>
            <w:pPr>
              <w:spacing w:after="0"/>
              <w:rPr>
                <w:sz w:val="22"/>
                <w:szCs w:val="22"/>
                <w:color w:val="auto"/>
              </w:rPr>
            </w:pPr>
          </w:p>
        </w:tc>
        <w:tc>
          <w:tcPr>
            <w:tcW w:w="11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237,995,893</w:t>
            </w:r>
          </w:p>
        </w:tc>
        <w:tc>
          <w:tcPr>
            <w:tcW w:w="100" w:type="dxa"/>
            <w:vAlign w:val="bottom"/>
            <w:tcBorders>
              <w:bottom w:val="single" w:sz="8" w:color="D5DCE4"/>
            </w:tcBorders>
            <w:shd w:val="clear" w:color="auto" w:fill="D5DCE4"/>
          </w:tcPr>
          <w:p>
            <w:pPr>
              <w:spacing w:after="0"/>
              <w:rPr>
                <w:sz w:val="22"/>
                <w:szCs w:val="22"/>
                <w:color w:val="auto"/>
              </w:rPr>
            </w:pPr>
          </w:p>
        </w:tc>
        <w:tc>
          <w:tcPr>
            <w:tcW w:w="200" w:type="dxa"/>
            <w:vAlign w:val="bottom"/>
            <w:tcBorders>
              <w:bottom w:val="single" w:sz="8" w:color="auto"/>
            </w:tcBorders>
            <w:shd w:val="clear" w:color="auto" w:fill="D5DCE4"/>
          </w:tcPr>
          <w:p>
            <w:pPr>
              <w:spacing w:after="0"/>
              <w:rPr>
                <w:sz w:val="22"/>
                <w:szCs w:val="22"/>
                <w:color w:val="auto"/>
              </w:rPr>
            </w:pP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233,622,454</w:t>
            </w:r>
          </w:p>
        </w:tc>
        <w:tc>
          <w:tcPr>
            <w:tcW w:w="80" w:type="dxa"/>
            <w:vAlign w:val="bottom"/>
            <w:tcBorders>
              <w:bottom w:val="single" w:sz="8" w:color="D5DCE4"/>
            </w:tcBorders>
            <w:shd w:val="clear" w:color="auto" w:fill="D5DCE4"/>
          </w:tcPr>
          <w:p>
            <w:pPr>
              <w:spacing w:after="0"/>
              <w:rPr>
                <w:sz w:val="22"/>
                <w:szCs w:val="22"/>
                <w:color w:val="auto"/>
              </w:rPr>
            </w:pPr>
          </w:p>
        </w:tc>
        <w:tc>
          <w:tcPr>
            <w:tcW w:w="180" w:type="dxa"/>
            <w:vAlign w:val="bottom"/>
            <w:tcBorders>
              <w:bottom w:val="single" w:sz="8" w:color="auto"/>
            </w:tcBorders>
            <w:shd w:val="clear" w:color="auto" w:fill="D5DCE4"/>
          </w:tcPr>
          <w:p>
            <w:pPr>
              <w:spacing w:after="0"/>
              <w:rPr>
                <w:sz w:val="22"/>
                <w:szCs w:val="22"/>
                <w:color w:val="auto"/>
              </w:rPr>
            </w:pPr>
          </w:p>
        </w:tc>
        <w:tc>
          <w:tcPr>
            <w:tcW w:w="10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237,125,041</w:t>
            </w:r>
          </w:p>
        </w:tc>
        <w:tc>
          <w:tcPr>
            <w:tcW w:w="100" w:type="dxa"/>
            <w:vAlign w:val="bottom"/>
            <w:tcBorders>
              <w:bottom w:val="single" w:sz="8" w:color="D5DCE4"/>
            </w:tcBorders>
            <w:shd w:val="clear" w:color="auto" w:fill="D5DCE4"/>
          </w:tcPr>
          <w:p>
            <w:pPr>
              <w:spacing w:after="0"/>
              <w:rPr>
                <w:sz w:val="22"/>
                <w:szCs w:val="22"/>
                <w:color w:val="auto"/>
              </w:rPr>
            </w:pPr>
          </w:p>
        </w:tc>
        <w:tc>
          <w:tcPr>
            <w:tcW w:w="200" w:type="dxa"/>
            <w:vAlign w:val="bottom"/>
            <w:tcBorders>
              <w:bottom w:val="single" w:sz="8" w:color="auto"/>
            </w:tcBorders>
            <w:shd w:val="clear" w:color="auto" w:fill="D5DCE4"/>
          </w:tcPr>
          <w:p>
            <w:pPr>
              <w:spacing w:after="0"/>
              <w:rPr>
                <w:sz w:val="22"/>
                <w:szCs w:val="22"/>
                <w:color w:val="auto"/>
              </w:rPr>
            </w:pP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232,897,479</w:t>
            </w:r>
          </w:p>
        </w:tc>
        <w:tc>
          <w:tcPr>
            <w:tcW w:w="0" w:type="dxa"/>
            <w:vAlign w:val="bottom"/>
          </w:tcPr>
          <w:p>
            <w:pPr>
              <w:spacing w:after="0"/>
              <w:rPr>
                <w:sz w:val="1"/>
                <w:szCs w:val="1"/>
                <w:color w:val="auto"/>
              </w:rPr>
            </w:pPr>
          </w:p>
        </w:tc>
      </w:tr>
      <w:tr>
        <w:trPr>
          <w:trHeight w:val="20"/>
        </w:trPr>
        <w:tc>
          <w:tcPr>
            <w:tcW w:w="584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D5DCE4"/>
              <w:bottom w:val="single" w:sz="8" w:color="auto"/>
            </w:tcBorders>
          </w:tcPr>
          <w:p>
            <w:pPr>
              <w:spacing w:after="0" w:line="20" w:lineRule="exact"/>
              <w:rPr>
                <w:sz w:val="1"/>
                <w:szCs w:val="1"/>
                <w:color w:val="auto"/>
              </w:rPr>
            </w:pPr>
          </w:p>
        </w:tc>
        <w:tc>
          <w:tcPr>
            <w:tcW w:w="1120" w:type="dxa"/>
            <w:vAlign w:val="bottom"/>
            <w:tcBorders>
              <w:top w:val="single" w:sz="8" w:color="D5DCE4"/>
              <w:bottom w:val="single" w:sz="8" w:color="auto"/>
            </w:tcBorders>
          </w:tcPr>
          <w:p>
            <w:pPr>
              <w:spacing w:after="0" w:line="20" w:lineRule="exact"/>
              <w:rPr>
                <w:sz w:val="1"/>
                <w:szCs w:val="1"/>
                <w:color w:val="auto"/>
              </w:rPr>
            </w:pPr>
          </w:p>
        </w:tc>
        <w:tc>
          <w:tcPr>
            <w:tcW w:w="100" w:type="dxa"/>
            <w:vAlign w:val="bottom"/>
            <w:tcBorders>
              <w:top w:val="single" w:sz="8" w:color="D5DCE4"/>
            </w:tcBorders>
          </w:tcPr>
          <w:p>
            <w:pPr>
              <w:spacing w:after="0" w:line="20" w:lineRule="exact"/>
              <w:rPr>
                <w:sz w:val="1"/>
                <w:szCs w:val="1"/>
                <w:color w:val="auto"/>
              </w:rPr>
            </w:pPr>
          </w:p>
        </w:tc>
        <w:tc>
          <w:tcPr>
            <w:tcW w:w="200" w:type="dxa"/>
            <w:vAlign w:val="bottom"/>
            <w:tcBorders>
              <w:top w:val="single" w:sz="8" w:color="D5DCE4"/>
              <w:bottom w:val="single" w:sz="8" w:color="auto"/>
            </w:tcBorders>
          </w:tcPr>
          <w:p>
            <w:pPr>
              <w:spacing w:after="0" w:line="20" w:lineRule="exact"/>
              <w:rPr>
                <w:sz w:val="1"/>
                <w:szCs w:val="1"/>
                <w:color w:val="auto"/>
              </w:rPr>
            </w:pPr>
          </w:p>
        </w:tc>
        <w:tc>
          <w:tcPr>
            <w:tcW w:w="106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80" w:type="dxa"/>
            <w:vAlign w:val="bottom"/>
            <w:tcBorders>
              <w:top w:val="single" w:sz="8" w:color="D5DCE4"/>
              <w:bottom w:val="single" w:sz="8" w:color="auto"/>
            </w:tcBorders>
          </w:tcPr>
          <w:p>
            <w:pPr>
              <w:spacing w:after="0" w:line="20" w:lineRule="exact"/>
              <w:rPr>
                <w:sz w:val="1"/>
                <w:szCs w:val="1"/>
                <w:color w:val="auto"/>
              </w:rPr>
            </w:pPr>
          </w:p>
        </w:tc>
        <w:tc>
          <w:tcPr>
            <w:tcW w:w="1080" w:type="dxa"/>
            <w:vAlign w:val="bottom"/>
            <w:tcBorders>
              <w:top w:val="single" w:sz="8" w:color="D5DCE4"/>
              <w:bottom w:val="single" w:sz="8" w:color="auto"/>
            </w:tcBorders>
          </w:tcPr>
          <w:p>
            <w:pPr>
              <w:spacing w:after="0" w:line="20" w:lineRule="exact"/>
              <w:rPr>
                <w:sz w:val="1"/>
                <w:szCs w:val="1"/>
                <w:color w:val="auto"/>
              </w:rPr>
            </w:pPr>
          </w:p>
        </w:tc>
        <w:tc>
          <w:tcPr>
            <w:tcW w:w="100" w:type="dxa"/>
            <w:vAlign w:val="bottom"/>
            <w:tcBorders>
              <w:top w:val="single" w:sz="8" w:color="D5DCE4"/>
            </w:tcBorders>
          </w:tcPr>
          <w:p>
            <w:pPr>
              <w:spacing w:after="0" w:line="20" w:lineRule="exact"/>
              <w:rPr>
                <w:sz w:val="1"/>
                <w:szCs w:val="1"/>
                <w:color w:val="auto"/>
              </w:rPr>
            </w:pPr>
          </w:p>
        </w:tc>
        <w:tc>
          <w:tcPr>
            <w:tcW w:w="200" w:type="dxa"/>
            <w:vAlign w:val="bottom"/>
            <w:tcBorders>
              <w:top w:val="single" w:sz="8" w:color="D5DCE4"/>
              <w:bottom w:val="single" w:sz="8" w:color="auto"/>
            </w:tcBorders>
          </w:tcPr>
          <w:p>
            <w:pPr>
              <w:spacing w:after="0" w:line="20" w:lineRule="exact"/>
              <w:rPr>
                <w:sz w:val="1"/>
                <w:szCs w:val="1"/>
                <w:color w:val="auto"/>
              </w:rPr>
            </w:pPr>
          </w:p>
        </w:tc>
        <w:tc>
          <w:tcPr>
            <w:tcW w:w="106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20" w:type="dxa"/>
            <w:vAlign w:val="bottom"/>
            <w:gridSpan w:val="2"/>
          </w:tcPr>
          <w:p>
            <w:pPr>
              <w:ind w:left="20"/>
              <w:spacing w:after="0"/>
              <w:rPr>
                <w:sz w:val="20"/>
                <w:szCs w:val="20"/>
                <w:color w:val="auto"/>
              </w:rPr>
            </w:pPr>
            <w:r>
              <w:rPr>
                <w:rFonts w:ascii="Arial" w:cs="Arial" w:eastAsia="Arial" w:hAnsi="Arial"/>
                <w:sz w:val="16"/>
                <w:szCs w:val="16"/>
                <w:color w:val="auto"/>
              </w:rPr>
              <w:t>Adjusted Net Income (in thousands)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93,558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70,383</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195,136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155,751</w:t>
            </w:r>
          </w:p>
        </w:tc>
        <w:tc>
          <w:tcPr>
            <w:tcW w:w="0" w:type="dxa"/>
            <w:vAlign w:val="bottom"/>
          </w:tcPr>
          <w:p>
            <w:pPr>
              <w:spacing w:after="0"/>
              <w:rPr>
                <w:sz w:val="1"/>
                <w:szCs w:val="1"/>
                <w:color w:val="auto"/>
              </w:rPr>
            </w:pPr>
          </w:p>
        </w:tc>
      </w:tr>
      <w:tr>
        <w:trPr>
          <w:trHeight w:val="20"/>
        </w:trPr>
        <w:tc>
          <w:tcPr>
            <w:tcW w:w="584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5DCE4"/>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5DCE4"/>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5920" w:type="dxa"/>
            <w:vAlign w:val="bottom"/>
            <w:tcBorders>
              <w:bottom w:val="single" w:sz="8" w:color="D5DCE4"/>
            </w:tcBorders>
            <w:gridSpan w:val="2"/>
            <w:shd w:val="clear" w:color="auto" w:fill="D5DCE4"/>
          </w:tcPr>
          <w:p>
            <w:pPr>
              <w:ind w:left="20"/>
              <w:spacing w:after="0"/>
              <w:rPr>
                <w:sz w:val="20"/>
                <w:szCs w:val="20"/>
                <w:color w:val="auto"/>
              </w:rPr>
            </w:pPr>
            <w:r>
              <w:rPr>
                <w:rFonts w:ascii="Arial" w:cs="Arial" w:eastAsia="Arial" w:hAnsi="Arial"/>
                <w:sz w:val="16"/>
                <w:szCs w:val="16"/>
                <w:color w:val="auto"/>
              </w:rPr>
              <w:t>Adjusted Diluted EPS</w:t>
            </w:r>
          </w:p>
        </w:tc>
        <w:tc>
          <w:tcPr>
            <w:tcW w:w="1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0.39</w:t>
            </w:r>
          </w:p>
        </w:tc>
        <w:tc>
          <w:tcPr>
            <w:tcW w:w="100" w:type="dxa"/>
            <w:vAlign w:val="bottom"/>
            <w:tcBorders>
              <w:bottom w:val="single" w:sz="8" w:color="D5DCE4"/>
            </w:tcBorders>
            <w:shd w:val="clear" w:color="auto" w:fill="D5DCE4"/>
          </w:tcPr>
          <w:p>
            <w:pPr>
              <w:spacing w:after="0"/>
              <w:rPr>
                <w:sz w:val="22"/>
                <w:szCs w:val="22"/>
                <w:color w:val="auto"/>
              </w:rPr>
            </w:pPr>
          </w:p>
        </w:tc>
        <w:tc>
          <w:tcPr>
            <w:tcW w:w="200" w:type="dxa"/>
            <w:vAlign w:val="bottom"/>
            <w:tcBorders>
              <w:bottom w:val="single" w:sz="8" w:color="auto"/>
            </w:tcBorders>
            <w:shd w:val="clear" w:color="auto" w:fill="D5DCE4"/>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0.30</w:t>
            </w:r>
          </w:p>
        </w:tc>
        <w:tc>
          <w:tcPr>
            <w:tcW w:w="80" w:type="dxa"/>
            <w:vAlign w:val="bottom"/>
            <w:tcBorders>
              <w:bottom w:val="single" w:sz="8" w:color="D5DCE4"/>
            </w:tcBorders>
            <w:shd w:val="clear" w:color="auto" w:fill="D5DCE4"/>
          </w:tcPr>
          <w:p>
            <w:pPr>
              <w:spacing w:after="0"/>
              <w:rPr>
                <w:sz w:val="22"/>
                <w:szCs w:val="22"/>
                <w:color w:val="auto"/>
              </w:rPr>
            </w:pPr>
          </w:p>
        </w:tc>
        <w:tc>
          <w:tcPr>
            <w:tcW w:w="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0.82</w:t>
            </w:r>
          </w:p>
        </w:tc>
        <w:tc>
          <w:tcPr>
            <w:tcW w:w="100" w:type="dxa"/>
            <w:vAlign w:val="bottom"/>
            <w:tcBorders>
              <w:bottom w:val="single" w:sz="8" w:color="D5DCE4"/>
            </w:tcBorders>
            <w:shd w:val="clear" w:color="auto" w:fill="D5DCE4"/>
          </w:tcPr>
          <w:p>
            <w:pPr>
              <w:spacing w:after="0"/>
              <w:rPr>
                <w:sz w:val="22"/>
                <w:szCs w:val="22"/>
                <w:color w:val="auto"/>
              </w:rPr>
            </w:pPr>
          </w:p>
        </w:tc>
        <w:tc>
          <w:tcPr>
            <w:tcW w:w="200" w:type="dxa"/>
            <w:vAlign w:val="bottom"/>
            <w:tcBorders>
              <w:bottom w:val="single" w:sz="8" w:color="auto"/>
            </w:tcBorders>
            <w:shd w:val="clear" w:color="auto" w:fill="D5DCE4"/>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0.67</w:t>
            </w:r>
          </w:p>
        </w:tc>
        <w:tc>
          <w:tcPr>
            <w:tcW w:w="0" w:type="dxa"/>
            <w:vAlign w:val="bottom"/>
          </w:tcPr>
          <w:p>
            <w:pPr>
              <w:spacing w:after="0"/>
              <w:rPr>
                <w:sz w:val="1"/>
                <w:szCs w:val="1"/>
                <w:color w:val="auto"/>
              </w:rPr>
            </w:pPr>
          </w:p>
        </w:tc>
      </w:tr>
      <w:tr>
        <w:trPr>
          <w:trHeight w:val="20"/>
        </w:trPr>
        <w:tc>
          <w:tcPr>
            <w:tcW w:w="584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D5DCE4"/>
              <w:bottom w:val="single" w:sz="8" w:color="auto"/>
            </w:tcBorders>
          </w:tcPr>
          <w:p>
            <w:pPr>
              <w:spacing w:after="0" w:line="20" w:lineRule="exact"/>
              <w:rPr>
                <w:sz w:val="1"/>
                <w:szCs w:val="1"/>
                <w:color w:val="auto"/>
              </w:rPr>
            </w:pPr>
          </w:p>
        </w:tc>
        <w:tc>
          <w:tcPr>
            <w:tcW w:w="1120" w:type="dxa"/>
            <w:vAlign w:val="bottom"/>
            <w:tcBorders>
              <w:top w:val="single" w:sz="8" w:color="D5DCE4"/>
              <w:bottom w:val="single" w:sz="8" w:color="auto"/>
            </w:tcBorders>
          </w:tcPr>
          <w:p>
            <w:pPr>
              <w:spacing w:after="0" w:line="20" w:lineRule="exact"/>
              <w:rPr>
                <w:sz w:val="1"/>
                <w:szCs w:val="1"/>
                <w:color w:val="auto"/>
              </w:rPr>
            </w:pPr>
          </w:p>
        </w:tc>
        <w:tc>
          <w:tcPr>
            <w:tcW w:w="100" w:type="dxa"/>
            <w:vAlign w:val="bottom"/>
            <w:tcBorders>
              <w:top w:val="single" w:sz="8" w:color="D5DCE4"/>
            </w:tcBorders>
          </w:tcPr>
          <w:p>
            <w:pPr>
              <w:spacing w:after="0" w:line="20" w:lineRule="exact"/>
              <w:rPr>
                <w:sz w:val="1"/>
                <w:szCs w:val="1"/>
                <w:color w:val="auto"/>
              </w:rPr>
            </w:pPr>
          </w:p>
        </w:tc>
        <w:tc>
          <w:tcPr>
            <w:tcW w:w="200" w:type="dxa"/>
            <w:vAlign w:val="bottom"/>
            <w:tcBorders>
              <w:top w:val="single" w:sz="8" w:color="D5DCE4"/>
              <w:bottom w:val="single" w:sz="8" w:color="auto"/>
            </w:tcBorders>
          </w:tcPr>
          <w:p>
            <w:pPr>
              <w:spacing w:after="0" w:line="20" w:lineRule="exact"/>
              <w:rPr>
                <w:sz w:val="1"/>
                <w:szCs w:val="1"/>
                <w:color w:val="auto"/>
              </w:rPr>
            </w:pPr>
          </w:p>
        </w:tc>
        <w:tc>
          <w:tcPr>
            <w:tcW w:w="106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80" w:type="dxa"/>
            <w:vAlign w:val="bottom"/>
            <w:tcBorders>
              <w:top w:val="single" w:sz="8" w:color="D5DCE4"/>
              <w:bottom w:val="single" w:sz="8" w:color="auto"/>
            </w:tcBorders>
          </w:tcPr>
          <w:p>
            <w:pPr>
              <w:spacing w:after="0" w:line="20" w:lineRule="exact"/>
              <w:rPr>
                <w:sz w:val="1"/>
                <w:szCs w:val="1"/>
                <w:color w:val="auto"/>
              </w:rPr>
            </w:pPr>
          </w:p>
        </w:tc>
        <w:tc>
          <w:tcPr>
            <w:tcW w:w="1080" w:type="dxa"/>
            <w:vAlign w:val="bottom"/>
            <w:tcBorders>
              <w:top w:val="single" w:sz="8" w:color="D5DCE4"/>
              <w:bottom w:val="single" w:sz="8" w:color="auto"/>
            </w:tcBorders>
          </w:tcPr>
          <w:p>
            <w:pPr>
              <w:spacing w:after="0" w:line="20" w:lineRule="exact"/>
              <w:rPr>
                <w:sz w:val="1"/>
                <w:szCs w:val="1"/>
                <w:color w:val="auto"/>
              </w:rPr>
            </w:pPr>
          </w:p>
        </w:tc>
        <w:tc>
          <w:tcPr>
            <w:tcW w:w="100" w:type="dxa"/>
            <w:vAlign w:val="bottom"/>
            <w:tcBorders>
              <w:top w:val="single" w:sz="8" w:color="D5DCE4"/>
            </w:tcBorders>
          </w:tcPr>
          <w:p>
            <w:pPr>
              <w:spacing w:after="0" w:line="20" w:lineRule="exact"/>
              <w:rPr>
                <w:sz w:val="1"/>
                <w:szCs w:val="1"/>
                <w:color w:val="auto"/>
              </w:rPr>
            </w:pPr>
          </w:p>
        </w:tc>
        <w:tc>
          <w:tcPr>
            <w:tcW w:w="200" w:type="dxa"/>
            <w:vAlign w:val="bottom"/>
            <w:tcBorders>
              <w:top w:val="single" w:sz="8" w:color="D5DCE4"/>
              <w:bottom w:val="single" w:sz="8" w:color="auto"/>
            </w:tcBorders>
          </w:tcPr>
          <w:p>
            <w:pPr>
              <w:spacing w:after="0" w:line="20" w:lineRule="exact"/>
              <w:rPr>
                <w:sz w:val="1"/>
                <w:szCs w:val="1"/>
                <w:color w:val="auto"/>
              </w:rPr>
            </w:pPr>
          </w:p>
        </w:tc>
        <w:tc>
          <w:tcPr>
            <w:tcW w:w="106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60" w:right="60" w:hanging="328"/>
        <w:spacing w:after="0" w:line="247" w:lineRule="auto"/>
        <w:tabs>
          <w:tab w:leader="none" w:pos="659" w:val="left"/>
        </w:tabs>
        <w:numPr>
          <w:ilvl w:val="0"/>
          <w:numId w:val="9"/>
        </w:numPr>
        <w:rPr>
          <w:rFonts w:ascii="Arial" w:cs="Arial" w:eastAsia="Arial" w:hAnsi="Arial"/>
          <w:sz w:val="12"/>
          <w:szCs w:val="12"/>
          <w:color w:val="auto"/>
        </w:rPr>
      </w:pPr>
      <w:r>
        <w:rPr>
          <w:rFonts w:ascii="Arial" w:cs="Arial" w:eastAsia="Arial" w:hAnsi="Arial"/>
          <w:sz w:val="12"/>
          <w:szCs w:val="12"/>
          <w:color w:val="auto"/>
        </w:rPr>
        <w:t>Assumes the full exchange of the weighted average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June 30,</w:t>
            </w:r>
          </w:p>
        </w:tc>
        <w:tc>
          <w:tcPr>
            <w:tcW w:w="180" w:type="dxa"/>
            <w:vAlign w:val="bottom"/>
          </w:tcPr>
          <w:p>
            <w:pPr>
              <w:spacing w:after="0"/>
              <w:rPr>
                <w:sz w:val="18"/>
                <w:szCs w:val="18"/>
                <w:color w:val="auto"/>
              </w:rPr>
            </w:pPr>
          </w:p>
        </w:tc>
        <w:tc>
          <w:tcPr>
            <w:tcW w:w="242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Six Months Ended June 30,</w:t>
            </w:r>
          </w:p>
        </w:tc>
      </w:tr>
      <w:tr>
        <w:trPr>
          <w:trHeight w:val="269"/>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Reconciliation of Operating Expenses to Adjusted Expenses</w:t>
            </w: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r>
      <w:tr>
        <w:trPr>
          <w:trHeight w:val="274"/>
        </w:trPr>
        <w:tc>
          <w:tcPr>
            <w:tcW w:w="5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0" w:type="dxa"/>
            <w:vAlign w:val="bottom"/>
            <w:gridSpan w:val="5"/>
          </w:tcPr>
          <w:p>
            <w:pPr>
              <w:ind w:left="46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53"/>
        </w:trPr>
        <w:tc>
          <w:tcPr>
            <w:tcW w:w="59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Operating expenses</w:t>
            </w:r>
          </w:p>
        </w:tc>
        <w:tc>
          <w:tcPr>
            <w:tcW w:w="12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177,048</w:t>
            </w:r>
          </w:p>
        </w:tc>
        <w:tc>
          <w:tcPr>
            <w:tcW w:w="80" w:type="dxa"/>
            <w:vAlign w:val="bottom"/>
            <w:shd w:val="clear" w:color="auto" w:fill="D5DCE4"/>
          </w:tcPr>
          <w:p>
            <w:pPr>
              <w:spacing w:after="0"/>
              <w:rPr>
                <w:sz w:val="21"/>
                <w:szCs w:val="21"/>
                <w:color w:val="auto"/>
              </w:rPr>
            </w:pPr>
          </w:p>
        </w:tc>
        <w:tc>
          <w:tcPr>
            <w:tcW w:w="26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156,468</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352,120</w:t>
            </w:r>
          </w:p>
        </w:tc>
        <w:tc>
          <w:tcPr>
            <w:tcW w:w="80" w:type="dxa"/>
            <w:vAlign w:val="bottom"/>
            <w:shd w:val="clear" w:color="auto" w:fill="D5DCE4"/>
          </w:tcPr>
          <w:p>
            <w:pPr>
              <w:spacing w:after="0"/>
              <w:rPr>
                <w:sz w:val="21"/>
                <w:szCs w:val="21"/>
                <w:color w:val="auto"/>
              </w:rPr>
            </w:pPr>
          </w:p>
        </w:tc>
        <w:tc>
          <w:tcPr>
            <w:tcW w:w="28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313,459</w:t>
            </w:r>
          </w:p>
        </w:tc>
      </w:tr>
      <w:tr>
        <w:trPr>
          <w:trHeight w:val="243"/>
        </w:trPr>
        <w:tc>
          <w:tcPr>
            <w:tcW w:w="5980" w:type="dxa"/>
            <w:vAlign w:val="bottom"/>
            <w:gridSpan w:val="2"/>
          </w:tcPr>
          <w:p>
            <w:pPr>
              <w:ind w:left="20"/>
              <w:spacing w:after="0"/>
              <w:rPr>
                <w:sz w:val="20"/>
                <w:szCs w:val="20"/>
                <w:color w:val="auto"/>
              </w:rPr>
            </w:pPr>
            <w:r>
              <w:rPr>
                <w:rFonts w:ascii="Arial" w:cs="Arial" w:eastAsia="Arial" w:hAnsi="Arial"/>
                <w:sz w:val="16"/>
                <w:szCs w:val="16"/>
                <w:color w:val="auto"/>
              </w:rPr>
              <w:t xml:space="preserve">Acquisition transaction costs </w:t>
            </w:r>
            <w:r>
              <w:rPr>
                <w:rFonts w:ascii="Arial" w:cs="Arial" w:eastAsia="Arial" w:hAnsi="Arial"/>
                <w:sz w:val="21"/>
                <w:szCs w:val="21"/>
                <w:color w:val="auto"/>
                <w:vertAlign w:val="superscript"/>
              </w:rPr>
              <w:t>(1)</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(2,966)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(4,727)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59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D&amp;A related to acquisitions and Refinitiv Transaction </w:t>
            </w:r>
            <w:r>
              <w:rPr>
                <w:rFonts w:ascii="Arial" w:cs="Arial" w:eastAsia="Arial" w:hAnsi="Arial"/>
                <w:sz w:val="21"/>
                <w:szCs w:val="21"/>
                <w:color w:val="auto"/>
                <w:vertAlign w:val="superscript"/>
              </w:rPr>
              <w:t>(2)</w:t>
            </w:r>
          </w:p>
        </w:tc>
        <w:tc>
          <w:tcPr>
            <w:tcW w:w="120" w:type="dxa"/>
            <w:vAlign w:val="bottom"/>
            <w:shd w:val="clear" w:color="auto" w:fill="D5DCE4"/>
          </w:tcPr>
          <w:p>
            <w:pPr>
              <w:spacing w:after="0"/>
              <w:rPr>
                <w:sz w:val="21"/>
                <w:szCs w:val="21"/>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(30,240)</w:t>
            </w:r>
          </w:p>
        </w:tc>
        <w:tc>
          <w:tcPr>
            <w:tcW w:w="80" w:type="dxa"/>
            <w:vAlign w:val="bottom"/>
            <w:shd w:val="clear" w:color="auto" w:fill="D5DCE4"/>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(27,131)</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10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(59,843)</w:t>
            </w:r>
          </w:p>
        </w:tc>
        <w:tc>
          <w:tcPr>
            <w:tcW w:w="80" w:type="dxa"/>
            <w:vAlign w:val="bottom"/>
            <w:shd w:val="clear" w:color="auto" w:fill="D5DCE4"/>
          </w:tcPr>
          <w:p>
            <w:pPr>
              <w:spacing w:after="0"/>
              <w:rPr>
                <w:sz w:val="21"/>
                <w:szCs w:val="21"/>
                <w:color w:val="auto"/>
              </w:rPr>
            </w:pPr>
          </w:p>
        </w:tc>
        <w:tc>
          <w:tcPr>
            <w:tcW w:w="28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(53,404)</w:t>
            </w:r>
          </w:p>
        </w:tc>
      </w:tr>
      <w:tr>
        <w:trPr>
          <w:trHeight w:val="243"/>
        </w:trPr>
        <w:tc>
          <w:tcPr>
            <w:tcW w:w="5980" w:type="dxa"/>
            <w:vAlign w:val="bottom"/>
            <w:gridSpan w:val="2"/>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(3)</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(2,803)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(4,995)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(9,186)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(8,492)</w:t>
            </w:r>
          </w:p>
        </w:tc>
      </w:tr>
      <w:tr>
        <w:trPr>
          <w:trHeight w:val="243"/>
        </w:trPr>
        <w:tc>
          <w:tcPr>
            <w:tcW w:w="59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(4)</w:t>
            </w:r>
          </w:p>
        </w:tc>
        <w:tc>
          <w:tcPr>
            <w:tcW w:w="120" w:type="dxa"/>
            <w:vAlign w:val="bottom"/>
            <w:tcBorders>
              <w:bottom w:val="single" w:sz="8" w:color="auto"/>
            </w:tcBorders>
            <w:shd w:val="clear" w:color="auto" w:fill="D5DCE4"/>
          </w:tcPr>
          <w:p>
            <w:pPr>
              <w:spacing w:after="0"/>
              <w:rPr>
                <w:sz w:val="21"/>
                <w:szCs w:val="21"/>
                <w:color w:val="auto"/>
              </w:rPr>
            </w:pPr>
          </w:p>
        </w:tc>
        <w:tc>
          <w:tcPr>
            <w:tcW w:w="11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(470)</w:t>
            </w:r>
          </w:p>
        </w:tc>
        <w:tc>
          <w:tcPr>
            <w:tcW w:w="80" w:type="dxa"/>
            <w:vAlign w:val="bottom"/>
            <w:shd w:val="clear" w:color="auto" w:fill="D5DCE4"/>
          </w:tcPr>
          <w:p>
            <w:pPr>
              <w:spacing w:after="0"/>
              <w:rPr>
                <w:sz w:val="21"/>
                <w:szCs w:val="21"/>
                <w:color w:val="auto"/>
              </w:rPr>
            </w:pPr>
          </w:p>
        </w:tc>
        <w:tc>
          <w:tcPr>
            <w:tcW w:w="260" w:type="dxa"/>
            <w:vAlign w:val="bottom"/>
            <w:tcBorders>
              <w:bottom w:val="single" w:sz="8" w:color="auto"/>
            </w:tcBorders>
            <w:shd w:val="clear" w:color="auto" w:fill="D5DCE4"/>
          </w:tcPr>
          <w:p>
            <w:pPr>
              <w:spacing w:after="0"/>
              <w:rPr>
                <w:sz w:val="21"/>
                <w:szCs w:val="21"/>
                <w:color w:val="auto"/>
              </w:rPr>
            </w:pPr>
          </w:p>
        </w:tc>
        <w:tc>
          <w:tcPr>
            <w:tcW w:w="9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(2,756)</w:t>
            </w:r>
          </w:p>
        </w:tc>
        <w:tc>
          <w:tcPr>
            <w:tcW w:w="80" w:type="dxa"/>
            <w:vAlign w:val="bottom"/>
            <w:shd w:val="clear" w:color="auto" w:fill="D5DCE4"/>
          </w:tcPr>
          <w:p>
            <w:pPr>
              <w:spacing w:after="0"/>
              <w:rPr>
                <w:sz w:val="21"/>
                <w:szCs w:val="21"/>
                <w:color w:val="auto"/>
              </w:rPr>
            </w:pPr>
          </w:p>
        </w:tc>
        <w:tc>
          <w:tcPr>
            <w:tcW w:w="180" w:type="dxa"/>
            <w:vAlign w:val="bottom"/>
            <w:tcBorders>
              <w:bottom w:val="single" w:sz="8" w:color="auto"/>
            </w:tcBorders>
            <w:shd w:val="clear" w:color="auto" w:fill="D5DCE4"/>
          </w:tcPr>
          <w:p>
            <w:pPr>
              <w:spacing w:after="0"/>
              <w:rPr>
                <w:sz w:val="21"/>
                <w:szCs w:val="21"/>
                <w:color w:val="auto"/>
              </w:rPr>
            </w:pPr>
          </w:p>
        </w:tc>
        <w:tc>
          <w:tcPr>
            <w:tcW w:w="10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4,883</w:t>
            </w:r>
          </w:p>
        </w:tc>
        <w:tc>
          <w:tcPr>
            <w:tcW w:w="80" w:type="dxa"/>
            <w:vAlign w:val="bottom"/>
            <w:shd w:val="clear" w:color="auto" w:fill="D5DCE4"/>
          </w:tcPr>
          <w:p>
            <w:pPr>
              <w:spacing w:after="0"/>
              <w:rPr>
                <w:sz w:val="21"/>
                <w:szCs w:val="21"/>
                <w:color w:val="auto"/>
              </w:rPr>
            </w:pPr>
          </w:p>
        </w:tc>
        <w:tc>
          <w:tcPr>
            <w:tcW w:w="280" w:type="dxa"/>
            <w:vAlign w:val="bottom"/>
            <w:tcBorders>
              <w:bottom w:val="single" w:sz="8" w:color="auto"/>
            </w:tcBorders>
            <w:shd w:val="clear" w:color="auto" w:fill="D5DCE4"/>
          </w:tcPr>
          <w:p>
            <w:pPr>
              <w:spacing w:after="0"/>
              <w:rPr>
                <w:sz w:val="21"/>
                <w:szCs w:val="21"/>
                <w:color w:val="auto"/>
              </w:rPr>
            </w:pPr>
          </w:p>
        </w:tc>
        <w:tc>
          <w:tcPr>
            <w:tcW w:w="9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(4,118)</w:t>
            </w:r>
          </w:p>
        </w:tc>
      </w:tr>
      <w:tr>
        <w:trPr>
          <w:trHeight w:val="237"/>
        </w:trPr>
        <w:tc>
          <w:tcPr>
            <w:tcW w:w="5980" w:type="dxa"/>
            <w:vAlign w:val="bottom"/>
            <w:gridSpan w:val="2"/>
          </w:tcPr>
          <w:p>
            <w:pPr>
              <w:ind w:left="20"/>
              <w:spacing w:after="0"/>
              <w:rPr>
                <w:sz w:val="20"/>
                <w:szCs w:val="20"/>
                <w:color w:val="auto"/>
              </w:rPr>
            </w:pPr>
            <w:r>
              <w:rPr>
                <w:rFonts w:ascii="Arial" w:cs="Arial" w:eastAsia="Arial" w:hAnsi="Arial"/>
                <w:sz w:val="16"/>
                <w:szCs w:val="16"/>
                <w:color w:val="auto"/>
              </w:rPr>
              <w:t>Adjusted Expenses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140,569</w:t>
            </w:r>
          </w:p>
        </w:tc>
        <w:tc>
          <w:tcPr>
            <w:tcW w:w="8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121,586</w:t>
            </w: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283,247</w:t>
            </w:r>
          </w:p>
        </w:tc>
        <w:tc>
          <w:tcPr>
            <w:tcW w:w="8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247,445</w:t>
            </w:r>
          </w:p>
        </w:tc>
      </w:tr>
      <w:tr>
        <w:trPr>
          <w:trHeight w:val="20"/>
        </w:trPr>
        <w:tc>
          <w:tcPr>
            <w:tcW w:w="5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36" w:lineRule="exact"/>
        <w:rPr>
          <w:sz w:val="20"/>
          <w:szCs w:val="20"/>
          <w:color w:val="auto"/>
        </w:rPr>
      </w:pPr>
    </w:p>
    <w:p>
      <w:pPr>
        <w:ind w:left="660" w:right="140" w:hanging="328"/>
        <w:spacing w:after="0" w:line="234" w:lineRule="auto"/>
        <w:tabs>
          <w:tab w:leader="none" w:pos="659"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transaction and other costs related to the NFI Acquisition, which closed in June 2021. Acquisition-related costs primarily include legal, consulting and advisory fees and severance costs incurred that relate to the acquisition transaction.</w:t>
      </w:r>
    </w:p>
    <w:p>
      <w:pPr>
        <w:ind w:left="660" w:right="340" w:hanging="328"/>
        <w:spacing w:after="0" w:line="234" w:lineRule="auto"/>
        <w:tabs>
          <w:tab w:leader="none" w:pos="659"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intangible asset amortization and increased tangible asset and capitalized software depreciation and amortization resulting from the NFI Acquisition and the application of pushdown accounting to the Refinitiv Transaction (where all assets were marked to fair value as of the closing date of the Refinitiv Transaction).</w:t>
      </w:r>
    </w:p>
    <w:p>
      <w:pPr>
        <w:ind w:left="660" w:right="380" w:hanging="328"/>
        <w:spacing w:after="0" w:line="234" w:lineRule="auto"/>
        <w:tabs>
          <w:tab w:leader="none" w:pos="659"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exercises of such options during the applicable period.</w:t>
      </w:r>
    </w:p>
    <w:p>
      <w:pPr>
        <w:ind w:left="660" w:right="340" w:hanging="328"/>
        <w:spacing w:after="0" w:line="247" w:lineRule="auto"/>
        <w:tabs>
          <w:tab w:leader="none" w:pos="659"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tcPr>
          <w:p>
            <w:pPr>
              <w:jc w:val="center"/>
              <w:ind w:right="159"/>
              <w:spacing w:after="0"/>
              <w:rPr>
                <w:sz w:val="20"/>
                <w:szCs w:val="20"/>
                <w:color w:val="auto"/>
              </w:rPr>
            </w:pPr>
            <w:r>
              <w:rPr>
                <w:rFonts w:ascii="Arial" w:cs="Arial" w:eastAsia="Arial" w:hAnsi="Arial"/>
                <w:sz w:val="16"/>
                <w:szCs w:val="16"/>
                <w:b w:val="1"/>
                <w:bCs w:val="1"/>
                <w:color w:val="auto"/>
              </w:rPr>
              <w:t>Trailing Twelve Months Ended</w:t>
            </w:r>
          </w:p>
        </w:tc>
      </w:tr>
      <w:tr>
        <w:trPr>
          <w:trHeight w:val="228"/>
        </w:trPr>
        <w:tc>
          <w:tcPr>
            <w:tcW w:w="816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Cash Flows from Operating Activities to Free Cash Flow</w:t>
            </w:r>
          </w:p>
        </w:tc>
        <w:tc>
          <w:tcPr>
            <w:tcW w:w="240" w:type="dxa"/>
            <w:vAlign w:val="bottom"/>
          </w:tcPr>
          <w:p>
            <w:pPr>
              <w:spacing w:after="0"/>
              <w:rPr>
                <w:sz w:val="19"/>
                <w:szCs w:val="19"/>
                <w:color w:val="auto"/>
              </w:rPr>
            </w:pPr>
          </w:p>
        </w:tc>
        <w:tc>
          <w:tcPr>
            <w:tcW w:w="2840" w:type="dxa"/>
            <w:vAlign w:val="bottom"/>
          </w:tcPr>
          <w:p>
            <w:pPr>
              <w:jc w:val="center"/>
              <w:ind w:right="159"/>
              <w:spacing w:after="0"/>
              <w:rPr>
                <w:sz w:val="20"/>
                <w:szCs w:val="20"/>
                <w:color w:val="auto"/>
              </w:rPr>
            </w:pPr>
            <w:r>
              <w:rPr>
                <w:rFonts w:ascii="Arial" w:cs="Arial" w:eastAsia="Arial" w:hAnsi="Arial"/>
                <w:sz w:val="16"/>
                <w:szCs w:val="16"/>
                <w:b w:val="1"/>
                <w:bCs w:val="1"/>
                <w:color w:val="auto"/>
                <w:w w:val="99"/>
              </w:rPr>
              <w:t>June 30, 2021</w:t>
            </w:r>
          </w:p>
        </w:tc>
      </w:tr>
      <w:tr>
        <w:trPr>
          <w:trHeight w:val="233"/>
        </w:trPr>
        <w:tc>
          <w:tcPr>
            <w:tcW w:w="80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840" w:type="dxa"/>
            <w:vAlign w:val="bottom"/>
            <w:tcBorders>
              <w:top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(in thousands)</w:t>
            </w:r>
          </w:p>
        </w:tc>
      </w:tr>
      <w:tr>
        <w:trPr>
          <w:trHeight w:val="253"/>
        </w:trPr>
        <w:tc>
          <w:tcPr>
            <w:tcW w:w="816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Cash flow from operating activities</w:t>
            </w:r>
          </w:p>
        </w:tc>
        <w:tc>
          <w:tcPr>
            <w:tcW w:w="240" w:type="dxa"/>
            <w:vAlign w:val="bottom"/>
            <w:shd w:val="clear" w:color="auto" w:fill="D5DCE4"/>
          </w:tcPr>
          <w:p>
            <w:pPr>
              <w:jc w:val="right"/>
              <w:ind w:right="39"/>
              <w:spacing w:after="0"/>
              <w:rPr>
                <w:sz w:val="20"/>
                <w:szCs w:val="20"/>
                <w:color w:val="auto"/>
              </w:rPr>
            </w:pPr>
            <w:r>
              <w:rPr>
                <w:rFonts w:ascii="Arial" w:cs="Arial" w:eastAsia="Arial" w:hAnsi="Arial"/>
                <w:sz w:val="16"/>
                <w:szCs w:val="16"/>
                <w:color w:val="auto"/>
              </w:rPr>
              <w:t>$</w:t>
            </w:r>
          </w:p>
        </w:tc>
        <w:tc>
          <w:tcPr>
            <w:tcW w:w="28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482,687</w:t>
            </w:r>
          </w:p>
        </w:tc>
      </w:tr>
      <w:tr>
        <w:trPr>
          <w:trHeight w:val="233"/>
        </w:trPr>
        <w:tc>
          <w:tcPr>
            <w:tcW w:w="8160" w:type="dxa"/>
            <w:vAlign w:val="bottom"/>
            <w:gridSpan w:val="2"/>
          </w:tcPr>
          <w:p>
            <w:pPr>
              <w:ind w:left="20"/>
              <w:spacing w:after="0"/>
              <w:rPr>
                <w:sz w:val="20"/>
                <w:szCs w:val="20"/>
                <w:color w:val="auto"/>
              </w:rPr>
            </w:pPr>
            <w:r>
              <w:rPr>
                <w:rFonts w:ascii="Arial" w:cs="Arial" w:eastAsia="Arial" w:hAnsi="Arial"/>
                <w:sz w:val="16"/>
                <w:szCs w:val="16"/>
                <w:color w:val="auto"/>
              </w:rPr>
              <w:t>Less: Capitalization of software development costs</w:t>
            </w:r>
          </w:p>
        </w:tc>
        <w:tc>
          <w:tcPr>
            <w:tcW w:w="240" w:type="dxa"/>
            <w:vAlign w:val="bottom"/>
          </w:tcPr>
          <w:p>
            <w:pPr>
              <w:spacing w:after="0"/>
              <w:rPr>
                <w:sz w:val="20"/>
                <w:szCs w:val="20"/>
                <w:color w:val="auto"/>
              </w:rPr>
            </w:pPr>
          </w:p>
        </w:tc>
        <w:tc>
          <w:tcPr>
            <w:tcW w:w="2840" w:type="dxa"/>
            <w:vAlign w:val="bottom"/>
          </w:tcPr>
          <w:p>
            <w:pPr>
              <w:jc w:val="right"/>
              <w:spacing w:after="0"/>
              <w:rPr>
                <w:sz w:val="20"/>
                <w:szCs w:val="20"/>
                <w:color w:val="auto"/>
              </w:rPr>
            </w:pPr>
            <w:r>
              <w:rPr>
                <w:rFonts w:ascii="Arial" w:cs="Arial" w:eastAsia="Arial" w:hAnsi="Arial"/>
                <w:sz w:val="16"/>
                <w:szCs w:val="16"/>
                <w:color w:val="auto"/>
              </w:rPr>
              <w:t>(33,215)</w:t>
            </w:r>
          </w:p>
        </w:tc>
      </w:tr>
      <w:tr>
        <w:trPr>
          <w:trHeight w:val="246"/>
        </w:trPr>
        <w:tc>
          <w:tcPr>
            <w:tcW w:w="816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Less: Purchases of furniture, equipment and leasehold improvements</w:t>
            </w:r>
          </w:p>
        </w:tc>
        <w:tc>
          <w:tcPr>
            <w:tcW w:w="240" w:type="dxa"/>
            <w:vAlign w:val="bottom"/>
            <w:tcBorders>
              <w:bottom w:val="single" w:sz="8" w:color="auto"/>
            </w:tcBorders>
            <w:shd w:val="clear" w:color="auto" w:fill="D5DCE4"/>
          </w:tcPr>
          <w:p>
            <w:pPr>
              <w:spacing w:after="0"/>
              <w:rPr>
                <w:sz w:val="21"/>
                <w:szCs w:val="21"/>
                <w:color w:val="auto"/>
              </w:rPr>
            </w:pPr>
          </w:p>
        </w:tc>
        <w:tc>
          <w:tcPr>
            <w:tcW w:w="28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(15,651)</w:t>
            </w:r>
          </w:p>
        </w:tc>
      </w:tr>
      <w:tr>
        <w:trPr>
          <w:trHeight w:val="243"/>
        </w:trPr>
        <w:tc>
          <w:tcPr>
            <w:tcW w:w="8160" w:type="dxa"/>
            <w:vAlign w:val="bottom"/>
            <w:gridSpan w:val="2"/>
          </w:tcPr>
          <w:p>
            <w:pPr>
              <w:ind w:left="20"/>
              <w:spacing w:after="0"/>
              <w:rPr>
                <w:sz w:val="20"/>
                <w:szCs w:val="20"/>
                <w:color w:val="auto"/>
              </w:rPr>
            </w:pPr>
            <w:r>
              <w:rPr>
                <w:rFonts w:ascii="Arial" w:cs="Arial" w:eastAsia="Arial" w:hAnsi="Arial"/>
                <w:sz w:val="16"/>
                <w:szCs w:val="16"/>
                <w:color w:val="auto"/>
              </w:rPr>
              <w:t>Free Cash Flow</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433,821</w:t>
            </w:r>
          </w:p>
        </w:tc>
      </w:tr>
      <w:tr>
        <w:trPr>
          <w:trHeight w:val="20"/>
        </w:trPr>
        <w:tc>
          <w:tcPr>
            <w:tcW w:w="8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6</w:t>
      </w:r>
    </w:p>
    <w:p>
      <w:pPr>
        <w:sectPr>
          <w:pgSz w:w="11900" w:h="16838" w:orient="portrait"/>
          <w:cols w:equalWidth="0" w:num="1">
            <w:col w:w="11240"/>
          </w:cols>
          <w:pgMar w:left="320" w:top="954"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083566"/>
        </w:rPr>
        <w:t>TRADEWEB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BASIC AND DILUTED EPS CALCULATIONS (UNAUDITED)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Dollars in Thousands, Except per Share Data</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basic and diluted earnings per share calculations for Tradeweb Markets Inc.:</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2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8"/>
                <w:szCs w:val="18"/>
                <w:color w:val="auto"/>
              </w:rPr>
            </w:pPr>
          </w:p>
        </w:tc>
        <w:tc>
          <w:tcPr>
            <w:tcW w:w="280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56"/>
        </w:trPr>
        <w:tc>
          <w:tcPr>
            <w:tcW w:w="20" w:type="dxa"/>
            <w:vAlign w:val="bottom"/>
            <w:tcBorders>
              <w:bottom w:val="single" w:sz="8" w:color="auto"/>
            </w:tcBorders>
          </w:tcPr>
          <w:p>
            <w:pPr>
              <w:spacing w:after="0"/>
              <w:rPr>
                <w:sz w:val="22"/>
                <w:szCs w:val="22"/>
                <w:color w:val="auto"/>
              </w:rPr>
            </w:pPr>
          </w:p>
        </w:tc>
        <w:tc>
          <w:tcPr>
            <w:tcW w:w="48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EPS: Net income attributable to Tradeweb Markets Inc.</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980" w:type="dxa"/>
            <w:vAlign w:val="bottom"/>
            <w:gridSpan w:val="9"/>
          </w:tcPr>
          <w:p>
            <w:pPr>
              <w:jc w:val="right"/>
              <w:spacing w:after="0"/>
              <w:rPr>
                <w:sz w:val="20"/>
                <w:szCs w:val="20"/>
                <w:color w:val="auto"/>
              </w:rPr>
            </w:pPr>
            <w:r>
              <w:rPr>
                <w:rFonts w:ascii="Arial" w:cs="Arial" w:eastAsia="Arial" w:hAnsi="Arial"/>
                <w:sz w:val="16"/>
                <w:szCs w:val="16"/>
                <w:b w:val="1"/>
                <w:bCs w:val="1"/>
                <w:color w:val="auto"/>
              </w:rPr>
              <w:t>(in thousands, except share and per share amounts)</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20" w:type="dxa"/>
            <w:vAlign w:val="bottom"/>
            <w:tcBorders>
              <w:bottom w:val="single" w:sz="8" w:color="D5DCE4"/>
            </w:tcBorders>
            <w:shd w:val="clear" w:color="auto" w:fill="D5DCE4"/>
          </w:tcPr>
          <w:p>
            <w:pPr>
              <w:spacing w:after="0"/>
              <w:rPr>
                <w:sz w:val="20"/>
                <w:szCs w:val="20"/>
                <w:color w:val="auto"/>
              </w:rPr>
            </w:pPr>
          </w:p>
        </w:tc>
        <w:tc>
          <w:tcPr>
            <w:tcW w:w="820" w:type="dxa"/>
            <w:vAlign w:val="bottom"/>
            <w:tcBorders>
              <w:bottom w:val="single" w:sz="8" w:color="auto"/>
            </w:tcBorders>
            <w:shd w:val="clear" w:color="auto" w:fill="D5DCE4"/>
          </w:tcPr>
          <w:p>
            <w:pPr>
              <w:spacing w:after="0"/>
              <w:rPr>
                <w:sz w:val="20"/>
                <w:szCs w:val="20"/>
                <w:color w:val="auto"/>
              </w:rPr>
            </w:pPr>
            <w:r>
              <w:rPr>
                <w:rFonts w:ascii="Arial" w:cs="Arial" w:eastAsia="Arial" w:hAnsi="Arial"/>
                <w:sz w:val="16"/>
                <w:szCs w:val="16"/>
                <w:color w:val="auto"/>
                <w:w w:val="99"/>
              </w:rPr>
              <w:t>Numerator:</w:t>
            </w:r>
          </w:p>
        </w:tc>
        <w:tc>
          <w:tcPr>
            <w:tcW w:w="4120" w:type="dxa"/>
            <w:vAlign w:val="bottom"/>
            <w:tcBorders>
              <w:bottom w:val="single" w:sz="8" w:color="D5DCE4"/>
            </w:tcBorders>
            <w:gridSpan w:val="3"/>
            <w:shd w:val="clear" w:color="auto" w:fill="D5DCE4"/>
          </w:tcPr>
          <w:p>
            <w:pPr>
              <w:spacing w:after="0"/>
              <w:rPr>
                <w:sz w:val="20"/>
                <w:szCs w:val="20"/>
                <w:color w:val="auto"/>
              </w:rPr>
            </w:pPr>
          </w:p>
        </w:tc>
        <w:tc>
          <w:tcPr>
            <w:tcW w:w="260" w:type="dxa"/>
            <w:vAlign w:val="bottom"/>
            <w:tcBorders>
              <w:bottom w:val="single" w:sz="8" w:color="D5DCE4"/>
            </w:tcBorders>
            <w:shd w:val="clear" w:color="auto" w:fill="D5DCE4"/>
          </w:tcPr>
          <w:p>
            <w:pPr>
              <w:spacing w:after="0"/>
              <w:rPr>
                <w:sz w:val="20"/>
                <w:szCs w:val="20"/>
                <w:color w:val="auto"/>
              </w:rPr>
            </w:pPr>
          </w:p>
        </w:tc>
        <w:tc>
          <w:tcPr>
            <w:tcW w:w="1240" w:type="dxa"/>
            <w:vAlign w:val="bottom"/>
            <w:tcBorders>
              <w:bottom w:val="single" w:sz="8" w:color="D5DCE4"/>
            </w:tcBorders>
            <w:shd w:val="clear" w:color="auto" w:fill="D5DCE4"/>
          </w:tcPr>
          <w:p>
            <w:pPr>
              <w:spacing w:after="0"/>
              <w:rPr>
                <w:sz w:val="20"/>
                <w:szCs w:val="20"/>
                <w:color w:val="auto"/>
              </w:rPr>
            </w:pPr>
          </w:p>
        </w:tc>
        <w:tc>
          <w:tcPr>
            <w:tcW w:w="80" w:type="dxa"/>
            <w:vAlign w:val="bottom"/>
            <w:tcBorders>
              <w:bottom w:val="single" w:sz="8" w:color="D5DCE4"/>
            </w:tcBorders>
            <w:shd w:val="clear" w:color="auto" w:fill="D5DCE4"/>
          </w:tcPr>
          <w:p>
            <w:pPr>
              <w:spacing w:after="0"/>
              <w:rPr>
                <w:sz w:val="20"/>
                <w:szCs w:val="20"/>
                <w:color w:val="auto"/>
              </w:rPr>
            </w:pPr>
          </w:p>
        </w:tc>
        <w:tc>
          <w:tcPr>
            <w:tcW w:w="320" w:type="dxa"/>
            <w:vAlign w:val="bottom"/>
            <w:tcBorders>
              <w:bottom w:val="single" w:sz="8" w:color="D5DCE4"/>
            </w:tcBorders>
            <w:shd w:val="clear" w:color="auto" w:fill="D5DCE4"/>
          </w:tcPr>
          <w:p>
            <w:pPr>
              <w:spacing w:after="0"/>
              <w:rPr>
                <w:sz w:val="20"/>
                <w:szCs w:val="20"/>
                <w:color w:val="auto"/>
              </w:rPr>
            </w:pPr>
          </w:p>
        </w:tc>
        <w:tc>
          <w:tcPr>
            <w:tcW w:w="1200" w:type="dxa"/>
            <w:vAlign w:val="bottom"/>
            <w:tcBorders>
              <w:bottom w:val="single" w:sz="8" w:color="D5DCE4"/>
            </w:tcBorders>
            <w:shd w:val="clear" w:color="auto" w:fill="D5DCE4"/>
          </w:tcPr>
          <w:p>
            <w:pPr>
              <w:spacing w:after="0"/>
              <w:rPr>
                <w:sz w:val="20"/>
                <w:szCs w:val="20"/>
                <w:color w:val="auto"/>
              </w:rPr>
            </w:pPr>
          </w:p>
        </w:tc>
        <w:tc>
          <w:tcPr>
            <w:tcW w:w="80" w:type="dxa"/>
            <w:vAlign w:val="bottom"/>
            <w:tcBorders>
              <w:bottom w:val="single" w:sz="8" w:color="D5DCE4"/>
            </w:tcBorders>
            <w:shd w:val="clear" w:color="auto" w:fill="D5DCE4"/>
          </w:tcPr>
          <w:p>
            <w:pPr>
              <w:spacing w:after="0"/>
              <w:rPr>
                <w:sz w:val="20"/>
                <w:szCs w:val="20"/>
                <w:color w:val="auto"/>
              </w:rPr>
            </w:pPr>
          </w:p>
        </w:tc>
        <w:tc>
          <w:tcPr>
            <w:tcW w:w="300" w:type="dxa"/>
            <w:vAlign w:val="bottom"/>
            <w:tcBorders>
              <w:bottom w:val="single" w:sz="8" w:color="D5DCE4"/>
            </w:tcBorders>
            <w:shd w:val="clear" w:color="auto" w:fill="D5DCE4"/>
          </w:tcPr>
          <w:p>
            <w:pPr>
              <w:spacing w:after="0"/>
              <w:rPr>
                <w:sz w:val="20"/>
                <w:szCs w:val="20"/>
                <w:color w:val="auto"/>
              </w:rPr>
            </w:pPr>
          </w:p>
        </w:tc>
        <w:tc>
          <w:tcPr>
            <w:tcW w:w="1200" w:type="dxa"/>
            <w:vAlign w:val="bottom"/>
            <w:tcBorders>
              <w:bottom w:val="single" w:sz="8" w:color="D5DCE4"/>
            </w:tcBorders>
            <w:shd w:val="clear" w:color="auto" w:fill="D5DCE4"/>
          </w:tcPr>
          <w:p>
            <w:pPr>
              <w:spacing w:after="0"/>
              <w:rPr>
                <w:sz w:val="20"/>
                <w:szCs w:val="20"/>
                <w:color w:val="auto"/>
              </w:rPr>
            </w:pPr>
          </w:p>
        </w:tc>
        <w:tc>
          <w:tcPr>
            <w:tcW w:w="80" w:type="dxa"/>
            <w:vAlign w:val="bottom"/>
            <w:tcBorders>
              <w:bottom w:val="single" w:sz="8" w:color="D5DCE4"/>
            </w:tcBorders>
            <w:shd w:val="clear" w:color="auto" w:fill="D5DCE4"/>
          </w:tcPr>
          <w:p>
            <w:pPr>
              <w:spacing w:after="0"/>
              <w:rPr>
                <w:sz w:val="20"/>
                <w:szCs w:val="20"/>
                <w:color w:val="auto"/>
              </w:rPr>
            </w:pPr>
          </w:p>
        </w:tc>
        <w:tc>
          <w:tcPr>
            <w:tcW w:w="480" w:type="dxa"/>
            <w:vAlign w:val="bottom"/>
            <w:tcBorders>
              <w:bottom w:val="single" w:sz="8" w:color="D5DCE4"/>
            </w:tcBorders>
            <w:shd w:val="clear" w:color="auto" w:fill="D5DCE4"/>
          </w:tcPr>
          <w:p>
            <w:pPr>
              <w:spacing w:after="0"/>
              <w:rPr>
                <w:sz w:val="20"/>
                <w:szCs w:val="20"/>
                <w:color w:val="auto"/>
              </w:rPr>
            </w:pPr>
          </w:p>
        </w:tc>
        <w:tc>
          <w:tcPr>
            <w:tcW w:w="1040" w:type="dxa"/>
            <w:vAlign w:val="bottom"/>
            <w:tcBorders>
              <w:bottom w:val="single" w:sz="8" w:color="D5DCE4"/>
            </w:tcBorders>
            <w:shd w:val="clear" w:color="auto" w:fill="D5DCE4"/>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Net income attributable to Tradeweb Markets Inc.</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55,316</w:t>
            </w:r>
          </w:p>
        </w:tc>
        <w:tc>
          <w:tcPr>
            <w:tcW w:w="8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30,496</w:t>
            </w:r>
          </w:p>
        </w:tc>
        <w:tc>
          <w:tcPr>
            <w:tcW w:w="8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123,175</w:t>
            </w:r>
          </w:p>
        </w:tc>
        <w:tc>
          <w:tcPr>
            <w:tcW w:w="8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74,424</w:t>
            </w:r>
          </w:p>
        </w:tc>
        <w:tc>
          <w:tcPr>
            <w:tcW w:w="0" w:type="dxa"/>
            <w:vAlign w:val="bottom"/>
          </w:tcPr>
          <w:p>
            <w:pPr>
              <w:spacing w:after="0"/>
              <w:rPr>
                <w:sz w:val="1"/>
                <w:szCs w:val="1"/>
                <w:color w:val="auto"/>
              </w:rPr>
            </w:pPr>
          </w:p>
        </w:tc>
      </w:tr>
      <w:tr>
        <w:trPr>
          <w:trHeight w:val="266"/>
        </w:trPr>
        <w:tc>
          <w:tcPr>
            <w:tcW w:w="20" w:type="dxa"/>
            <w:vAlign w:val="bottom"/>
            <w:shd w:val="clear" w:color="auto" w:fill="D5DCE4"/>
          </w:tcPr>
          <w:p>
            <w:pPr>
              <w:spacing w:after="0"/>
              <w:rPr>
                <w:sz w:val="23"/>
                <w:szCs w:val="23"/>
                <w:color w:val="auto"/>
              </w:rPr>
            </w:pPr>
          </w:p>
        </w:tc>
        <w:tc>
          <w:tcPr>
            <w:tcW w:w="820" w:type="dxa"/>
            <w:vAlign w:val="bottom"/>
            <w:shd w:val="clear" w:color="auto" w:fill="D5DCE4"/>
          </w:tcPr>
          <w:p>
            <w:pPr>
              <w:spacing w:after="0"/>
              <w:rPr>
                <w:sz w:val="23"/>
                <w:szCs w:val="23"/>
                <w:color w:val="auto"/>
              </w:rPr>
            </w:pPr>
          </w:p>
        </w:tc>
        <w:tc>
          <w:tcPr>
            <w:tcW w:w="160" w:type="dxa"/>
            <w:vAlign w:val="bottom"/>
            <w:shd w:val="clear" w:color="auto" w:fill="D5DCE4"/>
          </w:tcPr>
          <w:p>
            <w:pPr>
              <w:spacing w:after="0"/>
              <w:rPr>
                <w:sz w:val="23"/>
                <w:szCs w:val="23"/>
                <w:color w:val="auto"/>
              </w:rPr>
            </w:pPr>
          </w:p>
        </w:tc>
        <w:tc>
          <w:tcPr>
            <w:tcW w:w="388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260" w:type="dxa"/>
            <w:vAlign w:val="bottom"/>
            <w:shd w:val="clear" w:color="auto" w:fill="D5DCE4"/>
          </w:tcPr>
          <w:p>
            <w:pPr>
              <w:spacing w:after="0"/>
              <w:rPr>
                <w:sz w:val="23"/>
                <w:szCs w:val="23"/>
                <w:color w:val="auto"/>
              </w:rPr>
            </w:pPr>
          </w:p>
        </w:tc>
        <w:tc>
          <w:tcPr>
            <w:tcW w:w="124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320" w:type="dxa"/>
            <w:vAlign w:val="bottom"/>
            <w:shd w:val="clear" w:color="auto" w:fill="D5DCE4"/>
          </w:tcPr>
          <w:p>
            <w:pPr>
              <w:spacing w:after="0"/>
              <w:rPr>
                <w:sz w:val="23"/>
                <w:szCs w:val="23"/>
                <w:color w:val="auto"/>
              </w:rPr>
            </w:pPr>
          </w:p>
        </w:tc>
        <w:tc>
          <w:tcPr>
            <w:tcW w:w="120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300" w:type="dxa"/>
            <w:vAlign w:val="bottom"/>
            <w:shd w:val="clear" w:color="auto" w:fill="D5DCE4"/>
          </w:tcPr>
          <w:p>
            <w:pPr>
              <w:spacing w:after="0"/>
              <w:rPr>
                <w:sz w:val="23"/>
                <w:szCs w:val="23"/>
                <w:color w:val="auto"/>
              </w:rPr>
            </w:pPr>
          </w:p>
        </w:tc>
        <w:tc>
          <w:tcPr>
            <w:tcW w:w="120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480" w:type="dxa"/>
            <w:vAlign w:val="bottom"/>
            <w:shd w:val="clear" w:color="auto" w:fill="D5DCE4"/>
          </w:tcPr>
          <w:p>
            <w:pPr>
              <w:spacing w:after="0"/>
              <w:rPr>
                <w:sz w:val="23"/>
                <w:szCs w:val="23"/>
                <w:color w:val="auto"/>
              </w:rPr>
            </w:pPr>
          </w:p>
        </w:tc>
        <w:tc>
          <w:tcPr>
            <w:tcW w:w="1040" w:type="dxa"/>
            <w:vAlign w:val="bottom"/>
            <w:shd w:val="clear" w:color="auto" w:fill="D5DCE4"/>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Denominator:</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shd w:val="clear" w:color="auto" w:fill="D5DCE4"/>
          </w:tcPr>
          <w:p>
            <w:pPr>
              <w:spacing w:after="0"/>
              <w:rPr>
                <w:sz w:val="15"/>
                <w:szCs w:val="15"/>
                <w:color w:val="auto"/>
              </w:rPr>
            </w:pPr>
          </w:p>
        </w:tc>
        <w:tc>
          <w:tcPr>
            <w:tcW w:w="4940" w:type="dxa"/>
            <w:vAlign w:val="bottom"/>
            <w:gridSpan w:val="4"/>
            <w:shd w:val="clear" w:color="auto" w:fill="D5DCE4"/>
          </w:tcPr>
          <w:p>
            <w:pPr>
              <w:spacing w:after="0" w:line="178" w:lineRule="exact"/>
              <w:rPr>
                <w:sz w:val="20"/>
                <w:szCs w:val="20"/>
                <w:color w:val="auto"/>
              </w:rPr>
            </w:pPr>
            <w:r>
              <w:rPr>
                <w:rFonts w:ascii="Arial" w:cs="Arial" w:eastAsia="Arial" w:hAnsi="Arial"/>
                <w:sz w:val="16"/>
                <w:szCs w:val="16"/>
                <w:color w:val="auto"/>
              </w:rPr>
              <w:t>Weighted average shares of Class A and Class B common stock</w:t>
            </w:r>
          </w:p>
        </w:tc>
        <w:tc>
          <w:tcPr>
            <w:tcW w:w="260" w:type="dxa"/>
            <w:vAlign w:val="bottom"/>
            <w:shd w:val="clear" w:color="auto" w:fill="D5DCE4"/>
          </w:tcPr>
          <w:p>
            <w:pPr>
              <w:spacing w:after="0"/>
              <w:rPr>
                <w:sz w:val="15"/>
                <w:szCs w:val="15"/>
                <w:color w:val="auto"/>
              </w:rPr>
            </w:pPr>
          </w:p>
        </w:tc>
        <w:tc>
          <w:tcPr>
            <w:tcW w:w="124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201,749,985</w:t>
            </w:r>
          </w:p>
        </w:tc>
        <w:tc>
          <w:tcPr>
            <w:tcW w:w="80" w:type="dxa"/>
            <w:vAlign w:val="bottom"/>
            <w:shd w:val="clear" w:color="auto" w:fill="D5DCE4"/>
          </w:tcPr>
          <w:p>
            <w:pPr>
              <w:spacing w:after="0"/>
              <w:rPr>
                <w:sz w:val="15"/>
                <w:szCs w:val="15"/>
                <w:color w:val="auto"/>
              </w:rPr>
            </w:pPr>
          </w:p>
        </w:tc>
        <w:tc>
          <w:tcPr>
            <w:tcW w:w="320" w:type="dxa"/>
            <w:vAlign w:val="bottom"/>
            <w:shd w:val="clear" w:color="auto" w:fill="D5DCE4"/>
          </w:tcPr>
          <w:p>
            <w:pPr>
              <w:spacing w:after="0"/>
              <w:rPr>
                <w:sz w:val="15"/>
                <w:szCs w:val="15"/>
                <w:color w:val="auto"/>
              </w:rPr>
            </w:pPr>
          </w:p>
        </w:tc>
        <w:tc>
          <w:tcPr>
            <w:tcW w:w="120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177,649,501</w:t>
            </w:r>
          </w:p>
        </w:tc>
        <w:tc>
          <w:tcPr>
            <w:tcW w:w="80" w:type="dxa"/>
            <w:vAlign w:val="bottom"/>
            <w:shd w:val="clear" w:color="auto" w:fill="D5DCE4"/>
          </w:tcPr>
          <w:p>
            <w:pPr>
              <w:spacing w:after="0"/>
              <w:rPr>
                <w:sz w:val="15"/>
                <w:szCs w:val="15"/>
                <w:color w:val="auto"/>
              </w:rPr>
            </w:pPr>
          </w:p>
        </w:tc>
        <w:tc>
          <w:tcPr>
            <w:tcW w:w="300" w:type="dxa"/>
            <w:vAlign w:val="bottom"/>
            <w:shd w:val="clear" w:color="auto" w:fill="D5DCE4"/>
          </w:tcPr>
          <w:p>
            <w:pPr>
              <w:spacing w:after="0"/>
              <w:rPr>
                <w:sz w:val="15"/>
                <w:szCs w:val="15"/>
                <w:color w:val="auto"/>
              </w:rPr>
            </w:pPr>
          </w:p>
        </w:tc>
        <w:tc>
          <w:tcPr>
            <w:tcW w:w="120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200,414,714</w:t>
            </w:r>
          </w:p>
        </w:tc>
        <w:tc>
          <w:tcPr>
            <w:tcW w:w="80" w:type="dxa"/>
            <w:vAlign w:val="bottom"/>
            <w:shd w:val="clear" w:color="auto" w:fill="D5DCE4"/>
          </w:tcPr>
          <w:p>
            <w:pPr>
              <w:spacing w:after="0"/>
              <w:rPr>
                <w:sz w:val="15"/>
                <w:szCs w:val="15"/>
                <w:color w:val="auto"/>
              </w:rPr>
            </w:pPr>
          </w:p>
        </w:tc>
        <w:tc>
          <w:tcPr>
            <w:tcW w:w="480" w:type="dxa"/>
            <w:vAlign w:val="bottom"/>
            <w:shd w:val="clear" w:color="auto" w:fill="D5DCE4"/>
          </w:tcPr>
          <w:p>
            <w:pPr>
              <w:spacing w:after="0"/>
              <w:rPr>
                <w:sz w:val="15"/>
                <w:szCs w:val="15"/>
                <w:color w:val="auto"/>
              </w:rPr>
            </w:pPr>
          </w:p>
        </w:tc>
        <w:tc>
          <w:tcPr>
            <w:tcW w:w="104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171,942,125</w:t>
            </w:r>
          </w:p>
        </w:tc>
        <w:tc>
          <w:tcPr>
            <w:tcW w:w="0" w:type="dxa"/>
            <w:vAlign w:val="bottom"/>
          </w:tcPr>
          <w:p>
            <w:pPr>
              <w:spacing w:after="0"/>
              <w:rPr>
                <w:sz w:val="1"/>
                <w:szCs w:val="1"/>
                <w:color w:val="auto"/>
              </w:rPr>
            </w:pPr>
          </w:p>
        </w:tc>
      </w:tr>
      <w:tr>
        <w:trPr>
          <w:trHeight w:val="201"/>
        </w:trPr>
        <w:tc>
          <w:tcPr>
            <w:tcW w:w="20" w:type="dxa"/>
            <w:vAlign w:val="bottom"/>
            <w:shd w:val="clear" w:color="auto" w:fill="D5DCE4"/>
          </w:tcPr>
          <w:p>
            <w:pPr>
              <w:spacing w:after="0"/>
              <w:rPr>
                <w:sz w:val="17"/>
                <w:szCs w:val="17"/>
                <w:color w:val="auto"/>
              </w:rPr>
            </w:pPr>
          </w:p>
        </w:tc>
        <w:tc>
          <w:tcPr>
            <w:tcW w:w="4940" w:type="dxa"/>
            <w:vAlign w:val="bottom"/>
            <w:gridSpan w:val="4"/>
            <w:shd w:val="clear" w:color="auto" w:fill="D5DCE4"/>
          </w:tcPr>
          <w:p>
            <w:pPr>
              <w:spacing w:after="0"/>
              <w:rPr>
                <w:sz w:val="20"/>
                <w:szCs w:val="20"/>
                <w:color w:val="auto"/>
              </w:rPr>
            </w:pPr>
            <w:r>
              <w:rPr>
                <w:rFonts w:ascii="Arial" w:cs="Arial" w:eastAsia="Arial" w:hAnsi="Arial"/>
                <w:sz w:val="16"/>
                <w:szCs w:val="16"/>
                <w:color w:val="auto"/>
              </w:rPr>
              <w:t>outstanding - Basic</w:t>
            </w:r>
          </w:p>
        </w:tc>
        <w:tc>
          <w:tcPr>
            <w:tcW w:w="260" w:type="dxa"/>
            <w:vAlign w:val="bottom"/>
            <w:shd w:val="clear" w:color="auto" w:fill="D5DCE4"/>
          </w:tcPr>
          <w:p>
            <w:pPr>
              <w:spacing w:after="0"/>
              <w:rPr>
                <w:sz w:val="17"/>
                <w:szCs w:val="17"/>
                <w:color w:val="auto"/>
              </w:rPr>
            </w:pPr>
          </w:p>
        </w:tc>
        <w:tc>
          <w:tcPr>
            <w:tcW w:w="1240" w:type="dxa"/>
            <w:vAlign w:val="bottom"/>
            <w:vMerge w:val="continue"/>
            <w:shd w:val="clear" w:color="auto" w:fill="D5DCE4"/>
          </w:tcPr>
          <w:p>
            <w:pPr>
              <w:spacing w:after="0"/>
              <w:rPr>
                <w:sz w:val="17"/>
                <w:szCs w:val="17"/>
                <w:color w:val="auto"/>
              </w:rPr>
            </w:pPr>
          </w:p>
        </w:tc>
        <w:tc>
          <w:tcPr>
            <w:tcW w:w="80" w:type="dxa"/>
            <w:vAlign w:val="bottom"/>
            <w:shd w:val="clear" w:color="auto" w:fill="D5DCE4"/>
          </w:tcPr>
          <w:p>
            <w:pPr>
              <w:spacing w:after="0"/>
              <w:rPr>
                <w:sz w:val="17"/>
                <w:szCs w:val="17"/>
                <w:color w:val="auto"/>
              </w:rPr>
            </w:pPr>
          </w:p>
        </w:tc>
        <w:tc>
          <w:tcPr>
            <w:tcW w:w="320" w:type="dxa"/>
            <w:vAlign w:val="bottom"/>
            <w:shd w:val="clear" w:color="auto" w:fill="D5DCE4"/>
          </w:tcPr>
          <w:p>
            <w:pPr>
              <w:spacing w:after="0"/>
              <w:rPr>
                <w:sz w:val="17"/>
                <w:szCs w:val="17"/>
                <w:color w:val="auto"/>
              </w:rPr>
            </w:pPr>
          </w:p>
        </w:tc>
        <w:tc>
          <w:tcPr>
            <w:tcW w:w="1200" w:type="dxa"/>
            <w:vAlign w:val="bottom"/>
            <w:vMerge w:val="continue"/>
            <w:shd w:val="clear" w:color="auto" w:fill="D5DCE4"/>
          </w:tcPr>
          <w:p>
            <w:pPr>
              <w:spacing w:after="0"/>
              <w:rPr>
                <w:sz w:val="17"/>
                <w:szCs w:val="17"/>
                <w:color w:val="auto"/>
              </w:rPr>
            </w:pPr>
          </w:p>
        </w:tc>
        <w:tc>
          <w:tcPr>
            <w:tcW w:w="80" w:type="dxa"/>
            <w:vAlign w:val="bottom"/>
            <w:shd w:val="clear" w:color="auto" w:fill="D5DCE4"/>
          </w:tcPr>
          <w:p>
            <w:pPr>
              <w:spacing w:after="0"/>
              <w:rPr>
                <w:sz w:val="17"/>
                <w:szCs w:val="17"/>
                <w:color w:val="auto"/>
              </w:rPr>
            </w:pPr>
          </w:p>
        </w:tc>
        <w:tc>
          <w:tcPr>
            <w:tcW w:w="300" w:type="dxa"/>
            <w:vAlign w:val="bottom"/>
            <w:shd w:val="clear" w:color="auto" w:fill="D5DCE4"/>
          </w:tcPr>
          <w:p>
            <w:pPr>
              <w:spacing w:after="0"/>
              <w:rPr>
                <w:sz w:val="17"/>
                <w:szCs w:val="17"/>
                <w:color w:val="auto"/>
              </w:rPr>
            </w:pPr>
          </w:p>
        </w:tc>
        <w:tc>
          <w:tcPr>
            <w:tcW w:w="1200" w:type="dxa"/>
            <w:vAlign w:val="bottom"/>
            <w:vMerge w:val="continue"/>
            <w:shd w:val="clear" w:color="auto" w:fill="D5DCE4"/>
          </w:tcPr>
          <w:p>
            <w:pPr>
              <w:spacing w:after="0"/>
              <w:rPr>
                <w:sz w:val="17"/>
                <w:szCs w:val="17"/>
                <w:color w:val="auto"/>
              </w:rPr>
            </w:pPr>
          </w:p>
        </w:tc>
        <w:tc>
          <w:tcPr>
            <w:tcW w:w="80" w:type="dxa"/>
            <w:vAlign w:val="bottom"/>
            <w:shd w:val="clear" w:color="auto" w:fill="D5DCE4"/>
          </w:tcPr>
          <w:p>
            <w:pPr>
              <w:spacing w:after="0"/>
              <w:rPr>
                <w:sz w:val="17"/>
                <w:szCs w:val="17"/>
                <w:color w:val="auto"/>
              </w:rPr>
            </w:pPr>
          </w:p>
        </w:tc>
        <w:tc>
          <w:tcPr>
            <w:tcW w:w="480" w:type="dxa"/>
            <w:vAlign w:val="bottom"/>
            <w:shd w:val="clear" w:color="auto" w:fill="D5DCE4"/>
          </w:tcPr>
          <w:p>
            <w:pPr>
              <w:spacing w:after="0"/>
              <w:rPr>
                <w:sz w:val="17"/>
                <w:szCs w:val="17"/>
                <w:color w:val="auto"/>
              </w:rPr>
            </w:pPr>
          </w:p>
        </w:tc>
        <w:tc>
          <w:tcPr>
            <w:tcW w:w="1040" w:type="dxa"/>
            <w:vAlign w:val="bottom"/>
            <w:vMerge w:val="continue"/>
            <w:shd w:val="clear" w:color="auto" w:fill="D5DCE4"/>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940" w:type="dxa"/>
            <w:vAlign w:val="bottom"/>
            <w:gridSpan w:val="4"/>
          </w:tcPr>
          <w:p>
            <w:pPr>
              <w:ind w:left="120"/>
              <w:spacing w:after="0"/>
              <w:rPr>
                <w:sz w:val="20"/>
                <w:szCs w:val="20"/>
                <w:color w:val="auto"/>
              </w:rPr>
            </w:pPr>
            <w:r>
              <w:rPr>
                <w:rFonts w:ascii="Arial" w:cs="Arial" w:eastAsia="Arial" w:hAnsi="Arial"/>
                <w:sz w:val="16"/>
                <w:szCs w:val="16"/>
                <w:color w:val="auto"/>
              </w:rPr>
              <w:t>Dilutive effect of equity-settled PRSUs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2,021,234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2,492,567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1,926,771</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2,265,494</w:t>
            </w:r>
          </w:p>
        </w:tc>
        <w:tc>
          <w:tcPr>
            <w:tcW w:w="0" w:type="dxa"/>
            <w:vAlign w:val="bottom"/>
          </w:tcPr>
          <w:p>
            <w:pPr>
              <w:spacing w:after="0"/>
              <w:rPr>
                <w:sz w:val="1"/>
                <w:szCs w:val="1"/>
                <w:color w:val="auto"/>
              </w:rPr>
            </w:pPr>
          </w:p>
        </w:tc>
      </w:tr>
      <w:tr>
        <w:trPr>
          <w:trHeight w:val="253"/>
        </w:trPr>
        <w:tc>
          <w:tcPr>
            <w:tcW w:w="20" w:type="dxa"/>
            <w:vAlign w:val="bottom"/>
            <w:shd w:val="clear" w:color="auto" w:fill="D5DCE4"/>
          </w:tcPr>
          <w:p>
            <w:pPr>
              <w:spacing w:after="0"/>
              <w:rPr>
                <w:sz w:val="21"/>
                <w:szCs w:val="21"/>
                <w:color w:val="auto"/>
              </w:rPr>
            </w:pPr>
          </w:p>
        </w:tc>
        <w:tc>
          <w:tcPr>
            <w:tcW w:w="4940" w:type="dxa"/>
            <w:vAlign w:val="bottom"/>
            <w:gridSpan w:val="4"/>
            <w:shd w:val="clear" w:color="auto" w:fill="D5DCE4"/>
          </w:tcPr>
          <w:p>
            <w:pPr>
              <w:ind w:left="120"/>
              <w:spacing w:after="0"/>
              <w:rPr>
                <w:sz w:val="20"/>
                <w:szCs w:val="20"/>
                <w:color w:val="auto"/>
              </w:rPr>
            </w:pPr>
            <w:r>
              <w:rPr>
                <w:rFonts w:ascii="Arial" w:cs="Arial" w:eastAsia="Arial" w:hAnsi="Arial"/>
                <w:sz w:val="16"/>
                <w:szCs w:val="16"/>
                <w:color w:val="auto"/>
              </w:rPr>
              <w:t>Dilutive effect of options</w:t>
            </w:r>
          </w:p>
        </w:tc>
        <w:tc>
          <w:tcPr>
            <w:tcW w:w="260" w:type="dxa"/>
            <w:vAlign w:val="bottom"/>
            <w:shd w:val="clear" w:color="auto" w:fill="D5DCE4"/>
          </w:tcPr>
          <w:p>
            <w:pPr>
              <w:spacing w:after="0"/>
              <w:rPr>
                <w:sz w:val="21"/>
                <w:szCs w:val="21"/>
                <w:color w:val="auto"/>
              </w:rPr>
            </w:pPr>
          </w:p>
        </w:tc>
        <w:tc>
          <w:tcPr>
            <w:tcW w:w="12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3,461,230</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5,168,379</w:t>
            </w:r>
          </w:p>
        </w:tc>
        <w:tc>
          <w:tcPr>
            <w:tcW w:w="80" w:type="dxa"/>
            <w:vAlign w:val="bottom"/>
            <w:shd w:val="clear" w:color="auto" w:fill="D5DCE4"/>
          </w:tcPr>
          <w:p>
            <w:pPr>
              <w:spacing w:after="0"/>
              <w:rPr>
                <w:sz w:val="21"/>
                <w:szCs w:val="21"/>
                <w:color w:val="auto"/>
              </w:rPr>
            </w:pPr>
          </w:p>
        </w:tc>
        <w:tc>
          <w:tcPr>
            <w:tcW w:w="300" w:type="dxa"/>
            <w:vAlign w:val="bottom"/>
            <w:shd w:val="clear" w:color="auto" w:fill="D5DCE4"/>
          </w:tcPr>
          <w:p>
            <w:pPr>
              <w:spacing w:after="0"/>
              <w:rPr>
                <w:sz w:val="21"/>
                <w:szCs w:val="21"/>
                <w:color w:val="auto"/>
              </w:rPr>
            </w:pP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3,656,412</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5,694,964</w:t>
            </w:r>
          </w:p>
        </w:tc>
        <w:tc>
          <w:tcPr>
            <w:tcW w:w="0" w:type="dxa"/>
            <w:vAlign w:val="bottom"/>
          </w:tcPr>
          <w:p>
            <w:pPr>
              <w:spacing w:after="0"/>
              <w:rPr>
                <w:sz w:val="1"/>
                <w:szCs w:val="1"/>
                <w:color w:val="auto"/>
              </w:rPr>
            </w:pPr>
          </w:p>
        </w:tc>
      </w:tr>
      <w:tr>
        <w:trPr>
          <w:trHeight w:val="236"/>
        </w:trPr>
        <w:tc>
          <w:tcPr>
            <w:tcW w:w="20" w:type="dxa"/>
            <w:vAlign w:val="bottom"/>
            <w:tcBorders>
              <w:bottom w:val="single" w:sz="8" w:color="D5DCE4"/>
            </w:tcBorders>
          </w:tcPr>
          <w:p>
            <w:pPr>
              <w:spacing w:after="0"/>
              <w:rPr>
                <w:sz w:val="20"/>
                <w:szCs w:val="20"/>
                <w:color w:val="auto"/>
              </w:rPr>
            </w:pPr>
          </w:p>
        </w:tc>
        <w:tc>
          <w:tcPr>
            <w:tcW w:w="4940" w:type="dxa"/>
            <w:vAlign w:val="bottom"/>
            <w:tcBorders>
              <w:bottom w:val="single" w:sz="8" w:color="D5DCE4"/>
            </w:tcBorders>
            <w:gridSpan w:val="4"/>
          </w:tcPr>
          <w:p>
            <w:pPr>
              <w:ind w:left="120"/>
              <w:spacing w:after="0"/>
              <w:rPr>
                <w:sz w:val="20"/>
                <w:szCs w:val="20"/>
                <w:color w:val="auto"/>
              </w:rPr>
            </w:pPr>
            <w:r>
              <w:rPr>
                <w:rFonts w:ascii="Arial" w:cs="Arial" w:eastAsia="Arial" w:hAnsi="Arial"/>
                <w:sz w:val="16"/>
                <w:szCs w:val="16"/>
                <w:color w:val="auto"/>
              </w:rPr>
              <w:t>Dilutive effect of RSUs</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231,511</w:t>
            </w:r>
          </w:p>
        </w:tc>
        <w:tc>
          <w:tcPr>
            <w:tcW w:w="8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179,377</w:t>
            </w:r>
          </w:p>
        </w:tc>
        <w:tc>
          <w:tcPr>
            <w:tcW w:w="80" w:type="dxa"/>
            <w:vAlign w:val="bottom"/>
            <w:tcBorders>
              <w:bottom w:val="single" w:sz="8" w:color="D5DCE4"/>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255,859</w:t>
            </w:r>
          </w:p>
        </w:tc>
        <w:tc>
          <w:tcPr>
            <w:tcW w:w="80" w:type="dxa"/>
            <w:vAlign w:val="bottom"/>
            <w:tcBorders>
              <w:bottom w:val="single" w:sz="8" w:color="D5DCE4"/>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106,308</w:t>
            </w:r>
          </w:p>
        </w:tc>
        <w:tc>
          <w:tcPr>
            <w:tcW w:w="0" w:type="dxa"/>
            <w:vAlign w:val="bottom"/>
          </w:tcPr>
          <w:p>
            <w:pPr>
              <w:spacing w:after="0"/>
              <w:rPr>
                <w:sz w:val="1"/>
                <w:szCs w:val="1"/>
                <w:color w:val="auto"/>
              </w:rPr>
            </w:pPr>
          </w:p>
        </w:tc>
      </w:tr>
      <w:tr>
        <w:trPr>
          <w:trHeight w:val="164"/>
        </w:trPr>
        <w:tc>
          <w:tcPr>
            <w:tcW w:w="20" w:type="dxa"/>
            <w:vAlign w:val="bottom"/>
            <w:shd w:val="clear" w:color="auto" w:fill="D5DCE4"/>
          </w:tcPr>
          <w:p>
            <w:pPr>
              <w:spacing w:after="0"/>
              <w:rPr>
                <w:sz w:val="14"/>
                <w:szCs w:val="14"/>
                <w:color w:val="auto"/>
              </w:rPr>
            </w:pPr>
          </w:p>
        </w:tc>
        <w:tc>
          <w:tcPr>
            <w:tcW w:w="4940" w:type="dxa"/>
            <w:vAlign w:val="bottom"/>
            <w:gridSpan w:val="4"/>
            <w:shd w:val="clear" w:color="auto" w:fill="D5DCE4"/>
          </w:tcPr>
          <w:p>
            <w:pPr>
              <w:spacing w:after="0" w:line="164" w:lineRule="exact"/>
              <w:rPr>
                <w:sz w:val="20"/>
                <w:szCs w:val="20"/>
                <w:color w:val="auto"/>
              </w:rPr>
            </w:pPr>
            <w:r>
              <w:rPr>
                <w:rFonts w:ascii="Arial" w:cs="Arial" w:eastAsia="Arial" w:hAnsi="Arial"/>
                <w:sz w:val="16"/>
                <w:szCs w:val="16"/>
                <w:color w:val="auto"/>
              </w:rPr>
              <w:t>Weighted average shares of Class A and Class B common stock</w:t>
            </w:r>
          </w:p>
        </w:tc>
        <w:tc>
          <w:tcPr>
            <w:tcW w:w="260" w:type="dxa"/>
            <w:vAlign w:val="bottom"/>
            <w:shd w:val="clear" w:color="auto" w:fill="D5DCE4"/>
          </w:tcPr>
          <w:p>
            <w:pPr>
              <w:spacing w:after="0"/>
              <w:rPr>
                <w:sz w:val="14"/>
                <w:szCs w:val="14"/>
                <w:color w:val="auto"/>
              </w:rPr>
            </w:pPr>
          </w:p>
        </w:tc>
        <w:tc>
          <w:tcPr>
            <w:tcW w:w="124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207,463,960</w:t>
            </w:r>
          </w:p>
        </w:tc>
        <w:tc>
          <w:tcPr>
            <w:tcW w:w="80" w:type="dxa"/>
            <w:vAlign w:val="bottom"/>
            <w:shd w:val="clear" w:color="auto" w:fill="D5DCE4"/>
          </w:tcPr>
          <w:p>
            <w:pPr>
              <w:spacing w:after="0"/>
              <w:rPr>
                <w:sz w:val="14"/>
                <w:szCs w:val="14"/>
                <w:color w:val="auto"/>
              </w:rPr>
            </w:pPr>
          </w:p>
        </w:tc>
        <w:tc>
          <w:tcPr>
            <w:tcW w:w="320" w:type="dxa"/>
            <w:vAlign w:val="bottom"/>
            <w:shd w:val="clear" w:color="auto" w:fill="D5DCE4"/>
          </w:tcPr>
          <w:p>
            <w:pPr>
              <w:spacing w:after="0"/>
              <w:rPr>
                <w:sz w:val="14"/>
                <w:szCs w:val="14"/>
                <w:color w:val="auto"/>
              </w:rPr>
            </w:pPr>
          </w:p>
        </w:tc>
        <w:tc>
          <w:tcPr>
            <w:tcW w:w="120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185,489,824</w:t>
            </w:r>
          </w:p>
        </w:tc>
        <w:tc>
          <w:tcPr>
            <w:tcW w:w="80" w:type="dxa"/>
            <w:vAlign w:val="bottom"/>
            <w:shd w:val="clear" w:color="auto" w:fill="D5DCE4"/>
          </w:tcPr>
          <w:p>
            <w:pPr>
              <w:spacing w:after="0"/>
              <w:rPr>
                <w:sz w:val="14"/>
                <w:szCs w:val="14"/>
                <w:color w:val="auto"/>
              </w:rPr>
            </w:pPr>
          </w:p>
        </w:tc>
        <w:tc>
          <w:tcPr>
            <w:tcW w:w="300" w:type="dxa"/>
            <w:vAlign w:val="bottom"/>
            <w:shd w:val="clear" w:color="auto" w:fill="D5DCE4"/>
          </w:tcPr>
          <w:p>
            <w:pPr>
              <w:spacing w:after="0"/>
              <w:rPr>
                <w:sz w:val="14"/>
                <w:szCs w:val="14"/>
                <w:color w:val="auto"/>
              </w:rPr>
            </w:pPr>
          </w:p>
        </w:tc>
        <w:tc>
          <w:tcPr>
            <w:tcW w:w="120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206,253,756</w:t>
            </w:r>
          </w:p>
        </w:tc>
        <w:tc>
          <w:tcPr>
            <w:tcW w:w="80" w:type="dxa"/>
            <w:vAlign w:val="bottom"/>
            <w:shd w:val="clear" w:color="auto" w:fill="D5DCE4"/>
          </w:tcPr>
          <w:p>
            <w:pPr>
              <w:spacing w:after="0"/>
              <w:rPr>
                <w:sz w:val="14"/>
                <w:szCs w:val="14"/>
                <w:color w:val="auto"/>
              </w:rPr>
            </w:pPr>
          </w:p>
        </w:tc>
        <w:tc>
          <w:tcPr>
            <w:tcW w:w="480" w:type="dxa"/>
            <w:vAlign w:val="bottom"/>
            <w:shd w:val="clear" w:color="auto" w:fill="D5DCE4"/>
          </w:tcPr>
          <w:p>
            <w:pPr>
              <w:spacing w:after="0"/>
              <w:rPr>
                <w:sz w:val="14"/>
                <w:szCs w:val="14"/>
                <w:color w:val="auto"/>
              </w:rPr>
            </w:pPr>
          </w:p>
        </w:tc>
        <w:tc>
          <w:tcPr>
            <w:tcW w:w="104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180,008,891</w:t>
            </w:r>
          </w:p>
        </w:tc>
        <w:tc>
          <w:tcPr>
            <w:tcW w:w="0" w:type="dxa"/>
            <w:vAlign w:val="bottom"/>
          </w:tcPr>
          <w:p>
            <w:pPr>
              <w:spacing w:after="0"/>
              <w:rPr>
                <w:sz w:val="1"/>
                <w:szCs w:val="1"/>
                <w:color w:val="auto"/>
              </w:rPr>
            </w:pPr>
          </w:p>
        </w:tc>
      </w:tr>
      <w:tr>
        <w:trPr>
          <w:trHeight w:val="194"/>
        </w:trPr>
        <w:tc>
          <w:tcPr>
            <w:tcW w:w="20" w:type="dxa"/>
            <w:vAlign w:val="bottom"/>
            <w:tcBorders>
              <w:bottom w:val="single" w:sz="8" w:color="D5DCE4"/>
            </w:tcBorders>
            <w:shd w:val="clear" w:color="auto" w:fill="D5DCE4"/>
          </w:tcPr>
          <w:p>
            <w:pPr>
              <w:spacing w:after="0"/>
              <w:rPr>
                <w:sz w:val="16"/>
                <w:szCs w:val="16"/>
                <w:color w:val="auto"/>
              </w:rPr>
            </w:pPr>
          </w:p>
        </w:tc>
        <w:tc>
          <w:tcPr>
            <w:tcW w:w="4940" w:type="dxa"/>
            <w:vAlign w:val="bottom"/>
            <w:tcBorders>
              <w:bottom w:val="single" w:sz="8" w:color="D5DCE4"/>
            </w:tcBorders>
            <w:gridSpan w:val="4"/>
            <w:shd w:val="clear" w:color="auto" w:fill="D5DCE4"/>
          </w:tcPr>
          <w:p>
            <w:pPr>
              <w:spacing w:after="0" w:line="174" w:lineRule="exact"/>
              <w:rPr>
                <w:sz w:val="20"/>
                <w:szCs w:val="20"/>
                <w:color w:val="auto"/>
              </w:rPr>
            </w:pPr>
            <w:r>
              <w:rPr>
                <w:rFonts w:ascii="Arial" w:cs="Arial" w:eastAsia="Arial" w:hAnsi="Arial"/>
                <w:sz w:val="16"/>
                <w:szCs w:val="16"/>
                <w:color w:val="auto"/>
              </w:rPr>
              <w:t>outstanding - Diluted</w:t>
            </w:r>
          </w:p>
        </w:tc>
        <w:tc>
          <w:tcPr>
            <w:tcW w:w="260" w:type="dxa"/>
            <w:vAlign w:val="bottom"/>
            <w:tcBorders>
              <w:bottom w:val="single" w:sz="8" w:color="auto"/>
            </w:tcBorders>
            <w:shd w:val="clear" w:color="auto" w:fill="D5DCE4"/>
          </w:tcPr>
          <w:p>
            <w:pPr>
              <w:spacing w:after="0"/>
              <w:rPr>
                <w:sz w:val="16"/>
                <w:szCs w:val="16"/>
                <w:color w:val="auto"/>
              </w:rPr>
            </w:pPr>
          </w:p>
        </w:tc>
        <w:tc>
          <w:tcPr>
            <w:tcW w:w="1240" w:type="dxa"/>
            <w:vAlign w:val="bottom"/>
            <w:tcBorders>
              <w:bottom w:val="single" w:sz="8" w:color="auto"/>
            </w:tcBorders>
            <w:vMerge w:val="continue"/>
            <w:shd w:val="clear" w:color="auto" w:fill="D5DCE4"/>
          </w:tcPr>
          <w:p>
            <w:pPr>
              <w:spacing w:after="0"/>
              <w:rPr>
                <w:sz w:val="16"/>
                <w:szCs w:val="16"/>
                <w:color w:val="auto"/>
              </w:rPr>
            </w:pPr>
          </w:p>
        </w:tc>
        <w:tc>
          <w:tcPr>
            <w:tcW w:w="80" w:type="dxa"/>
            <w:vAlign w:val="bottom"/>
            <w:tcBorders>
              <w:bottom w:val="single" w:sz="8" w:color="D5DCE4"/>
            </w:tcBorders>
            <w:shd w:val="clear" w:color="auto" w:fill="D5DCE4"/>
          </w:tcPr>
          <w:p>
            <w:pPr>
              <w:spacing w:after="0"/>
              <w:rPr>
                <w:sz w:val="16"/>
                <w:szCs w:val="16"/>
                <w:color w:val="auto"/>
              </w:rPr>
            </w:pPr>
          </w:p>
        </w:tc>
        <w:tc>
          <w:tcPr>
            <w:tcW w:w="320" w:type="dxa"/>
            <w:vAlign w:val="bottom"/>
            <w:tcBorders>
              <w:bottom w:val="single" w:sz="8" w:color="auto"/>
            </w:tcBorders>
            <w:shd w:val="clear" w:color="auto" w:fill="D5DCE4"/>
          </w:tcPr>
          <w:p>
            <w:pPr>
              <w:spacing w:after="0"/>
              <w:rPr>
                <w:sz w:val="16"/>
                <w:szCs w:val="16"/>
                <w:color w:val="auto"/>
              </w:rPr>
            </w:pPr>
          </w:p>
        </w:tc>
        <w:tc>
          <w:tcPr>
            <w:tcW w:w="1200" w:type="dxa"/>
            <w:vAlign w:val="bottom"/>
            <w:tcBorders>
              <w:bottom w:val="single" w:sz="8" w:color="auto"/>
            </w:tcBorders>
            <w:vMerge w:val="continue"/>
            <w:shd w:val="clear" w:color="auto" w:fill="D5DCE4"/>
          </w:tcPr>
          <w:p>
            <w:pPr>
              <w:spacing w:after="0"/>
              <w:rPr>
                <w:sz w:val="16"/>
                <w:szCs w:val="16"/>
                <w:color w:val="auto"/>
              </w:rPr>
            </w:pPr>
          </w:p>
        </w:tc>
        <w:tc>
          <w:tcPr>
            <w:tcW w:w="80" w:type="dxa"/>
            <w:vAlign w:val="bottom"/>
            <w:tcBorders>
              <w:bottom w:val="single" w:sz="8" w:color="D5DCE4"/>
            </w:tcBorders>
            <w:shd w:val="clear" w:color="auto" w:fill="D5DCE4"/>
          </w:tcPr>
          <w:p>
            <w:pPr>
              <w:spacing w:after="0"/>
              <w:rPr>
                <w:sz w:val="16"/>
                <w:szCs w:val="16"/>
                <w:color w:val="auto"/>
              </w:rPr>
            </w:pPr>
          </w:p>
        </w:tc>
        <w:tc>
          <w:tcPr>
            <w:tcW w:w="300" w:type="dxa"/>
            <w:vAlign w:val="bottom"/>
            <w:tcBorders>
              <w:bottom w:val="single" w:sz="8" w:color="auto"/>
            </w:tcBorders>
            <w:shd w:val="clear" w:color="auto" w:fill="D5DCE4"/>
          </w:tcPr>
          <w:p>
            <w:pPr>
              <w:spacing w:after="0"/>
              <w:rPr>
                <w:sz w:val="16"/>
                <w:szCs w:val="16"/>
                <w:color w:val="auto"/>
              </w:rPr>
            </w:pPr>
          </w:p>
        </w:tc>
        <w:tc>
          <w:tcPr>
            <w:tcW w:w="1200" w:type="dxa"/>
            <w:vAlign w:val="bottom"/>
            <w:tcBorders>
              <w:bottom w:val="single" w:sz="8" w:color="auto"/>
            </w:tcBorders>
            <w:vMerge w:val="continue"/>
            <w:shd w:val="clear" w:color="auto" w:fill="D5DCE4"/>
          </w:tcPr>
          <w:p>
            <w:pPr>
              <w:spacing w:after="0"/>
              <w:rPr>
                <w:sz w:val="16"/>
                <w:szCs w:val="16"/>
                <w:color w:val="auto"/>
              </w:rPr>
            </w:pPr>
          </w:p>
        </w:tc>
        <w:tc>
          <w:tcPr>
            <w:tcW w:w="80" w:type="dxa"/>
            <w:vAlign w:val="bottom"/>
            <w:tcBorders>
              <w:bottom w:val="single" w:sz="8" w:color="D5DCE4"/>
            </w:tcBorders>
            <w:shd w:val="clear" w:color="auto" w:fill="D5DCE4"/>
          </w:tcPr>
          <w:p>
            <w:pPr>
              <w:spacing w:after="0"/>
              <w:rPr>
                <w:sz w:val="16"/>
                <w:szCs w:val="16"/>
                <w:color w:val="auto"/>
              </w:rPr>
            </w:pPr>
          </w:p>
        </w:tc>
        <w:tc>
          <w:tcPr>
            <w:tcW w:w="480" w:type="dxa"/>
            <w:vAlign w:val="bottom"/>
            <w:tcBorders>
              <w:bottom w:val="single" w:sz="8" w:color="auto"/>
            </w:tcBorders>
            <w:shd w:val="clear" w:color="auto" w:fill="D5DCE4"/>
          </w:tcPr>
          <w:p>
            <w:pPr>
              <w:spacing w:after="0"/>
              <w:rPr>
                <w:sz w:val="16"/>
                <w:szCs w:val="16"/>
                <w:color w:val="auto"/>
              </w:rPr>
            </w:pPr>
          </w:p>
        </w:tc>
        <w:tc>
          <w:tcPr>
            <w:tcW w:w="1040" w:type="dxa"/>
            <w:vAlign w:val="bottom"/>
            <w:tcBorders>
              <w:bottom w:val="single" w:sz="8" w:color="auto"/>
            </w:tcBorders>
            <w:vMerge w:val="continue"/>
            <w:shd w:val="clear" w:color="auto" w:fill="D5DCE4"/>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D5DCE4"/>
            </w:tcBorders>
          </w:tcPr>
          <w:p>
            <w:pPr>
              <w:spacing w:after="0" w:line="20" w:lineRule="exact"/>
              <w:rPr>
                <w:sz w:val="1"/>
                <w:szCs w:val="1"/>
                <w:color w:val="auto"/>
              </w:rPr>
            </w:pPr>
          </w:p>
        </w:tc>
        <w:tc>
          <w:tcPr>
            <w:tcW w:w="82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D5DCE4"/>
            </w:tcBorders>
          </w:tcPr>
          <w:p>
            <w:pPr>
              <w:spacing w:after="0" w:line="20" w:lineRule="exact"/>
              <w:rPr>
                <w:sz w:val="1"/>
                <w:szCs w:val="1"/>
                <w:color w:val="auto"/>
              </w:rPr>
            </w:pPr>
          </w:p>
        </w:tc>
        <w:tc>
          <w:tcPr>
            <w:tcW w:w="388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60" w:type="dxa"/>
            <w:vAlign w:val="bottom"/>
            <w:tcBorders>
              <w:top w:val="single" w:sz="8" w:color="D5DCE4"/>
              <w:bottom w:val="single" w:sz="8" w:color="auto"/>
            </w:tcBorders>
          </w:tcPr>
          <w:p>
            <w:pPr>
              <w:spacing w:after="0" w:line="20" w:lineRule="exact"/>
              <w:rPr>
                <w:sz w:val="1"/>
                <w:szCs w:val="1"/>
                <w:color w:val="auto"/>
              </w:rPr>
            </w:pPr>
          </w:p>
        </w:tc>
        <w:tc>
          <w:tcPr>
            <w:tcW w:w="124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20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00" w:type="dxa"/>
            <w:vAlign w:val="bottom"/>
            <w:tcBorders>
              <w:top w:val="single" w:sz="8" w:color="D5DCE4"/>
              <w:bottom w:val="single" w:sz="8" w:color="auto"/>
            </w:tcBorders>
          </w:tcPr>
          <w:p>
            <w:pPr>
              <w:spacing w:after="0" w:line="20" w:lineRule="exact"/>
              <w:rPr>
                <w:sz w:val="1"/>
                <w:szCs w:val="1"/>
                <w:color w:val="auto"/>
              </w:rPr>
            </w:pPr>
          </w:p>
        </w:tc>
        <w:tc>
          <w:tcPr>
            <w:tcW w:w="120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4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0" w:type="dxa"/>
            <w:vAlign w:val="bottom"/>
            <w:tcBorders>
              <w:bottom w:val="single" w:sz="8" w:color="D5DCE4"/>
            </w:tcBorders>
            <w:shd w:val="clear" w:color="auto" w:fill="D5DCE4"/>
          </w:tcPr>
          <w:p>
            <w:pPr>
              <w:spacing w:after="0"/>
              <w:rPr>
                <w:sz w:val="22"/>
                <w:szCs w:val="22"/>
                <w:color w:val="auto"/>
              </w:rPr>
            </w:pPr>
          </w:p>
        </w:tc>
        <w:tc>
          <w:tcPr>
            <w:tcW w:w="4940" w:type="dxa"/>
            <w:vAlign w:val="bottom"/>
            <w:tcBorders>
              <w:bottom w:val="single" w:sz="8" w:color="D5DCE4"/>
            </w:tcBorders>
            <w:gridSpan w:val="4"/>
            <w:shd w:val="clear" w:color="auto" w:fill="D5DCE4"/>
          </w:tcPr>
          <w:p>
            <w:pPr>
              <w:spacing w:after="0"/>
              <w:rPr>
                <w:sz w:val="20"/>
                <w:szCs w:val="20"/>
                <w:color w:val="auto"/>
              </w:rPr>
            </w:pPr>
            <w:r>
              <w:rPr>
                <w:rFonts w:ascii="Arial" w:cs="Arial" w:eastAsia="Arial" w:hAnsi="Arial"/>
                <w:sz w:val="16"/>
                <w:szCs w:val="16"/>
                <w:color w:val="auto"/>
              </w:rPr>
              <w:t>Earnings per share - Basic</w:t>
            </w:r>
          </w:p>
        </w:tc>
        <w:tc>
          <w:tcPr>
            <w:tcW w:w="260" w:type="dxa"/>
            <w:vAlign w:val="bottom"/>
            <w:tcBorders>
              <w:bottom w:val="single" w:sz="8" w:color="auto"/>
            </w:tcBorders>
            <w:shd w:val="clear" w:color="auto" w:fill="D5DCE4"/>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0.27</w:t>
            </w:r>
          </w:p>
        </w:tc>
        <w:tc>
          <w:tcPr>
            <w:tcW w:w="80" w:type="dxa"/>
            <w:vAlign w:val="bottom"/>
            <w:tcBorders>
              <w:bottom w:val="single" w:sz="8" w:color="D5DCE4"/>
            </w:tcBorders>
            <w:shd w:val="clear" w:color="auto" w:fill="D5DCE4"/>
          </w:tcPr>
          <w:p>
            <w:pPr>
              <w:spacing w:after="0"/>
              <w:rPr>
                <w:sz w:val="22"/>
                <w:szCs w:val="22"/>
                <w:color w:val="auto"/>
              </w:rPr>
            </w:pPr>
          </w:p>
        </w:tc>
        <w:tc>
          <w:tcPr>
            <w:tcW w:w="3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0.17</w:t>
            </w:r>
          </w:p>
        </w:tc>
        <w:tc>
          <w:tcPr>
            <w:tcW w:w="80" w:type="dxa"/>
            <w:vAlign w:val="bottom"/>
            <w:tcBorders>
              <w:bottom w:val="single" w:sz="8" w:color="D5DCE4"/>
            </w:tcBorders>
            <w:shd w:val="clear" w:color="auto" w:fill="D5DCE4"/>
          </w:tcPr>
          <w:p>
            <w:pPr>
              <w:spacing w:after="0"/>
              <w:rPr>
                <w:sz w:val="22"/>
                <w:szCs w:val="22"/>
                <w:color w:val="auto"/>
              </w:rPr>
            </w:pPr>
          </w:p>
        </w:tc>
        <w:tc>
          <w:tcPr>
            <w:tcW w:w="30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0.61</w:t>
            </w:r>
          </w:p>
        </w:tc>
        <w:tc>
          <w:tcPr>
            <w:tcW w:w="80" w:type="dxa"/>
            <w:vAlign w:val="bottom"/>
            <w:tcBorders>
              <w:bottom w:val="single" w:sz="8" w:color="D5DCE4"/>
            </w:tcBorders>
            <w:shd w:val="clear" w:color="auto" w:fill="D5DCE4"/>
          </w:tcPr>
          <w:p>
            <w:pPr>
              <w:spacing w:after="0"/>
              <w:rPr>
                <w:sz w:val="22"/>
                <w:szCs w:val="22"/>
                <w:color w:val="auto"/>
              </w:rPr>
            </w:pPr>
          </w:p>
        </w:tc>
        <w:tc>
          <w:tcPr>
            <w:tcW w:w="480" w:type="dxa"/>
            <w:vAlign w:val="bottom"/>
            <w:tcBorders>
              <w:bottom w:val="single" w:sz="8" w:color="auto"/>
            </w:tcBorders>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0.43</w:t>
            </w:r>
          </w:p>
        </w:tc>
        <w:tc>
          <w:tcPr>
            <w:tcW w:w="0" w:type="dxa"/>
            <w:vAlign w:val="bottom"/>
          </w:tcPr>
          <w:p>
            <w:pPr>
              <w:spacing w:after="0"/>
              <w:rPr>
                <w:sz w:val="1"/>
                <w:szCs w:val="1"/>
                <w:color w:val="auto"/>
              </w:rPr>
            </w:pPr>
          </w:p>
        </w:tc>
      </w:tr>
      <w:tr>
        <w:trPr>
          <w:trHeight w:val="20"/>
        </w:trPr>
        <w:tc>
          <w:tcPr>
            <w:tcW w:w="20" w:type="dxa"/>
            <w:vAlign w:val="bottom"/>
            <w:tcBorders>
              <w:top w:val="single" w:sz="8" w:color="D5DCE4"/>
            </w:tcBorders>
          </w:tcPr>
          <w:p>
            <w:pPr>
              <w:spacing w:after="0" w:line="20" w:lineRule="exact"/>
              <w:rPr>
                <w:sz w:val="1"/>
                <w:szCs w:val="1"/>
                <w:color w:val="auto"/>
              </w:rPr>
            </w:pPr>
          </w:p>
        </w:tc>
        <w:tc>
          <w:tcPr>
            <w:tcW w:w="82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D5DCE4"/>
            </w:tcBorders>
          </w:tcPr>
          <w:p>
            <w:pPr>
              <w:spacing w:after="0" w:line="20" w:lineRule="exact"/>
              <w:rPr>
                <w:sz w:val="1"/>
                <w:szCs w:val="1"/>
                <w:color w:val="auto"/>
              </w:rPr>
            </w:pPr>
          </w:p>
        </w:tc>
        <w:tc>
          <w:tcPr>
            <w:tcW w:w="388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60" w:type="dxa"/>
            <w:vAlign w:val="bottom"/>
            <w:tcBorders>
              <w:top w:val="single" w:sz="8" w:color="D5DCE4"/>
              <w:bottom w:val="single" w:sz="8" w:color="auto"/>
            </w:tcBorders>
          </w:tcPr>
          <w:p>
            <w:pPr>
              <w:spacing w:after="0" w:line="20" w:lineRule="exact"/>
              <w:rPr>
                <w:sz w:val="1"/>
                <w:szCs w:val="1"/>
                <w:color w:val="auto"/>
              </w:rPr>
            </w:pPr>
          </w:p>
        </w:tc>
        <w:tc>
          <w:tcPr>
            <w:tcW w:w="124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20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00" w:type="dxa"/>
            <w:vAlign w:val="bottom"/>
            <w:tcBorders>
              <w:top w:val="single" w:sz="8" w:color="D5DCE4"/>
              <w:bottom w:val="single" w:sz="8" w:color="auto"/>
            </w:tcBorders>
          </w:tcPr>
          <w:p>
            <w:pPr>
              <w:spacing w:after="0" w:line="20" w:lineRule="exact"/>
              <w:rPr>
                <w:sz w:val="1"/>
                <w:szCs w:val="1"/>
                <w:color w:val="auto"/>
              </w:rPr>
            </w:pPr>
          </w:p>
        </w:tc>
        <w:tc>
          <w:tcPr>
            <w:tcW w:w="120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4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Earnings per share - Diluted</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0.27</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0.16</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0.60</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GROSS REVENUES BY ASSET CLASS (UNAUDITED)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8"/>
                <w:szCs w:val="18"/>
                <w:color w:val="auto"/>
              </w:rPr>
            </w:pPr>
          </w:p>
        </w:tc>
        <w:tc>
          <w:tcPr>
            <w:tcW w:w="214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56"/>
        </w:trPr>
        <w:tc>
          <w:tcPr>
            <w:tcW w:w="2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June 30, 2021</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June 30, 2020</w:t>
            </w:r>
          </w:p>
        </w:tc>
        <w:tc>
          <w:tcPr>
            <w:tcW w:w="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b w:val="1"/>
                <w:bCs w:val="1"/>
                <w:color w:val="auto"/>
              </w:rPr>
              <w:t>$ Change</w:t>
            </w:r>
          </w:p>
        </w:tc>
        <w:tc>
          <w:tcPr>
            <w:tcW w:w="180" w:type="dxa"/>
            <w:vAlign w:val="bottom"/>
          </w:tcPr>
          <w:p>
            <w:pPr>
              <w:spacing w:after="0"/>
              <w:rPr>
                <w:sz w:val="22"/>
                <w:szCs w:val="22"/>
                <w:color w:val="auto"/>
              </w:rPr>
            </w:pPr>
          </w:p>
        </w:tc>
        <w:tc>
          <w:tcPr>
            <w:tcW w:w="212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b w:val="1"/>
                <w:bCs w:val="1"/>
                <w:color w:val="auto"/>
              </w:rPr>
              <w:t>% Change</w:t>
            </w:r>
          </w:p>
        </w:tc>
      </w:tr>
      <w:tr>
        <w:trPr>
          <w:trHeight w:val="236"/>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Revenues</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9"/>
              </w:rPr>
              <w:t>Variable</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Fixed</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Variable</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Fixed</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Variable</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Fixed</w:t>
            </w:r>
          </w:p>
        </w:tc>
        <w:tc>
          <w:tcPr>
            <w:tcW w:w="180" w:type="dxa"/>
            <w:vAlign w:val="bottom"/>
          </w:tcPr>
          <w:p>
            <w:pPr>
              <w:spacing w:after="0"/>
              <w:rPr>
                <w:sz w:val="20"/>
                <w:szCs w:val="20"/>
                <w:color w:val="auto"/>
              </w:rPr>
            </w:pP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Variable</w:t>
            </w:r>
          </w:p>
        </w:tc>
        <w:tc>
          <w:tcPr>
            <w:tcW w:w="80" w:type="dxa"/>
            <w:vAlign w:val="bottom"/>
          </w:tcPr>
          <w:p>
            <w:pPr>
              <w:spacing w:after="0"/>
              <w:rPr>
                <w:sz w:val="20"/>
                <w:szCs w:val="20"/>
                <w:color w:val="auto"/>
              </w:rPr>
            </w:pPr>
          </w:p>
        </w:tc>
        <w:tc>
          <w:tcPr>
            <w:tcW w:w="9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Fixed</w:t>
            </w:r>
          </w:p>
        </w:tc>
      </w:tr>
      <w:tr>
        <w:trPr>
          <w:trHeight w:val="274"/>
        </w:trPr>
        <w:tc>
          <w:tcPr>
            <w:tcW w:w="2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0" w:type="dxa"/>
            <w:vAlign w:val="bottom"/>
            <w:gridSpan w:val="5"/>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53"/>
        </w:trPr>
        <w:tc>
          <w:tcPr>
            <w:tcW w:w="25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Rates</w:t>
            </w: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79,766</w:t>
            </w:r>
          </w:p>
        </w:tc>
        <w:tc>
          <w:tcPr>
            <w:tcW w:w="180" w:type="dxa"/>
            <w:vAlign w:val="bottom"/>
            <w:shd w:val="clear" w:color="auto" w:fill="D5DCE4"/>
          </w:tcPr>
          <w:p>
            <w:pPr>
              <w:spacing w:after="0"/>
              <w:rPr>
                <w:sz w:val="21"/>
                <w:szCs w:val="21"/>
                <w:color w:val="auto"/>
              </w:rPr>
            </w:pPr>
          </w:p>
        </w:tc>
        <w:tc>
          <w:tcPr>
            <w:tcW w:w="18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54,237</w:t>
            </w:r>
          </w:p>
        </w:tc>
        <w:tc>
          <w:tcPr>
            <w:tcW w:w="120" w:type="dxa"/>
            <w:vAlign w:val="bottom"/>
            <w:shd w:val="clear" w:color="auto" w:fill="D5DCE4"/>
          </w:tcPr>
          <w:p>
            <w:pPr>
              <w:spacing w:after="0"/>
              <w:rPr>
                <w:sz w:val="21"/>
                <w:szCs w:val="21"/>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62,101</w:t>
            </w:r>
          </w:p>
        </w:tc>
        <w:tc>
          <w:tcPr>
            <w:tcW w:w="200" w:type="dxa"/>
            <w:vAlign w:val="bottom"/>
            <w:shd w:val="clear" w:color="auto" w:fill="D5DCE4"/>
          </w:tcPr>
          <w:p>
            <w:pPr>
              <w:spacing w:after="0"/>
              <w:rPr>
                <w:sz w:val="21"/>
                <w:szCs w:val="21"/>
                <w:color w:val="auto"/>
              </w:rPr>
            </w:pPr>
          </w:p>
        </w:tc>
        <w:tc>
          <w:tcPr>
            <w:tcW w:w="12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50,722</w:t>
            </w:r>
          </w:p>
        </w:tc>
        <w:tc>
          <w:tcPr>
            <w:tcW w:w="200" w:type="dxa"/>
            <w:vAlign w:val="bottom"/>
            <w:shd w:val="clear" w:color="auto" w:fill="D5DCE4"/>
          </w:tcPr>
          <w:p>
            <w:pPr>
              <w:spacing w:after="0"/>
              <w:rPr>
                <w:sz w:val="21"/>
                <w:szCs w:val="21"/>
                <w:color w:val="auto"/>
              </w:rPr>
            </w:pPr>
          </w:p>
        </w:tc>
        <w:tc>
          <w:tcPr>
            <w:tcW w:w="12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17,665</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3,515</w:t>
            </w:r>
          </w:p>
        </w:tc>
        <w:tc>
          <w:tcPr>
            <w:tcW w:w="124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28.4 %</w:t>
            </w:r>
          </w:p>
        </w:tc>
        <w:tc>
          <w:tcPr>
            <w:tcW w:w="8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6.9 %</w:t>
            </w:r>
          </w:p>
        </w:tc>
      </w:tr>
      <w:tr>
        <w:trPr>
          <w:trHeight w:val="233"/>
        </w:trPr>
        <w:tc>
          <w:tcPr>
            <w:tcW w:w="2540" w:type="dxa"/>
            <w:vAlign w:val="bottom"/>
            <w:gridSpan w:val="2"/>
          </w:tcPr>
          <w:p>
            <w:pPr>
              <w:ind w:left="20"/>
              <w:spacing w:after="0"/>
              <w:rPr>
                <w:sz w:val="20"/>
                <w:szCs w:val="20"/>
                <w:color w:val="auto"/>
              </w:rPr>
            </w:pPr>
            <w:r>
              <w:rPr>
                <w:rFonts w:ascii="Arial" w:cs="Arial" w:eastAsia="Arial" w:hAnsi="Arial"/>
                <w:sz w:val="16"/>
                <w:szCs w:val="16"/>
                <w:color w:val="auto"/>
              </w:rPr>
              <w:t>Credit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65,712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6,500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43,731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5,374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21,981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1,126</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50.3 %</w:t>
            </w: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21.0 %</w:t>
            </w:r>
          </w:p>
        </w:tc>
      </w:tr>
      <w:tr>
        <w:trPr>
          <w:trHeight w:val="253"/>
        </w:trPr>
        <w:tc>
          <w:tcPr>
            <w:tcW w:w="25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Equities</w:t>
            </w:r>
          </w:p>
        </w:tc>
        <w:tc>
          <w:tcPr>
            <w:tcW w:w="140" w:type="dxa"/>
            <w:vAlign w:val="bottom"/>
            <w:shd w:val="clear" w:color="auto" w:fill="D5DCE4"/>
          </w:tcPr>
          <w:p>
            <w:pPr>
              <w:spacing w:after="0"/>
              <w:rPr>
                <w:sz w:val="21"/>
                <w:szCs w:val="21"/>
                <w:color w:val="auto"/>
              </w:rPr>
            </w:pP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14,612</w:t>
            </w:r>
          </w:p>
        </w:tc>
        <w:tc>
          <w:tcPr>
            <w:tcW w:w="1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7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2,785</w:t>
            </w:r>
          </w:p>
        </w:tc>
        <w:tc>
          <w:tcPr>
            <w:tcW w:w="12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12,905</w:t>
            </w:r>
          </w:p>
        </w:tc>
        <w:tc>
          <w:tcPr>
            <w:tcW w:w="20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2,502</w:t>
            </w:r>
          </w:p>
        </w:tc>
        <w:tc>
          <w:tcPr>
            <w:tcW w:w="20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1,707</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7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283</w:t>
            </w:r>
          </w:p>
        </w:tc>
        <w:tc>
          <w:tcPr>
            <w:tcW w:w="124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13.2 %</w:t>
            </w:r>
          </w:p>
        </w:tc>
        <w:tc>
          <w:tcPr>
            <w:tcW w:w="8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11.3 %</w:t>
            </w:r>
          </w:p>
        </w:tc>
      </w:tr>
      <w:tr>
        <w:trPr>
          <w:trHeight w:val="233"/>
        </w:trPr>
        <w:tc>
          <w:tcPr>
            <w:tcW w:w="2540" w:type="dxa"/>
            <w:vAlign w:val="bottom"/>
            <w:gridSpan w:val="2"/>
          </w:tcPr>
          <w:p>
            <w:pPr>
              <w:ind w:left="20"/>
              <w:spacing w:after="0"/>
              <w:rPr>
                <w:sz w:val="20"/>
                <w:szCs w:val="20"/>
                <w:color w:val="auto"/>
              </w:rPr>
            </w:pPr>
            <w:r>
              <w:rPr>
                <w:rFonts w:ascii="Arial" w:cs="Arial" w:eastAsia="Arial" w:hAnsi="Arial"/>
                <w:sz w:val="16"/>
                <w:szCs w:val="16"/>
                <w:color w:val="auto"/>
              </w:rPr>
              <w:t>Money Markets</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7,242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4,098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6,445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4,094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797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12.4 %</w:t>
            </w: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0.1 %</w:t>
            </w:r>
          </w:p>
        </w:tc>
      </w:tr>
      <w:tr>
        <w:trPr>
          <w:trHeight w:val="253"/>
        </w:trPr>
        <w:tc>
          <w:tcPr>
            <w:tcW w:w="25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Market Data</w:t>
            </w:r>
          </w:p>
        </w:tc>
        <w:tc>
          <w:tcPr>
            <w:tcW w:w="140" w:type="dxa"/>
            <w:vAlign w:val="bottom"/>
            <w:shd w:val="clear" w:color="auto" w:fill="D5DCE4"/>
          </w:tcPr>
          <w:p>
            <w:pPr>
              <w:spacing w:after="0"/>
              <w:rPr>
                <w:sz w:val="21"/>
                <w:szCs w:val="21"/>
                <w:color w:val="auto"/>
              </w:rPr>
            </w:pPr>
          </w:p>
        </w:tc>
        <w:tc>
          <w:tcPr>
            <w:tcW w:w="1000" w:type="dxa"/>
            <w:vAlign w:val="bottom"/>
            <w:gridSpan w:val="2"/>
            <w:shd w:val="clear" w:color="auto" w:fill="D5DCE4"/>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D5DCE4"/>
          </w:tcPr>
          <w:p>
            <w:pPr>
              <w:spacing w:after="0"/>
              <w:rPr>
                <w:sz w:val="21"/>
                <w:szCs w:val="21"/>
                <w:color w:val="auto"/>
              </w:rPr>
            </w:pPr>
          </w:p>
        </w:tc>
        <w:tc>
          <w:tcPr>
            <w:tcW w:w="7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20,007</w:t>
            </w:r>
          </w:p>
        </w:tc>
        <w:tc>
          <w:tcPr>
            <w:tcW w:w="12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020" w:type="dxa"/>
            <w:vAlign w:val="bottom"/>
            <w:gridSpan w:val="2"/>
            <w:shd w:val="clear" w:color="auto" w:fill="D5DCE4"/>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5DCE4"/>
          </w:tcPr>
          <w:p>
            <w:pPr>
              <w:spacing w:after="0"/>
              <w:rPr>
                <w:sz w:val="21"/>
                <w:szCs w:val="21"/>
                <w:color w:val="auto"/>
              </w:rPr>
            </w:pP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18,497</w:t>
            </w:r>
          </w:p>
        </w:tc>
        <w:tc>
          <w:tcPr>
            <w:tcW w:w="20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880" w:type="dxa"/>
            <w:vAlign w:val="bottom"/>
            <w:gridSpan w:val="2"/>
            <w:shd w:val="clear" w:color="auto" w:fill="D5DCE4"/>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D5DCE4"/>
          </w:tcPr>
          <w:p>
            <w:pPr>
              <w:spacing w:after="0"/>
              <w:rPr>
                <w:sz w:val="21"/>
                <w:szCs w:val="21"/>
                <w:color w:val="auto"/>
              </w:rPr>
            </w:pPr>
          </w:p>
        </w:tc>
        <w:tc>
          <w:tcPr>
            <w:tcW w:w="7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1,510</w:t>
            </w:r>
          </w:p>
        </w:tc>
        <w:tc>
          <w:tcPr>
            <w:tcW w:w="180" w:type="dxa"/>
            <w:vAlign w:val="bottom"/>
            <w:shd w:val="clear" w:color="auto" w:fill="D5DCE4"/>
          </w:tcPr>
          <w:p>
            <w:pPr>
              <w:spacing w:after="0"/>
              <w:rPr>
                <w:sz w:val="21"/>
                <w:szCs w:val="21"/>
                <w:color w:val="auto"/>
              </w:rPr>
            </w:pPr>
          </w:p>
        </w:tc>
        <w:tc>
          <w:tcPr>
            <w:tcW w:w="1140" w:type="dxa"/>
            <w:vAlign w:val="bottom"/>
            <w:gridSpan w:val="2"/>
            <w:shd w:val="clear" w:color="auto" w:fill="D5DCE4"/>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8.2 %</w:t>
            </w:r>
          </w:p>
        </w:tc>
      </w:tr>
      <w:tr>
        <w:trPr>
          <w:trHeight w:val="237"/>
        </w:trPr>
        <w:tc>
          <w:tcPr>
            <w:tcW w:w="2540" w:type="dxa"/>
            <w:vAlign w:val="bottom"/>
            <w:gridSpan w:val="2"/>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5,881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5,736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145</w:t>
            </w:r>
          </w:p>
        </w:tc>
        <w:tc>
          <w:tcPr>
            <w:tcW w:w="18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2.5 %</w:t>
            </w:r>
          </w:p>
        </w:tc>
      </w:tr>
      <w:tr>
        <w:trPr>
          <w:trHeight w:val="268"/>
        </w:trPr>
        <w:tc>
          <w:tcPr>
            <w:tcW w:w="2540" w:type="dxa"/>
            <w:vAlign w:val="bottom"/>
            <w:tcBorders>
              <w:top w:val="single" w:sz="8" w:color="D5DCE4"/>
              <w:bottom w:val="single" w:sz="8" w:color="D5DCE4"/>
            </w:tcBorders>
            <w:gridSpan w:val="2"/>
            <w:shd w:val="clear" w:color="auto" w:fill="D5DCE4"/>
          </w:tcPr>
          <w:p>
            <w:pPr>
              <w:ind w:left="20"/>
              <w:spacing w:after="0"/>
              <w:rPr>
                <w:sz w:val="20"/>
                <w:szCs w:val="20"/>
                <w:color w:val="auto"/>
              </w:rPr>
            </w:pPr>
            <w:r>
              <w:rPr>
                <w:rFonts w:ascii="Arial" w:cs="Arial" w:eastAsia="Arial" w:hAnsi="Arial"/>
                <w:sz w:val="16"/>
                <w:szCs w:val="16"/>
                <w:color w:val="auto"/>
              </w:rPr>
              <w:t>Total revenue</w:t>
            </w:r>
          </w:p>
        </w:tc>
        <w:tc>
          <w:tcPr>
            <w:tcW w:w="14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167,332</w:t>
            </w:r>
          </w:p>
        </w:tc>
        <w:tc>
          <w:tcPr>
            <w:tcW w:w="180" w:type="dxa"/>
            <w:vAlign w:val="bottom"/>
            <w:tcBorders>
              <w:top w:val="single" w:sz="8" w:color="D5DCE4"/>
              <w:bottom w:val="single" w:sz="8" w:color="D5DCE4"/>
            </w:tcBorders>
            <w:shd w:val="clear" w:color="auto" w:fill="D5DCE4"/>
          </w:tcPr>
          <w:p>
            <w:pPr>
              <w:spacing w:after="0"/>
              <w:rPr>
                <w:sz w:val="22"/>
                <w:szCs w:val="22"/>
                <w:color w:val="auto"/>
              </w:rPr>
            </w:pPr>
          </w:p>
        </w:tc>
        <w:tc>
          <w:tcPr>
            <w:tcW w:w="18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93,508</w:t>
            </w:r>
          </w:p>
        </w:tc>
        <w:tc>
          <w:tcPr>
            <w:tcW w:w="120" w:type="dxa"/>
            <w:vAlign w:val="bottom"/>
            <w:tcBorders>
              <w:top w:val="single" w:sz="8" w:color="D5DCE4"/>
              <w:bottom w:val="single" w:sz="8" w:color="D5DCE4"/>
            </w:tcBorders>
            <w:shd w:val="clear" w:color="auto" w:fill="D5DCE4"/>
          </w:tcPr>
          <w:p>
            <w:pPr>
              <w:spacing w:after="0"/>
              <w:rPr>
                <w:sz w:val="22"/>
                <w:szCs w:val="22"/>
                <w:color w:val="auto"/>
              </w:rPr>
            </w:pPr>
          </w:p>
        </w:tc>
        <w:tc>
          <w:tcPr>
            <w:tcW w:w="14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125,182</w:t>
            </w:r>
          </w:p>
        </w:tc>
        <w:tc>
          <w:tcPr>
            <w:tcW w:w="200" w:type="dxa"/>
            <w:vAlign w:val="bottom"/>
            <w:tcBorders>
              <w:top w:val="single" w:sz="8" w:color="D5DCE4"/>
              <w:bottom w:val="single" w:sz="8" w:color="D5DCE4"/>
            </w:tcBorders>
            <w:shd w:val="clear" w:color="auto" w:fill="D5DCE4"/>
          </w:tcPr>
          <w:p>
            <w:pPr>
              <w:spacing w:after="0"/>
              <w:rPr>
                <w:sz w:val="22"/>
                <w:szCs w:val="22"/>
                <w:color w:val="auto"/>
              </w:rPr>
            </w:pPr>
          </w:p>
        </w:tc>
        <w:tc>
          <w:tcPr>
            <w:tcW w:w="12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86,925</w:t>
            </w:r>
          </w:p>
        </w:tc>
        <w:tc>
          <w:tcPr>
            <w:tcW w:w="200" w:type="dxa"/>
            <w:vAlign w:val="bottom"/>
            <w:tcBorders>
              <w:top w:val="single" w:sz="8" w:color="D5DCE4"/>
              <w:bottom w:val="single" w:sz="8" w:color="D5DCE4"/>
            </w:tcBorders>
            <w:shd w:val="clear" w:color="auto" w:fill="D5DCE4"/>
          </w:tcPr>
          <w:p>
            <w:pPr>
              <w:spacing w:after="0"/>
              <w:rPr>
                <w:sz w:val="22"/>
                <w:szCs w:val="22"/>
                <w:color w:val="auto"/>
              </w:rPr>
            </w:pPr>
          </w:p>
        </w:tc>
        <w:tc>
          <w:tcPr>
            <w:tcW w:w="12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42,150</w:t>
            </w:r>
          </w:p>
        </w:tc>
        <w:tc>
          <w:tcPr>
            <w:tcW w:w="80" w:type="dxa"/>
            <w:vAlign w:val="bottom"/>
            <w:tcBorders>
              <w:top w:val="single" w:sz="8" w:color="D5DCE4"/>
              <w:bottom w:val="single" w:sz="8" w:color="D5DCE4"/>
            </w:tcBorders>
            <w:shd w:val="clear" w:color="auto" w:fill="D5DCE4"/>
          </w:tcPr>
          <w:p>
            <w:pPr>
              <w:spacing w:after="0"/>
              <w:rPr>
                <w:sz w:val="22"/>
                <w:szCs w:val="22"/>
                <w:color w:val="auto"/>
              </w:rPr>
            </w:pPr>
          </w:p>
        </w:tc>
        <w:tc>
          <w:tcPr>
            <w:tcW w:w="18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6,583</w:t>
            </w:r>
          </w:p>
        </w:tc>
        <w:tc>
          <w:tcPr>
            <w:tcW w:w="1240" w:type="dxa"/>
            <w:vAlign w:val="bottom"/>
            <w:tcBorders>
              <w:top w:val="single" w:sz="8" w:color="D5DCE4"/>
              <w:bottom w:val="single" w:sz="8" w:color="D5DCE4"/>
            </w:tcBorders>
            <w:gridSpan w:val="2"/>
            <w:shd w:val="clear" w:color="auto" w:fill="D5DCE4"/>
          </w:tcPr>
          <w:p>
            <w:pPr>
              <w:jc w:val="right"/>
              <w:spacing w:after="0"/>
              <w:rPr>
                <w:sz w:val="20"/>
                <w:szCs w:val="20"/>
                <w:color w:val="auto"/>
              </w:rPr>
            </w:pPr>
            <w:r>
              <w:rPr>
                <w:rFonts w:ascii="Arial" w:cs="Arial" w:eastAsia="Arial" w:hAnsi="Arial"/>
                <w:sz w:val="16"/>
                <w:szCs w:val="16"/>
                <w:color w:val="auto"/>
              </w:rPr>
              <w:t>33.7 %</w:t>
            </w:r>
          </w:p>
        </w:tc>
        <w:tc>
          <w:tcPr>
            <w:tcW w:w="80" w:type="dxa"/>
            <w:vAlign w:val="bottom"/>
            <w:tcBorders>
              <w:top w:val="single" w:sz="8" w:color="D5DCE4"/>
              <w:bottom w:val="single" w:sz="8" w:color="D5DCE4"/>
            </w:tcBorders>
            <w:shd w:val="clear" w:color="auto" w:fill="D5DCE4"/>
          </w:tcPr>
          <w:p>
            <w:pPr>
              <w:spacing w:after="0"/>
              <w:rPr>
                <w:sz w:val="22"/>
                <w:szCs w:val="22"/>
                <w:color w:val="auto"/>
              </w:rPr>
            </w:pPr>
          </w:p>
        </w:tc>
        <w:tc>
          <w:tcPr>
            <w:tcW w:w="980" w:type="dxa"/>
            <w:vAlign w:val="bottom"/>
            <w:tcBorders>
              <w:top w:val="single" w:sz="8" w:color="D5DCE4"/>
              <w:bottom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7.6 %</w:t>
            </w:r>
          </w:p>
        </w:tc>
      </w:tr>
      <w:tr>
        <w:trPr>
          <w:trHeight w:val="20"/>
        </w:trPr>
        <w:tc>
          <w:tcPr>
            <w:tcW w:w="2360" w:type="dxa"/>
            <w:vAlign w:val="bottom"/>
            <w:tcBorders>
              <w:top w:val="single" w:sz="8" w:color="D5DCE4"/>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D5DCE4"/>
              <w:bottom w:val="single" w:sz="8" w:color="auto"/>
            </w:tcBorders>
          </w:tcPr>
          <w:p>
            <w:pPr>
              <w:spacing w:after="0" w:line="20" w:lineRule="exact"/>
              <w:rPr>
                <w:sz w:val="1"/>
                <w:szCs w:val="1"/>
                <w:color w:val="auto"/>
              </w:rPr>
            </w:pPr>
          </w:p>
        </w:tc>
        <w:tc>
          <w:tcPr>
            <w:tcW w:w="820" w:type="dxa"/>
            <w:vAlign w:val="bottom"/>
            <w:tcBorders>
              <w:top w:val="single" w:sz="8" w:color="D5DCE4"/>
              <w:bottom w:val="single" w:sz="8" w:color="auto"/>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180" w:type="dxa"/>
            <w:vAlign w:val="bottom"/>
            <w:tcBorders>
              <w:top w:val="single" w:sz="8" w:color="D5DCE4"/>
              <w:bottom w:val="single" w:sz="8" w:color="auto"/>
            </w:tcBorders>
          </w:tcPr>
          <w:p>
            <w:pPr>
              <w:spacing w:after="0" w:line="20" w:lineRule="exact"/>
              <w:rPr>
                <w:sz w:val="1"/>
                <w:szCs w:val="1"/>
                <w:color w:val="auto"/>
              </w:rPr>
            </w:pPr>
          </w:p>
        </w:tc>
        <w:tc>
          <w:tcPr>
            <w:tcW w:w="760" w:type="dxa"/>
            <w:vAlign w:val="bottom"/>
            <w:tcBorders>
              <w:top w:val="single" w:sz="8" w:color="D5DCE4"/>
              <w:bottom w:val="single" w:sz="8" w:color="auto"/>
            </w:tcBorders>
          </w:tcPr>
          <w:p>
            <w:pPr>
              <w:spacing w:after="0" w:line="20" w:lineRule="exact"/>
              <w:rPr>
                <w:sz w:val="1"/>
                <w:szCs w:val="1"/>
                <w:color w:val="auto"/>
              </w:rPr>
            </w:pPr>
          </w:p>
        </w:tc>
        <w:tc>
          <w:tcPr>
            <w:tcW w:w="12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D5DCE4"/>
              <w:bottom w:val="single" w:sz="8" w:color="auto"/>
            </w:tcBorders>
          </w:tcPr>
          <w:p>
            <w:pPr>
              <w:spacing w:after="0" w:line="20" w:lineRule="exact"/>
              <w:rPr>
                <w:sz w:val="1"/>
                <w:szCs w:val="1"/>
                <w:color w:val="auto"/>
              </w:rPr>
            </w:pPr>
          </w:p>
        </w:tc>
        <w:tc>
          <w:tcPr>
            <w:tcW w:w="820" w:type="dxa"/>
            <w:vAlign w:val="bottom"/>
            <w:tcBorders>
              <w:top w:val="single" w:sz="8" w:color="D5DCE4"/>
              <w:bottom w:val="single" w:sz="8" w:color="auto"/>
            </w:tcBorders>
          </w:tcPr>
          <w:p>
            <w:pPr>
              <w:spacing w:after="0" w:line="20" w:lineRule="exact"/>
              <w:rPr>
                <w:sz w:val="1"/>
                <w:szCs w:val="1"/>
                <w:color w:val="auto"/>
              </w:rPr>
            </w:pPr>
          </w:p>
        </w:tc>
        <w:tc>
          <w:tcPr>
            <w:tcW w:w="200" w:type="dxa"/>
            <w:vAlign w:val="bottom"/>
            <w:tcBorders>
              <w:top w:val="single" w:sz="8" w:color="D5DCE4"/>
            </w:tcBorders>
          </w:tcPr>
          <w:p>
            <w:pPr>
              <w:spacing w:after="0" w:line="20" w:lineRule="exact"/>
              <w:rPr>
                <w:sz w:val="1"/>
                <w:szCs w:val="1"/>
                <w:color w:val="auto"/>
              </w:rPr>
            </w:pPr>
          </w:p>
        </w:tc>
        <w:tc>
          <w:tcPr>
            <w:tcW w:w="120" w:type="dxa"/>
            <w:vAlign w:val="bottom"/>
            <w:tcBorders>
              <w:top w:val="single" w:sz="8" w:color="D5DCE4"/>
              <w:bottom w:val="single" w:sz="8" w:color="auto"/>
            </w:tcBorders>
          </w:tcPr>
          <w:p>
            <w:pPr>
              <w:spacing w:after="0" w:line="20" w:lineRule="exact"/>
              <w:rPr>
                <w:sz w:val="1"/>
                <w:szCs w:val="1"/>
                <w:color w:val="auto"/>
              </w:rPr>
            </w:pPr>
          </w:p>
        </w:tc>
        <w:tc>
          <w:tcPr>
            <w:tcW w:w="800" w:type="dxa"/>
            <w:vAlign w:val="bottom"/>
            <w:tcBorders>
              <w:top w:val="single" w:sz="8" w:color="D5DCE4"/>
              <w:bottom w:val="single" w:sz="8" w:color="auto"/>
            </w:tcBorders>
          </w:tcPr>
          <w:p>
            <w:pPr>
              <w:spacing w:after="0" w:line="20" w:lineRule="exact"/>
              <w:rPr>
                <w:sz w:val="1"/>
                <w:szCs w:val="1"/>
                <w:color w:val="auto"/>
              </w:rPr>
            </w:pPr>
          </w:p>
        </w:tc>
        <w:tc>
          <w:tcPr>
            <w:tcW w:w="200" w:type="dxa"/>
            <w:vAlign w:val="bottom"/>
            <w:tcBorders>
              <w:top w:val="single" w:sz="8" w:color="D5DCE4"/>
            </w:tcBorders>
          </w:tcPr>
          <w:p>
            <w:pPr>
              <w:spacing w:after="0" w:line="20" w:lineRule="exact"/>
              <w:rPr>
                <w:sz w:val="1"/>
                <w:szCs w:val="1"/>
                <w:color w:val="auto"/>
              </w:rPr>
            </w:pPr>
          </w:p>
        </w:tc>
        <w:tc>
          <w:tcPr>
            <w:tcW w:w="120" w:type="dxa"/>
            <w:vAlign w:val="bottom"/>
            <w:tcBorders>
              <w:top w:val="single" w:sz="8" w:color="D5DCE4"/>
              <w:bottom w:val="single" w:sz="8" w:color="auto"/>
            </w:tcBorders>
          </w:tcPr>
          <w:p>
            <w:pPr>
              <w:spacing w:after="0" w:line="20" w:lineRule="exact"/>
              <w:rPr>
                <w:sz w:val="1"/>
                <w:szCs w:val="1"/>
                <w:color w:val="auto"/>
              </w:rPr>
            </w:pPr>
          </w:p>
        </w:tc>
        <w:tc>
          <w:tcPr>
            <w:tcW w:w="80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80" w:type="dxa"/>
            <w:vAlign w:val="bottom"/>
            <w:tcBorders>
              <w:top w:val="single" w:sz="8" w:color="D5DCE4"/>
              <w:bottom w:val="single" w:sz="8" w:color="auto"/>
            </w:tcBorders>
          </w:tcPr>
          <w:p>
            <w:pPr>
              <w:spacing w:after="0" w:line="20" w:lineRule="exact"/>
              <w:rPr>
                <w:sz w:val="1"/>
                <w:szCs w:val="1"/>
                <w:color w:val="auto"/>
              </w:rPr>
            </w:pPr>
          </w:p>
        </w:tc>
        <w:tc>
          <w:tcPr>
            <w:tcW w:w="740" w:type="dxa"/>
            <w:vAlign w:val="bottom"/>
            <w:tcBorders>
              <w:top w:val="single" w:sz="8" w:color="D5DCE4"/>
              <w:bottom w:val="single" w:sz="8" w:color="auto"/>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106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980" w:type="dxa"/>
            <w:vAlign w:val="bottom"/>
            <w:tcBorders>
              <w:top w:val="single" w:sz="8" w:color="D5DCE4"/>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7</w:t>
      </w:r>
    </w:p>
    <w:p>
      <w:pPr>
        <w:sectPr>
          <w:pgSz w:w="11900" w:h="16838" w:orient="portrait"/>
          <w:cols w:equalWidth="0" w:num="1">
            <w:col w:w="11240"/>
          </w:cols>
          <w:pgMar w:left="320" w:top="769"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083566"/>
        </w:rPr>
        <w:t>TRADEWEB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AVERAGE VARIABLE FEES PER MILLION DOLLARS OF VOLUME (UNAUDITED)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8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 June 30,</w:t>
            </w:r>
          </w:p>
        </w:tc>
        <w:tc>
          <w:tcPr>
            <w:tcW w:w="2120" w:type="dxa"/>
            <w:vAlign w:val="bottom"/>
          </w:tcPr>
          <w:p>
            <w:pPr>
              <w:jc w:val="right"/>
              <w:ind w:right="819"/>
              <w:spacing w:after="0"/>
              <w:rPr>
                <w:sz w:val="20"/>
                <w:szCs w:val="20"/>
                <w:color w:val="auto"/>
              </w:rPr>
            </w:pPr>
            <w:r>
              <w:rPr>
                <w:rFonts w:ascii="Arial" w:cs="Arial" w:eastAsia="Arial" w:hAnsi="Arial"/>
                <w:sz w:val="16"/>
                <w:szCs w:val="16"/>
                <w:b w:val="1"/>
                <w:bCs w:val="1"/>
                <w:color w:val="auto"/>
              </w:rPr>
              <w:t>YoY</w:t>
            </w:r>
          </w:p>
        </w:tc>
      </w:tr>
      <w:tr>
        <w:trPr>
          <w:trHeight w:val="256"/>
        </w:trPr>
        <w:tc>
          <w:tcPr>
            <w:tcW w:w="4980" w:type="dxa"/>
            <w:vAlign w:val="bottom"/>
            <w:tcBorders>
              <w:bottom w:val="single" w:sz="8" w:color="D5DCE4"/>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D5DCE4"/>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D5DCE4"/>
            </w:tcBorders>
          </w:tcPr>
          <w:p>
            <w:pPr>
              <w:spacing w:after="0"/>
              <w:rPr>
                <w:sz w:val="22"/>
                <w:szCs w:val="22"/>
                <w:color w:val="auto"/>
              </w:rPr>
            </w:pPr>
          </w:p>
        </w:tc>
        <w:tc>
          <w:tcPr>
            <w:tcW w:w="21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 Change</w:t>
            </w:r>
          </w:p>
        </w:tc>
      </w:tr>
      <w:tr>
        <w:trPr>
          <w:trHeight w:val="243"/>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Rates</w:t>
            </w: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5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2.18</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5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1.95</w:t>
            </w:r>
          </w:p>
        </w:tc>
        <w:tc>
          <w:tcPr>
            <w:tcW w:w="80" w:type="dxa"/>
            <w:vAlign w:val="bottom"/>
            <w:shd w:val="clear" w:color="auto" w:fill="D5DCE4"/>
          </w:tcPr>
          <w:p>
            <w:pPr>
              <w:spacing w:after="0"/>
              <w:rPr>
                <w:sz w:val="21"/>
                <w:szCs w:val="21"/>
                <w:color w:val="auto"/>
              </w:rPr>
            </w:pPr>
          </w:p>
        </w:tc>
        <w:tc>
          <w:tcPr>
            <w:tcW w:w="21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11.7 %</w:t>
            </w:r>
          </w:p>
        </w:tc>
      </w:tr>
      <w:tr>
        <w:trPr>
          <w:trHeight w:val="233"/>
        </w:trPr>
        <w:tc>
          <w:tcPr>
            <w:tcW w:w="4980" w:type="dxa"/>
            <w:vAlign w:val="bottom"/>
          </w:tcPr>
          <w:p>
            <w:pPr>
              <w:ind w:left="140"/>
              <w:spacing w:after="0"/>
              <w:rPr>
                <w:sz w:val="20"/>
                <w:szCs w:val="20"/>
                <w:color w:val="auto"/>
              </w:rPr>
            </w:pPr>
            <w:r>
              <w:rPr>
                <w:rFonts w:ascii="Arial" w:cs="Arial" w:eastAsia="Arial" w:hAnsi="Arial"/>
                <w:sz w:val="16"/>
                <w:szCs w:val="16"/>
                <w:color w:val="auto"/>
              </w:rPr>
              <w:t>Cash Rates</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2.02</w:t>
            </w:r>
          </w:p>
        </w:tc>
        <w:tc>
          <w:tcPr>
            <w:tcW w:w="8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1.94</w:t>
            </w:r>
          </w:p>
        </w:tc>
        <w:tc>
          <w:tcPr>
            <w:tcW w:w="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4.4 %</w:t>
            </w:r>
          </w:p>
        </w:tc>
      </w:tr>
      <w:tr>
        <w:trPr>
          <w:trHeight w:val="253"/>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Rates Derivatives</w:t>
            </w: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2.38</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1.97</w:t>
            </w:r>
          </w:p>
        </w:tc>
        <w:tc>
          <w:tcPr>
            <w:tcW w:w="80" w:type="dxa"/>
            <w:vAlign w:val="bottom"/>
            <w:shd w:val="clear" w:color="auto" w:fill="D5DCE4"/>
          </w:tcPr>
          <w:p>
            <w:pPr>
              <w:spacing w:after="0"/>
              <w:rPr>
                <w:sz w:val="21"/>
                <w:szCs w:val="21"/>
                <w:color w:val="auto"/>
              </w:rPr>
            </w:pPr>
          </w:p>
        </w:tc>
        <w:tc>
          <w:tcPr>
            <w:tcW w:w="2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20.5 %</w:t>
            </w:r>
          </w:p>
        </w:tc>
      </w:tr>
      <w:tr>
        <w:trPr>
          <w:trHeight w:val="233"/>
        </w:trPr>
        <w:tc>
          <w:tcPr>
            <w:tcW w:w="4980" w:type="dxa"/>
            <w:vAlign w:val="bottom"/>
          </w:tcPr>
          <w:p>
            <w:pPr>
              <w:ind w:left="240"/>
              <w:spacing w:after="0"/>
              <w:rPr>
                <w:sz w:val="20"/>
                <w:szCs w:val="20"/>
                <w:color w:val="auto"/>
              </w:rPr>
            </w:pPr>
            <w:r>
              <w:rPr>
                <w:rFonts w:ascii="Arial" w:cs="Arial" w:eastAsia="Arial" w:hAnsi="Arial"/>
                <w:sz w:val="16"/>
                <w:szCs w:val="16"/>
                <w:color w:val="auto"/>
              </w:rPr>
              <w:t>Swaps / Swaptions Tenor (greater than 1 year)</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3.54</w:t>
            </w:r>
          </w:p>
        </w:tc>
        <w:tc>
          <w:tcPr>
            <w:tcW w:w="8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2.84</w:t>
            </w:r>
          </w:p>
        </w:tc>
        <w:tc>
          <w:tcPr>
            <w:tcW w:w="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24.6 %</w:t>
            </w:r>
          </w:p>
        </w:tc>
      </w:tr>
      <w:tr>
        <w:trPr>
          <w:trHeight w:val="253"/>
        </w:trPr>
        <w:tc>
          <w:tcPr>
            <w:tcW w:w="4980" w:type="dxa"/>
            <w:vAlign w:val="bottom"/>
            <w:shd w:val="clear" w:color="auto" w:fill="D5DCE4"/>
          </w:tcPr>
          <w:p>
            <w:pPr>
              <w:ind w:left="240"/>
              <w:spacing w:after="0"/>
              <w:rPr>
                <w:sz w:val="20"/>
                <w:szCs w:val="20"/>
                <w:color w:val="auto"/>
              </w:rPr>
            </w:pPr>
            <w:r>
              <w:rPr>
                <w:rFonts w:ascii="Arial" w:cs="Arial" w:eastAsia="Arial" w:hAnsi="Arial"/>
                <w:sz w:val="16"/>
                <w:szCs w:val="16"/>
                <w:color w:val="auto"/>
              </w:rPr>
              <w:t xml:space="preserve">Other Rates Derivatives </w:t>
            </w:r>
            <w:r>
              <w:rPr>
                <w:rFonts w:ascii="Arial" w:cs="Arial" w:eastAsia="Arial" w:hAnsi="Arial"/>
                <w:sz w:val="21"/>
                <w:szCs w:val="21"/>
                <w:color w:val="auto"/>
                <w:vertAlign w:val="superscript"/>
              </w:rPr>
              <w:t>(1)</w:t>
            </w: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0.28</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0.18</w:t>
            </w:r>
          </w:p>
        </w:tc>
        <w:tc>
          <w:tcPr>
            <w:tcW w:w="80" w:type="dxa"/>
            <w:vAlign w:val="bottom"/>
            <w:shd w:val="clear" w:color="auto" w:fill="D5DCE4"/>
          </w:tcPr>
          <w:p>
            <w:pPr>
              <w:spacing w:after="0"/>
              <w:rPr>
                <w:sz w:val="21"/>
                <w:szCs w:val="21"/>
                <w:color w:val="auto"/>
              </w:rPr>
            </w:pPr>
          </w:p>
        </w:tc>
        <w:tc>
          <w:tcPr>
            <w:tcW w:w="2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51.6 %</w:t>
            </w: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Credit</w:t>
            </w:r>
          </w:p>
        </w:tc>
        <w:tc>
          <w:tcPr>
            <w:tcW w:w="980" w:type="dxa"/>
            <w:vAlign w:val="bottom"/>
            <w:shd w:val="clear" w:color="auto" w:fill="D5DCE4"/>
          </w:tcPr>
          <w:p>
            <w:pPr>
              <w:jc w:val="right"/>
              <w:ind w:right="57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57.62</w:t>
            </w:r>
          </w:p>
        </w:tc>
        <w:tc>
          <w:tcPr>
            <w:tcW w:w="840" w:type="dxa"/>
            <w:vAlign w:val="bottom"/>
            <w:shd w:val="clear" w:color="auto" w:fill="D5DCE4"/>
          </w:tcPr>
          <w:p>
            <w:pPr>
              <w:jc w:val="right"/>
              <w:ind w:right="599"/>
              <w:spacing w:after="0"/>
              <w:rPr>
                <w:sz w:val="20"/>
                <w:szCs w:val="20"/>
                <w:color w:val="auto"/>
              </w:rPr>
            </w:pPr>
            <w:r>
              <w:rPr>
                <w:rFonts w:ascii="Arial" w:cs="Arial" w:eastAsia="Arial" w:hAnsi="Arial"/>
                <w:sz w:val="16"/>
                <w:szCs w:val="16"/>
                <w:b w:val="1"/>
                <w:bCs w:val="1"/>
                <w:color w:val="auto"/>
              </w:rPr>
              <w:t>$</w:t>
            </w:r>
          </w:p>
        </w:tc>
        <w:tc>
          <w:tcPr>
            <w:tcW w:w="2000" w:type="dxa"/>
            <w:vAlign w:val="bottom"/>
            <w:shd w:val="clear" w:color="auto" w:fill="D5DCE4"/>
          </w:tcPr>
          <w:p>
            <w:pPr>
              <w:jc w:val="right"/>
              <w:ind w:right="779"/>
              <w:spacing w:after="0"/>
              <w:rPr>
                <w:sz w:val="20"/>
                <w:szCs w:val="20"/>
                <w:color w:val="auto"/>
              </w:rPr>
            </w:pPr>
            <w:r>
              <w:rPr>
                <w:rFonts w:ascii="Arial" w:cs="Arial" w:eastAsia="Arial" w:hAnsi="Arial"/>
                <w:sz w:val="16"/>
                <w:szCs w:val="16"/>
                <w:b w:val="1"/>
                <w:bCs w:val="1"/>
                <w:color w:val="auto"/>
              </w:rPr>
              <w:t>39.03</w:t>
            </w:r>
          </w:p>
        </w:tc>
        <w:tc>
          <w:tcPr>
            <w:tcW w:w="14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47.6 %</w:t>
            </w:r>
          </w:p>
        </w:tc>
      </w:tr>
      <w:tr>
        <w:trPr>
          <w:trHeight w:val="243"/>
        </w:trPr>
        <w:tc>
          <w:tcPr>
            <w:tcW w:w="4760" w:type="dxa"/>
            <w:vAlign w:val="bottom"/>
          </w:tcPr>
          <w:p>
            <w:pPr>
              <w:ind w:left="140"/>
              <w:spacing w:after="0"/>
              <w:rPr>
                <w:sz w:val="20"/>
                <w:szCs w:val="20"/>
                <w:color w:val="auto"/>
              </w:rPr>
            </w:pPr>
            <w:r>
              <w:rPr>
                <w:rFonts w:ascii="Arial" w:cs="Arial" w:eastAsia="Arial" w:hAnsi="Arial"/>
                <w:sz w:val="16"/>
                <w:szCs w:val="16"/>
                <w:color w:val="auto"/>
              </w:rPr>
              <w:t xml:space="preserve">Cash Credit </w:t>
            </w:r>
            <w:r>
              <w:rPr>
                <w:rFonts w:ascii="Arial" w:cs="Arial" w:eastAsia="Arial" w:hAnsi="Arial"/>
                <w:sz w:val="21"/>
                <w:szCs w:val="21"/>
                <w:color w:val="auto"/>
                <w:vertAlign w:val="superscript"/>
              </w:rPr>
              <w:t>(2)</w:t>
            </w:r>
          </w:p>
        </w:tc>
        <w:tc>
          <w:tcPr>
            <w:tcW w:w="98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138.52</w:t>
            </w:r>
          </w:p>
        </w:tc>
        <w:tc>
          <w:tcPr>
            <w:tcW w:w="84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779"/>
              <w:spacing w:after="0"/>
              <w:rPr>
                <w:sz w:val="20"/>
                <w:szCs w:val="20"/>
                <w:color w:val="auto"/>
              </w:rPr>
            </w:pPr>
            <w:r>
              <w:rPr>
                <w:rFonts w:ascii="Arial" w:cs="Arial" w:eastAsia="Arial" w:hAnsi="Arial"/>
                <w:sz w:val="16"/>
                <w:szCs w:val="16"/>
                <w:color w:val="auto"/>
              </w:rPr>
              <w:t>134.56</w:t>
            </w:r>
          </w:p>
        </w:tc>
        <w:tc>
          <w:tcPr>
            <w:tcW w:w="1420" w:type="dxa"/>
            <w:vAlign w:val="bottom"/>
          </w:tcPr>
          <w:p>
            <w:pPr>
              <w:jc w:val="right"/>
              <w:spacing w:after="0"/>
              <w:rPr>
                <w:sz w:val="20"/>
                <w:szCs w:val="20"/>
                <w:color w:val="auto"/>
              </w:rPr>
            </w:pPr>
            <w:r>
              <w:rPr>
                <w:rFonts w:ascii="Arial" w:cs="Arial" w:eastAsia="Arial" w:hAnsi="Arial"/>
                <w:sz w:val="16"/>
                <w:szCs w:val="16"/>
                <w:color w:val="auto"/>
              </w:rPr>
              <w:t>2.9 %</w:t>
            </w:r>
          </w:p>
        </w:tc>
      </w:tr>
      <w:tr>
        <w:trPr>
          <w:trHeight w:val="243"/>
        </w:trPr>
        <w:tc>
          <w:tcPr>
            <w:tcW w:w="4760" w:type="dxa"/>
            <w:vAlign w:val="bottom"/>
            <w:shd w:val="clear" w:color="auto" w:fill="D5DCE4"/>
          </w:tcPr>
          <w:p>
            <w:pPr>
              <w:ind w:left="140"/>
              <w:spacing w:after="0"/>
              <w:rPr>
                <w:sz w:val="20"/>
                <w:szCs w:val="20"/>
                <w:color w:val="auto"/>
              </w:rPr>
            </w:pPr>
            <w:r>
              <w:rPr>
                <w:rFonts w:ascii="Arial" w:cs="Arial" w:eastAsia="Arial" w:hAnsi="Arial"/>
                <w:sz w:val="16"/>
                <w:szCs w:val="16"/>
                <w:color w:val="auto"/>
              </w:rPr>
              <w:t>Credit Derivatives and U.S. Cash "EP"</w:t>
            </w:r>
          </w:p>
        </w:tc>
        <w:tc>
          <w:tcPr>
            <w:tcW w:w="980" w:type="dxa"/>
            <w:vAlign w:val="bottom"/>
            <w:shd w:val="clear" w:color="auto" w:fill="D5DCE4"/>
          </w:tcPr>
          <w:p>
            <w:pPr>
              <w:jc w:val="right"/>
              <w:ind w:right="5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5DCE4"/>
          </w:tcPr>
          <w:p>
            <w:pPr>
              <w:jc w:val="right"/>
              <w:ind w:right="19"/>
              <w:spacing w:after="0"/>
              <w:rPr>
                <w:sz w:val="20"/>
                <w:szCs w:val="20"/>
                <w:color w:val="auto"/>
              </w:rPr>
            </w:pPr>
            <w:r>
              <w:rPr>
                <w:rFonts w:ascii="Arial" w:cs="Arial" w:eastAsia="Arial" w:hAnsi="Arial"/>
                <w:sz w:val="16"/>
                <w:szCs w:val="16"/>
                <w:color w:val="auto"/>
              </w:rPr>
              <w:t>7.91</w:t>
            </w:r>
          </w:p>
        </w:tc>
        <w:tc>
          <w:tcPr>
            <w:tcW w:w="840" w:type="dxa"/>
            <w:vAlign w:val="bottom"/>
            <w:shd w:val="clear" w:color="auto" w:fill="D5DCE4"/>
          </w:tcPr>
          <w:p>
            <w:pPr>
              <w:jc w:val="right"/>
              <w:ind w:right="599"/>
              <w:spacing w:after="0"/>
              <w:rPr>
                <w:sz w:val="20"/>
                <w:szCs w:val="20"/>
                <w:color w:val="auto"/>
              </w:rPr>
            </w:pPr>
            <w:r>
              <w:rPr>
                <w:rFonts w:ascii="Arial" w:cs="Arial" w:eastAsia="Arial" w:hAnsi="Arial"/>
                <w:sz w:val="16"/>
                <w:szCs w:val="16"/>
                <w:color w:val="auto"/>
              </w:rPr>
              <w:t>$</w:t>
            </w:r>
          </w:p>
        </w:tc>
        <w:tc>
          <w:tcPr>
            <w:tcW w:w="2000" w:type="dxa"/>
            <w:vAlign w:val="bottom"/>
            <w:shd w:val="clear" w:color="auto" w:fill="D5DCE4"/>
          </w:tcPr>
          <w:p>
            <w:pPr>
              <w:jc w:val="right"/>
              <w:ind w:right="779"/>
              <w:spacing w:after="0"/>
              <w:rPr>
                <w:sz w:val="20"/>
                <w:szCs w:val="20"/>
                <w:color w:val="auto"/>
              </w:rPr>
            </w:pPr>
            <w:r>
              <w:rPr>
                <w:rFonts w:ascii="Arial" w:cs="Arial" w:eastAsia="Arial" w:hAnsi="Arial"/>
                <w:sz w:val="16"/>
                <w:szCs w:val="16"/>
                <w:color w:val="auto"/>
              </w:rPr>
              <w:t>7.30</w:t>
            </w:r>
          </w:p>
        </w:tc>
        <w:tc>
          <w:tcPr>
            <w:tcW w:w="14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8.3 %</w:t>
            </w:r>
          </w:p>
        </w:tc>
      </w:tr>
      <w:tr>
        <w:trPr>
          <w:trHeight w:val="216"/>
        </w:trPr>
        <w:tc>
          <w:tcPr>
            <w:tcW w:w="4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3"/>
        </w:trPr>
        <w:tc>
          <w:tcPr>
            <w:tcW w:w="47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Equities</w:t>
            </w:r>
          </w:p>
        </w:tc>
        <w:tc>
          <w:tcPr>
            <w:tcW w:w="980" w:type="dxa"/>
            <w:vAlign w:val="bottom"/>
            <w:shd w:val="clear" w:color="auto" w:fill="D5DCE4"/>
          </w:tcPr>
          <w:p>
            <w:pPr>
              <w:jc w:val="right"/>
              <w:ind w:right="57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14.50</w:t>
            </w:r>
          </w:p>
        </w:tc>
        <w:tc>
          <w:tcPr>
            <w:tcW w:w="840" w:type="dxa"/>
            <w:vAlign w:val="bottom"/>
            <w:shd w:val="clear" w:color="auto" w:fill="D5DCE4"/>
          </w:tcPr>
          <w:p>
            <w:pPr>
              <w:jc w:val="right"/>
              <w:ind w:right="599"/>
              <w:spacing w:after="0"/>
              <w:rPr>
                <w:sz w:val="20"/>
                <w:szCs w:val="20"/>
                <w:color w:val="auto"/>
              </w:rPr>
            </w:pPr>
            <w:r>
              <w:rPr>
                <w:rFonts w:ascii="Arial" w:cs="Arial" w:eastAsia="Arial" w:hAnsi="Arial"/>
                <w:sz w:val="16"/>
                <w:szCs w:val="16"/>
                <w:b w:val="1"/>
                <w:bCs w:val="1"/>
                <w:color w:val="auto"/>
              </w:rPr>
              <w:t>$</w:t>
            </w:r>
          </w:p>
        </w:tc>
        <w:tc>
          <w:tcPr>
            <w:tcW w:w="2000" w:type="dxa"/>
            <w:vAlign w:val="bottom"/>
            <w:shd w:val="clear" w:color="auto" w:fill="D5DCE4"/>
          </w:tcPr>
          <w:p>
            <w:pPr>
              <w:jc w:val="right"/>
              <w:ind w:right="779"/>
              <w:spacing w:after="0"/>
              <w:rPr>
                <w:sz w:val="20"/>
                <w:szCs w:val="20"/>
                <w:color w:val="auto"/>
              </w:rPr>
            </w:pPr>
            <w:r>
              <w:rPr>
                <w:rFonts w:ascii="Arial" w:cs="Arial" w:eastAsia="Arial" w:hAnsi="Arial"/>
                <w:sz w:val="16"/>
                <w:szCs w:val="16"/>
                <w:b w:val="1"/>
                <w:bCs w:val="1"/>
                <w:color w:val="auto"/>
              </w:rPr>
              <w:t>20.58</w:t>
            </w:r>
          </w:p>
        </w:tc>
        <w:tc>
          <w:tcPr>
            <w:tcW w:w="14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(29.5)%</w:t>
            </w:r>
          </w:p>
        </w:tc>
      </w:tr>
      <w:tr>
        <w:trPr>
          <w:trHeight w:val="233"/>
        </w:trPr>
        <w:tc>
          <w:tcPr>
            <w:tcW w:w="4760" w:type="dxa"/>
            <w:vAlign w:val="bottom"/>
          </w:tcPr>
          <w:p>
            <w:pPr>
              <w:ind w:left="140"/>
              <w:spacing w:after="0"/>
              <w:rPr>
                <w:sz w:val="20"/>
                <w:szCs w:val="20"/>
                <w:color w:val="auto"/>
              </w:rPr>
            </w:pPr>
            <w:r>
              <w:rPr>
                <w:rFonts w:ascii="Arial" w:cs="Arial" w:eastAsia="Arial" w:hAnsi="Arial"/>
                <w:sz w:val="16"/>
                <w:szCs w:val="16"/>
                <w:color w:val="auto"/>
              </w:rPr>
              <w:t>Cash Equities</w:t>
            </w:r>
          </w:p>
        </w:tc>
        <w:tc>
          <w:tcPr>
            <w:tcW w:w="98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23.21</w:t>
            </w:r>
          </w:p>
        </w:tc>
        <w:tc>
          <w:tcPr>
            <w:tcW w:w="84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779"/>
              <w:spacing w:after="0"/>
              <w:rPr>
                <w:sz w:val="20"/>
                <w:szCs w:val="20"/>
                <w:color w:val="auto"/>
              </w:rPr>
            </w:pPr>
            <w:r>
              <w:rPr>
                <w:rFonts w:ascii="Arial" w:cs="Arial" w:eastAsia="Arial" w:hAnsi="Arial"/>
                <w:sz w:val="16"/>
                <w:szCs w:val="16"/>
                <w:color w:val="auto"/>
              </w:rPr>
              <w:t>27.24</w:t>
            </w:r>
          </w:p>
        </w:tc>
        <w:tc>
          <w:tcPr>
            <w:tcW w:w="1420" w:type="dxa"/>
            <w:vAlign w:val="bottom"/>
          </w:tcPr>
          <w:p>
            <w:pPr>
              <w:jc w:val="right"/>
              <w:spacing w:after="0"/>
              <w:rPr>
                <w:sz w:val="20"/>
                <w:szCs w:val="20"/>
                <w:color w:val="auto"/>
              </w:rPr>
            </w:pPr>
            <w:r>
              <w:rPr>
                <w:rFonts w:ascii="Arial" w:cs="Arial" w:eastAsia="Arial" w:hAnsi="Arial"/>
                <w:sz w:val="16"/>
                <w:szCs w:val="16"/>
                <w:color w:val="auto"/>
              </w:rPr>
              <w:t>(14.8)%</w:t>
            </w:r>
          </w:p>
        </w:tc>
      </w:tr>
      <w:tr>
        <w:trPr>
          <w:trHeight w:val="253"/>
        </w:trPr>
        <w:tc>
          <w:tcPr>
            <w:tcW w:w="4760" w:type="dxa"/>
            <w:vAlign w:val="bottom"/>
            <w:shd w:val="clear" w:color="auto" w:fill="D5DCE4"/>
          </w:tcPr>
          <w:p>
            <w:pPr>
              <w:ind w:left="140"/>
              <w:spacing w:after="0"/>
              <w:rPr>
                <w:sz w:val="20"/>
                <w:szCs w:val="20"/>
                <w:color w:val="auto"/>
              </w:rPr>
            </w:pPr>
            <w:r>
              <w:rPr>
                <w:rFonts w:ascii="Arial" w:cs="Arial" w:eastAsia="Arial" w:hAnsi="Arial"/>
                <w:sz w:val="16"/>
                <w:szCs w:val="16"/>
                <w:color w:val="auto"/>
              </w:rPr>
              <w:t>Equity Derivatives</w:t>
            </w:r>
          </w:p>
        </w:tc>
        <w:tc>
          <w:tcPr>
            <w:tcW w:w="980" w:type="dxa"/>
            <w:vAlign w:val="bottom"/>
            <w:shd w:val="clear" w:color="auto" w:fill="D5DCE4"/>
          </w:tcPr>
          <w:p>
            <w:pPr>
              <w:jc w:val="right"/>
              <w:ind w:right="5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5DCE4"/>
          </w:tcPr>
          <w:p>
            <w:pPr>
              <w:jc w:val="right"/>
              <w:ind w:right="19"/>
              <w:spacing w:after="0"/>
              <w:rPr>
                <w:sz w:val="20"/>
                <w:szCs w:val="20"/>
                <w:color w:val="auto"/>
              </w:rPr>
            </w:pPr>
            <w:r>
              <w:rPr>
                <w:rFonts w:ascii="Arial" w:cs="Arial" w:eastAsia="Arial" w:hAnsi="Arial"/>
                <w:sz w:val="16"/>
                <w:szCs w:val="16"/>
                <w:color w:val="auto"/>
              </w:rPr>
              <w:t>5.34</w:t>
            </w:r>
          </w:p>
        </w:tc>
        <w:tc>
          <w:tcPr>
            <w:tcW w:w="840" w:type="dxa"/>
            <w:vAlign w:val="bottom"/>
            <w:shd w:val="clear" w:color="auto" w:fill="D5DCE4"/>
          </w:tcPr>
          <w:p>
            <w:pPr>
              <w:jc w:val="right"/>
              <w:ind w:right="599"/>
              <w:spacing w:after="0"/>
              <w:rPr>
                <w:sz w:val="20"/>
                <w:szCs w:val="20"/>
                <w:color w:val="auto"/>
              </w:rPr>
            </w:pPr>
            <w:r>
              <w:rPr>
                <w:rFonts w:ascii="Arial" w:cs="Arial" w:eastAsia="Arial" w:hAnsi="Arial"/>
                <w:sz w:val="16"/>
                <w:szCs w:val="16"/>
                <w:color w:val="auto"/>
              </w:rPr>
              <w:t>$</w:t>
            </w:r>
          </w:p>
        </w:tc>
        <w:tc>
          <w:tcPr>
            <w:tcW w:w="2000" w:type="dxa"/>
            <w:vAlign w:val="bottom"/>
            <w:shd w:val="clear" w:color="auto" w:fill="D5DCE4"/>
          </w:tcPr>
          <w:p>
            <w:pPr>
              <w:jc w:val="right"/>
              <w:ind w:right="779"/>
              <w:spacing w:after="0"/>
              <w:rPr>
                <w:sz w:val="20"/>
                <w:szCs w:val="20"/>
                <w:color w:val="auto"/>
              </w:rPr>
            </w:pPr>
            <w:r>
              <w:rPr>
                <w:rFonts w:ascii="Arial" w:cs="Arial" w:eastAsia="Arial" w:hAnsi="Arial"/>
                <w:sz w:val="16"/>
                <w:szCs w:val="16"/>
                <w:color w:val="auto"/>
              </w:rPr>
              <w:t>9.10</w:t>
            </w:r>
          </w:p>
        </w:tc>
        <w:tc>
          <w:tcPr>
            <w:tcW w:w="14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(41.3)%</w:t>
            </w:r>
          </w:p>
        </w:tc>
      </w:tr>
      <w:tr>
        <w:trPr>
          <w:trHeight w:val="216"/>
        </w:trPr>
        <w:tc>
          <w:tcPr>
            <w:tcW w:w="4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3"/>
        </w:trPr>
        <w:tc>
          <w:tcPr>
            <w:tcW w:w="47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Money Markets (Cash)</w:t>
            </w:r>
          </w:p>
        </w:tc>
        <w:tc>
          <w:tcPr>
            <w:tcW w:w="980" w:type="dxa"/>
            <w:vAlign w:val="bottom"/>
            <w:shd w:val="clear" w:color="auto" w:fill="D5DCE4"/>
          </w:tcPr>
          <w:p>
            <w:pPr>
              <w:jc w:val="right"/>
              <w:ind w:right="57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0.31</w:t>
            </w:r>
          </w:p>
        </w:tc>
        <w:tc>
          <w:tcPr>
            <w:tcW w:w="840" w:type="dxa"/>
            <w:vAlign w:val="bottom"/>
            <w:shd w:val="clear" w:color="auto" w:fill="D5DCE4"/>
          </w:tcPr>
          <w:p>
            <w:pPr>
              <w:jc w:val="right"/>
              <w:ind w:right="599"/>
              <w:spacing w:after="0"/>
              <w:rPr>
                <w:sz w:val="20"/>
                <w:szCs w:val="20"/>
                <w:color w:val="auto"/>
              </w:rPr>
            </w:pPr>
            <w:r>
              <w:rPr>
                <w:rFonts w:ascii="Arial" w:cs="Arial" w:eastAsia="Arial" w:hAnsi="Arial"/>
                <w:sz w:val="16"/>
                <w:szCs w:val="16"/>
                <w:b w:val="1"/>
                <w:bCs w:val="1"/>
                <w:color w:val="auto"/>
              </w:rPr>
              <w:t>$</w:t>
            </w:r>
          </w:p>
        </w:tc>
        <w:tc>
          <w:tcPr>
            <w:tcW w:w="2000" w:type="dxa"/>
            <w:vAlign w:val="bottom"/>
            <w:shd w:val="clear" w:color="auto" w:fill="D5DCE4"/>
          </w:tcPr>
          <w:p>
            <w:pPr>
              <w:jc w:val="right"/>
              <w:ind w:right="779"/>
              <w:spacing w:after="0"/>
              <w:rPr>
                <w:sz w:val="20"/>
                <w:szCs w:val="20"/>
                <w:color w:val="auto"/>
              </w:rPr>
            </w:pPr>
            <w:r>
              <w:rPr>
                <w:rFonts w:ascii="Arial" w:cs="Arial" w:eastAsia="Arial" w:hAnsi="Arial"/>
                <w:sz w:val="16"/>
                <w:szCs w:val="16"/>
                <w:b w:val="1"/>
                <w:bCs w:val="1"/>
                <w:color w:val="auto"/>
              </w:rPr>
              <w:t>0.42</w:t>
            </w:r>
          </w:p>
        </w:tc>
        <w:tc>
          <w:tcPr>
            <w:tcW w:w="14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(26.3)%</w:t>
            </w:r>
          </w:p>
        </w:tc>
      </w:tr>
      <w:tr>
        <w:trPr>
          <w:trHeight w:val="216"/>
        </w:trPr>
        <w:tc>
          <w:tcPr>
            <w:tcW w:w="4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3"/>
        </w:trPr>
        <w:tc>
          <w:tcPr>
            <w:tcW w:w="47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Total Fees per Million</w:t>
            </w:r>
          </w:p>
        </w:tc>
        <w:tc>
          <w:tcPr>
            <w:tcW w:w="980" w:type="dxa"/>
            <w:vAlign w:val="bottom"/>
            <w:shd w:val="clear" w:color="auto" w:fill="D5DCE4"/>
          </w:tcPr>
          <w:p>
            <w:pPr>
              <w:jc w:val="right"/>
              <w:ind w:right="57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2.70</w:t>
            </w:r>
          </w:p>
        </w:tc>
        <w:tc>
          <w:tcPr>
            <w:tcW w:w="840" w:type="dxa"/>
            <w:vAlign w:val="bottom"/>
            <w:shd w:val="clear" w:color="auto" w:fill="D5DCE4"/>
          </w:tcPr>
          <w:p>
            <w:pPr>
              <w:jc w:val="right"/>
              <w:ind w:right="599"/>
              <w:spacing w:after="0"/>
              <w:rPr>
                <w:sz w:val="20"/>
                <w:szCs w:val="20"/>
                <w:color w:val="auto"/>
              </w:rPr>
            </w:pPr>
            <w:r>
              <w:rPr>
                <w:rFonts w:ascii="Arial" w:cs="Arial" w:eastAsia="Arial" w:hAnsi="Arial"/>
                <w:sz w:val="16"/>
                <w:szCs w:val="16"/>
                <w:b w:val="1"/>
                <w:bCs w:val="1"/>
                <w:color w:val="auto"/>
              </w:rPr>
              <w:t>$</w:t>
            </w:r>
          </w:p>
        </w:tc>
        <w:tc>
          <w:tcPr>
            <w:tcW w:w="2000" w:type="dxa"/>
            <w:vAlign w:val="bottom"/>
            <w:shd w:val="clear" w:color="auto" w:fill="D5DCE4"/>
          </w:tcPr>
          <w:p>
            <w:pPr>
              <w:jc w:val="right"/>
              <w:ind w:right="779"/>
              <w:spacing w:after="0"/>
              <w:rPr>
                <w:sz w:val="20"/>
                <w:szCs w:val="20"/>
                <w:color w:val="auto"/>
              </w:rPr>
            </w:pPr>
            <w:r>
              <w:rPr>
                <w:rFonts w:ascii="Arial" w:cs="Arial" w:eastAsia="Arial" w:hAnsi="Arial"/>
                <w:sz w:val="16"/>
                <w:szCs w:val="16"/>
                <w:b w:val="1"/>
                <w:bCs w:val="1"/>
                <w:color w:val="auto"/>
              </w:rPr>
              <w:t>2.56</w:t>
            </w:r>
          </w:p>
        </w:tc>
        <w:tc>
          <w:tcPr>
            <w:tcW w:w="14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5.3 %</w:t>
            </w:r>
          </w:p>
        </w:tc>
      </w:tr>
      <w:tr>
        <w:trPr>
          <w:trHeight w:val="294"/>
        </w:trPr>
        <w:tc>
          <w:tcPr>
            <w:tcW w:w="4760" w:type="dxa"/>
            <w:vAlign w:val="bottom"/>
          </w:tcPr>
          <w:p>
            <w:pPr>
              <w:ind w:left="20"/>
              <w:spacing w:after="0"/>
              <w:rPr>
                <w:sz w:val="20"/>
                <w:szCs w:val="20"/>
                <w:color w:val="auto"/>
              </w:rPr>
            </w:pPr>
            <w:r>
              <w:rPr>
                <w:rFonts w:ascii="Arial" w:cs="Arial" w:eastAsia="Arial" w:hAnsi="Arial"/>
                <w:sz w:val="16"/>
                <w:szCs w:val="16"/>
                <w:b w:val="1"/>
                <w:bCs w:val="1"/>
                <w:color w:val="auto"/>
              </w:rPr>
              <w:t xml:space="preserve">Total Fees per Million excluding Other Rates Derivatives </w:t>
            </w:r>
            <w:r>
              <w:rPr>
                <w:rFonts w:ascii="Arial" w:cs="Arial" w:eastAsia="Arial" w:hAnsi="Arial"/>
                <w:sz w:val="21"/>
                <w:szCs w:val="21"/>
                <w:b w:val="1"/>
                <w:bCs w:val="1"/>
                <w:color w:val="auto"/>
                <w:vertAlign w:val="superscript"/>
              </w:rPr>
              <w:t>(3)</w:t>
            </w:r>
          </w:p>
        </w:tc>
        <w:tc>
          <w:tcPr>
            <w:tcW w:w="980" w:type="dxa"/>
            <w:vAlign w:val="bottom"/>
          </w:tcPr>
          <w:p>
            <w:pPr>
              <w:jc w:val="right"/>
              <w:ind w:right="57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2.95</w:t>
            </w:r>
          </w:p>
        </w:tc>
        <w:tc>
          <w:tcPr>
            <w:tcW w:w="840" w:type="dxa"/>
            <w:vAlign w:val="bottom"/>
          </w:tcPr>
          <w:p>
            <w:pPr>
              <w:jc w:val="right"/>
              <w:ind w:right="599"/>
              <w:spacing w:after="0"/>
              <w:rPr>
                <w:sz w:val="20"/>
                <w:szCs w:val="20"/>
                <w:color w:val="auto"/>
              </w:rPr>
            </w:pPr>
            <w:r>
              <w:rPr>
                <w:rFonts w:ascii="Arial" w:cs="Arial" w:eastAsia="Arial" w:hAnsi="Arial"/>
                <w:sz w:val="16"/>
                <w:szCs w:val="16"/>
                <w:b w:val="1"/>
                <w:bCs w:val="1"/>
                <w:color w:val="auto"/>
              </w:rPr>
              <w:t>$</w:t>
            </w:r>
          </w:p>
        </w:tc>
        <w:tc>
          <w:tcPr>
            <w:tcW w:w="2000" w:type="dxa"/>
            <w:vAlign w:val="bottom"/>
          </w:tcPr>
          <w:p>
            <w:pPr>
              <w:jc w:val="right"/>
              <w:ind w:right="779"/>
              <w:spacing w:after="0"/>
              <w:rPr>
                <w:sz w:val="20"/>
                <w:szCs w:val="20"/>
                <w:color w:val="auto"/>
              </w:rPr>
            </w:pPr>
            <w:r>
              <w:rPr>
                <w:rFonts w:ascii="Arial" w:cs="Arial" w:eastAsia="Arial" w:hAnsi="Arial"/>
                <w:sz w:val="16"/>
                <w:szCs w:val="16"/>
                <w:b w:val="1"/>
                <w:bCs w:val="1"/>
                <w:color w:val="auto"/>
              </w:rPr>
              <w:t>2.79</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5.6 %</w:t>
            </w:r>
          </w:p>
        </w:tc>
      </w:tr>
    </w:tbl>
    <w:p>
      <w:pPr>
        <w:spacing w:after="0" w:line="28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Includes Swaps/Swaptions of tenor less than 1 year and Rates Futures.</w:t>
      </w:r>
    </w:p>
    <w:p>
      <w:pPr>
        <w:ind w:left="660" w:hanging="328"/>
        <w:spacing w:after="0" w:line="234" w:lineRule="auto"/>
        <w:tabs>
          <w:tab w:leader="none" w:pos="6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"cash credit" category represents the "credit" asset class excluding (1) credit derivatives and (2) U.S. High Grade and High Yield electronically processed ("EP") activity.</w:t>
      </w:r>
    </w:p>
    <w:p>
      <w:pPr>
        <w:ind w:left="660" w:hanging="328"/>
        <w:spacing w:after="0"/>
        <w:tabs>
          <w:tab w:leader="none" w:pos="6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Included to contextualize the impact of short-tenored Swaps/Swaptions and Rates Futures on totals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8</w:t>
      </w:r>
    </w:p>
    <w:p>
      <w:pPr>
        <w:sectPr>
          <w:pgSz w:w="11900" w:h="16838" w:orient="portrait"/>
          <w:cols w:equalWidth="0" w:num="1">
            <w:col w:w="11240"/>
          </w:cols>
          <w:pgMar w:left="320" w:top="769"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083566"/>
        </w:rPr>
        <w:t>TRADEWEB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AVERAGE DAILY VOLUME (UNAUDITED)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2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2021 Q2</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ind w:left="1040"/>
              <w:spacing w:after="0"/>
              <w:rPr>
                <w:sz w:val="20"/>
                <w:szCs w:val="20"/>
                <w:color w:val="auto"/>
              </w:rPr>
            </w:pPr>
            <w:r>
              <w:rPr>
                <w:rFonts w:ascii="Arial" w:cs="Arial" w:eastAsia="Arial" w:hAnsi="Arial"/>
                <w:sz w:val="16"/>
                <w:szCs w:val="16"/>
                <w:b w:val="1"/>
                <w:bCs w:val="1"/>
                <w:color w:val="auto"/>
              </w:rPr>
              <w:t>2020 Q2</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ind w:left="620"/>
              <w:spacing w:after="0"/>
              <w:rPr>
                <w:sz w:val="20"/>
                <w:szCs w:val="20"/>
                <w:color w:val="auto"/>
              </w:rPr>
            </w:pPr>
            <w:r>
              <w:rPr>
                <w:rFonts w:ascii="Arial" w:cs="Arial" w:eastAsia="Arial" w:hAnsi="Arial"/>
                <w:sz w:val="16"/>
                <w:szCs w:val="16"/>
                <w:b w:val="1"/>
                <w:bCs w:val="1"/>
                <w:color w:val="auto"/>
              </w:rPr>
              <w:t>YoY</w:t>
            </w:r>
          </w:p>
        </w:tc>
        <w:tc>
          <w:tcPr>
            <w:tcW w:w="0" w:type="dxa"/>
            <w:vAlign w:val="bottom"/>
          </w:tcPr>
          <w:p>
            <w:pPr>
              <w:spacing w:after="0"/>
              <w:rPr>
                <w:sz w:val="1"/>
                <w:szCs w:val="1"/>
                <w:color w:val="auto"/>
              </w:rPr>
            </w:pPr>
          </w:p>
        </w:tc>
      </w:tr>
      <w:tr>
        <w:trPr>
          <w:trHeight w:val="256"/>
        </w:trPr>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Asset Class</w:t>
            </w:r>
          </w:p>
        </w:tc>
        <w:tc>
          <w:tcPr>
            <w:tcW w:w="23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Product</w:t>
            </w:r>
          </w:p>
        </w:tc>
        <w:tc>
          <w:tcPr>
            <w:tcW w:w="120" w:type="dxa"/>
            <w:vAlign w:val="bottom"/>
            <w:tcBorders>
              <w:bottom w:val="single" w:sz="8" w:color="D5DCE4"/>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ADV (USD mm)</w:t>
            </w: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Volume (USD mm)</w:t>
            </w:r>
          </w:p>
        </w:tc>
        <w:tc>
          <w:tcPr>
            <w:tcW w:w="100" w:type="dxa"/>
            <w:vAlign w:val="bottom"/>
            <w:tcBorders>
              <w:bottom w:val="single" w:sz="8" w:color="D5DCE4"/>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ADV (USD mm)  Volume (USD mm)</w:t>
            </w:r>
          </w:p>
        </w:tc>
        <w:tc>
          <w:tcPr>
            <w:tcW w:w="100" w:type="dxa"/>
            <w:vAlign w:val="bottom"/>
            <w:tcBorders>
              <w:bottom w:val="single" w:sz="8" w:color="D5DCE4"/>
            </w:tcBorders>
          </w:tcPr>
          <w:p>
            <w:pPr>
              <w:spacing w:after="0"/>
              <w:rPr>
                <w:sz w:val="22"/>
                <w:szCs w:val="22"/>
                <w:color w:val="auto"/>
              </w:rPr>
            </w:pPr>
          </w:p>
        </w:tc>
        <w:tc>
          <w:tcPr>
            <w:tcW w:w="1580" w:type="dxa"/>
            <w:vAlign w:val="bottom"/>
            <w:tcBorders>
              <w:bottom w:val="single" w:sz="8" w:color="auto"/>
            </w:tcBorders>
          </w:tcPr>
          <w:p>
            <w:pPr>
              <w:ind w:left="600"/>
              <w:spacing w:after="0"/>
              <w:rPr>
                <w:sz w:val="20"/>
                <w:szCs w:val="20"/>
                <w:color w:val="auto"/>
              </w:rPr>
            </w:pPr>
            <w:r>
              <w:rPr>
                <w:rFonts w:ascii="Arial" w:cs="Arial" w:eastAsia="Arial" w:hAnsi="Arial"/>
                <w:sz w:val="16"/>
                <w:szCs w:val="16"/>
                <w:b w:val="1"/>
                <w:bCs w:val="1"/>
                <w:color w:val="auto"/>
              </w:rPr>
              <w:t>ADV</w:t>
            </w:r>
          </w:p>
        </w:tc>
        <w:tc>
          <w:tcPr>
            <w:tcW w:w="0" w:type="dxa"/>
            <w:vAlign w:val="bottom"/>
          </w:tcPr>
          <w:p>
            <w:pPr>
              <w:spacing w:after="0"/>
              <w:rPr>
                <w:sz w:val="1"/>
                <w:szCs w:val="1"/>
                <w:color w:val="auto"/>
              </w:rPr>
            </w:pPr>
          </w:p>
        </w:tc>
      </w:tr>
      <w:tr>
        <w:trPr>
          <w:trHeight w:val="243"/>
        </w:trPr>
        <w:tc>
          <w:tcPr>
            <w:tcW w:w="1200" w:type="dxa"/>
            <w:vAlign w:val="bottom"/>
            <w:tcBorders>
              <w:right w:val="single" w:sz="8" w:color="D5DCE4"/>
            </w:tcBorders>
            <w:shd w:val="clear" w:color="auto" w:fill="D5DCE4"/>
          </w:tcPr>
          <w:p>
            <w:pPr>
              <w:ind w:left="20"/>
              <w:spacing w:after="0"/>
              <w:rPr>
                <w:sz w:val="20"/>
                <w:szCs w:val="20"/>
                <w:color w:val="auto"/>
              </w:rPr>
            </w:pPr>
            <w:r>
              <w:rPr>
                <w:rFonts w:ascii="Arial" w:cs="Arial" w:eastAsia="Arial" w:hAnsi="Arial"/>
                <w:sz w:val="16"/>
                <w:szCs w:val="16"/>
                <w:b w:val="1"/>
                <w:bCs w:val="1"/>
                <w:color w:val="auto"/>
              </w:rPr>
              <w:t>Rates</w:t>
            </w:r>
          </w:p>
        </w:tc>
        <w:tc>
          <w:tcPr>
            <w:tcW w:w="242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100" w:type="dxa"/>
            <w:vAlign w:val="bottom"/>
            <w:shd w:val="clear" w:color="auto" w:fill="D5DCE4"/>
          </w:tcPr>
          <w:p>
            <w:pPr>
              <w:jc w:val="right"/>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319,023</w:t>
            </w:r>
          </w:p>
        </w:tc>
        <w:tc>
          <w:tcPr>
            <w:tcW w:w="440" w:type="dxa"/>
            <w:vAlign w:val="bottom"/>
            <w:shd w:val="clear" w:color="auto" w:fill="D5DCE4"/>
          </w:tcPr>
          <w:p>
            <w:pPr>
              <w:jc w:val="right"/>
              <w:ind w:right="280"/>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20,348,109</w:t>
            </w:r>
          </w:p>
        </w:tc>
        <w:tc>
          <w:tcPr>
            <w:tcW w:w="100" w:type="dxa"/>
            <w:vAlign w:val="bottom"/>
            <w:tcBorders>
              <w:right w:val="single" w:sz="8" w:color="D5DCE4"/>
            </w:tcBorders>
            <w:shd w:val="clear" w:color="auto" w:fill="D5DCE4"/>
          </w:tcPr>
          <w:p>
            <w:pPr>
              <w:spacing w:after="0"/>
              <w:rPr>
                <w:sz w:val="21"/>
                <w:szCs w:val="21"/>
                <w:color w:val="auto"/>
              </w:rPr>
            </w:pPr>
          </w:p>
        </w:tc>
        <w:tc>
          <w:tcPr>
            <w:tcW w:w="1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297,599</w:t>
            </w:r>
          </w:p>
        </w:tc>
        <w:tc>
          <w:tcPr>
            <w:tcW w:w="440" w:type="dxa"/>
            <w:vAlign w:val="bottom"/>
            <w:shd w:val="clear" w:color="auto" w:fill="D5DCE4"/>
          </w:tcPr>
          <w:p>
            <w:pPr>
              <w:jc w:val="center"/>
              <w:ind w:right="279"/>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18,717,824</w:t>
            </w:r>
          </w:p>
        </w:tc>
        <w:tc>
          <w:tcPr>
            <w:tcW w:w="100" w:type="dxa"/>
            <w:vAlign w:val="bottom"/>
            <w:tcBorders>
              <w:right w:val="single" w:sz="8" w:color="D5DCE4"/>
            </w:tcBorders>
            <w:shd w:val="clear" w:color="auto" w:fill="D5DCE4"/>
          </w:tcPr>
          <w:p>
            <w:pPr>
              <w:spacing w:after="0"/>
              <w:rPr>
                <w:sz w:val="21"/>
                <w:szCs w:val="21"/>
                <w:color w:val="auto"/>
              </w:rPr>
            </w:pPr>
          </w:p>
        </w:tc>
        <w:tc>
          <w:tcPr>
            <w:tcW w:w="15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7.20 %</w:t>
            </w: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p>
        </w:tc>
        <w:tc>
          <w:tcPr>
            <w:tcW w:w="242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U.S. Government Bonds</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106,803</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6,835,404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92,260</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5,812,399</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15.76 %</w:t>
            </w:r>
          </w:p>
        </w:tc>
        <w:tc>
          <w:tcPr>
            <w:tcW w:w="0" w:type="dxa"/>
            <w:vAlign w:val="bottom"/>
          </w:tcPr>
          <w:p>
            <w:pPr>
              <w:spacing w:after="0"/>
              <w:rPr>
                <w:sz w:val="1"/>
                <w:szCs w:val="1"/>
                <w:color w:val="auto"/>
              </w:rPr>
            </w:pPr>
          </w:p>
        </w:tc>
      </w:tr>
      <w:tr>
        <w:trPr>
          <w:trHeight w:val="253"/>
        </w:trPr>
        <w:tc>
          <w:tcPr>
            <w:tcW w:w="1200" w:type="dxa"/>
            <w:vAlign w:val="bottom"/>
            <w:tcBorders>
              <w:right w:val="single" w:sz="8" w:color="D5DCE4"/>
            </w:tcBorders>
            <w:shd w:val="clear" w:color="auto" w:fill="D5DCE4"/>
          </w:tcPr>
          <w:p>
            <w:pPr>
              <w:spacing w:after="0"/>
              <w:rPr>
                <w:sz w:val="21"/>
                <w:szCs w:val="21"/>
                <w:color w:val="auto"/>
              </w:rPr>
            </w:pPr>
          </w:p>
        </w:tc>
        <w:tc>
          <w:tcPr>
            <w:tcW w:w="242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European Government Bonds</w:t>
            </w:r>
          </w:p>
        </w:tc>
        <w:tc>
          <w:tcPr>
            <w:tcW w:w="10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30,515</w:t>
            </w:r>
          </w:p>
        </w:tc>
        <w:tc>
          <w:tcPr>
            <w:tcW w:w="44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1,891,937</w:t>
            </w:r>
          </w:p>
        </w:tc>
        <w:tc>
          <w:tcPr>
            <w:tcW w:w="100" w:type="dxa"/>
            <w:vAlign w:val="bottom"/>
            <w:tcBorders>
              <w:right w:val="single" w:sz="8" w:color="D5DCE4"/>
            </w:tcBorders>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27,105</w:t>
            </w:r>
          </w:p>
        </w:tc>
        <w:tc>
          <w:tcPr>
            <w:tcW w:w="44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1,680,500</w:t>
            </w:r>
          </w:p>
        </w:tc>
        <w:tc>
          <w:tcPr>
            <w:tcW w:w="100" w:type="dxa"/>
            <w:vAlign w:val="bottom"/>
            <w:tcBorders>
              <w:right w:val="single" w:sz="8" w:color="D5DCE4"/>
            </w:tcBorders>
            <w:shd w:val="clear" w:color="auto" w:fill="D5DCE4"/>
          </w:tcPr>
          <w:p>
            <w:pPr>
              <w:spacing w:after="0"/>
              <w:rPr>
                <w:sz w:val="21"/>
                <w:szCs w:val="21"/>
                <w:color w:val="auto"/>
              </w:rPr>
            </w:pPr>
          </w:p>
        </w:tc>
        <w:tc>
          <w:tcPr>
            <w:tcW w:w="15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12.58 %</w:t>
            </w: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p>
        </w:tc>
        <w:tc>
          <w:tcPr>
            <w:tcW w:w="242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Mortgages</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177,570</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11,364,474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173,551</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10,933,713</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2.32 %</w:t>
            </w:r>
          </w:p>
        </w:tc>
        <w:tc>
          <w:tcPr>
            <w:tcW w:w="0" w:type="dxa"/>
            <w:vAlign w:val="bottom"/>
          </w:tcPr>
          <w:p>
            <w:pPr>
              <w:spacing w:after="0"/>
              <w:rPr>
                <w:sz w:val="1"/>
                <w:szCs w:val="1"/>
                <w:color w:val="auto"/>
              </w:rPr>
            </w:pPr>
          </w:p>
        </w:tc>
      </w:tr>
      <w:tr>
        <w:trPr>
          <w:trHeight w:val="253"/>
        </w:trPr>
        <w:tc>
          <w:tcPr>
            <w:tcW w:w="1200" w:type="dxa"/>
            <w:vAlign w:val="bottom"/>
            <w:tcBorders>
              <w:right w:val="single" w:sz="8" w:color="D5DCE4"/>
            </w:tcBorders>
            <w:shd w:val="clear" w:color="auto" w:fill="D5DCE4"/>
          </w:tcPr>
          <w:p>
            <w:pPr>
              <w:spacing w:after="0"/>
              <w:rPr>
                <w:sz w:val="21"/>
                <w:szCs w:val="21"/>
                <w:color w:val="auto"/>
              </w:rPr>
            </w:pPr>
          </w:p>
        </w:tc>
        <w:tc>
          <w:tcPr>
            <w:tcW w:w="242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Other Government Bonds</w:t>
            </w:r>
          </w:p>
        </w:tc>
        <w:tc>
          <w:tcPr>
            <w:tcW w:w="10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4,135</w:t>
            </w:r>
          </w:p>
        </w:tc>
        <w:tc>
          <w:tcPr>
            <w:tcW w:w="44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256,293</w:t>
            </w:r>
          </w:p>
        </w:tc>
        <w:tc>
          <w:tcPr>
            <w:tcW w:w="100" w:type="dxa"/>
            <w:vAlign w:val="bottom"/>
            <w:tcBorders>
              <w:right w:val="single" w:sz="8" w:color="D5DCE4"/>
            </w:tcBorders>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4,682</w:t>
            </w:r>
          </w:p>
        </w:tc>
        <w:tc>
          <w:tcPr>
            <w:tcW w:w="44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291,211</w:t>
            </w:r>
          </w:p>
        </w:tc>
        <w:tc>
          <w:tcPr>
            <w:tcW w:w="100" w:type="dxa"/>
            <w:vAlign w:val="bottom"/>
            <w:tcBorders>
              <w:right w:val="single" w:sz="8" w:color="D5DCE4"/>
            </w:tcBorders>
            <w:shd w:val="clear" w:color="auto" w:fill="D5DCE4"/>
          </w:tcPr>
          <w:p>
            <w:pPr>
              <w:spacing w:after="0"/>
              <w:rPr>
                <w:sz w:val="21"/>
                <w:szCs w:val="21"/>
                <w:color w:val="auto"/>
              </w:rPr>
            </w:pPr>
          </w:p>
        </w:tc>
        <w:tc>
          <w:tcPr>
            <w:tcW w:w="15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(11.69)%</w:t>
            </w: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p>
        </w:tc>
        <w:tc>
          <w:tcPr>
            <w:tcW w:w="242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256,648</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16,209,757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209,160</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13,078,196</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22.70 %</w:t>
            </w:r>
          </w:p>
        </w:tc>
        <w:tc>
          <w:tcPr>
            <w:tcW w:w="0" w:type="dxa"/>
            <w:vAlign w:val="bottom"/>
          </w:tcPr>
          <w:p>
            <w:pPr>
              <w:spacing w:after="0"/>
              <w:rPr>
                <w:sz w:val="1"/>
                <w:szCs w:val="1"/>
                <w:color w:val="auto"/>
              </w:rPr>
            </w:pPr>
          </w:p>
        </w:tc>
      </w:tr>
      <w:tr>
        <w:trPr>
          <w:trHeight w:val="253"/>
        </w:trPr>
        <w:tc>
          <w:tcPr>
            <w:tcW w:w="1200" w:type="dxa"/>
            <w:vAlign w:val="bottom"/>
            <w:tcBorders>
              <w:right w:val="single" w:sz="8" w:color="D5DCE4"/>
            </w:tcBorders>
            <w:shd w:val="clear" w:color="auto" w:fill="D5DCE4"/>
          </w:tcPr>
          <w:p>
            <w:pPr>
              <w:spacing w:after="0"/>
              <w:rPr>
                <w:sz w:val="21"/>
                <w:szCs w:val="21"/>
                <w:color w:val="auto"/>
              </w:rPr>
            </w:pPr>
          </w:p>
        </w:tc>
        <w:tc>
          <w:tcPr>
            <w:tcW w:w="242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Swaps/Swaptions ≥ 1Y</w:t>
            </w:r>
          </w:p>
        </w:tc>
        <w:tc>
          <w:tcPr>
            <w:tcW w:w="10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165,825</w:t>
            </w:r>
          </w:p>
        </w:tc>
        <w:tc>
          <w:tcPr>
            <w:tcW w:w="44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10,441,873</w:t>
            </w:r>
          </w:p>
        </w:tc>
        <w:tc>
          <w:tcPr>
            <w:tcW w:w="100" w:type="dxa"/>
            <w:vAlign w:val="bottom"/>
            <w:tcBorders>
              <w:right w:val="single" w:sz="8" w:color="D5DCE4"/>
            </w:tcBorders>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140,999</w:t>
            </w:r>
          </w:p>
        </w:tc>
        <w:tc>
          <w:tcPr>
            <w:tcW w:w="44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8,811,975</w:t>
            </w:r>
          </w:p>
        </w:tc>
        <w:tc>
          <w:tcPr>
            <w:tcW w:w="100" w:type="dxa"/>
            <w:vAlign w:val="bottom"/>
            <w:tcBorders>
              <w:right w:val="single" w:sz="8" w:color="D5DCE4"/>
            </w:tcBorders>
            <w:shd w:val="clear" w:color="auto" w:fill="D5DCE4"/>
          </w:tcPr>
          <w:p>
            <w:pPr>
              <w:spacing w:after="0"/>
              <w:rPr>
                <w:sz w:val="21"/>
                <w:szCs w:val="21"/>
                <w:color w:val="auto"/>
              </w:rPr>
            </w:pPr>
          </w:p>
        </w:tc>
        <w:tc>
          <w:tcPr>
            <w:tcW w:w="15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17.61 %</w:t>
            </w: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p>
        </w:tc>
        <w:tc>
          <w:tcPr>
            <w:tcW w:w="242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Swaps/Swaptions &lt; 1Y</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89,975</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5,713,635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67,767</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4,241,352</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32.77 %</w:t>
            </w:r>
          </w:p>
        </w:tc>
        <w:tc>
          <w:tcPr>
            <w:tcW w:w="0" w:type="dxa"/>
            <w:vAlign w:val="bottom"/>
          </w:tcPr>
          <w:p>
            <w:pPr>
              <w:spacing w:after="0"/>
              <w:rPr>
                <w:sz w:val="1"/>
                <w:szCs w:val="1"/>
                <w:color w:val="auto"/>
              </w:rPr>
            </w:pPr>
          </w:p>
        </w:tc>
      </w:tr>
      <w:tr>
        <w:trPr>
          <w:trHeight w:val="253"/>
        </w:trPr>
        <w:tc>
          <w:tcPr>
            <w:tcW w:w="1200" w:type="dxa"/>
            <w:vAlign w:val="bottom"/>
            <w:tcBorders>
              <w:right w:val="single" w:sz="8" w:color="D5DCE4"/>
            </w:tcBorders>
            <w:shd w:val="clear" w:color="auto" w:fill="D5DCE4"/>
          </w:tcPr>
          <w:p>
            <w:pPr>
              <w:spacing w:after="0"/>
              <w:rPr>
                <w:sz w:val="21"/>
                <w:szCs w:val="21"/>
                <w:color w:val="auto"/>
              </w:rPr>
            </w:pPr>
          </w:p>
        </w:tc>
        <w:tc>
          <w:tcPr>
            <w:tcW w:w="242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Futures</w:t>
            </w:r>
          </w:p>
        </w:tc>
        <w:tc>
          <w:tcPr>
            <w:tcW w:w="10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848</w:t>
            </w:r>
          </w:p>
        </w:tc>
        <w:tc>
          <w:tcPr>
            <w:tcW w:w="44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54,248</w:t>
            </w:r>
          </w:p>
        </w:tc>
        <w:tc>
          <w:tcPr>
            <w:tcW w:w="100" w:type="dxa"/>
            <w:vAlign w:val="bottom"/>
            <w:tcBorders>
              <w:right w:val="single" w:sz="8" w:color="D5DCE4"/>
            </w:tcBorders>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395</w:t>
            </w:r>
          </w:p>
        </w:tc>
        <w:tc>
          <w:tcPr>
            <w:tcW w:w="44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24,870</w:t>
            </w:r>
          </w:p>
        </w:tc>
        <w:tc>
          <w:tcPr>
            <w:tcW w:w="100" w:type="dxa"/>
            <w:vAlign w:val="bottom"/>
            <w:tcBorders>
              <w:right w:val="single" w:sz="8" w:color="D5DCE4"/>
            </w:tcBorders>
            <w:shd w:val="clear" w:color="auto" w:fill="D5DCE4"/>
          </w:tcPr>
          <w:p>
            <w:pPr>
              <w:spacing w:after="0"/>
              <w:rPr>
                <w:sz w:val="21"/>
                <w:szCs w:val="21"/>
                <w:color w:val="auto"/>
              </w:rPr>
            </w:pPr>
          </w:p>
        </w:tc>
        <w:tc>
          <w:tcPr>
            <w:tcW w:w="15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114.74 %</w:t>
            </w:r>
          </w:p>
        </w:tc>
        <w:tc>
          <w:tcPr>
            <w:tcW w:w="0" w:type="dxa"/>
            <w:vAlign w:val="bottom"/>
          </w:tcPr>
          <w:p>
            <w:pPr>
              <w:spacing w:after="0"/>
              <w:rPr>
                <w:sz w:val="1"/>
                <w:szCs w:val="1"/>
                <w:color w:val="auto"/>
              </w:rPr>
            </w:pPr>
          </w:p>
        </w:tc>
      </w:tr>
      <w:tr>
        <w:trPr>
          <w:trHeight w:val="230"/>
        </w:trPr>
        <w:tc>
          <w:tcPr>
            <w:tcW w:w="1200" w:type="dxa"/>
            <w:vAlign w:val="bottom"/>
            <w:tcBorders>
              <w:bottom w:val="single" w:sz="8" w:color="D5DCE4"/>
            </w:tcBorders>
          </w:tcPr>
          <w:p>
            <w:pPr>
              <w:spacing w:after="0"/>
              <w:rPr>
                <w:sz w:val="20"/>
                <w:szCs w:val="20"/>
                <w:color w:val="auto"/>
              </w:rPr>
            </w:pPr>
          </w:p>
        </w:tc>
        <w:tc>
          <w:tcPr>
            <w:tcW w:w="2420" w:type="dxa"/>
            <w:vAlign w:val="bottom"/>
            <w:tcBorders>
              <w:bottom w:val="single" w:sz="8" w:color="D5DCE4"/>
            </w:tcBorders>
            <w:gridSpan w:val="2"/>
          </w:tcPr>
          <w:p>
            <w:pPr>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575,671</w:t>
            </w:r>
          </w:p>
        </w:tc>
        <w:tc>
          <w:tcPr>
            <w:tcW w:w="4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36,557,865</w:t>
            </w:r>
          </w:p>
        </w:tc>
        <w:tc>
          <w:tcPr>
            <w:tcW w:w="100" w:type="dxa"/>
            <w:vAlign w:val="bottom"/>
            <w:tcBorders>
              <w:bottom w:val="single" w:sz="8" w:color="D5DCE4"/>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506,759</w:t>
            </w:r>
          </w:p>
        </w:tc>
        <w:tc>
          <w:tcPr>
            <w:tcW w:w="4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31,796,020</w:t>
            </w:r>
          </w:p>
        </w:tc>
        <w:tc>
          <w:tcPr>
            <w:tcW w:w="100" w:type="dxa"/>
            <w:vAlign w:val="bottom"/>
            <w:tcBorders>
              <w:bottom w:val="single" w:sz="8" w:color="D5DCE4"/>
            </w:tcBorders>
          </w:tcPr>
          <w:p>
            <w:pPr>
              <w:spacing w:after="0"/>
              <w:rPr>
                <w:sz w:val="20"/>
                <w:szCs w:val="20"/>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13.60 %</w:t>
            </w:r>
          </w:p>
        </w:tc>
        <w:tc>
          <w:tcPr>
            <w:tcW w:w="0" w:type="dxa"/>
            <w:vAlign w:val="bottom"/>
          </w:tcPr>
          <w:p>
            <w:pPr>
              <w:spacing w:after="0"/>
              <w:rPr>
                <w:sz w:val="1"/>
                <w:szCs w:val="1"/>
                <w:color w:val="auto"/>
              </w:rPr>
            </w:pPr>
          </w:p>
        </w:tc>
      </w:tr>
      <w:tr>
        <w:trPr>
          <w:trHeight w:val="243"/>
        </w:trPr>
        <w:tc>
          <w:tcPr>
            <w:tcW w:w="1200" w:type="dxa"/>
            <w:vAlign w:val="bottom"/>
            <w:tcBorders>
              <w:right w:val="single" w:sz="8" w:color="D5DCE4"/>
            </w:tcBorders>
            <w:shd w:val="clear" w:color="auto" w:fill="D5DCE4"/>
          </w:tcPr>
          <w:p>
            <w:pPr>
              <w:ind w:left="20"/>
              <w:spacing w:after="0"/>
              <w:rPr>
                <w:sz w:val="20"/>
                <w:szCs w:val="20"/>
                <w:color w:val="auto"/>
              </w:rPr>
            </w:pPr>
            <w:r>
              <w:rPr>
                <w:rFonts w:ascii="Arial" w:cs="Arial" w:eastAsia="Arial" w:hAnsi="Arial"/>
                <w:sz w:val="16"/>
                <w:szCs w:val="16"/>
                <w:b w:val="1"/>
                <w:bCs w:val="1"/>
                <w:color w:val="auto"/>
              </w:rPr>
              <w:t>Credit</w:t>
            </w:r>
          </w:p>
        </w:tc>
        <w:tc>
          <w:tcPr>
            <w:tcW w:w="242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10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9,519</w:t>
            </w:r>
          </w:p>
        </w:tc>
        <w:tc>
          <w:tcPr>
            <w:tcW w:w="44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599,774</w:t>
            </w:r>
          </w:p>
        </w:tc>
        <w:tc>
          <w:tcPr>
            <w:tcW w:w="100" w:type="dxa"/>
            <w:vAlign w:val="bottom"/>
            <w:tcBorders>
              <w:right w:val="single" w:sz="8" w:color="D5DCE4"/>
            </w:tcBorders>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7,812</w:t>
            </w:r>
          </w:p>
        </w:tc>
        <w:tc>
          <w:tcPr>
            <w:tcW w:w="44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486,716</w:t>
            </w:r>
          </w:p>
        </w:tc>
        <w:tc>
          <w:tcPr>
            <w:tcW w:w="100" w:type="dxa"/>
            <w:vAlign w:val="bottom"/>
            <w:tcBorders>
              <w:right w:val="single" w:sz="8" w:color="D5DCE4"/>
            </w:tcBorders>
            <w:shd w:val="clear" w:color="auto" w:fill="D5DCE4"/>
          </w:tcPr>
          <w:p>
            <w:pPr>
              <w:spacing w:after="0"/>
              <w:rPr>
                <w:sz w:val="21"/>
                <w:szCs w:val="21"/>
                <w:color w:val="auto"/>
              </w:rPr>
            </w:pPr>
          </w:p>
        </w:tc>
        <w:tc>
          <w:tcPr>
            <w:tcW w:w="15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21.85 %</w:t>
            </w: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p>
        </w:tc>
        <w:tc>
          <w:tcPr>
            <w:tcW w:w="242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U.S. High Grade</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5,083</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325,344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4,653</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293,156</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9.25 %</w:t>
            </w:r>
          </w:p>
        </w:tc>
        <w:tc>
          <w:tcPr>
            <w:tcW w:w="0" w:type="dxa"/>
            <w:vAlign w:val="bottom"/>
          </w:tcPr>
          <w:p>
            <w:pPr>
              <w:spacing w:after="0"/>
              <w:rPr>
                <w:sz w:val="1"/>
                <w:szCs w:val="1"/>
                <w:color w:val="auto"/>
              </w:rPr>
            </w:pPr>
          </w:p>
        </w:tc>
      </w:tr>
      <w:tr>
        <w:trPr>
          <w:trHeight w:val="253"/>
        </w:trPr>
        <w:tc>
          <w:tcPr>
            <w:tcW w:w="1200" w:type="dxa"/>
            <w:vAlign w:val="bottom"/>
            <w:tcBorders>
              <w:right w:val="single" w:sz="8" w:color="D5DCE4"/>
            </w:tcBorders>
            <w:shd w:val="clear" w:color="auto" w:fill="D5DCE4"/>
          </w:tcPr>
          <w:p>
            <w:pPr>
              <w:spacing w:after="0"/>
              <w:rPr>
                <w:sz w:val="21"/>
                <w:szCs w:val="21"/>
                <w:color w:val="auto"/>
              </w:rPr>
            </w:pPr>
          </w:p>
        </w:tc>
        <w:tc>
          <w:tcPr>
            <w:tcW w:w="242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U.S. High Yield</w:t>
            </w:r>
          </w:p>
        </w:tc>
        <w:tc>
          <w:tcPr>
            <w:tcW w:w="10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836</w:t>
            </w:r>
          </w:p>
        </w:tc>
        <w:tc>
          <w:tcPr>
            <w:tcW w:w="44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53,524</w:t>
            </w:r>
          </w:p>
        </w:tc>
        <w:tc>
          <w:tcPr>
            <w:tcW w:w="100" w:type="dxa"/>
            <w:vAlign w:val="bottom"/>
            <w:tcBorders>
              <w:right w:val="single" w:sz="8" w:color="D5DCE4"/>
            </w:tcBorders>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486</w:t>
            </w:r>
          </w:p>
        </w:tc>
        <w:tc>
          <w:tcPr>
            <w:tcW w:w="44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30,648</w:t>
            </w:r>
          </w:p>
        </w:tc>
        <w:tc>
          <w:tcPr>
            <w:tcW w:w="100" w:type="dxa"/>
            <w:vAlign w:val="bottom"/>
            <w:tcBorders>
              <w:right w:val="single" w:sz="8" w:color="D5DCE4"/>
            </w:tcBorders>
            <w:shd w:val="clear" w:color="auto" w:fill="D5DCE4"/>
          </w:tcPr>
          <w:p>
            <w:pPr>
              <w:spacing w:after="0"/>
              <w:rPr>
                <w:sz w:val="21"/>
                <w:szCs w:val="21"/>
                <w:color w:val="auto"/>
              </w:rPr>
            </w:pPr>
          </w:p>
        </w:tc>
        <w:tc>
          <w:tcPr>
            <w:tcW w:w="15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71.91 %</w:t>
            </w: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p>
        </w:tc>
        <w:tc>
          <w:tcPr>
            <w:tcW w:w="242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European Credit</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1,911</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118,454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1,364</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84,598</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40.02 %</w:t>
            </w:r>
          </w:p>
        </w:tc>
        <w:tc>
          <w:tcPr>
            <w:tcW w:w="0" w:type="dxa"/>
            <w:vAlign w:val="bottom"/>
          </w:tcPr>
          <w:p>
            <w:pPr>
              <w:spacing w:after="0"/>
              <w:rPr>
                <w:sz w:val="1"/>
                <w:szCs w:val="1"/>
                <w:color w:val="auto"/>
              </w:rPr>
            </w:pPr>
          </w:p>
        </w:tc>
      </w:tr>
      <w:tr>
        <w:trPr>
          <w:trHeight w:val="253"/>
        </w:trPr>
        <w:tc>
          <w:tcPr>
            <w:tcW w:w="1200" w:type="dxa"/>
            <w:vAlign w:val="bottom"/>
            <w:tcBorders>
              <w:right w:val="single" w:sz="8" w:color="D5DCE4"/>
            </w:tcBorders>
            <w:shd w:val="clear" w:color="auto" w:fill="D5DCE4"/>
          </w:tcPr>
          <w:p>
            <w:pPr>
              <w:spacing w:after="0"/>
              <w:rPr>
                <w:sz w:val="21"/>
                <w:szCs w:val="21"/>
                <w:color w:val="auto"/>
              </w:rPr>
            </w:pPr>
          </w:p>
        </w:tc>
        <w:tc>
          <w:tcPr>
            <w:tcW w:w="242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Municipal Bonds</w:t>
            </w:r>
          </w:p>
        </w:tc>
        <w:tc>
          <w:tcPr>
            <w:tcW w:w="10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193</w:t>
            </w:r>
          </w:p>
        </w:tc>
        <w:tc>
          <w:tcPr>
            <w:tcW w:w="44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12,367</w:t>
            </w:r>
          </w:p>
        </w:tc>
        <w:tc>
          <w:tcPr>
            <w:tcW w:w="100" w:type="dxa"/>
            <w:vAlign w:val="bottom"/>
            <w:tcBorders>
              <w:right w:val="single" w:sz="8" w:color="D5DCE4"/>
            </w:tcBorders>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247</w:t>
            </w:r>
          </w:p>
        </w:tc>
        <w:tc>
          <w:tcPr>
            <w:tcW w:w="44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15,566</w:t>
            </w:r>
          </w:p>
        </w:tc>
        <w:tc>
          <w:tcPr>
            <w:tcW w:w="100" w:type="dxa"/>
            <w:vAlign w:val="bottom"/>
            <w:tcBorders>
              <w:right w:val="single" w:sz="8" w:color="D5DCE4"/>
            </w:tcBorders>
            <w:shd w:val="clear" w:color="auto" w:fill="D5DCE4"/>
          </w:tcPr>
          <w:p>
            <w:pPr>
              <w:spacing w:after="0"/>
              <w:rPr>
                <w:sz w:val="21"/>
                <w:szCs w:val="21"/>
                <w:color w:val="auto"/>
              </w:rPr>
            </w:pPr>
          </w:p>
        </w:tc>
        <w:tc>
          <w:tcPr>
            <w:tcW w:w="15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(21.79)%</w:t>
            </w: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p>
        </w:tc>
        <w:tc>
          <w:tcPr>
            <w:tcW w:w="242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Chinese Bonds</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1,373</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82,377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1,010</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59,608</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35.89 %</w:t>
            </w:r>
          </w:p>
        </w:tc>
        <w:tc>
          <w:tcPr>
            <w:tcW w:w="0" w:type="dxa"/>
            <w:vAlign w:val="bottom"/>
          </w:tcPr>
          <w:p>
            <w:pPr>
              <w:spacing w:after="0"/>
              <w:rPr>
                <w:sz w:val="1"/>
                <w:szCs w:val="1"/>
                <w:color w:val="auto"/>
              </w:rPr>
            </w:pPr>
          </w:p>
        </w:tc>
      </w:tr>
      <w:tr>
        <w:trPr>
          <w:trHeight w:val="253"/>
        </w:trPr>
        <w:tc>
          <w:tcPr>
            <w:tcW w:w="1200" w:type="dxa"/>
            <w:vAlign w:val="bottom"/>
            <w:tcBorders>
              <w:right w:val="single" w:sz="8" w:color="D5DCE4"/>
            </w:tcBorders>
            <w:shd w:val="clear" w:color="auto" w:fill="D5DCE4"/>
          </w:tcPr>
          <w:p>
            <w:pPr>
              <w:spacing w:after="0"/>
              <w:rPr>
                <w:sz w:val="21"/>
                <w:szCs w:val="21"/>
                <w:color w:val="auto"/>
              </w:rPr>
            </w:pPr>
          </w:p>
        </w:tc>
        <w:tc>
          <w:tcPr>
            <w:tcW w:w="242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Other Credit Bonds</w:t>
            </w:r>
          </w:p>
        </w:tc>
        <w:tc>
          <w:tcPr>
            <w:tcW w:w="10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122</w:t>
            </w:r>
          </w:p>
        </w:tc>
        <w:tc>
          <w:tcPr>
            <w:tcW w:w="44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7,709</w:t>
            </w:r>
          </w:p>
        </w:tc>
        <w:tc>
          <w:tcPr>
            <w:tcW w:w="100" w:type="dxa"/>
            <w:vAlign w:val="bottom"/>
            <w:tcBorders>
              <w:right w:val="single" w:sz="8" w:color="D5DCE4"/>
            </w:tcBorders>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50</w:t>
            </w:r>
          </w:p>
        </w:tc>
        <w:tc>
          <w:tcPr>
            <w:tcW w:w="44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3,139</w:t>
            </w:r>
          </w:p>
        </w:tc>
        <w:tc>
          <w:tcPr>
            <w:tcW w:w="100" w:type="dxa"/>
            <w:vAlign w:val="bottom"/>
            <w:tcBorders>
              <w:right w:val="single" w:sz="8" w:color="D5DCE4"/>
            </w:tcBorders>
            <w:shd w:val="clear" w:color="auto" w:fill="D5DCE4"/>
          </w:tcPr>
          <w:p>
            <w:pPr>
              <w:spacing w:after="0"/>
              <w:rPr>
                <w:sz w:val="21"/>
                <w:szCs w:val="21"/>
                <w:color w:val="auto"/>
              </w:rPr>
            </w:pPr>
          </w:p>
        </w:tc>
        <w:tc>
          <w:tcPr>
            <w:tcW w:w="15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142.93 %</w:t>
            </w: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p>
        </w:tc>
        <w:tc>
          <w:tcPr>
            <w:tcW w:w="242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8,566</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540,584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10,132</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633,602</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(15.45)%</w:t>
            </w:r>
          </w:p>
        </w:tc>
        <w:tc>
          <w:tcPr>
            <w:tcW w:w="0" w:type="dxa"/>
            <w:vAlign w:val="bottom"/>
          </w:tcPr>
          <w:p>
            <w:pPr>
              <w:spacing w:after="0"/>
              <w:rPr>
                <w:sz w:val="1"/>
                <w:szCs w:val="1"/>
                <w:color w:val="auto"/>
              </w:rPr>
            </w:pPr>
          </w:p>
        </w:tc>
      </w:tr>
      <w:tr>
        <w:trPr>
          <w:trHeight w:val="253"/>
        </w:trPr>
        <w:tc>
          <w:tcPr>
            <w:tcW w:w="1200" w:type="dxa"/>
            <w:vAlign w:val="bottom"/>
            <w:tcBorders>
              <w:right w:val="single" w:sz="8" w:color="D5DCE4"/>
            </w:tcBorders>
            <w:shd w:val="clear" w:color="auto" w:fill="D5DCE4"/>
          </w:tcPr>
          <w:p>
            <w:pPr>
              <w:spacing w:after="0"/>
              <w:rPr>
                <w:sz w:val="21"/>
                <w:szCs w:val="21"/>
                <w:color w:val="auto"/>
              </w:rPr>
            </w:pPr>
          </w:p>
        </w:tc>
        <w:tc>
          <w:tcPr>
            <w:tcW w:w="242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Swaps</w:t>
            </w:r>
          </w:p>
        </w:tc>
        <w:tc>
          <w:tcPr>
            <w:tcW w:w="10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8,566</w:t>
            </w:r>
          </w:p>
        </w:tc>
        <w:tc>
          <w:tcPr>
            <w:tcW w:w="44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540,584</w:t>
            </w:r>
          </w:p>
        </w:tc>
        <w:tc>
          <w:tcPr>
            <w:tcW w:w="100" w:type="dxa"/>
            <w:vAlign w:val="bottom"/>
            <w:tcBorders>
              <w:right w:val="single" w:sz="8" w:color="D5DCE4"/>
            </w:tcBorders>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10,132</w:t>
            </w:r>
          </w:p>
        </w:tc>
        <w:tc>
          <w:tcPr>
            <w:tcW w:w="44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633,602</w:t>
            </w:r>
          </w:p>
        </w:tc>
        <w:tc>
          <w:tcPr>
            <w:tcW w:w="100" w:type="dxa"/>
            <w:vAlign w:val="bottom"/>
            <w:tcBorders>
              <w:right w:val="single" w:sz="8" w:color="D5DCE4"/>
            </w:tcBorders>
            <w:shd w:val="clear" w:color="auto" w:fill="D5DCE4"/>
          </w:tcPr>
          <w:p>
            <w:pPr>
              <w:spacing w:after="0"/>
              <w:rPr>
                <w:sz w:val="21"/>
                <w:szCs w:val="21"/>
                <w:color w:val="auto"/>
              </w:rPr>
            </w:pPr>
          </w:p>
        </w:tc>
        <w:tc>
          <w:tcPr>
            <w:tcW w:w="15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(15.45)%</w:t>
            </w:r>
          </w:p>
        </w:tc>
        <w:tc>
          <w:tcPr>
            <w:tcW w:w="0" w:type="dxa"/>
            <w:vAlign w:val="bottom"/>
          </w:tcPr>
          <w:p>
            <w:pPr>
              <w:spacing w:after="0"/>
              <w:rPr>
                <w:sz w:val="1"/>
                <w:szCs w:val="1"/>
                <w:color w:val="auto"/>
              </w:rPr>
            </w:pPr>
          </w:p>
        </w:tc>
      </w:tr>
      <w:tr>
        <w:trPr>
          <w:trHeight w:val="230"/>
        </w:trPr>
        <w:tc>
          <w:tcPr>
            <w:tcW w:w="1200" w:type="dxa"/>
            <w:vAlign w:val="bottom"/>
            <w:tcBorders>
              <w:bottom w:val="single" w:sz="8" w:color="D5DCE4"/>
            </w:tcBorders>
          </w:tcPr>
          <w:p>
            <w:pPr>
              <w:spacing w:after="0"/>
              <w:rPr>
                <w:sz w:val="20"/>
                <w:szCs w:val="20"/>
                <w:color w:val="auto"/>
              </w:rPr>
            </w:pPr>
          </w:p>
        </w:tc>
        <w:tc>
          <w:tcPr>
            <w:tcW w:w="2420" w:type="dxa"/>
            <w:vAlign w:val="bottom"/>
            <w:tcBorders>
              <w:bottom w:val="single" w:sz="8" w:color="D5DCE4"/>
            </w:tcBorders>
            <w:gridSpan w:val="2"/>
          </w:tcPr>
          <w:p>
            <w:pPr>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18,085</w:t>
            </w:r>
          </w:p>
        </w:tc>
        <w:tc>
          <w:tcPr>
            <w:tcW w:w="4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1,140,358</w:t>
            </w:r>
          </w:p>
        </w:tc>
        <w:tc>
          <w:tcPr>
            <w:tcW w:w="100" w:type="dxa"/>
            <w:vAlign w:val="bottom"/>
            <w:tcBorders>
              <w:bottom w:val="single" w:sz="8" w:color="D5DCE4"/>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17,944</w:t>
            </w:r>
          </w:p>
        </w:tc>
        <w:tc>
          <w:tcPr>
            <w:tcW w:w="4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1,120,317</w:t>
            </w:r>
          </w:p>
        </w:tc>
        <w:tc>
          <w:tcPr>
            <w:tcW w:w="100" w:type="dxa"/>
            <w:vAlign w:val="bottom"/>
            <w:tcBorders>
              <w:bottom w:val="single" w:sz="8" w:color="D5DCE4"/>
            </w:tcBorders>
          </w:tcPr>
          <w:p>
            <w:pPr>
              <w:spacing w:after="0"/>
              <w:rPr>
                <w:sz w:val="20"/>
                <w:szCs w:val="20"/>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0.79 %</w:t>
            </w:r>
          </w:p>
        </w:tc>
        <w:tc>
          <w:tcPr>
            <w:tcW w:w="0" w:type="dxa"/>
            <w:vAlign w:val="bottom"/>
          </w:tcPr>
          <w:p>
            <w:pPr>
              <w:spacing w:after="0"/>
              <w:rPr>
                <w:sz w:val="1"/>
                <w:szCs w:val="1"/>
                <w:color w:val="auto"/>
              </w:rPr>
            </w:pPr>
          </w:p>
        </w:tc>
      </w:tr>
      <w:tr>
        <w:trPr>
          <w:trHeight w:val="243"/>
        </w:trPr>
        <w:tc>
          <w:tcPr>
            <w:tcW w:w="1200" w:type="dxa"/>
            <w:vAlign w:val="bottom"/>
            <w:tcBorders>
              <w:right w:val="single" w:sz="8" w:color="D5DCE4"/>
            </w:tcBorders>
            <w:shd w:val="clear" w:color="auto" w:fill="D5DCE4"/>
          </w:tcPr>
          <w:p>
            <w:pPr>
              <w:ind w:left="20"/>
              <w:spacing w:after="0"/>
              <w:rPr>
                <w:sz w:val="20"/>
                <w:szCs w:val="20"/>
                <w:color w:val="auto"/>
              </w:rPr>
            </w:pPr>
            <w:r>
              <w:rPr>
                <w:rFonts w:ascii="Arial" w:cs="Arial" w:eastAsia="Arial" w:hAnsi="Arial"/>
                <w:sz w:val="16"/>
                <w:szCs w:val="16"/>
                <w:b w:val="1"/>
                <w:bCs w:val="1"/>
                <w:color w:val="auto"/>
              </w:rPr>
              <w:t>Equities</w:t>
            </w:r>
          </w:p>
        </w:tc>
        <w:tc>
          <w:tcPr>
            <w:tcW w:w="242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10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8,240</w:t>
            </w:r>
          </w:p>
        </w:tc>
        <w:tc>
          <w:tcPr>
            <w:tcW w:w="44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516,734</w:t>
            </w:r>
          </w:p>
        </w:tc>
        <w:tc>
          <w:tcPr>
            <w:tcW w:w="100" w:type="dxa"/>
            <w:vAlign w:val="bottom"/>
            <w:tcBorders>
              <w:right w:val="single" w:sz="8" w:color="D5DCE4"/>
            </w:tcBorders>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6,329</w:t>
            </w:r>
          </w:p>
        </w:tc>
        <w:tc>
          <w:tcPr>
            <w:tcW w:w="44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396,849</w:t>
            </w:r>
          </w:p>
        </w:tc>
        <w:tc>
          <w:tcPr>
            <w:tcW w:w="100" w:type="dxa"/>
            <w:vAlign w:val="bottom"/>
            <w:tcBorders>
              <w:right w:val="single" w:sz="8" w:color="D5DCE4"/>
            </w:tcBorders>
            <w:shd w:val="clear" w:color="auto" w:fill="D5DCE4"/>
          </w:tcPr>
          <w:p>
            <w:pPr>
              <w:spacing w:after="0"/>
              <w:rPr>
                <w:sz w:val="21"/>
                <w:szCs w:val="21"/>
                <w:color w:val="auto"/>
              </w:rPr>
            </w:pPr>
          </w:p>
        </w:tc>
        <w:tc>
          <w:tcPr>
            <w:tcW w:w="15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30.20 %</w:t>
            </w: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p>
        </w:tc>
        <w:tc>
          <w:tcPr>
            <w:tcW w:w="242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U.S. ETFs</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5,885</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370,746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4,480</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282,235</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31.36 %</w:t>
            </w:r>
          </w:p>
        </w:tc>
        <w:tc>
          <w:tcPr>
            <w:tcW w:w="0" w:type="dxa"/>
            <w:vAlign w:val="bottom"/>
          </w:tcPr>
          <w:p>
            <w:pPr>
              <w:spacing w:after="0"/>
              <w:rPr>
                <w:sz w:val="1"/>
                <w:szCs w:val="1"/>
                <w:color w:val="auto"/>
              </w:rPr>
            </w:pPr>
          </w:p>
        </w:tc>
      </w:tr>
      <w:tr>
        <w:trPr>
          <w:trHeight w:val="253"/>
        </w:trPr>
        <w:tc>
          <w:tcPr>
            <w:tcW w:w="1200" w:type="dxa"/>
            <w:vAlign w:val="bottom"/>
            <w:tcBorders>
              <w:right w:val="single" w:sz="8" w:color="D5DCE4"/>
            </w:tcBorders>
            <w:shd w:val="clear" w:color="auto" w:fill="D5DCE4"/>
          </w:tcPr>
          <w:p>
            <w:pPr>
              <w:spacing w:after="0"/>
              <w:rPr>
                <w:sz w:val="21"/>
                <w:szCs w:val="21"/>
                <w:color w:val="auto"/>
              </w:rPr>
            </w:pPr>
          </w:p>
        </w:tc>
        <w:tc>
          <w:tcPr>
            <w:tcW w:w="242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Europe ETFs</w:t>
            </w:r>
          </w:p>
        </w:tc>
        <w:tc>
          <w:tcPr>
            <w:tcW w:w="10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2,355</w:t>
            </w:r>
          </w:p>
        </w:tc>
        <w:tc>
          <w:tcPr>
            <w:tcW w:w="44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145,988</w:t>
            </w:r>
          </w:p>
        </w:tc>
        <w:tc>
          <w:tcPr>
            <w:tcW w:w="100" w:type="dxa"/>
            <w:vAlign w:val="bottom"/>
            <w:tcBorders>
              <w:right w:val="single" w:sz="8" w:color="D5DCE4"/>
            </w:tcBorders>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1,849</w:t>
            </w:r>
          </w:p>
        </w:tc>
        <w:tc>
          <w:tcPr>
            <w:tcW w:w="44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114,614</w:t>
            </w:r>
          </w:p>
        </w:tc>
        <w:tc>
          <w:tcPr>
            <w:tcW w:w="100" w:type="dxa"/>
            <w:vAlign w:val="bottom"/>
            <w:tcBorders>
              <w:right w:val="single" w:sz="8" w:color="D5DCE4"/>
            </w:tcBorders>
            <w:shd w:val="clear" w:color="auto" w:fill="D5DCE4"/>
          </w:tcPr>
          <w:p>
            <w:pPr>
              <w:spacing w:after="0"/>
              <w:rPr>
                <w:sz w:val="21"/>
                <w:szCs w:val="21"/>
                <w:color w:val="auto"/>
              </w:rPr>
            </w:pPr>
          </w:p>
        </w:tc>
        <w:tc>
          <w:tcPr>
            <w:tcW w:w="15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27.37 %</w:t>
            </w: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p>
        </w:tc>
        <w:tc>
          <w:tcPr>
            <w:tcW w:w="242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7,817</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490,906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3,667</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230,348</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113.14 %</w:t>
            </w:r>
          </w:p>
        </w:tc>
        <w:tc>
          <w:tcPr>
            <w:tcW w:w="0" w:type="dxa"/>
            <w:vAlign w:val="bottom"/>
          </w:tcPr>
          <w:p>
            <w:pPr>
              <w:spacing w:after="0"/>
              <w:rPr>
                <w:sz w:val="1"/>
                <w:szCs w:val="1"/>
                <w:color w:val="auto"/>
              </w:rPr>
            </w:pPr>
          </w:p>
        </w:tc>
      </w:tr>
      <w:tr>
        <w:trPr>
          <w:trHeight w:val="253"/>
        </w:trPr>
        <w:tc>
          <w:tcPr>
            <w:tcW w:w="1200" w:type="dxa"/>
            <w:vAlign w:val="bottom"/>
            <w:tcBorders>
              <w:right w:val="single" w:sz="8" w:color="D5DCE4"/>
            </w:tcBorders>
            <w:shd w:val="clear" w:color="auto" w:fill="D5DCE4"/>
          </w:tcPr>
          <w:p>
            <w:pPr>
              <w:spacing w:after="0"/>
              <w:rPr>
                <w:sz w:val="21"/>
                <w:szCs w:val="21"/>
                <w:color w:val="auto"/>
              </w:rPr>
            </w:pPr>
          </w:p>
        </w:tc>
        <w:tc>
          <w:tcPr>
            <w:tcW w:w="242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Options/Convertibles/Swaps</w:t>
            </w:r>
          </w:p>
        </w:tc>
        <w:tc>
          <w:tcPr>
            <w:tcW w:w="10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3,850</w:t>
            </w:r>
          </w:p>
        </w:tc>
        <w:tc>
          <w:tcPr>
            <w:tcW w:w="44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241,047</w:t>
            </w:r>
          </w:p>
        </w:tc>
        <w:tc>
          <w:tcPr>
            <w:tcW w:w="100" w:type="dxa"/>
            <w:vAlign w:val="bottom"/>
            <w:tcBorders>
              <w:right w:val="single" w:sz="8" w:color="D5DCE4"/>
            </w:tcBorders>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849</w:t>
            </w:r>
          </w:p>
        </w:tc>
        <w:tc>
          <w:tcPr>
            <w:tcW w:w="44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52,941</w:t>
            </w:r>
          </w:p>
        </w:tc>
        <w:tc>
          <w:tcPr>
            <w:tcW w:w="100" w:type="dxa"/>
            <w:vAlign w:val="bottom"/>
            <w:tcBorders>
              <w:right w:val="single" w:sz="8" w:color="D5DCE4"/>
            </w:tcBorders>
            <w:shd w:val="clear" w:color="auto" w:fill="D5DCE4"/>
          </w:tcPr>
          <w:p>
            <w:pPr>
              <w:spacing w:after="0"/>
              <w:rPr>
                <w:sz w:val="21"/>
                <w:szCs w:val="21"/>
                <w:color w:val="auto"/>
              </w:rPr>
            </w:pPr>
          </w:p>
        </w:tc>
        <w:tc>
          <w:tcPr>
            <w:tcW w:w="15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353.50 %</w:t>
            </w:r>
          </w:p>
        </w:tc>
        <w:tc>
          <w:tcPr>
            <w:tcW w:w="0" w:type="dxa"/>
            <w:vAlign w:val="bottom"/>
          </w:tcPr>
          <w:p>
            <w:pPr>
              <w:spacing w:after="0"/>
              <w:rPr>
                <w:sz w:val="1"/>
                <w:szCs w:val="1"/>
                <w:color w:val="auto"/>
              </w:rPr>
            </w:pPr>
          </w:p>
        </w:tc>
      </w:tr>
      <w:tr>
        <w:trPr>
          <w:trHeight w:val="237"/>
        </w:trPr>
        <w:tc>
          <w:tcPr>
            <w:tcW w:w="1200" w:type="dxa"/>
            <w:vAlign w:val="bottom"/>
          </w:tcPr>
          <w:p>
            <w:pPr>
              <w:spacing w:after="0"/>
              <w:rPr>
                <w:sz w:val="20"/>
                <w:szCs w:val="20"/>
                <w:color w:val="auto"/>
              </w:rPr>
            </w:pPr>
          </w:p>
        </w:tc>
        <w:tc>
          <w:tcPr>
            <w:tcW w:w="242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Futures</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3,967</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249,859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2,819</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177,407</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40.75 %</w:t>
            </w:r>
          </w:p>
        </w:tc>
        <w:tc>
          <w:tcPr>
            <w:tcW w:w="0" w:type="dxa"/>
            <w:vAlign w:val="bottom"/>
          </w:tcPr>
          <w:p>
            <w:pPr>
              <w:spacing w:after="0"/>
              <w:rPr>
                <w:sz w:val="1"/>
                <w:szCs w:val="1"/>
                <w:color w:val="auto"/>
              </w:rPr>
            </w:pPr>
          </w:p>
        </w:tc>
      </w:tr>
      <w:tr>
        <w:trPr>
          <w:trHeight w:val="243"/>
        </w:trPr>
        <w:tc>
          <w:tcPr>
            <w:tcW w:w="1200" w:type="dxa"/>
            <w:vAlign w:val="bottom"/>
            <w:tcBorders>
              <w:top w:val="single" w:sz="8" w:color="D5DCE4"/>
              <w:right w:val="single" w:sz="8" w:color="D5DCE4"/>
            </w:tcBorders>
            <w:shd w:val="clear" w:color="auto" w:fill="D5DCE4"/>
          </w:tcPr>
          <w:p>
            <w:pPr>
              <w:spacing w:after="0"/>
              <w:rPr>
                <w:sz w:val="21"/>
                <w:szCs w:val="21"/>
                <w:color w:val="auto"/>
              </w:rPr>
            </w:pPr>
          </w:p>
        </w:tc>
        <w:tc>
          <w:tcPr>
            <w:tcW w:w="2420" w:type="dxa"/>
            <w:vAlign w:val="bottom"/>
            <w:tcBorders>
              <w:top w:val="single" w:sz="8" w:color="D5DCE4"/>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top w:val="single" w:sz="8" w:color="auto"/>
              <w:bottom w:val="single" w:sz="8" w:color="auto"/>
            </w:tcBorders>
            <w:shd w:val="clear" w:color="auto" w:fill="D5DCE4"/>
          </w:tcPr>
          <w:p>
            <w:pPr>
              <w:spacing w:after="0"/>
              <w:rPr>
                <w:sz w:val="21"/>
                <w:szCs w:val="21"/>
                <w:color w:val="auto"/>
              </w:rPr>
            </w:pPr>
          </w:p>
        </w:tc>
        <w:tc>
          <w:tcPr>
            <w:tcW w:w="1360" w:type="dxa"/>
            <w:vAlign w:val="bottom"/>
            <w:tcBorders>
              <w:top w:val="single" w:sz="8" w:color="auto"/>
              <w:bottom w:val="single" w:sz="8" w:color="auto"/>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16,056</w:t>
            </w:r>
          </w:p>
        </w:tc>
        <w:tc>
          <w:tcPr>
            <w:tcW w:w="440" w:type="dxa"/>
            <w:vAlign w:val="bottom"/>
            <w:tcBorders>
              <w:top w:val="single" w:sz="8" w:color="auto"/>
              <w:bottom w:val="single" w:sz="8" w:color="auto"/>
            </w:tcBorders>
            <w:shd w:val="clear" w:color="auto" w:fill="D5DCE4"/>
          </w:tcPr>
          <w:p>
            <w:pPr>
              <w:spacing w:after="0"/>
              <w:rPr>
                <w:sz w:val="21"/>
                <w:szCs w:val="21"/>
                <w:color w:val="auto"/>
              </w:rPr>
            </w:pPr>
          </w:p>
        </w:tc>
        <w:tc>
          <w:tcPr>
            <w:tcW w:w="102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1,007,641</w:t>
            </w:r>
          </w:p>
        </w:tc>
        <w:tc>
          <w:tcPr>
            <w:tcW w:w="100" w:type="dxa"/>
            <w:vAlign w:val="bottom"/>
            <w:tcBorders>
              <w:top w:val="single" w:sz="8" w:color="D5DCE4"/>
              <w:right w:val="single" w:sz="8" w:color="D5DCE4"/>
            </w:tcBorders>
            <w:shd w:val="clear" w:color="auto" w:fill="D5DCE4"/>
          </w:tcPr>
          <w:p>
            <w:pPr>
              <w:spacing w:after="0"/>
              <w:rPr>
                <w:sz w:val="21"/>
                <w:szCs w:val="21"/>
                <w:color w:val="auto"/>
              </w:rPr>
            </w:pPr>
          </w:p>
        </w:tc>
        <w:tc>
          <w:tcPr>
            <w:tcW w:w="120" w:type="dxa"/>
            <w:vAlign w:val="bottom"/>
            <w:tcBorders>
              <w:top w:val="single" w:sz="8" w:color="auto"/>
              <w:bottom w:val="single" w:sz="8" w:color="auto"/>
            </w:tcBorders>
            <w:shd w:val="clear" w:color="auto" w:fill="D5DCE4"/>
          </w:tcPr>
          <w:p>
            <w:pPr>
              <w:spacing w:after="0"/>
              <w:rPr>
                <w:sz w:val="21"/>
                <w:szCs w:val="21"/>
                <w:color w:val="auto"/>
              </w:rPr>
            </w:pPr>
          </w:p>
        </w:tc>
        <w:tc>
          <w:tcPr>
            <w:tcW w:w="1360" w:type="dxa"/>
            <w:vAlign w:val="bottom"/>
            <w:tcBorders>
              <w:top w:val="single" w:sz="8" w:color="auto"/>
              <w:bottom w:val="single" w:sz="8" w:color="auto"/>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9,996</w:t>
            </w:r>
          </w:p>
        </w:tc>
        <w:tc>
          <w:tcPr>
            <w:tcW w:w="440" w:type="dxa"/>
            <w:vAlign w:val="bottom"/>
            <w:tcBorders>
              <w:top w:val="single" w:sz="8" w:color="auto"/>
              <w:bottom w:val="single" w:sz="8" w:color="auto"/>
            </w:tcBorders>
            <w:shd w:val="clear" w:color="auto" w:fill="D5DCE4"/>
          </w:tcPr>
          <w:p>
            <w:pPr>
              <w:spacing w:after="0"/>
              <w:rPr>
                <w:sz w:val="21"/>
                <w:szCs w:val="21"/>
                <w:color w:val="auto"/>
              </w:rPr>
            </w:pPr>
          </w:p>
        </w:tc>
        <w:tc>
          <w:tcPr>
            <w:tcW w:w="102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627,197</w:t>
            </w:r>
          </w:p>
        </w:tc>
        <w:tc>
          <w:tcPr>
            <w:tcW w:w="100" w:type="dxa"/>
            <w:vAlign w:val="bottom"/>
            <w:tcBorders>
              <w:top w:val="single" w:sz="8" w:color="D5DCE4"/>
              <w:right w:val="single" w:sz="8" w:color="D5DCE4"/>
            </w:tcBorders>
            <w:shd w:val="clear" w:color="auto" w:fill="D5DCE4"/>
          </w:tcPr>
          <w:p>
            <w:pPr>
              <w:spacing w:after="0"/>
              <w:rPr>
                <w:sz w:val="21"/>
                <w:szCs w:val="21"/>
                <w:color w:val="auto"/>
              </w:rPr>
            </w:pPr>
          </w:p>
        </w:tc>
        <w:tc>
          <w:tcPr>
            <w:tcW w:w="1580" w:type="dxa"/>
            <w:vAlign w:val="bottom"/>
            <w:tcBorders>
              <w:top w:val="single" w:sz="8" w:color="auto"/>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60.63 %</w:t>
            </w:r>
          </w:p>
        </w:tc>
        <w:tc>
          <w:tcPr>
            <w:tcW w:w="0" w:type="dxa"/>
            <w:vAlign w:val="bottom"/>
          </w:tcPr>
          <w:p>
            <w:pPr>
              <w:spacing w:after="0"/>
              <w:rPr>
                <w:sz w:val="1"/>
                <w:szCs w:val="1"/>
                <w:color w:val="auto"/>
              </w:rPr>
            </w:pPr>
          </w:p>
        </w:tc>
      </w:tr>
      <w:tr>
        <w:trPr>
          <w:trHeight w:val="178"/>
        </w:trPr>
        <w:tc>
          <w:tcPr>
            <w:tcW w:w="1200" w:type="dxa"/>
            <w:vAlign w:val="bottom"/>
          </w:tcPr>
          <w:p>
            <w:pPr>
              <w:ind w:left="20"/>
              <w:spacing w:after="0" w:line="178" w:lineRule="exact"/>
              <w:rPr>
                <w:sz w:val="20"/>
                <w:szCs w:val="20"/>
                <w:color w:val="auto"/>
              </w:rPr>
            </w:pPr>
            <w:r>
              <w:rPr>
                <w:rFonts w:ascii="Arial" w:cs="Arial" w:eastAsia="Arial" w:hAnsi="Arial"/>
                <w:sz w:val="16"/>
                <w:szCs w:val="16"/>
                <w:b w:val="1"/>
                <w:bCs w:val="1"/>
                <w:color w:val="auto"/>
              </w:rPr>
              <w:t>Money</w:t>
            </w:r>
          </w:p>
        </w:tc>
        <w:tc>
          <w:tcPr>
            <w:tcW w:w="24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Cash</w:t>
            </w:r>
          </w:p>
        </w:tc>
        <w:tc>
          <w:tcPr>
            <w:tcW w:w="100" w:type="dxa"/>
            <w:vAlign w:val="bottom"/>
          </w:tcPr>
          <w:p>
            <w:pPr>
              <w:spacing w:after="0"/>
              <w:rPr>
                <w:sz w:val="15"/>
                <w:szCs w:val="15"/>
                <w:color w:val="auto"/>
              </w:rPr>
            </w:pPr>
          </w:p>
        </w:tc>
        <w:tc>
          <w:tcPr>
            <w:tcW w:w="13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367,063</w:t>
            </w:r>
          </w:p>
        </w:tc>
        <w:tc>
          <w:tcPr>
            <w:tcW w:w="4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23,332,283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243,681</w:t>
            </w:r>
          </w:p>
        </w:tc>
        <w:tc>
          <w:tcPr>
            <w:tcW w:w="4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15,309,908</w:t>
            </w:r>
          </w:p>
        </w:tc>
        <w:tc>
          <w:tcPr>
            <w:tcW w:w="100" w:type="dxa"/>
            <w:vAlign w:val="bottom"/>
          </w:tcPr>
          <w:p>
            <w:pPr>
              <w:spacing w:after="0"/>
              <w:rPr>
                <w:sz w:val="15"/>
                <w:szCs w:val="15"/>
                <w:color w:val="auto"/>
              </w:rPr>
            </w:pPr>
          </w:p>
        </w:tc>
        <w:tc>
          <w:tcPr>
            <w:tcW w:w="15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50.63 %</w:t>
            </w:r>
          </w:p>
        </w:tc>
        <w:tc>
          <w:tcPr>
            <w:tcW w:w="0" w:type="dxa"/>
            <w:vAlign w:val="bottom"/>
          </w:tcPr>
          <w:p>
            <w:pPr>
              <w:spacing w:after="0"/>
              <w:rPr>
                <w:sz w:val="1"/>
                <w:szCs w:val="1"/>
                <w:color w:val="auto"/>
              </w:rPr>
            </w:pPr>
          </w:p>
        </w:tc>
      </w:tr>
      <w:tr>
        <w:trPr>
          <w:trHeight w:val="120"/>
        </w:trPr>
        <w:tc>
          <w:tcPr>
            <w:tcW w:w="1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Markets</w:t>
            </w:r>
          </w:p>
        </w:tc>
        <w:tc>
          <w:tcPr>
            <w:tcW w:w="24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200" w:type="dxa"/>
            <w:vAlign w:val="bottom"/>
            <w:vMerge w:val="continue"/>
          </w:tcPr>
          <w:p>
            <w:pPr>
              <w:spacing w:after="0"/>
              <w:rPr>
                <w:sz w:val="9"/>
                <w:szCs w:val="9"/>
                <w:color w:val="auto"/>
              </w:rPr>
            </w:pPr>
          </w:p>
        </w:tc>
        <w:tc>
          <w:tcPr>
            <w:tcW w:w="2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1200" w:type="dxa"/>
            <w:vAlign w:val="bottom"/>
            <w:tcBorders>
              <w:right w:val="single" w:sz="8" w:color="D5DCE4"/>
            </w:tcBorders>
            <w:shd w:val="clear" w:color="auto" w:fill="D5DCE4"/>
          </w:tcPr>
          <w:p>
            <w:pPr>
              <w:spacing w:after="0"/>
              <w:rPr>
                <w:sz w:val="18"/>
                <w:szCs w:val="18"/>
                <w:color w:val="auto"/>
              </w:rPr>
            </w:pPr>
          </w:p>
        </w:tc>
        <w:tc>
          <w:tcPr>
            <w:tcW w:w="242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Repurchase Agreements</w:t>
            </w:r>
          </w:p>
        </w:tc>
        <w:tc>
          <w:tcPr>
            <w:tcW w:w="100" w:type="dxa"/>
            <w:vAlign w:val="bottom"/>
            <w:shd w:val="clear" w:color="auto" w:fill="D5DCE4"/>
          </w:tcPr>
          <w:p>
            <w:pPr>
              <w:spacing w:after="0"/>
              <w:rPr>
                <w:sz w:val="18"/>
                <w:szCs w:val="18"/>
                <w:color w:val="auto"/>
              </w:rPr>
            </w:pPr>
          </w:p>
        </w:tc>
        <w:tc>
          <w:tcPr>
            <w:tcW w:w="1360" w:type="dxa"/>
            <w:vAlign w:val="bottom"/>
            <w:tcBorders>
              <w:right w:val="single" w:sz="8" w:color="D5DCE4"/>
            </w:tcBorders>
            <w:vMerge w:val="restart"/>
            <w:shd w:val="clear" w:color="auto" w:fill="D5DCE4"/>
          </w:tcPr>
          <w:p>
            <w:pPr>
              <w:jc w:val="right"/>
              <w:ind w:right="19"/>
              <w:spacing w:after="0"/>
              <w:rPr>
                <w:sz w:val="20"/>
                <w:szCs w:val="20"/>
                <w:color w:val="auto"/>
              </w:rPr>
            </w:pPr>
            <w:r>
              <w:rPr>
                <w:rFonts w:ascii="Arial" w:cs="Arial" w:eastAsia="Arial" w:hAnsi="Arial"/>
                <w:sz w:val="16"/>
                <w:szCs w:val="16"/>
                <w:color w:val="auto"/>
              </w:rPr>
              <w:t>353,446</w:t>
            </w:r>
          </w:p>
        </w:tc>
        <w:tc>
          <w:tcPr>
            <w:tcW w:w="440" w:type="dxa"/>
            <w:vAlign w:val="bottom"/>
            <w:shd w:val="clear" w:color="auto" w:fill="D5DCE4"/>
          </w:tcPr>
          <w:p>
            <w:pPr>
              <w:spacing w:after="0"/>
              <w:rPr>
                <w:sz w:val="18"/>
                <w:szCs w:val="18"/>
                <w:color w:val="auto"/>
              </w:rPr>
            </w:pPr>
          </w:p>
        </w:tc>
        <w:tc>
          <w:tcPr>
            <w:tcW w:w="102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22,461,843</w:t>
            </w:r>
          </w:p>
        </w:tc>
        <w:tc>
          <w:tcPr>
            <w:tcW w:w="100" w:type="dxa"/>
            <w:vAlign w:val="bottom"/>
            <w:tcBorders>
              <w:right w:val="single" w:sz="8" w:color="D5DCE4"/>
            </w:tcBorders>
            <w:shd w:val="clear" w:color="auto" w:fill="D5DCE4"/>
          </w:tcPr>
          <w:p>
            <w:pPr>
              <w:spacing w:after="0"/>
              <w:rPr>
                <w:sz w:val="18"/>
                <w:szCs w:val="18"/>
                <w:color w:val="auto"/>
              </w:rPr>
            </w:pPr>
          </w:p>
        </w:tc>
        <w:tc>
          <w:tcPr>
            <w:tcW w:w="120" w:type="dxa"/>
            <w:vAlign w:val="bottom"/>
            <w:shd w:val="clear" w:color="auto" w:fill="D5DCE4"/>
          </w:tcPr>
          <w:p>
            <w:pPr>
              <w:spacing w:after="0"/>
              <w:rPr>
                <w:sz w:val="18"/>
                <w:szCs w:val="18"/>
                <w:color w:val="auto"/>
              </w:rPr>
            </w:pPr>
          </w:p>
        </w:tc>
        <w:tc>
          <w:tcPr>
            <w:tcW w:w="1360" w:type="dxa"/>
            <w:vAlign w:val="bottom"/>
            <w:tcBorders>
              <w:right w:val="single" w:sz="8" w:color="D5DCE4"/>
            </w:tcBorders>
            <w:vMerge w:val="restart"/>
            <w:shd w:val="clear" w:color="auto" w:fill="D5DCE4"/>
          </w:tcPr>
          <w:p>
            <w:pPr>
              <w:jc w:val="right"/>
              <w:ind w:right="19"/>
              <w:spacing w:after="0"/>
              <w:rPr>
                <w:sz w:val="20"/>
                <w:szCs w:val="20"/>
                <w:color w:val="auto"/>
              </w:rPr>
            </w:pPr>
            <w:r>
              <w:rPr>
                <w:rFonts w:ascii="Arial" w:cs="Arial" w:eastAsia="Arial" w:hAnsi="Arial"/>
                <w:sz w:val="16"/>
                <w:szCs w:val="16"/>
                <w:color w:val="auto"/>
              </w:rPr>
              <w:t>230,978</w:t>
            </w:r>
          </w:p>
        </w:tc>
        <w:tc>
          <w:tcPr>
            <w:tcW w:w="440" w:type="dxa"/>
            <w:vAlign w:val="bottom"/>
            <w:shd w:val="clear" w:color="auto" w:fill="D5DCE4"/>
          </w:tcPr>
          <w:p>
            <w:pPr>
              <w:spacing w:after="0"/>
              <w:rPr>
                <w:sz w:val="18"/>
                <w:szCs w:val="18"/>
                <w:color w:val="auto"/>
              </w:rPr>
            </w:pPr>
          </w:p>
        </w:tc>
        <w:tc>
          <w:tcPr>
            <w:tcW w:w="102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14,510,278</w:t>
            </w:r>
          </w:p>
        </w:tc>
        <w:tc>
          <w:tcPr>
            <w:tcW w:w="100" w:type="dxa"/>
            <w:vAlign w:val="bottom"/>
            <w:tcBorders>
              <w:right w:val="single" w:sz="8" w:color="D5DCE4"/>
            </w:tcBorders>
            <w:shd w:val="clear" w:color="auto" w:fill="D5DCE4"/>
          </w:tcPr>
          <w:p>
            <w:pPr>
              <w:spacing w:after="0"/>
              <w:rPr>
                <w:sz w:val="18"/>
                <w:szCs w:val="18"/>
                <w:color w:val="auto"/>
              </w:rPr>
            </w:pPr>
          </w:p>
        </w:tc>
        <w:tc>
          <w:tcPr>
            <w:tcW w:w="1580" w:type="dxa"/>
            <w:vAlign w:val="bottom"/>
            <w:tcBorders>
              <w:right w:val="single" w:sz="8" w:color="D5DCE4"/>
            </w:tcBorders>
            <w:vMerge w:val="restart"/>
            <w:shd w:val="clear" w:color="auto" w:fill="D5DCE4"/>
          </w:tcPr>
          <w:p>
            <w:pPr>
              <w:jc w:val="right"/>
              <w:spacing w:after="0"/>
              <w:rPr>
                <w:sz w:val="20"/>
                <w:szCs w:val="20"/>
                <w:color w:val="auto"/>
              </w:rPr>
            </w:pPr>
            <w:r>
              <w:rPr>
                <w:rFonts w:ascii="Arial" w:cs="Arial" w:eastAsia="Arial" w:hAnsi="Arial"/>
                <w:sz w:val="16"/>
                <w:szCs w:val="16"/>
                <w:color w:val="auto"/>
              </w:rPr>
              <w:t>53.02 %</w:t>
            </w:r>
          </w:p>
        </w:tc>
        <w:tc>
          <w:tcPr>
            <w:tcW w:w="0" w:type="dxa"/>
            <w:vAlign w:val="bottom"/>
          </w:tcPr>
          <w:p>
            <w:pPr>
              <w:spacing w:after="0"/>
              <w:rPr>
                <w:sz w:val="1"/>
                <w:szCs w:val="1"/>
                <w:color w:val="auto"/>
              </w:rPr>
            </w:pPr>
          </w:p>
        </w:tc>
      </w:tr>
      <w:tr>
        <w:trPr>
          <w:trHeight w:val="116"/>
        </w:trPr>
        <w:tc>
          <w:tcPr>
            <w:tcW w:w="1200" w:type="dxa"/>
            <w:vAlign w:val="bottom"/>
            <w:tcBorders>
              <w:right w:val="single" w:sz="8" w:color="D5DCE4"/>
            </w:tcBorders>
            <w:shd w:val="clear" w:color="auto" w:fill="D5DCE4"/>
          </w:tcPr>
          <w:p>
            <w:pPr>
              <w:spacing w:after="0"/>
              <w:rPr>
                <w:sz w:val="10"/>
                <w:szCs w:val="10"/>
                <w:color w:val="auto"/>
              </w:rPr>
            </w:pPr>
          </w:p>
        </w:tc>
        <w:tc>
          <w:tcPr>
            <w:tcW w:w="2420" w:type="dxa"/>
            <w:vAlign w:val="bottom"/>
            <w:tcBorders>
              <w:right w:val="single" w:sz="8" w:color="D5DCE4"/>
            </w:tcBorders>
            <w:gridSpan w:val="2"/>
            <w:vMerge w:val="restart"/>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(Repo)</w:t>
            </w:r>
          </w:p>
        </w:tc>
        <w:tc>
          <w:tcPr>
            <w:tcW w:w="100" w:type="dxa"/>
            <w:vAlign w:val="bottom"/>
            <w:shd w:val="clear" w:color="auto" w:fill="D5DCE4"/>
          </w:tcPr>
          <w:p>
            <w:pPr>
              <w:spacing w:after="0"/>
              <w:rPr>
                <w:sz w:val="10"/>
                <w:szCs w:val="10"/>
                <w:color w:val="auto"/>
              </w:rPr>
            </w:pPr>
          </w:p>
        </w:tc>
        <w:tc>
          <w:tcPr>
            <w:tcW w:w="1360" w:type="dxa"/>
            <w:vAlign w:val="bottom"/>
            <w:tcBorders>
              <w:right w:val="single" w:sz="8" w:color="D5DCE4"/>
            </w:tcBorders>
            <w:vMerge w:val="continue"/>
            <w:shd w:val="clear" w:color="auto" w:fill="D5DCE4"/>
          </w:tcPr>
          <w:p>
            <w:pPr>
              <w:spacing w:after="0"/>
              <w:rPr>
                <w:sz w:val="10"/>
                <w:szCs w:val="10"/>
                <w:color w:val="auto"/>
              </w:rPr>
            </w:pPr>
          </w:p>
        </w:tc>
        <w:tc>
          <w:tcPr>
            <w:tcW w:w="440" w:type="dxa"/>
            <w:vAlign w:val="bottom"/>
            <w:shd w:val="clear" w:color="auto" w:fill="D5DCE4"/>
          </w:tcPr>
          <w:p>
            <w:pPr>
              <w:spacing w:after="0"/>
              <w:rPr>
                <w:sz w:val="10"/>
                <w:szCs w:val="10"/>
                <w:color w:val="auto"/>
              </w:rPr>
            </w:pPr>
          </w:p>
        </w:tc>
        <w:tc>
          <w:tcPr>
            <w:tcW w:w="1020" w:type="dxa"/>
            <w:vAlign w:val="bottom"/>
            <w:vMerge w:val="continue"/>
            <w:shd w:val="clear" w:color="auto" w:fill="D5DCE4"/>
          </w:tcPr>
          <w:p>
            <w:pPr>
              <w:spacing w:after="0"/>
              <w:rPr>
                <w:sz w:val="10"/>
                <w:szCs w:val="10"/>
                <w:color w:val="auto"/>
              </w:rPr>
            </w:pPr>
          </w:p>
        </w:tc>
        <w:tc>
          <w:tcPr>
            <w:tcW w:w="100" w:type="dxa"/>
            <w:vAlign w:val="bottom"/>
            <w:tcBorders>
              <w:right w:val="single" w:sz="8" w:color="D5DCE4"/>
            </w:tcBorders>
            <w:shd w:val="clear" w:color="auto" w:fill="D5DCE4"/>
          </w:tcPr>
          <w:p>
            <w:pPr>
              <w:spacing w:after="0"/>
              <w:rPr>
                <w:sz w:val="10"/>
                <w:szCs w:val="10"/>
                <w:color w:val="auto"/>
              </w:rPr>
            </w:pPr>
          </w:p>
        </w:tc>
        <w:tc>
          <w:tcPr>
            <w:tcW w:w="120" w:type="dxa"/>
            <w:vAlign w:val="bottom"/>
            <w:shd w:val="clear" w:color="auto" w:fill="D5DCE4"/>
          </w:tcPr>
          <w:p>
            <w:pPr>
              <w:spacing w:after="0"/>
              <w:rPr>
                <w:sz w:val="10"/>
                <w:szCs w:val="10"/>
                <w:color w:val="auto"/>
              </w:rPr>
            </w:pPr>
          </w:p>
        </w:tc>
        <w:tc>
          <w:tcPr>
            <w:tcW w:w="1360" w:type="dxa"/>
            <w:vAlign w:val="bottom"/>
            <w:tcBorders>
              <w:right w:val="single" w:sz="8" w:color="D5DCE4"/>
            </w:tcBorders>
            <w:vMerge w:val="continue"/>
            <w:shd w:val="clear" w:color="auto" w:fill="D5DCE4"/>
          </w:tcPr>
          <w:p>
            <w:pPr>
              <w:spacing w:after="0"/>
              <w:rPr>
                <w:sz w:val="10"/>
                <w:szCs w:val="10"/>
                <w:color w:val="auto"/>
              </w:rPr>
            </w:pPr>
          </w:p>
        </w:tc>
        <w:tc>
          <w:tcPr>
            <w:tcW w:w="440" w:type="dxa"/>
            <w:vAlign w:val="bottom"/>
            <w:shd w:val="clear" w:color="auto" w:fill="D5DCE4"/>
          </w:tcPr>
          <w:p>
            <w:pPr>
              <w:spacing w:after="0"/>
              <w:rPr>
                <w:sz w:val="10"/>
                <w:szCs w:val="10"/>
                <w:color w:val="auto"/>
              </w:rPr>
            </w:pPr>
          </w:p>
        </w:tc>
        <w:tc>
          <w:tcPr>
            <w:tcW w:w="1020" w:type="dxa"/>
            <w:vAlign w:val="bottom"/>
            <w:vMerge w:val="continue"/>
            <w:shd w:val="clear" w:color="auto" w:fill="D5DCE4"/>
          </w:tcPr>
          <w:p>
            <w:pPr>
              <w:spacing w:after="0"/>
              <w:rPr>
                <w:sz w:val="10"/>
                <w:szCs w:val="10"/>
                <w:color w:val="auto"/>
              </w:rPr>
            </w:pPr>
          </w:p>
        </w:tc>
        <w:tc>
          <w:tcPr>
            <w:tcW w:w="100" w:type="dxa"/>
            <w:vAlign w:val="bottom"/>
            <w:tcBorders>
              <w:right w:val="single" w:sz="8" w:color="D5DCE4"/>
            </w:tcBorders>
            <w:shd w:val="clear" w:color="auto" w:fill="D5DCE4"/>
          </w:tcPr>
          <w:p>
            <w:pPr>
              <w:spacing w:after="0"/>
              <w:rPr>
                <w:sz w:val="10"/>
                <w:szCs w:val="10"/>
                <w:color w:val="auto"/>
              </w:rPr>
            </w:pPr>
          </w:p>
        </w:tc>
        <w:tc>
          <w:tcPr>
            <w:tcW w:w="1580" w:type="dxa"/>
            <w:vAlign w:val="bottom"/>
            <w:tcBorders>
              <w:right w:val="single" w:sz="8" w:color="D5DCE4"/>
            </w:tcBorders>
            <w:vMerge w:val="continue"/>
            <w:shd w:val="clear" w:color="auto" w:fill="D5DCE4"/>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1200" w:type="dxa"/>
            <w:vAlign w:val="bottom"/>
            <w:tcBorders>
              <w:right w:val="single" w:sz="8" w:color="D5DCE4"/>
            </w:tcBorders>
            <w:shd w:val="clear" w:color="auto" w:fill="D5DCE4"/>
          </w:tcPr>
          <w:p>
            <w:pPr>
              <w:spacing w:after="0"/>
              <w:rPr>
                <w:sz w:val="9"/>
                <w:szCs w:val="9"/>
                <w:color w:val="auto"/>
              </w:rPr>
            </w:pPr>
          </w:p>
        </w:tc>
        <w:tc>
          <w:tcPr>
            <w:tcW w:w="2420" w:type="dxa"/>
            <w:vAlign w:val="bottom"/>
            <w:tcBorders>
              <w:right w:val="single" w:sz="8" w:color="D5DCE4"/>
            </w:tcBorders>
            <w:gridSpan w:val="2"/>
            <w:vMerge w:val="continue"/>
            <w:shd w:val="clear" w:color="auto" w:fill="D5DCE4"/>
          </w:tcPr>
          <w:p>
            <w:pPr>
              <w:spacing w:after="0"/>
              <w:rPr>
                <w:sz w:val="9"/>
                <w:szCs w:val="9"/>
                <w:color w:val="auto"/>
              </w:rPr>
            </w:pPr>
          </w:p>
        </w:tc>
        <w:tc>
          <w:tcPr>
            <w:tcW w:w="100" w:type="dxa"/>
            <w:vAlign w:val="bottom"/>
            <w:shd w:val="clear" w:color="auto" w:fill="D5DCE4"/>
          </w:tcPr>
          <w:p>
            <w:pPr>
              <w:spacing w:after="0"/>
              <w:rPr>
                <w:sz w:val="9"/>
                <w:szCs w:val="9"/>
                <w:color w:val="auto"/>
              </w:rPr>
            </w:pPr>
          </w:p>
        </w:tc>
        <w:tc>
          <w:tcPr>
            <w:tcW w:w="1360" w:type="dxa"/>
            <w:vAlign w:val="bottom"/>
            <w:tcBorders>
              <w:right w:val="single" w:sz="8" w:color="D5DCE4"/>
            </w:tcBorders>
            <w:shd w:val="clear" w:color="auto" w:fill="D5DCE4"/>
          </w:tcPr>
          <w:p>
            <w:pPr>
              <w:spacing w:after="0"/>
              <w:rPr>
                <w:sz w:val="9"/>
                <w:szCs w:val="9"/>
                <w:color w:val="auto"/>
              </w:rPr>
            </w:pPr>
          </w:p>
        </w:tc>
        <w:tc>
          <w:tcPr>
            <w:tcW w:w="440" w:type="dxa"/>
            <w:vAlign w:val="bottom"/>
            <w:shd w:val="clear" w:color="auto" w:fill="D5DCE4"/>
          </w:tcPr>
          <w:p>
            <w:pPr>
              <w:spacing w:after="0"/>
              <w:rPr>
                <w:sz w:val="9"/>
                <w:szCs w:val="9"/>
                <w:color w:val="auto"/>
              </w:rPr>
            </w:pPr>
          </w:p>
        </w:tc>
        <w:tc>
          <w:tcPr>
            <w:tcW w:w="1020" w:type="dxa"/>
            <w:vAlign w:val="bottom"/>
            <w:shd w:val="clear" w:color="auto" w:fill="D5DCE4"/>
          </w:tcPr>
          <w:p>
            <w:pPr>
              <w:spacing w:after="0"/>
              <w:rPr>
                <w:sz w:val="9"/>
                <w:szCs w:val="9"/>
                <w:color w:val="auto"/>
              </w:rPr>
            </w:pPr>
          </w:p>
        </w:tc>
        <w:tc>
          <w:tcPr>
            <w:tcW w:w="100" w:type="dxa"/>
            <w:vAlign w:val="bottom"/>
            <w:tcBorders>
              <w:right w:val="single" w:sz="8" w:color="D5DCE4"/>
            </w:tcBorders>
            <w:shd w:val="clear" w:color="auto" w:fill="D5DCE4"/>
          </w:tcPr>
          <w:p>
            <w:pPr>
              <w:spacing w:after="0"/>
              <w:rPr>
                <w:sz w:val="9"/>
                <w:szCs w:val="9"/>
                <w:color w:val="auto"/>
              </w:rPr>
            </w:pPr>
          </w:p>
        </w:tc>
        <w:tc>
          <w:tcPr>
            <w:tcW w:w="120" w:type="dxa"/>
            <w:vAlign w:val="bottom"/>
            <w:shd w:val="clear" w:color="auto" w:fill="D5DCE4"/>
          </w:tcPr>
          <w:p>
            <w:pPr>
              <w:spacing w:after="0"/>
              <w:rPr>
                <w:sz w:val="9"/>
                <w:szCs w:val="9"/>
                <w:color w:val="auto"/>
              </w:rPr>
            </w:pPr>
          </w:p>
        </w:tc>
        <w:tc>
          <w:tcPr>
            <w:tcW w:w="1360" w:type="dxa"/>
            <w:vAlign w:val="bottom"/>
            <w:tcBorders>
              <w:right w:val="single" w:sz="8" w:color="D5DCE4"/>
            </w:tcBorders>
            <w:shd w:val="clear" w:color="auto" w:fill="D5DCE4"/>
          </w:tcPr>
          <w:p>
            <w:pPr>
              <w:spacing w:after="0"/>
              <w:rPr>
                <w:sz w:val="9"/>
                <w:szCs w:val="9"/>
                <w:color w:val="auto"/>
              </w:rPr>
            </w:pPr>
          </w:p>
        </w:tc>
        <w:tc>
          <w:tcPr>
            <w:tcW w:w="440" w:type="dxa"/>
            <w:vAlign w:val="bottom"/>
            <w:shd w:val="clear" w:color="auto" w:fill="D5DCE4"/>
          </w:tcPr>
          <w:p>
            <w:pPr>
              <w:spacing w:after="0"/>
              <w:rPr>
                <w:sz w:val="9"/>
                <w:szCs w:val="9"/>
                <w:color w:val="auto"/>
              </w:rPr>
            </w:pPr>
          </w:p>
        </w:tc>
        <w:tc>
          <w:tcPr>
            <w:tcW w:w="1020" w:type="dxa"/>
            <w:vAlign w:val="bottom"/>
            <w:shd w:val="clear" w:color="auto" w:fill="D5DCE4"/>
          </w:tcPr>
          <w:p>
            <w:pPr>
              <w:spacing w:after="0"/>
              <w:rPr>
                <w:sz w:val="9"/>
                <w:szCs w:val="9"/>
                <w:color w:val="auto"/>
              </w:rPr>
            </w:pPr>
          </w:p>
        </w:tc>
        <w:tc>
          <w:tcPr>
            <w:tcW w:w="100" w:type="dxa"/>
            <w:vAlign w:val="bottom"/>
            <w:tcBorders>
              <w:right w:val="single" w:sz="8" w:color="D5DCE4"/>
            </w:tcBorders>
            <w:shd w:val="clear" w:color="auto" w:fill="D5DCE4"/>
          </w:tcPr>
          <w:p>
            <w:pPr>
              <w:spacing w:after="0"/>
              <w:rPr>
                <w:sz w:val="9"/>
                <w:szCs w:val="9"/>
                <w:color w:val="auto"/>
              </w:rPr>
            </w:pPr>
          </w:p>
        </w:tc>
        <w:tc>
          <w:tcPr>
            <w:tcW w:w="1580" w:type="dxa"/>
            <w:vAlign w:val="bottom"/>
            <w:tcBorders>
              <w:right w:val="single" w:sz="8" w:color="D5DCE4"/>
            </w:tcBorders>
            <w:shd w:val="clear" w:color="auto" w:fill="D5DCE4"/>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1200" w:type="dxa"/>
            <w:vAlign w:val="bottom"/>
          </w:tcPr>
          <w:p>
            <w:pPr>
              <w:spacing w:after="0"/>
              <w:rPr>
                <w:sz w:val="20"/>
                <w:szCs w:val="20"/>
                <w:color w:val="auto"/>
              </w:rPr>
            </w:pPr>
          </w:p>
        </w:tc>
        <w:tc>
          <w:tcPr>
            <w:tcW w:w="242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Other Money Markets</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13,617</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870,441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12,703</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799,630</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7.19 %</w:t>
            </w:r>
          </w:p>
        </w:tc>
        <w:tc>
          <w:tcPr>
            <w:tcW w:w="0" w:type="dxa"/>
            <w:vAlign w:val="bottom"/>
          </w:tcPr>
          <w:p>
            <w:pPr>
              <w:spacing w:after="0"/>
              <w:rPr>
                <w:sz w:val="1"/>
                <w:szCs w:val="1"/>
                <w:color w:val="auto"/>
              </w:rPr>
            </w:pPr>
          </w:p>
        </w:tc>
      </w:tr>
      <w:tr>
        <w:trPr>
          <w:trHeight w:val="236"/>
        </w:trPr>
        <w:tc>
          <w:tcPr>
            <w:tcW w:w="1200" w:type="dxa"/>
            <w:vAlign w:val="bottom"/>
            <w:tcBorders>
              <w:top w:val="single" w:sz="8" w:color="D5DCE4"/>
              <w:right w:val="single" w:sz="8" w:color="D5DCE4"/>
            </w:tcBorders>
            <w:shd w:val="clear" w:color="auto" w:fill="D5DCE4"/>
          </w:tcPr>
          <w:p>
            <w:pPr>
              <w:spacing w:after="0"/>
              <w:rPr>
                <w:sz w:val="20"/>
                <w:szCs w:val="20"/>
                <w:color w:val="auto"/>
              </w:rPr>
            </w:pPr>
          </w:p>
        </w:tc>
        <w:tc>
          <w:tcPr>
            <w:tcW w:w="2420" w:type="dxa"/>
            <w:vAlign w:val="bottom"/>
            <w:tcBorders>
              <w:top w:val="single" w:sz="8" w:color="D5DCE4"/>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top w:val="single" w:sz="8" w:color="auto"/>
              <w:bottom w:val="single" w:sz="8" w:color="auto"/>
            </w:tcBorders>
            <w:shd w:val="clear" w:color="auto" w:fill="D5DCE4"/>
          </w:tcPr>
          <w:p>
            <w:pPr>
              <w:spacing w:after="0"/>
              <w:rPr>
                <w:sz w:val="20"/>
                <w:szCs w:val="20"/>
                <w:color w:val="auto"/>
              </w:rPr>
            </w:pPr>
          </w:p>
        </w:tc>
        <w:tc>
          <w:tcPr>
            <w:tcW w:w="1360" w:type="dxa"/>
            <w:vAlign w:val="bottom"/>
            <w:tcBorders>
              <w:top w:val="single" w:sz="8" w:color="auto"/>
              <w:bottom w:val="single" w:sz="8" w:color="auto"/>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367,063</w:t>
            </w:r>
          </w:p>
        </w:tc>
        <w:tc>
          <w:tcPr>
            <w:tcW w:w="440" w:type="dxa"/>
            <w:vAlign w:val="bottom"/>
            <w:tcBorders>
              <w:top w:val="single" w:sz="8" w:color="auto"/>
              <w:bottom w:val="single" w:sz="8" w:color="auto"/>
            </w:tcBorders>
            <w:shd w:val="clear" w:color="auto" w:fill="D5DCE4"/>
          </w:tcPr>
          <w:p>
            <w:pPr>
              <w:spacing w:after="0"/>
              <w:rPr>
                <w:sz w:val="20"/>
                <w:szCs w:val="20"/>
                <w:color w:val="auto"/>
              </w:rPr>
            </w:pPr>
          </w:p>
        </w:tc>
        <w:tc>
          <w:tcPr>
            <w:tcW w:w="102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23,332,283</w:t>
            </w:r>
          </w:p>
        </w:tc>
        <w:tc>
          <w:tcPr>
            <w:tcW w:w="100" w:type="dxa"/>
            <w:vAlign w:val="bottom"/>
            <w:tcBorders>
              <w:top w:val="single" w:sz="8" w:color="D5DCE4"/>
              <w:right w:val="single" w:sz="8" w:color="D5DCE4"/>
            </w:tcBorders>
            <w:shd w:val="clear" w:color="auto" w:fill="D5DCE4"/>
          </w:tcPr>
          <w:p>
            <w:pPr>
              <w:spacing w:after="0"/>
              <w:rPr>
                <w:sz w:val="20"/>
                <w:szCs w:val="20"/>
                <w:color w:val="auto"/>
              </w:rPr>
            </w:pPr>
          </w:p>
        </w:tc>
        <w:tc>
          <w:tcPr>
            <w:tcW w:w="120" w:type="dxa"/>
            <w:vAlign w:val="bottom"/>
            <w:tcBorders>
              <w:top w:val="single" w:sz="8" w:color="auto"/>
              <w:bottom w:val="single" w:sz="8" w:color="auto"/>
            </w:tcBorders>
            <w:shd w:val="clear" w:color="auto" w:fill="D5DCE4"/>
          </w:tcPr>
          <w:p>
            <w:pPr>
              <w:spacing w:after="0"/>
              <w:rPr>
                <w:sz w:val="20"/>
                <w:szCs w:val="20"/>
                <w:color w:val="auto"/>
              </w:rPr>
            </w:pPr>
          </w:p>
        </w:tc>
        <w:tc>
          <w:tcPr>
            <w:tcW w:w="1360" w:type="dxa"/>
            <w:vAlign w:val="bottom"/>
            <w:tcBorders>
              <w:top w:val="single" w:sz="8" w:color="auto"/>
              <w:bottom w:val="single" w:sz="8" w:color="auto"/>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243,681</w:t>
            </w:r>
          </w:p>
        </w:tc>
        <w:tc>
          <w:tcPr>
            <w:tcW w:w="440" w:type="dxa"/>
            <w:vAlign w:val="bottom"/>
            <w:tcBorders>
              <w:top w:val="single" w:sz="8" w:color="auto"/>
              <w:bottom w:val="single" w:sz="8" w:color="auto"/>
            </w:tcBorders>
            <w:shd w:val="clear" w:color="auto" w:fill="D5DCE4"/>
          </w:tcPr>
          <w:p>
            <w:pPr>
              <w:spacing w:after="0"/>
              <w:rPr>
                <w:sz w:val="20"/>
                <w:szCs w:val="20"/>
                <w:color w:val="auto"/>
              </w:rPr>
            </w:pPr>
          </w:p>
        </w:tc>
        <w:tc>
          <w:tcPr>
            <w:tcW w:w="102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15,309,908</w:t>
            </w:r>
          </w:p>
        </w:tc>
        <w:tc>
          <w:tcPr>
            <w:tcW w:w="100" w:type="dxa"/>
            <w:vAlign w:val="bottom"/>
            <w:tcBorders>
              <w:top w:val="single" w:sz="8" w:color="D5DCE4"/>
              <w:right w:val="single" w:sz="8" w:color="D5DCE4"/>
            </w:tcBorders>
            <w:shd w:val="clear" w:color="auto" w:fill="D5DCE4"/>
          </w:tcPr>
          <w:p>
            <w:pPr>
              <w:spacing w:after="0"/>
              <w:rPr>
                <w:sz w:val="20"/>
                <w:szCs w:val="20"/>
                <w:color w:val="auto"/>
              </w:rPr>
            </w:pPr>
          </w:p>
        </w:tc>
        <w:tc>
          <w:tcPr>
            <w:tcW w:w="1580" w:type="dxa"/>
            <w:vAlign w:val="bottom"/>
            <w:tcBorders>
              <w:top w:val="single" w:sz="8" w:color="auto"/>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50.63 %</w:t>
            </w:r>
          </w:p>
        </w:tc>
        <w:tc>
          <w:tcPr>
            <w:tcW w:w="0" w:type="dxa"/>
            <w:vAlign w:val="bottom"/>
          </w:tcPr>
          <w:p>
            <w:pPr>
              <w:spacing w:after="0"/>
              <w:rPr>
                <w:sz w:val="1"/>
                <w:szCs w:val="1"/>
                <w:color w:val="auto"/>
              </w:rPr>
            </w:pPr>
          </w:p>
        </w:tc>
      </w:tr>
      <w:tr>
        <w:trPr>
          <w:trHeight w:val="203"/>
        </w:trPr>
        <w:tc>
          <w:tcPr>
            <w:tcW w:w="1200" w:type="dxa"/>
            <w:vAlign w:val="bottom"/>
            <w:tcBorders>
              <w:bottom w:val="single" w:sz="8" w:color="D5DCE4"/>
            </w:tcBorders>
          </w:tcPr>
          <w:p>
            <w:pPr>
              <w:spacing w:after="0"/>
              <w:rPr>
                <w:sz w:val="17"/>
                <w:szCs w:val="17"/>
                <w:color w:val="auto"/>
              </w:rPr>
            </w:pPr>
          </w:p>
        </w:tc>
        <w:tc>
          <w:tcPr>
            <w:tcW w:w="2300" w:type="dxa"/>
            <w:vAlign w:val="bottom"/>
            <w:tcBorders>
              <w:bottom w:val="single" w:sz="8" w:color="D5DCE4"/>
            </w:tcBorders>
          </w:tcPr>
          <w:p>
            <w:pPr>
              <w:spacing w:after="0"/>
              <w:rPr>
                <w:sz w:val="17"/>
                <w:szCs w:val="17"/>
                <w:color w:val="auto"/>
              </w:rPr>
            </w:pPr>
          </w:p>
        </w:tc>
        <w:tc>
          <w:tcPr>
            <w:tcW w:w="120" w:type="dxa"/>
            <w:vAlign w:val="bottom"/>
            <w:tcBorders>
              <w:bottom w:val="single" w:sz="8" w:color="D5DCE4"/>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0" w:type="dxa"/>
            <w:vAlign w:val="bottom"/>
            <w:tcBorders>
              <w:right w:val="single" w:sz="8" w:color="D5DCE4"/>
            </w:tcBorders>
            <w:shd w:val="clear" w:color="auto" w:fill="D5DCE4"/>
          </w:tcPr>
          <w:p>
            <w:pPr>
              <w:spacing w:after="0"/>
              <w:rPr>
                <w:sz w:val="20"/>
                <w:szCs w:val="20"/>
                <w:color w:val="auto"/>
              </w:rPr>
            </w:pPr>
          </w:p>
        </w:tc>
        <w:tc>
          <w:tcPr>
            <w:tcW w:w="2300" w:type="dxa"/>
            <w:vAlign w:val="bottom"/>
            <w:tcBorders>
              <w:bottom w:val="single" w:sz="8" w:color="auto"/>
            </w:tcBorders>
            <w:shd w:val="clear" w:color="auto" w:fill="D5DCE4"/>
          </w:tcPr>
          <w:p>
            <w:pPr>
              <w:spacing w:after="0"/>
              <w:rPr>
                <w:sz w:val="20"/>
                <w:szCs w:val="20"/>
                <w:color w:val="auto"/>
              </w:rPr>
            </w:pPr>
          </w:p>
        </w:tc>
        <w:tc>
          <w:tcPr>
            <w:tcW w:w="120" w:type="dxa"/>
            <w:vAlign w:val="bottom"/>
            <w:tcBorders>
              <w:bottom w:val="single" w:sz="8" w:color="auto"/>
              <w:right w:val="single" w:sz="8" w:color="auto"/>
            </w:tcBorders>
            <w:shd w:val="clear" w:color="auto" w:fill="D5DCE4"/>
          </w:tcPr>
          <w:p>
            <w:pPr>
              <w:spacing w:after="0"/>
              <w:rPr>
                <w:sz w:val="20"/>
                <w:szCs w:val="20"/>
                <w:color w:val="auto"/>
              </w:rPr>
            </w:pPr>
          </w:p>
        </w:tc>
        <w:tc>
          <w:tcPr>
            <w:tcW w:w="100" w:type="dxa"/>
            <w:vAlign w:val="bottom"/>
            <w:tcBorders>
              <w:bottom w:val="single" w:sz="8" w:color="auto"/>
            </w:tcBorders>
            <w:shd w:val="clear" w:color="auto" w:fill="D5DCE4"/>
          </w:tcPr>
          <w:p>
            <w:pPr>
              <w:spacing w:after="0"/>
              <w:rPr>
                <w:sz w:val="20"/>
                <w:szCs w:val="20"/>
                <w:color w:val="auto"/>
              </w:rPr>
            </w:pPr>
          </w:p>
        </w:tc>
        <w:tc>
          <w:tcPr>
            <w:tcW w:w="1360" w:type="dxa"/>
            <w:vAlign w:val="bottom"/>
            <w:tcBorders>
              <w:bottom w:val="single" w:sz="8" w:color="auto"/>
              <w:right w:val="single" w:sz="8" w:color="auto"/>
            </w:tcBorders>
            <w:shd w:val="clear" w:color="auto" w:fill="D5DCE4"/>
          </w:tcPr>
          <w:p>
            <w:pPr>
              <w:jc w:val="right"/>
              <w:ind w:right="79"/>
              <w:spacing w:after="0"/>
              <w:rPr>
                <w:sz w:val="20"/>
                <w:szCs w:val="20"/>
                <w:color w:val="auto"/>
              </w:rPr>
            </w:pPr>
            <w:r>
              <w:rPr>
                <w:rFonts w:ascii="Arial" w:cs="Arial" w:eastAsia="Arial" w:hAnsi="Arial"/>
                <w:sz w:val="16"/>
                <w:szCs w:val="16"/>
                <w:b w:val="1"/>
                <w:bCs w:val="1"/>
                <w:color w:val="auto"/>
              </w:rPr>
              <w:t>ADV (USD mm)</w:t>
            </w:r>
          </w:p>
        </w:tc>
        <w:tc>
          <w:tcPr>
            <w:tcW w:w="1560" w:type="dxa"/>
            <w:vAlign w:val="bottom"/>
            <w:tcBorders>
              <w:bottom w:val="single" w:sz="8" w:color="auto"/>
              <w:right w:val="single" w:sz="8" w:color="auto"/>
            </w:tcBorders>
            <w:gridSpan w:val="3"/>
            <w:shd w:val="clear" w:color="auto" w:fill="D5DCE4"/>
          </w:tcPr>
          <w:p>
            <w:pPr>
              <w:ind w:left="20"/>
              <w:spacing w:after="0"/>
              <w:rPr>
                <w:sz w:val="20"/>
                <w:szCs w:val="20"/>
                <w:color w:val="auto"/>
              </w:rPr>
            </w:pPr>
            <w:r>
              <w:rPr>
                <w:rFonts w:ascii="Arial" w:cs="Arial" w:eastAsia="Arial" w:hAnsi="Arial"/>
                <w:sz w:val="16"/>
                <w:szCs w:val="16"/>
                <w:b w:val="1"/>
                <w:bCs w:val="1"/>
                <w:color w:val="auto"/>
              </w:rPr>
              <w:t>Volume (USD mm)</w:t>
            </w:r>
          </w:p>
        </w:tc>
        <w:tc>
          <w:tcPr>
            <w:tcW w:w="120" w:type="dxa"/>
            <w:vAlign w:val="bottom"/>
            <w:tcBorders>
              <w:bottom w:val="single" w:sz="8" w:color="auto"/>
            </w:tcBorders>
            <w:shd w:val="clear" w:color="auto" w:fill="D5DCE4"/>
          </w:tcPr>
          <w:p>
            <w:pPr>
              <w:spacing w:after="0"/>
              <w:rPr>
                <w:sz w:val="20"/>
                <w:szCs w:val="20"/>
                <w:color w:val="auto"/>
              </w:rPr>
            </w:pPr>
          </w:p>
        </w:tc>
        <w:tc>
          <w:tcPr>
            <w:tcW w:w="1360" w:type="dxa"/>
            <w:vAlign w:val="bottom"/>
            <w:tcBorders>
              <w:bottom w:val="single" w:sz="8" w:color="auto"/>
              <w:right w:val="single" w:sz="8" w:color="auto"/>
            </w:tcBorders>
            <w:shd w:val="clear" w:color="auto" w:fill="D5DCE4"/>
          </w:tcPr>
          <w:p>
            <w:pPr>
              <w:jc w:val="right"/>
              <w:ind w:right="79"/>
              <w:spacing w:after="0"/>
              <w:rPr>
                <w:sz w:val="20"/>
                <w:szCs w:val="20"/>
                <w:color w:val="auto"/>
              </w:rPr>
            </w:pPr>
            <w:r>
              <w:rPr>
                <w:rFonts w:ascii="Arial" w:cs="Arial" w:eastAsia="Arial" w:hAnsi="Arial"/>
                <w:sz w:val="16"/>
                <w:szCs w:val="16"/>
                <w:b w:val="1"/>
                <w:bCs w:val="1"/>
                <w:color w:val="auto"/>
              </w:rPr>
              <w:t>ADV (USD mm)</w:t>
            </w:r>
          </w:p>
        </w:tc>
        <w:tc>
          <w:tcPr>
            <w:tcW w:w="1560" w:type="dxa"/>
            <w:vAlign w:val="bottom"/>
            <w:tcBorders>
              <w:bottom w:val="single" w:sz="8" w:color="auto"/>
              <w:right w:val="single" w:sz="8" w:color="auto"/>
            </w:tcBorders>
            <w:gridSpan w:val="3"/>
            <w:shd w:val="clear" w:color="auto" w:fill="D5DCE4"/>
          </w:tcPr>
          <w:p>
            <w:pPr>
              <w:ind w:left="20"/>
              <w:spacing w:after="0"/>
              <w:rPr>
                <w:sz w:val="20"/>
                <w:szCs w:val="20"/>
                <w:color w:val="auto"/>
              </w:rPr>
            </w:pPr>
            <w:r>
              <w:rPr>
                <w:rFonts w:ascii="Arial" w:cs="Arial" w:eastAsia="Arial" w:hAnsi="Arial"/>
                <w:sz w:val="16"/>
                <w:szCs w:val="16"/>
                <w:b w:val="1"/>
                <w:bCs w:val="1"/>
                <w:color w:val="auto"/>
              </w:rPr>
              <w:t>Volume (USD mm)</w:t>
            </w:r>
          </w:p>
        </w:tc>
        <w:tc>
          <w:tcPr>
            <w:tcW w:w="1580" w:type="dxa"/>
            <w:vAlign w:val="bottom"/>
            <w:tcBorders>
              <w:bottom w:val="single" w:sz="8" w:color="auto"/>
              <w:right w:val="single" w:sz="8" w:color="auto"/>
            </w:tcBorders>
            <w:shd w:val="clear" w:color="auto" w:fill="D5DCE4"/>
          </w:tcPr>
          <w:p>
            <w:pPr>
              <w:ind w:left="620"/>
              <w:spacing w:after="0"/>
              <w:rPr>
                <w:sz w:val="20"/>
                <w:szCs w:val="20"/>
                <w:color w:val="auto"/>
              </w:rPr>
            </w:pPr>
            <w:r>
              <w:rPr>
                <w:rFonts w:ascii="Arial" w:cs="Arial" w:eastAsia="Arial" w:hAnsi="Arial"/>
                <w:sz w:val="16"/>
                <w:szCs w:val="16"/>
                <w:b w:val="1"/>
                <w:bCs w:val="1"/>
                <w:color w:val="auto"/>
              </w:rPr>
              <w:t>YoY</w:t>
            </w:r>
          </w:p>
        </w:tc>
        <w:tc>
          <w:tcPr>
            <w:tcW w:w="0" w:type="dxa"/>
            <w:vAlign w:val="bottom"/>
          </w:tcPr>
          <w:p>
            <w:pPr>
              <w:spacing w:after="0"/>
              <w:rPr>
                <w:sz w:val="1"/>
                <w:szCs w:val="1"/>
                <w:color w:val="auto"/>
              </w:rPr>
            </w:pPr>
          </w:p>
        </w:tc>
      </w:tr>
      <w:tr>
        <w:trPr>
          <w:trHeight w:val="237"/>
        </w:trPr>
        <w:tc>
          <w:tcPr>
            <w:tcW w:w="1200" w:type="dxa"/>
            <w:vAlign w:val="bottom"/>
            <w:tcBorders>
              <w:right w:val="single" w:sz="8" w:color="auto"/>
            </w:tcBorders>
          </w:tcPr>
          <w:p>
            <w:pPr>
              <w:spacing w:after="0"/>
              <w:rPr>
                <w:sz w:val="20"/>
                <w:szCs w:val="20"/>
                <w:color w:val="auto"/>
              </w:rPr>
            </w:pPr>
          </w:p>
        </w:tc>
        <w:tc>
          <w:tcPr>
            <w:tcW w:w="24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976,876</w:t>
            </w:r>
          </w:p>
        </w:tc>
        <w:tc>
          <w:tcPr>
            <w:tcW w:w="4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62,038,148</w:t>
            </w:r>
          </w:p>
        </w:tc>
        <w:tc>
          <w:tcPr>
            <w:tcW w:w="1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778,380</w:t>
            </w:r>
          </w:p>
        </w:tc>
        <w:tc>
          <w:tcPr>
            <w:tcW w:w="44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48,853,443</w:t>
            </w:r>
          </w:p>
        </w:tc>
        <w:tc>
          <w:tcPr>
            <w:tcW w:w="10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25.50 %</w:t>
            </w:r>
          </w:p>
        </w:tc>
        <w:tc>
          <w:tcPr>
            <w:tcW w:w="0" w:type="dxa"/>
            <w:vAlign w:val="bottom"/>
          </w:tcPr>
          <w:p>
            <w:pPr>
              <w:spacing w:after="0"/>
              <w:rPr>
                <w:sz w:val="1"/>
                <w:szCs w:val="1"/>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To access historical traded volumes, go to </w:t>
      </w:r>
      <w:r>
        <w:rPr>
          <w:rFonts w:ascii="Arial" w:cs="Arial" w:eastAsia="Arial" w:hAnsi="Arial"/>
          <w:sz w:val="16"/>
          <w:szCs w:val="16"/>
          <w:u w:val="single" w:color="auto"/>
          <w:color w:val="055FC1"/>
        </w:rPr>
        <w:t>https://www.tradeweb.com/newsroom/monthly-activity-reports/</w:t>
      </w:r>
      <w:r>
        <w:rPr>
          <w:rFonts w:ascii="Arial" w:cs="Arial" w:eastAsia="Arial" w:hAnsi="Arial"/>
          <w:sz w:val="16"/>
          <w:szCs w:val="16"/>
          <w:u w:val="single" w:color="auto"/>
          <w:color w:val="auto"/>
        </w:rPr>
        <w:t>.</w:t>
      </w:r>
    </w:p>
    <w:p>
      <w:pPr>
        <w:spacing w:after="0" w:line="191" w:lineRule="exact"/>
        <w:rPr>
          <w:sz w:val="20"/>
          <w:szCs w:val="20"/>
          <w:color w:val="auto"/>
        </w:rPr>
      </w:pPr>
    </w:p>
    <w:p>
      <w:pPr>
        <w:ind w:left="10580"/>
        <w:spacing w:after="0"/>
        <w:rPr>
          <w:sz w:val="20"/>
          <w:szCs w:val="20"/>
          <w:color w:val="auto"/>
        </w:rPr>
      </w:pPr>
      <w:r>
        <w:rPr>
          <w:rFonts w:ascii="Arial" w:cs="Arial" w:eastAsia="Arial" w:hAnsi="Arial"/>
          <w:sz w:val="18"/>
          <w:szCs w:val="18"/>
          <w:color w:val="auto"/>
        </w:rPr>
        <w:t>Page | 9</w:t>
      </w:r>
    </w:p>
    <w:p>
      <w:pPr>
        <w:sectPr>
          <w:pgSz w:w="11900" w:h="16838" w:orient="portrait"/>
          <w:cols w:equalWidth="0" w:num="1">
            <w:col w:w="11260"/>
          </w:cols>
          <w:pgMar w:left="320" w:top="769" w:right="31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083566"/>
        </w:rPr>
        <w:t>FORWARD-LOOKING STATEMENTS</w:t>
      </w:r>
    </w:p>
    <w:p>
      <w:pPr>
        <w:spacing w:after="0" w:line="133"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This release contains forward-looking statements within the meaning of the federal securities laws. Statements related to, among other things, our guidance, including full-year 2021 guidance, and future performance, the industry and markets in which we operate, our expectations, beliefs, plans, strategies, objectives, prospects and assumptions and future events are forward-looking statements. In addition, statements herein relating to the COVID-19 pandemic, the potential impacts of which remain inherently uncertain, are forward-looking statements.</w:t>
      </w:r>
    </w:p>
    <w:p>
      <w:pPr>
        <w:spacing w:after="0" w:line="202"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under the heading “Risk Factors” in documents of Tradeweb Markets Inc. on file with or furnished to the SEC, may cause our actual results, performance or achievements to differ materially from those expressed or implied by these forward-looking statements. Given these risks and uncertainties, you are cautioned not to place undue reliance on such forward-looking statements. The forward-looking statements contained in this release are not guarantees of future performance and our actual results of operations, financial condition or liquidity, and the development of the industry and markets in which we operate, may differ materially from the forward-looking statements contained in this release. In addition, even if our results of operations, financial condition, or liquidity, and events in the industry and markets in which we operate, are consistent with the forward-looking statements contained in this release, they may not be predictive of results or developments in future periods. Any forward-looking statement that we make in this release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release.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BASIS OF PRESENTATION</w:t>
      </w:r>
    </w:p>
    <w:p>
      <w:pPr>
        <w:spacing w:after="0" w:line="133"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Tradeweb Markets Inc. (unless the context otherwise requires, together with its subsidiaries, referred to as “we,” “our,” “Tradeweb,” “Tradeweb Markets” or the “Company”) closed its IPO on April 8, 2019. As a result of certain reorganization transactions (the “Reorganization Transactions”) completed in connection with the IPO, on April 4, 2019, Tradeweb Markets Inc. became a holding company whose only material assets consist of its equity interest in Tradeweb Markets LLC (“TWM LLC”) and related deferred tax assets. As the sole manager of TWM LLC, Tradeweb Markets Inc. operates and controls all of the business and affairs of TWM LLC and, through TWM LLC and its subsidiaries, conducts its business. As a result of this control, and because Tradeweb Markets Inc. has a substantial financial interest in TWM LLC, Tradeweb Markets Inc. consolidates the financial results of TWM LLC and its subsidiaries.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SOCIAL MEDIA</w:t>
      </w:r>
    </w:p>
    <w:p>
      <w:pPr>
        <w:spacing w:after="0" w:line="133"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Investors and others should note that Tradeweb Markets announces material financial and operational information using its investor relations website, press releases, SEC filings and public conference calls and webcasts. Information about Tradeweb Markets, its business and its results of operations may also be announced by posts on the Company’s accounts on the following social media channels: Instagram, LinkedIn and Twitter. The information that we post through these social media channels may be deemed material. As a result, we encourage investors, the media, and others interested in Tradeweb Markets to monitor these social media channels in addition to following our press releases, SEC filings and public conference calls and webcasts. These social media channels may be updated from time to time on our investor relations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10</w:t>
      </w:r>
    </w:p>
    <w:p>
      <w:pPr>
        <w:sectPr>
          <w:pgSz w:w="11900" w:h="16838" w:orient="portrait"/>
          <w:cols w:equalWidth="0" w:num="1">
            <w:col w:w="11240"/>
          </w:cols>
          <w:pgMar w:left="320" w:top="985"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083566"/>
        </w:rPr>
        <w:t>NON-GAAP FINANCIAL MEASURES</w:t>
      </w:r>
    </w:p>
    <w:p>
      <w:pPr>
        <w:spacing w:after="0" w:line="133"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This release contains “non-GAAP financial measures,” including Adjusted EBITDA, Adjusted EBITDA margin, Adjusted EBIT, Adjusted EBIT margin, Adjusted Net Income, Adjusted Diluted EPS, Adjusted Expenses and Free Cash Flow, which are supplemental financial measures that are not calculated or presented in accordance with GAAP. We make use of non-GAAP financial measures in evaluating our past results and future prospects. We present these non-GAAP financial measures because we believe they assist investors and analysts in comparing our operating performance across reporting periods on a consistent basis by excluding items that we do not believe are indicative of our core operating performance.</w:t>
      </w:r>
    </w:p>
    <w:p>
      <w:pPr>
        <w:spacing w:after="0" w:line="230"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229" w:lineRule="exact"/>
        <w:rPr>
          <w:sz w:val="20"/>
          <w:szCs w:val="20"/>
          <w:color w:val="auto"/>
        </w:rPr>
      </w:pPr>
    </w:p>
    <w:p>
      <w:pPr>
        <w:ind w:right="360"/>
        <w:spacing w:after="0" w:line="251" w:lineRule="auto"/>
        <w:rPr>
          <w:sz w:val="20"/>
          <w:szCs w:val="20"/>
          <w:color w:val="auto"/>
        </w:rPr>
      </w:pPr>
      <w:r>
        <w:rPr>
          <w:rFonts w:ascii="Arial" w:cs="Arial" w:eastAsia="Arial" w:hAnsi="Arial"/>
          <w:sz w:val="16"/>
          <w:szCs w:val="16"/>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included in Adjusted Net Income and Adjusted Diluted EPS help to provide management with a measure of our operating performance over time by removing items that are not related to day-to-day operations or are non-cash expenses.</w:t>
      </w:r>
    </w:p>
    <w:p>
      <w:pPr>
        <w:spacing w:after="0" w:line="229"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We use Adjusted Expenses as a supplemental metric to evaluate our underlying operating performance over time by removing items that are not related to day-to-day operations or are non-cash expenses.</w:t>
      </w:r>
    </w:p>
    <w:p>
      <w:pPr>
        <w:spacing w:after="0" w:line="222"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We use Free Cash Flow to assess our liquidity in a way that considers the amount of cash generated from our core operations after non-acquisition related expenditures for capitalized software development costs and furniture, equipment and leasehold improvements.</w:t>
      </w:r>
    </w:p>
    <w:p>
      <w:pPr>
        <w:spacing w:after="0" w:line="222"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See the attached schedules for reconciliations of the non-GAAP financial measures contained in this release to their most comparable GAAP financial measure. Non-GAAP financial measures have limitations as analytical tools, and you should not consider these non-GAAP financial measures in isolation or as alternatives to net income attributable to Tradeweb Markets Inc., net income, earnings per share, operating income, operating expenses or cash flow from operating activities or any other financial measure derived in accordance with GAAP. You are encouraged to evaluate each adjustment included in the reconciliations. In addition, in evaluating Adjusted EBITDA, Adjusted EBITDA margin, Adjusted EBIT, Adjusted EBIT margin, Adjusted Net Income, Adjusted Diluted EPS, Adjusted Expenses and Free Cash Flow, you should be aware that in the future, we may incur expenses similar to the adjustments in the presentation of these non-GAAP financial measures. Our presentation of non-GAAP financial measures should not be construed as an inference that our future results will be unaffected by unusual or non-recurring items. In addition, the non-GAAP financial measures contained in this release may not be comparable to similarly titled measures used by other companies in our industry or across different industries.</w:t>
      </w:r>
    </w:p>
    <w:p>
      <w:pPr>
        <w:spacing w:after="0" w:line="206"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We present certain growth information on a “constant currency” basis. Since our consolidated financial statements are presented in U.S. dollars, we must translate non-U.S. dollar revenues and expenses into U.S. dollars. Constant currency growth, which is a non-GAAP financial measure, is defined as growth excluding the effects of foreign currency fluctuations. Constant currency information is calculated by translating the current period and prior period’s results using the average exchange rates for the prior period. We use constant currency growth as a supplemental metric to evaluate our underlying performance between periods by removing the impact of foreign currency fluctuations. We present certain constant currency growth information because we believe it provides investors and analysts a useful comparison of our results and trends between periods. This information should be considered in addition to, not as a substitute for, results reported in accordance with GAAP, and may not be comparable to similarly titled measures used by other companies.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11</w:t>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2021-07-29T06:06:04Z</dcterms:created>
  <dcterms:modified xsi:type="dcterms:W3CDTF">2021-07-29T06:06:04Z</dcterms:modified>
</cp:coreProperties>
</file>