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ind w:left="4180"/>
        <w:spacing w:after="0"/>
        <w:rPr>
          <w:sz w:val="20"/>
          <w:szCs w:val="20"/>
          <w:color w:val="auto"/>
        </w:rPr>
      </w:pPr>
      <w:r>
        <w:rPr>
          <w:rFonts w:ascii="Arial" w:cs="Arial" w:eastAsia="Arial" w:hAnsi="Arial"/>
          <w:sz w:val="29"/>
          <w:szCs w:val="29"/>
          <w:b w:val="1"/>
          <w:bCs w:val="1"/>
          <w:color w:val="auto"/>
        </w:rPr>
        <w:t>Tradeweb Markets Inc.</w:t>
      </w:r>
    </w:p>
    <w:p>
      <w:pPr>
        <w:spacing w:after="0" w:line="29"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15"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3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217805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29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9129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314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002856"/>
        </w:rPr>
        <w:t>Lee Olesky</w:t>
      </w:r>
    </w:p>
    <w:p>
      <w:pPr>
        <w:spacing w:after="0" w:line="13" w:lineRule="exact"/>
        <w:rPr>
          <w:sz w:val="20"/>
          <w:szCs w:val="20"/>
          <w:color w:val="auto"/>
        </w:rPr>
      </w:pPr>
    </w:p>
    <w:p>
      <w:pPr>
        <w:ind w:left="7060"/>
        <w:spacing w:after="0"/>
        <w:rPr>
          <w:sz w:val="20"/>
          <w:szCs w:val="20"/>
          <w:color w:val="auto"/>
        </w:rPr>
      </w:pPr>
      <w:r>
        <w:rPr>
          <w:rFonts w:ascii="Arial" w:cs="Arial" w:eastAsia="Arial" w:hAnsi="Arial"/>
          <w:sz w:val="18"/>
          <w:szCs w:val="18"/>
          <w:color w:val="002856"/>
        </w:rPr>
        <w:t>Chief Executive Officer and</w:t>
      </w:r>
    </w:p>
    <w:p>
      <w:pPr>
        <w:ind w:left="7060"/>
        <w:spacing w:after="0" w:line="234" w:lineRule="auto"/>
        <w:rPr>
          <w:sz w:val="20"/>
          <w:szCs w:val="20"/>
          <w:color w:val="auto"/>
        </w:rPr>
      </w:pPr>
      <w:r>
        <w:rPr>
          <w:rFonts w:ascii="Arial" w:cs="Arial" w:eastAsia="Arial" w:hAnsi="Arial"/>
          <w:sz w:val="18"/>
          <w:szCs w:val="18"/>
          <w:color w:val="002856"/>
        </w:rPr>
        <w:t>Chairman of the Board</w:t>
      </w:r>
    </w:p>
    <w:p>
      <w:pPr>
        <w:spacing w:after="0" w:line="1" w:lineRule="exact"/>
        <w:rPr>
          <w:sz w:val="20"/>
          <w:szCs w:val="20"/>
          <w:color w:val="auto"/>
        </w:rPr>
      </w:pPr>
    </w:p>
    <w:p>
      <w:pPr>
        <w:ind w:left="7060"/>
        <w:spacing w:after="0"/>
        <w:rPr>
          <w:sz w:val="20"/>
          <w:szCs w:val="20"/>
          <w:color w:val="auto"/>
        </w:rPr>
      </w:pPr>
      <w:r>
        <w:rPr>
          <w:rFonts w:ascii="Arial" w:cs="Arial" w:eastAsia="Arial" w:hAnsi="Arial"/>
          <w:sz w:val="18"/>
          <w:szCs w:val="18"/>
          <w:color w:val="002856"/>
        </w:rPr>
        <w:t>Tradeweb Markets Inc.</w:t>
      </w:r>
    </w:p>
    <w:p>
      <w:pPr>
        <w:spacing w:after="0" w:line="118" w:lineRule="exact"/>
        <w:rPr>
          <w:sz w:val="20"/>
          <w:szCs w:val="20"/>
          <w:color w:val="auto"/>
        </w:rPr>
      </w:pPr>
    </w:p>
    <w:p>
      <w:pPr>
        <w:ind w:left="1100"/>
        <w:spacing w:after="0"/>
        <w:rPr>
          <w:sz w:val="20"/>
          <w:szCs w:val="20"/>
          <w:color w:val="auto"/>
        </w:rPr>
      </w:pPr>
      <w:r>
        <w:rPr>
          <w:rFonts w:ascii="Arial" w:cs="Arial" w:eastAsia="Arial" w:hAnsi="Arial"/>
          <w:sz w:val="47"/>
          <w:szCs w:val="47"/>
          <w:color w:val="00ADD8"/>
        </w:rPr>
        <w:t>Dear Stockholder:</w:t>
      </w:r>
    </w:p>
    <w:p>
      <w:pPr>
        <w:spacing w:after="0" w:line="228" w:lineRule="exact"/>
        <w:rPr>
          <w:sz w:val="20"/>
          <w:szCs w:val="20"/>
          <w:color w:val="auto"/>
        </w:rPr>
      </w:pPr>
    </w:p>
    <w:p>
      <w:pPr>
        <w:ind w:left="1100" w:right="579"/>
        <w:spacing w:after="0" w:line="291" w:lineRule="auto"/>
        <w:rPr>
          <w:sz w:val="20"/>
          <w:szCs w:val="20"/>
          <w:color w:val="auto"/>
        </w:rPr>
      </w:pPr>
      <w:r>
        <w:rPr>
          <w:rFonts w:ascii="Arial" w:cs="Arial" w:eastAsia="Arial" w:hAnsi="Arial"/>
          <w:sz w:val="16"/>
          <w:szCs w:val="16"/>
          <w:color w:val="auto"/>
        </w:rPr>
        <w:t>You are cordially invited to attend the Annual Meeting of Stockholders of Tradeweb Markets Inc., which will be held virtually at 12:30 p.m., Eastern Time, on Tuesday, May 10, 2022, at www.virtualshareholdermeeting.com/TW2022.</w:t>
      </w:r>
    </w:p>
    <w:p>
      <w:pPr>
        <w:ind w:left="1100" w:right="99" w:firstLine="361"/>
        <w:spacing w:after="0" w:line="250" w:lineRule="auto"/>
        <w:rPr>
          <w:sz w:val="20"/>
          <w:szCs w:val="20"/>
          <w:color w:val="auto"/>
        </w:rPr>
      </w:pPr>
      <w:r>
        <w:rPr>
          <w:rFonts w:ascii="Arial" w:cs="Arial" w:eastAsia="Arial" w:hAnsi="Arial"/>
          <w:sz w:val="18"/>
          <w:szCs w:val="18"/>
          <w:color w:val="auto"/>
        </w:rPr>
        <w:t>The attached Notice of the Annual Meeting of Stockholders and Proxy Statement describes the formal business that we will transact at the virtual Annual Meeting.</w:t>
      </w:r>
    </w:p>
    <w:p>
      <w:pPr>
        <w:spacing w:after="0" w:line="1" w:lineRule="exact"/>
        <w:rPr>
          <w:sz w:val="20"/>
          <w:szCs w:val="20"/>
          <w:color w:val="auto"/>
        </w:rPr>
      </w:pPr>
    </w:p>
    <w:p>
      <w:pPr>
        <w:ind w:left="1100" w:right="159" w:firstLine="361"/>
        <w:spacing w:after="0" w:line="250" w:lineRule="auto"/>
        <w:rPr>
          <w:sz w:val="20"/>
          <w:szCs w:val="20"/>
          <w:color w:val="auto"/>
        </w:rPr>
      </w:pPr>
      <w:r>
        <w:rPr>
          <w:rFonts w:ascii="Arial" w:cs="Arial" w:eastAsia="Arial" w:hAnsi="Arial"/>
          <w:sz w:val="18"/>
          <w:szCs w:val="18"/>
          <w:color w:val="auto"/>
        </w:rPr>
        <w:t>The Board of Directors of Tradeweb Markets Inc. has determined that a vote for Items 1 and 2 and against Item 3 is in the best interest of Tradeweb Markets Inc. and its stockholders and unanimously recommends such a vote at the Annual Meeting.</w:t>
      </w:r>
    </w:p>
    <w:p>
      <w:pPr>
        <w:spacing w:after="0" w:line="1" w:lineRule="exact"/>
        <w:rPr>
          <w:sz w:val="20"/>
          <w:szCs w:val="20"/>
          <w:color w:val="auto"/>
        </w:rPr>
      </w:pPr>
    </w:p>
    <w:p>
      <w:pPr>
        <w:ind w:left="1100" w:right="39" w:firstLine="361"/>
        <w:spacing w:after="0" w:line="265" w:lineRule="auto"/>
        <w:rPr>
          <w:sz w:val="20"/>
          <w:szCs w:val="20"/>
          <w:color w:val="auto"/>
        </w:rPr>
      </w:pPr>
      <w:r>
        <w:rPr>
          <w:rFonts w:ascii="Arial" w:cs="Arial" w:eastAsia="Arial" w:hAnsi="Arial"/>
          <w:sz w:val="17"/>
          <w:szCs w:val="17"/>
          <w:color w:val="auto"/>
        </w:rPr>
        <w:t>We have elected to take advantage of the rules of the U.S. Securities and Exchange Commission that allow us to furnish our proxy materials over the Internet.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 materials on the Internet and for voting over the Internet.</w:t>
      </w:r>
    </w:p>
    <w:p>
      <w:pPr>
        <w:spacing w:after="0" w:line="1" w:lineRule="exact"/>
        <w:rPr>
          <w:sz w:val="20"/>
          <w:szCs w:val="20"/>
          <w:color w:val="auto"/>
        </w:rPr>
      </w:pPr>
    </w:p>
    <w:p>
      <w:pPr>
        <w:ind w:left="1100" w:right="39" w:firstLine="361"/>
        <w:spacing w:after="0" w:line="250" w:lineRule="auto"/>
        <w:rPr>
          <w:sz w:val="20"/>
          <w:szCs w:val="20"/>
          <w:color w:val="auto"/>
        </w:rPr>
      </w:pPr>
      <w:r>
        <w:rPr>
          <w:rFonts w:ascii="Arial" w:cs="Arial" w:eastAsia="Arial" w:hAnsi="Arial"/>
          <w:sz w:val="18"/>
          <w:szCs w:val="18"/>
          <w:color w:val="auto"/>
        </w:rPr>
        <w:t xml:space="preserve">Whether or not you plan to virtually attend the Annual Meeting, please vote your shares promptly by following the voting instructions that you have received. </w:t>
      </w:r>
      <w:r>
        <w:rPr>
          <w:rFonts w:ascii="Arial" w:cs="Arial" w:eastAsia="Arial" w:hAnsi="Arial"/>
          <w:sz w:val="18"/>
          <w:szCs w:val="18"/>
          <w:b w:val="1"/>
          <w:bCs w:val="1"/>
          <w:color w:val="auto"/>
        </w:rPr>
        <w:t>Your vote is important regardless of the number of shares you own. Voting</w:t>
      </w:r>
      <w:r>
        <w:rPr>
          <w:rFonts w:ascii="Arial" w:cs="Arial" w:eastAsia="Arial" w:hAnsi="Arial"/>
          <w:sz w:val="18"/>
          <w:szCs w:val="18"/>
          <w:color w:val="auto"/>
        </w:rPr>
        <w:t xml:space="preserve"> </w:t>
      </w:r>
      <w:r>
        <w:rPr>
          <w:rFonts w:ascii="Arial" w:cs="Arial" w:eastAsia="Arial" w:hAnsi="Arial"/>
          <w:sz w:val="18"/>
          <w:szCs w:val="18"/>
          <w:b w:val="1"/>
          <w:bCs w:val="1"/>
          <w:color w:val="auto"/>
        </w:rPr>
        <w:t>by proxy will not prevent you from voting virtually at the Annual Meeting, but will assure that your vote is counted if you cannot virtually attend.</w:t>
      </w:r>
    </w:p>
    <w:p>
      <w:pPr>
        <w:spacing w:after="0" w:line="2" w:lineRule="exact"/>
        <w:rPr>
          <w:sz w:val="20"/>
          <w:szCs w:val="20"/>
          <w:color w:val="auto"/>
        </w:rPr>
      </w:pPr>
    </w:p>
    <w:p>
      <w:pPr>
        <w:ind w:left="1100" w:right="359" w:firstLine="361"/>
        <w:spacing w:after="0" w:line="260" w:lineRule="auto"/>
        <w:rPr>
          <w:sz w:val="20"/>
          <w:szCs w:val="20"/>
          <w:color w:val="auto"/>
        </w:rPr>
      </w:pPr>
      <w:r>
        <w:rPr>
          <w:rFonts w:ascii="Arial" w:cs="Arial" w:eastAsia="Arial" w:hAnsi="Arial"/>
          <w:sz w:val="18"/>
          <w:szCs w:val="18"/>
          <w:color w:val="auto"/>
        </w:rPr>
        <w:t>On behalf of the Board of Directors and the employees of Tradeweb Markets Inc., we thank you for your continued support and look forward to seeing you at the virtual Annual Meeting.</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92075</wp:posOffset>
            </wp:positionV>
            <wp:extent cx="80581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58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March 28, 2022</w:t>
      </w:r>
    </w:p>
    <w:p>
      <w:pPr>
        <w:spacing w:after="0" w:line="227" w:lineRule="exact"/>
        <w:rPr>
          <w:sz w:val="20"/>
          <w:szCs w:val="20"/>
          <w:color w:val="auto"/>
        </w:rPr>
      </w:pPr>
    </w:p>
    <w:p>
      <w:pPr>
        <w:ind w:left="120"/>
        <w:spacing w:after="0"/>
        <w:tabs>
          <w:tab w:leader="none" w:pos="2020" w:val="left"/>
          <w:tab w:leader="none" w:pos="23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r>
      <w:r>
        <w:rPr>
          <w:sz w:val="20"/>
          <w:szCs w:val="20"/>
          <w:color w:val="auto"/>
        </w:rPr>
        <w:tab/>
      </w:r>
      <w:r>
        <w:rPr>
          <w:rFonts w:ascii="Arial" w:cs="Arial" w:eastAsia="Arial" w:hAnsi="Arial"/>
          <w:sz w:val="19"/>
          <w:szCs w:val="19"/>
          <w:color w:val="EEEFEF"/>
        </w:rPr>
        <w:t>●</w:t>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20"/>
        <w:spacing w:after="0"/>
        <w:rPr>
          <w:sz w:val="20"/>
          <w:szCs w:val="20"/>
          <w:color w:val="auto"/>
        </w:rPr>
      </w:pPr>
      <w:r>
        <w:rPr>
          <w:rFonts w:ascii="Arial" w:cs="Arial" w:eastAsia="Arial" w:hAnsi="Arial"/>
          <w:sz w:val="47"/>
          <w:szCs w:val="47"/>
          <w:color w:val="00ADD8"/>
        </w:rPr>
        <w:t>Notice of 2022 Virtual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47"/>
          <w:szCs w:val="47"/>
          <w:color w:val="00ADD8"/>
        </w:rPr>
        <w:t>Annual Meeting of</w:t>
      </w:r>
    </w:p>
    <w:p>
      <w:pPr>
        <w:ind w:left="120"/>
        <w:spacing w:after="0"/>
        <w:rPr>
          <w:sz w:val="20"/>
          <w:szCs w:val="20"/>
          <w:color w:val="auto"/>
        </w:rPr>
      </w:pPr>
      <w:r>
        <w:rPr>
          <w:rFonts w:ascii="Arial" w:cs="Arial" w:eastAsia="Arial" w:hAnsi="Arial"/>
          <w:sz w:val="47"/>
          <w:szCs w:val="47"/>
          <w:color w:val="00ADD8"/>
        </w:rPr>
        <w:t>Stockholders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 xml:space="preserve">The 2022 Annual Meeting of Stockholders (the “Annual Meeting”) of Tradeweb Markets Inc. (“Tradeweb” or the “Company”) will be held virtually at 12:30 p.m., Eastern Time, on Tuesday, May 10, 2022, at </w:t>
      </w:r>
      <w:r>
        <w:rPr>
          <w:rFonts w:ascii="Arial" w:cs="Arial" w:eastAsia="Arial" w:hAnsi="Arial"/>
          <w:sz w:val="17"/>
          <w:szCs w:val="17"/>
          <w:u w:val="single" w:color="auto"/>
          <w:color w:val="auto"/>
        </w:rPr>
        <w:t>www.virtualshareholdermeeting.com/TW2022</w:t>
      </w:r>
      <w:r>
        <w:rPr>
          <w:rFonts w:ascii="Arial" w:cs="Arial" w:eastAsia="Arial" w:hAnsi="Arial"/>
          <w:sz w:val="17"/>
          <w:szCs w:val="17"/>
          <w:color w:val="auto"/>
        </w:rPr>
        <w:t xml:space="preserve"> for the following purposes:</w:t>
      </w:r>
    </w:p>
    <w:p>
      <w:pPr>
        <w:spacing w:after="0" w:line="52" w:lineRule="exact"/>
        <w:rPr>
          <w:sz w:val="20"/>
          <w:szCs w:val="20"/>
          <w:color w:val="auto"/>
        </w:rPr>
      </w:pPr>
    </w:p>
    <w:p>
      <w:pPr>
        <w:ind w:left="440" w:right="300" w:hanging="162"/>
        <w:spacing w:after="0" w:line="258" w:lineRule="auto"/>
        <w:tabs>
          <w:tab w:leader="none" w:pos="4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three nominees for director named in the attached Proxy Statement to serve on the Board of Directors for a three year term until the 2025 Annual Meeting of Stockholders or their respective successors are elected and qualified;</w:t>
      </w:r>
    </w:p>
    <w:p>
      <w:pPr>
        <w:spacing w:after="0" w:line="1" w:lineRule="exact"/>
        <w:rPr>
          <w:rFonts w:ascii="Arial" w:cs="Arial" w:eastAsia="Arial" w:hAnsi="Arial"/>
          <w:sz w:val="18"/>
          <w:szCs w:val="18"/>
          <w:color w:val="auto"/>
        </w:rPr>
      </w:pPr>
    </w:p>
    <w:p>
      <w:pPr>
        <w:ind w:left="440" w:right="240" w:hanging="162"/>
        <w:spacing w:after="0" w:line="250" w:lineRule="auto"/>
        <w:tabs>
          <w:tab w:leader="none" w:pos="4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(“Deloitte”) as our independent registered public accounting firm for our fiscal year ending December 31, 2022;</w:t>
      </w:r>
    </w:p>
    <w:p>
      <w:pPr>
        <w:ind w:left="420" w:hanging="14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 stockholder proposal relating to the adoption of a policy on board diversity; and</w:t>
      </w:r>
    </w:p>
    <w:p>
      <w:pPr>
        <w:spacing w:after="0" w:line="9" w:lineRule="exact"/>
        <w:rPr>
          <w:rFonts w:ascii="Arial" w:cs="Arial" w:eastAsia="Arial" w:hAnsi="Arial"/>
          <w:sz w:val="18"/>
          <w:szCs w:val="18"/>
          <w:color w:val="auto"/>
        </w:rPr>
      </w:pPr>
    </w:p>
    <w:p>
      <w:pPr>
        <w:ind w:left="420" w:hanging="14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16" w:lineRule="exact"/>
        <w:rPr>
          <w:sz w:val="20"/>
          <w:szCs w:val="20"/>
          <w:color w:val="auto"/>
        </w:rPr>
      </w:pPr>
    </w:p>
    <w:p>
      <w:pPr>
        <w:ind w:left="120" w:right="80" w:firstLine="324"/>
        <w:spacing w:after="0" w:line="255" w:lineRule="auto"/>
        <w:rPr>
          <w:sz w:val="20"/>
          <w:szCs w:val="20"/>
          <w:color w:val="auto"/>
        </w:rPr>
      </w:pPr>
      <w:r>
        <w:rPr>
          <w:rFonts w:ascii="Arial" w:cs="Arial" w:eastAsia="Arial" w:hAnsi="Arial"/>
          <w:sz w:val="18"/>
          <w:szCs w:val="18"/>
          <w:color w:val="auto"/>
        </w:rPr>
        <w:t>Our Board of Directors recommends you vote (i) “FOR” the election of each of the nominees to the Board of Directors; (ii) “FOR” the ratification of the appointment of Deloitte as our independent registered public accounting firm; and (iii) “AGAINST” the stockholder proposal relating to the adoption of a policy on board diversity.</w:t>
      </w:r>
    </w:p>
    <w:p>
      <w:pPr>
        <w:spacing w:after="0" w:line="3" w:lineRule="exact"/>
        <w:rPr>
          <w:sz w:val="20"/>
          <w:szCs w:val="20"/>
          <w:color w:val="auto"/>
        </w:rPr>
      </w:pPr>
    </w:p>
    <w:p>
      <w:pPr>
        <w:ind w:left="120" w:firstLine="324"/>
        <w:spacing w:after="0" w:line="250" w:lineRule="auto"/>
        <w:rPr>
          <w:sz w:val="20"/>
          <w:szCs w:val="20"/>
          <w:color w:val="auto"/>
        </w:rPr>
      </w:pPr>
      <w:r>
        <w:rPr>
          <w:rFonts w:ascii="Arial" w:cs="Arial" w:eastAsia="Arial" w:hAnsi="Arial"/>
          <w:sz w:val="18"/>
          <w:szCs w:val="18"/>
          <w:color w:val="auto"/>
        </w:rPr>
        <w:t>The Board of Directors has fixed March 14, 2022 as the record date for determining stockholders entitled to receive notice of, and to vote at, the virtual Annual Meeting or any adjournment or postponement thereof. Only stockholders of record at the close of business on that date will be entitled to notice of, and to vote at, the virtual Annual Meeting.</w:t>
      </w:r>
    </w:p>
    <w:p>
      <w:pPr>
        <w:spacing w:after="0" w:line="1" w:lineRule="exact"/>
        <w:rPr>
          <w:sz w:val="20"/>
          <w:szCs w:val="20"/>
          <w:color w:val="auto"/>
        </w:rPr>
      </w:pPr>
    </w:p>
    <w:p>
      <w:pPr>
        <w:ind w:left="120" w:right="140" w:firstLine="324"/>
        <w:spacing w:after="0" w:line="253" w:lineRule="auto"/>
        <w:rPr>
          <w:sz w:val="20"/>
          <w:szCs w:val="20"/>
          <w:color w:val="auto"/>
        </w:rPr>
      </w:pPr>
      <w:r>
        <w:rPr>
          <w:rFonts w:ascii="Arial" w:cs="Arial" w:eastAsia="Arial" w:hAnsi="Arial"/>
          <w:sz w:val="18"/>
          <w:szCs w:val="18"/>
          <w:color w:val="auto"/>
        </w:rPr>
        <w:t>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9692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6925" cy="29146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Douglas Friedman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Counsel and Secretary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28, 2022</w:t>
      </w:r>
    </w:p>
    <w:p>
      <w:pPr>
        <w:spacing w:after="0" w:line="222" w:lineRule="exact"/>
        <w:rPr>
          <w:sz w:val="20"/>
          <w:szCs w:val="20"/>
          <w:color w:val="auto"/>
        </w:rPr>
      </w:pPr>
    </w:p>
    <w:p>
      <w:pPr>
        <w:ind w:left="120"/>
        <w:spacing w:after="0"/>
        <w:tabs>
          <w:tab w:leader="none" w:pos="2020" w:val="left"/>
          <w:tab w:leader="none" w:pos="23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r>
      <w:r>
        <w:rPr>
          <w:sz w:val="20"/>
          <w:szCs w:val="20"/>
          <w:color w:val="auto"/>
        </w:rPr>
        <w:tab/>
      </w:r>
      <w:r>
        <w:rPr>
          <w:rFonts w:ascii="Arial" w:cs="Arial" w:eastAsia="Arial" w:hAnsi="Arial"/>
          <w:sz w:val="19"/>
          <w:szCs w:val="19"/>
          <w:color w:val="EEEFEF"/>
        </w:rPr>
        <w:t>●</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0876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620" w:type="dxa"/>
            <w:vAlign w:val="bottom"/>
            <w:tcBorders>
              <w:top w:val="single" w:sz="8" w:color="002856"/>
              <w:bottom w:val="single" w:sz="8" w:color="0000EE"/>
            </w:tcBorders>
            <w:gridSpan w:val="11"/>
          </w:tcPr>
          <w:p>
            <w:pPr>
              <w:spacing w:after="0" w:line="202" w:lineRule="exact"/>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General Information</w:t>
              </w:r>
            </w:hyperlink>
          </w:p>
        </w:tc>
        <w:tc>
          <w:tcPr>
            <w:tcW w:w="260" w:type="dxa"/>
            <w:vAlign w:val="bottom"/>
            <w:tcBorders>
              <w:top w:val="single" w:sz="8" w:color="002856"/>
            </w:tcBorders>
            <w:gridSpan w:val="3"/>
          </w:tcPr>
          <w:p>
            <w:pPr>
              <w:spacing w:after="0"/>
              <w:rPr>
                <w:sz w:val="17"/>
                <w:szCs w:val="17"/>
                <w:color w:val="auto"/>
              </w:rPr>
            </w:pPr>
          </w:p>
        </w:tc>
        <w:tc>
          <w:tcPr>
            <w:tcW w:w="60" w:type="dxa"/>
            <w:vAlign w:val="bottom"/>
            <w:tcBorders>
              <w:top w:val="single" w:sz="8" w:color="002856"/>
            </w:tcBorders>
          </w:tcPr>
          <w:p>
            <w:pPr>
              <w:spacing w:after="0"/>
              <w:rPr>
                <w:sz w:val="17"/>
                <w:szCs w:val="17"/>
                <w:color w:val="auto"/>
              </w:rPr>
            </w:pPr>
          </w:p>
        </w:tc>
        <w:tc>
          <w:tcPr>
            <w:tcW w:w="240" w:type="dxa"/>
            <w:vAlign w:val="bottom"/>
            <w:tcBorders>
              <w:top w:val="single" w:sz="8" w:color="002856"/>
            </w:tcBorders>
          </w:tcPr>
          <w:p>
            <w:pPr>
              <w:spacing w:after="0"/>
              <w:rPr>
                <w:sz w:val="17"/>
                <w:szCs w:val="17"/>
                <w:color w:val="auto"/>
              </w:rPr>
            </w:pPr>
          </w:p>
        </w:tc>
        <w:tc>
          <w:tcPr>
            <w:tcW w:w="80" w:type="dxa"/>
            <w:vAlign w:val="bottom"/>
            <w:tcBorders>
              <w:top w:val="single" w:sz="8" w:color="002856"/>
            </w:tcBorders>
          </w:tcPr>
          <w:p>
            <w:pPr>
              <w:spacing w:after="0"/>
              <w:rPr>
                <w:sz w:val="17"/>
                <w:szCs w:val="17"/>
                <w:color w:val="auto"/>
              </w:rPr>
            </w:pPr>
          </w:p>
        </w:tc>
        <w:tc>
          <w:tcPr>
            <w:tcW w:w="400" w:type="dxa"/>
            <w:vAlign w:val="bottom"/>
            <w:tcBorders>
              <w:top w:val="single" w:sz="8" w:color="002856"/>
            </w:tcBorders>
          </w:tcPr>
          <w:p>
            <w:pPr>
              <w:spacing w:after="0"/>
              <w:rPr>
                <w:sz w:val="17"/>
                <w:szCs w:val="17"/>
                <w:color w:val="auto"/>
              </w:rPr>
            </w:pPr>
          </w:p>
        </w:tc>
        <w:tc>
          <w:tcPr>
            <w:tcW w:w="140" w:type="dxa"/>
            <w:vAlign w:val="bottom"/>
            <w:tcBorders>
              <w:top w:val="single" w:sz="8" w:color="002856"/>
            </w:tcBorders>
          </w:tcPr>
          <w:p>
            <w:pPr>
              <w:spacing w:after="0"/>
              <w:rPr>
                <w:sz w:val="17"/>
                <w:szCs w:val="17"/>
                <w:color w:val="auto"/>
              </w:rPr>
            </w:pPr>
          </w:p>
        </w:tc>
        <w:tc>
          <w:tcPr>
            <w:tcW w:w="220" w:type="dxa"/>
            <w:vAlign w:val="bottom"/>
            <w:tcBorders>
              <w:top w:val="single" w:sz="8" w:color="002856"/>
            </w:tcBorders>
          </w:tcPr>
          <w:p>
            <w:pPr>
              <w:spacing w:after="0"/>
              <w:rPr>
                <w:sz w:val="17"/>
                <w:szCs w:val="17"/>
                <w:color w:val="auto"/>
              </w:rPr>
            </w:pPr>
          </w:p>
        </w:tc>
        <w:tc>
          <w:tcPr>
            <w:tcW w:w="160" w:type="dxa"/>
            <w:vAlign w:val="bottom"/>
            <w:tcBorders>
              <w:top w:val="single" w:sz="8" w:color="002856"/>
            </w:tcBorders>
          </w:tcPr>
          <w:p>
            <w:pPr>
              <w:spacing w:after="0"/>
              <w:rPr>
                <w:sz w:val="17"/>
                <w:szCs w:val="17"/>
                <w:color w:val="auto"/>
              </w:rPr>
            </w:pPr>
          </w:p>
        </w:tc>
        <w:tc>
          <w:tcPr>
            <w:tcW w:w="520" w:type="dxa"/>
            <w:vAlign w:val="bottom"/>
            <w:tcBorders>
              <w:top w:val="single" w:sz="8" w:color="002856"/>
            </w:tcBorders>
          </w:tcPr>
          <w:p>
            <w:pPr>
              <w:spacing w:after="0"/>
              <w:rPr>
                <w:sz w:val="17"/>
                <w:szCs w:val="17"/>
                <w:color w:val="auto"/>
              </w:rPr>
            </w:pPr>
          </w:p>
        </w:tc>
        <w:tc>
          <w:tcPr>
            <w:tcW w:w="20" w:type="dxa"/>
            <w:vAlign w:val="bottom"/>
            <w:tcBorders>
              <w:top w:val="single" w:sz="8" w:color="002856"/>
            </w:tcBorders>
          </w:tcPr>
          <w:p>
            <w:pPr>
              <w:spacing w:after="0"/>
              <w:rPr>
                <w:sz w:val="17"/>
                <w:szCs w:val="17"/>
                <w:color w:val="auto"/>
              </w:rPr>
            </w:pPr>
          </w:p>
        </w:tc>
        <w:tc>
          <w:tcPr>
            <w:tcW w:w="80" w:type="dxa"/>
            <w:vAlign w:val="bottom"/>
            <w:tcBorders>
              <w:top w:val="single" w:sz="8" w:color="002856"/>
            </w:tcBorders>
          </w:tcPr>
          <w:p>
            <w:pPr>
              <w:spacing w:after="0"/>
              <w:rPr>
                <w:sz w:val="17"/>
                <w:szCs w:val="17"/>
                <w:color w:val="auto"/>
              </w:rPr>
            </w:pPr>
          </w:p>
        </w:tc>
        <w:tc>
          <w:tcPr>
            <w:tcW w:w="20" w:type="dxa"/>
            <w:vAlign w:val="bottom"/>
            <w:tcBorders>
              <w:top w:val="single" w:sz="8" w:color="002856"/>
            </w:tcBorders>
          </w:tcPr>
          <w:p>
            <w:pPr>
              <w:spacing w:after="0"/>
              <w:rPr>
                <w:sz w:val="17"/>
                <w:szCs w:val="17"/>
                <w:color w:val="auto"/>
              </w:rPr>
            </w:pPr>
          </w:p>
        </w:tc>
        <w:tc>
          <w:tcPr>
            <w:tcW w:w="140" w:type="dxa"/>
            <w:vAlign w:val="bottom"/>
            <w:tcBorders>
              <w:top w:val="single" w:sz="8" w:color="002856"/>
            </w:tcBorders>
          </w:tcPr>
          <w:p>
            <w:pPr>
              <w:spacing w:after="0"/>
              <w:rPr>
                <w:sz w:val="17"/>
                <w:szCs w:val="17"/>
                <w:color w:val="auto"/>
              </w:rPr>
            </w:pPr>
          </w:p>
        </w:tc>
        <w:tc>
          <w:tcPr>
            <w:tcW w:w="60" w:type="dxa"/>
            <w:vAlign w:val="bottom"/>
            <w:tcBorders>
              <w:top w:val="single" w:sz="8" w:color="002856"/>
            </w:tcBorders>
          </w:tcPr>
          <w:p>
            <w:pPr>
              <w:spacing w:after="0"/>
              <w:rPr>
                <w:sz w:val="17"/>
                <w:szCs w:val="17"/>
                <w:color w:val="auto"/>
              </w:rPr>
            </w:pPr>
          </w:p>
        </w:tc>
        <w:tc>
          <w:tcPr>
            <w:tcW w:w="160" w:type="dxa"/>
            <w:vAlign w:val="bottom"/>
            <w:tcBorders>
              <w:top w:val="single" w:sz="8" w:color="002856"/>
            </w:tcBorders>
          </w:tcPr>
          <w:p>
            <w:pPr>
              <w:spacing w:after="0"/>
              <w:rPr>
                <w:sz w:val="17"/>
                <w:szCs w:val="17"/>
                <w:color w:val="auto"/>
              </w:rPr>
            </w:pPr>
          </w:p>
        </w:tc>
        <w:tc>
          <w:tcPr>
            <w:tcW w:w="60" w:type="dxa"/>
            <w:vAlign w:val="bottom"/>
            <w:tcBorders>
              <w:top w:val="single" w:sz="8" w:color="002856"/>
            </w:tcBorders>
          </w:tcPr>
          <w:p>
            <w:pPr>
              <w:spacing w:after="0"/>
              <w:rPr>
                <w:sz w:val="17"/>
                <w:szCs w:val="17"/>
                <w:color w:val="auto"/>
              </w:rPr>
            </w:pPr>
          </w:p>
        </w:tc>
        <w:tc>
          <w:tcPr>
            <w:tcW w:w="460" w:type="dxa"/>
            <w:vAlign w:val="bottom"/>
            <w:tcBorders>
              <w:top w:val="single" w:sz="8" w:color="002856"/>
            </w:tcBorders>
          </w:tcPr>
          <w:p>
            <w:pPr>
              <w:spacing w:after="0"/>
              <w:rPr>
                <w:sz w:val="17"/>
                <w:szCs w:val="17"/>
                <w:color w:val="auto"/>
              </w:rPr>
            </w:pPr>
          </w:p>
        </w:tc>
        <w:tc>
          <w:tcPr>
            <w:tcW w:w="160" w:type="dxa"/>
            <w:vAlign w:val="bottom"/>
            <w:tcBorders>
              <w:top w:val="single" w:sz="8" w:color="002856"/>
            </w:tcBorders>
          </w:tcPr>
          <w:p>
            <w:pPr>
              <w:spacing w:after="0"/>
              <w:rPr>
                <w:sz w:val="17"/>
                <w:szCs w:val="17"/>
                <w:color w:val="auto"/>
              </w:rPr>
            </w:pPr>
          </w:p>
        </w:tc>
        <w:tc>
          <w:tcPr>
            <w:tcW w:w="420" w:type="dxa"/>
            <w:vAlign w:val="bottom"/>
            <w:tcBorders>
              <w:top w:val="single" w:sz="8" w:color="002856"/>
            </w:tcBorders>
          </w:tcPr>
          <w:p>
            <w:pPr>
              <w:jc w:val="right"/>
              <w:spacing w:after="0" w:line="202" w:lineRule="exact"/>
              <w:rPr>
                <w:sz w:val="20"/>
                <w:szCs w:val="20"/>
                <w:color w:val="auto"/>
              </w:rPr>
            </w:pPr>
            <w:r>
              <w:rPr>
                <w:rFonts w:ascii="Arial" w:cs="Arial" w:eastAsia="Arial" w:hAnsi="Arial"/>
                <w:sz w:val="18"/>
                <w:szCs w:val="18"/>
                <w:b w:val="1"/>
                <w:bCs w:val="1"/>
                <w:color w:val="002856"/>
              </w:rPr>
              <w:t>1</w:t>
            </w:r>
          </w:p>
        </w:tc>
      </w:tr>
      <w:tr>
        <w:trPr>
          <w:trHeight w:val="263"/>
        </w:trPr>
        <w:tc>
          <w:tcPr>
            <w:tcW w:w="180" w:type="dxa"/>
            <w:vAlign w:val="bottom"/>
          </w:tcPr>
          <w:p>
            <w:pPr>
              <w:spacing w:after="0"/>
              <w:rPr>
                <w:sz w:val="22"/>
                <w:szCs w:val="22"/>
                <w:color w:val="auto"/>
              </w:rPr>
            </w:pPr>
          </w:p>
        </w:tc>
        <w:tc>
          <w:tcPr>
            <w:tcW w:w="468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Outstanding Securities and Quorum</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Internet Availability of Proxy Materials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80" w:type="dxa"/>
            <w:vAlign w:val="bottom"/>
          </w:tcPr>
          <w:p>
            <w:pPr>
              <w:spacing w:after="0"/>
              <w:rPr>
                <w:sz w:val="21"/>
                <w:szCs w:val="21"/>
                <w:color w:val="auto"/>
              </w:rPr>
            </w:pPr>
          </w:p>
        </w:tc>
        <w:tc>
          <w:tcPr>
            <w:tcW w:w="1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Proxy Voting</w:t>
              </w:r>
            </w:hyperlink>
          </w:p>
        </w:tc>
        <w:tc>
          <w:tcPr>
            <w:tcW w:w="680" w:type="dxa"/>
            <w:vAlign w:val="bottom"/>
            <w:tcBorders>
              <w:top w:val="single" w:sz="8" w:color="0000EE"/>
            </w:tcBorders>
            <w:gridSpan w:val="9"/>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80" w:type="dxa"/>
            <w:vAlign w:val="bottom"/>
          </w:tcPr>
          <w:p>
            <w:pPr>
              <w:spacing w:after="0"/>
              <w:rPr>
                <w:sz w:val="21"/>
                <w:szCs w:val="21"/>
                <w:color w:val="auto"/>
              </w:rPr>
            </w:pPr>
          </w:p>
        </w:tc>
        <w:tc>
          <w:tcPr>
            <w:tcW w:w="170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Voting Standard</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Voting and Attendance at the Annual Meeting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180" w:type="dxa"/>
            <w:vAlign w:val="bottom"/>
          </w:tcPr>
          <w:p>
            <w:pPr>
              <w:spacing w:after="0"/>
              <w:rPr>
                <w:sz w:val="21"/>
                <w:szCs w:val="21"/>
                <w:color w:val="auto"/>
              </w:rPr>
            </w:pPr>
          </w:p>
        </w:tc>
        <w:tc>
          <w:tcPr>
            <w:tcW w:w="1700" w:type="dxa"/>
            <w:vAlign w:val="bottom"/>
            <w:tcBorders>
              <w:top w:val="single" w:sz="8" w:color="0000EE"/>
            </w:tcBorders>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Revocation</w:t>
              </w:r>
            </w:hyperlink>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
        </w:trPr>
        <w:tc>
          <w:tcPr>
            <w:tcW w:w="180" w:type="dxa"/>
            <w:vAlign w:val="bottom"/>
            <w:tcBorders>
              <w:bottom w:val="single" w:sz="8" w:color="002856"/>
            </w:tcBorders>
          </w:tcPr>
          <w:p>
            <w:pPr>
              <w:spacing w:after="0"/>
              <w:rPr>
                <w:sz w:val="2"/>
                <w:szCs w:val="2"/>
                <w:color w:val="auto"/>
              </w:rPr>
            </w:pPr>
          </w:p>
        </w:tc>
        <w:tc>
          <w:tcPr>
            <w:tcW w:w="640" w:type="dxa"/>
            <w:vAlign w:val="bottom"/>
            <w:tcBorders>
              <w:top w:val="single" w:sz="8" w:color="0000EE"/>
              <w:bottom w:val="single" w:sz="8" w:color="002856"/>
            </w:tcBorders>
          </w:tcPr>
          <w:p>
            <w:pPr>
              <w:spacing w:after="0"/>
              <w:rPr>
                <w:sz w:val="2"/>
                <w:szCs w:val="2"/>
                <w:color w:val="auto"/>
              </w:rPr>
            </w:pPr>
          </w:p>
        </w:tc>
        <w:tc>
          <w:tcPr>
            <w:tcW w:w="260" w:type="dxa"/>
            <w:vAlign w:val="bottom"/>
            <w:tcBorders>
              <w:top w:val="single" w:sz="8" w:color="0000EE"/>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2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24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40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22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52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4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420" w:type="dxa"/>
            <w:vAlign w:val="bottom"/>
            <w:tcBorders>
              <w:bottom w:val="single" w:sz="8" w:color="002856"/>
            </w:tcBorders>
          </w:tcPr>
          <w:p>
            <w:pPr>
              <w:spacing w:after="0"/>
              <w:rPr>
                <w:sz w:val="2"/>
                <w:szCs w:val="2"/>
                <w:color w:val="auto"/>
              </w:rPr>
            </w:pPr>
          </w:p>
        </w:tc>
      </w:tr>
      <w:tr>
        <w:trPr>
          <w:trHeight w:val="183"/>
        </w:trPr>
        <w:tc>
          <w:tcPr>
            <w:tcW w:w="4860" w:type="dxa"/>
            <w:vAlign w:val="bottom"/>
            <w:gridSpan w:val="31"/>
          </w:tcPr>
          <w:p>
            <w:pPr>
              <w:spacing w:after="0" w:line="182" w:lineRule="exact"/>
              <w:rPr>
                <w:sz w:val="20"/>
                <w:szCs w:val="20"/>
                <w:color w:val="auto"/>
              </w:rPr>
            </w:pPr>
            <w:r>
              <w:rPr>
                <w:rFonts w:ascii="Arial" w:cs="Arial" w:eastAsia="Arial" w:hAnsi="Arial"/>
                <w:sz w:val="18"/>
                <w:szCs w:val="18"/>
                <w:b w:val="1"/>
                <w:bCs w:val="1"/>
                <w:color w:val="0000EE"/>
              </w:rPr>
              <w:t>Item 1: Election of Directors</w:t>
            </w:r>
          </w:p>
        </w:tc>
        <w:tc>
          <w:tcPr>
            <w:tcW w:w="42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5</w:t>
            </w: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4680" w:type="dxa"/>
            <w:vAlign w:val="bottom"/>
            <w:gridSpan w:val="3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Biographical and Related Information of Director</w:t>
              </w:r>
            </w:hyperlink>
          </w:p>
        </w:tc>
        <w:tc>
          <w:tcPr>
            <w:tcW w:w="420" w:type="dxa"/>
            <w:vAlign w:val="bottom"/>
          </w:tcPr>
          <w:p>
            <w:pPr>
              <w:spacing w:after="0"/>
              <w:rPr>
                <w:sz w:val="22"/>
                <w:szCs w:val="22"/>
                <w:color w:val="auto"/>
              </w:rPr>
            </w:pPr>
          </w:p>
        </w:tc>
      </w:tr>
      <w:tr>
        <w:trPr>
          <w:trHeight w:val="183"/>
        </w:trPr>
        <w:tc>
          <w:tcPr>
            <w:tcW w:w="180" w:type="dxa"/>
            <w:vAlign w:val="bottom"/>
          </w:tcPr>
          <w:p>
            <w:pPr>
              <w:spacing w:after="0"/>
              <w:rPr>
                <w:sz w:val="15"/>
                <w:szCs w:val="15"/>
                <w:color w:val="auto"/>
              </w:rPr>
            </w:pPr>
          </w:p>
        </w:tc>
        <w:tc>
          <w:tcPr>
            <w:tcW w:w="38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Nominees and Continuing Directors</w:t>
              </w:r>
            </w:hyperlink>
          </w:p>
        </w:tc>
        <w:tc>
          <w:tcPr>
            <w:tcW w:w="840" w:type="dxa"/>
            <w:vAlign w:val="bottom"/>
            <w:gridSpan w:val="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Nominees for Director Whose Terms Would Expire at the</w:t>
              </w:r>
            </w:hyperlink>
          </w:p>
        </w:tc>
        <w:tc>
          <w:tcPr>
            <w:tcW w:w="420" w:type="dxa"/>
            <w:vAlign w:val="bottom"/>
          </w:tcPr>
          <w:p>
            <w:pPr>
              <w:spacing w:after="0"/>
              <w:rPr>
                <w:sz w:val="21"/>
                <w:szCs w:val="21"/>
                <w:color w:val="auto"/>
              </w:rPr>
            </w:pPr>
          </w:p>
        </w:tc>
      </w:tr>
      <w:tr>
        <w:trPr>
          <w:trHeight w:val="183"/>
        </w:trPr>
        <w:tc>
          <w:tcPr>
            <w:tcW w:w="18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2025 Annual Meeting</w:t>
              </w:r>
            </w:hyperlink>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Directors Whose Terms Expire at the 2023 Annual</w:t>
              </w:r>
            </w:hyperlink>
          </w:p>
        </w:tc>
        <w:tc>
          <w:tcPr>
            <w:tcW w:w="420" w:type="dxa"/>
            <w:vAlign w:val="bottom"/>
          </w:tcPr>
          <w:p>
            <w:pPr>
              <w:spacing w:after="0"/>
              <w:rPr>
                <w:sz w:val="21"/>
                <w:szCs w:val="21"/>
                <w:color w:val="auto"/>
              </w:rPr>
            </w:pPr>
          </w:p>
        </w:tc>
      </w:tr>
      <w:tr>
        <w:trPr>
          <w:trHeight w:val="183"/>
        </w:trPr>
        <w:tc>
          <w:tcPr>
            <w:tcW w:w="180" w:type="dxa"/>
            <w:vAlign w:val="bottom"/>
          </w:tcPr>
          <w:p>
            <w:pPr>
              <w:spacing w:after="0"/>
              <w:rPr>
                <w:sz w:val="15"/>
                <w:szCs w:val="15"/>
                <w:color w:val="auto"/>
              </w:rPr>
            </w:pPr>
          </w:p>
        </w:tc>
        <w:tc>
          <w:tcPr>
            <w:tcW w:w="1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Meeting</w:t>
              </w:r>
            </w:hyperlink>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Directors Whose Terms Expire at the 2024 Annual</w:t>
              </w:r>
            </w:hyperlink>
          </w:p>
        </w:tc>
        <w:tc>
          <w:tcPr>
            <w:tcW w:w="420" w:type="dxa"/>
            <w:vAlign w:val="bottom"/>
          </w:tcPr>
          <w:p>
            <w:pPr>
              <w:spacing w:after="0"/>
              <w:rPr>
                <w:sz w:val="21"/>
                <w:szCs w:val="21"/>
                <w:color w:val="auto"/>
              </w:rPr>
            </w:pPr>
          </w:p>
        </w:tc>
      </w:tr>
      <w:tr>
        <w:trPr>
          <w:trHeight w:val="183"/>
        </w:trPr>
        <w:tc>
          <w:tcPr>
            <w:tcW w:w="180" w:type="dxa"/>
            <w:vAlign w:val="bottom"/>
          </w:tcPr>
          <w:p>
            <w:pPr>
              <w:spacing w:after="0"/>
              <w:rPr>
                <w:sz w:val="15"/>
                <w:szCs w:val="15"/>
                <w:color w:val="auto"/>
              </w:rPr>
            </w:pPr>
          </w:p>
        </w:tc>
        <w:tc>
          <w:tcPr>
            <w:tcW w:w="1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Meeting</w:t>
              </w:r>
            </w:hyperlink>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34"/>
        </w:trPr>
        <w:tc>
          <w:tcPr>
            <w:tcW w:w="180" w:type="dxa"/>
            <w:vAlign w:val="bottom"/>
            <w:tcBorders>
              <w:bottom w:val="single" w:sz="8" w:color="002856"/>
            </w:tcBorders>
          </w:tcPr>
          <w:p>
            <w:pPr>
              <w:spacing w:after="0"/>
              <w:rPr>
                <w:sz w:val="2"/>
                <w:szCs w:val="2"/>
                <w:color w:val="auto"/>
              </w:rPr>
            </w:pPr>
          </w:p>
        </w:tc>
        <w:tc>
          <w:tcPr>
            <w:tcW w:w="640" w:type="dxa"/>
            <w:vAlign w:val="bottom"/>
            <w:tcBorders>
              <w:top w:val="single" w:sz="8" w:color="0000EE"/>
              <w:bottom w:val="single" w:sz="8" w:color="002856"/>
            </w:tcBorders>
          </w:tcPr>
          <w:p>
            <w:pPr>
              <w:spacing w:after="0"/>
              <w:rPr>
                <w:sz w:val="2"/>
                <w:szCs w:val="2"/>
                <w:color w:val="auto"/>
              </w:rPr>
            </w:pPr>
          </w:p>
        </w:tc>
        <w:tc>
          <w:tcPr>
            <w:tcW w:w="260" w:type="dxa"/>
            <w:vAlign w:val="bottom"/>
            <w:tcBorders>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2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24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40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22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52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4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420" w:type="dxa"/>
            <w:vAlign w:val="bottom"/>
            <w:tcBorders>
              <w:bottom w:val="single" w:sz="8" w:color="002856"/>
            </w:tcBorders>
          </w:tcPr>
          <w:p>
            <w:pPr>
              <w:spacing w:after="0"/>
              <w:rPr>
                <w:sz w:val="2"/>
                <w:szCs w:val="2"/>
                <w:color w:val="auto"/>
              </w:rPr>
            </w:pPr>
          </w:p>
        </w:tc>
      </w:tr>
      <w:tr>
        <w:trPr>
          <w:trHeight w:val="183"/>
        </w:trPr>
        <w:tc>
          <w:tcPr>
            <w:tcW w:w="1780" w:type="dxa"/>
            <w:vAlign w:val="bottom"/>
            <w:tcBorders>
              <w:bottom w:val="single" w:sz="8" w:color="0000EE"/>
            </w:tcBorders>
            <w:gridSpan w:val="12"/>
          </w:tcPr>
          <w:p>
            <w:pPr>
              <w:spacing w:after="0" w:line="182" w:lineRule="exact"/>
              <w:rPr>
                <w:rFonts w:ascii="Arial" w:cs="Arial" w:eastAsia="Arial" w:hAnsi="Arial"/>
                <w:sz w:val="18"/>
                <w:szCs w:val="18"/>
                <w:b w:val="1"/>
                <w:bCs w:val="1"/>
                <w:color w:val="0000EE"/>
                <w:w w:val="90"/>
              </w:rPr>
            </w:pPr>
            <w:hyperlink w:anchor="page17">
              <w:r>
                <w:rPr>
                  <w:rFonts w:ascii="Arial" w:cs="Arial" w:eastAsia="Arial" w:hAnsi="Arial"/>
                  <w:sz w:val="18"/>
                  <w:szCs w:val="18"/>
                  <w:b w:val="1"/>
                  <w:bCs w:val="1"/>
                  <w:color w:val="0000EE"/>
                  <w:w w:val="90"/>
                </w:rPr>
                <w:t>Corporate Governance</w:t>
              </w:r>
            </w:hyperlink>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12</w:t>
            </w:r>
          </w:p>
        </w:tc>
      </w:tr>
      <w:tr>
        <w:trPr>
          <w:trHeight w:val="263"/>
        </w:trPr>
        <w:tc>
          <w:tcPr>
            <w:tcW w:w="180" w:type="dxa"/>
            <w:vAlign w:val="bottom"/>
          </w:tcPr>
          <w:p>
            <w:pPr>
              <w:spacing w:after="0"/>
              <w:rPr>
                <w:sz w:val="22"/>
                <w:szCs w:val="22"/>
                <w:color w:val="auto"/>
              </w:rPr>
            </w:pPr>
          </w:p>
        </w:tc>
        <w:tc>
          <w:tcPr>
            <w:tcW w:w="468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Controlled Company Exception and Director</w:t>
              </w:r>
            </w:hyperlink>
          </w:p>
        </w:tc>
        <w:tc>
          <w:tcPr>
            <w:tcW w:w="420" w:type="dxa"/>
            <w:vAlign w:val="bottom"/>
          </w:tcPr>
          <w:p>
            <w:pPr>
              <w:spacing w:after="0"/>
              <w:rPr>
                <w:sz w:val="22"/>
                <w:szCs w:val="22"/>
                <w:color w:val="auto"/>
              </w:rPr>
            </w:pPr>
          </w:p>
        </w:tc>
      </w:tr>
      <w:tr>
        <w:trPr>
          <w:trHeight w:val="183"/>
        </w:trPr>
        <w:tc>
          <w:tcPr>
            <w:tcW w:w="180" w:type="dxa"/>
            <w:vAlign w:val="bottom"/>
          </w:tcPr>
          <w:p>
            <w:pPr>
              <w:spacing w:after="0"/>
              <w:rPr>
                <w:sz w:val="15"/>
                <w:szCs w:val="15"/>
                <w:color w:val="auto"/>
              </w:rPr>
            </w:pPr>
          </w:p>
        </w:tc>
        <w:tc>
          <w:tcPr>
            <w:tcW w:w="1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Independence</w:t>
              </w:r>
            </w:hyperlink>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0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Leadership</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Communications with Directors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80" w:type="dxa"/>
            <w:vAlign w:val="bottom"/>
          </w:tcPr>
          <w:p>
            <w:pPr>
              <w:spacing w:after="0"/>
              <w:rPr>
                <w:sz w:val="21"/>
                <w:szCs w:val="21"/>
                <w:color w:val="auto"/>
              </w:rPr>
            </w:pPr>
          </w:p>
        </w:tc>
        <w:tc>
          <w:tcPr>
            <w:tcW w:w="2480" w:type="dxa"/>
            <w:vAlign w:val="bottom"/>
            <w:tcBorders>
              <w:top w:val="single" w:sz="8" w:color="0000EE"/>
            </w:tcBorders>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Diversity Policy</w:t>
              </w:r>
            </w:hyperlink>
          </w:p>
        </w:tc>
        <w:tc>
          <w:tcPr>
            <w:tcW w:w="2200" w:type="dxa"/>
            <w:vAlign w:val="bottom"/>
            <w:gridSpan w:val="13"/>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80" w:type="dxa"/>
            <w:vAlign w:val="bottom"/>
          </w:tcPr>
          <w:p>
            <w:pPr>
              <w:spacing w:after="0"/>
              <w:rPr>
                <w:sz w:val="21"/>
                <w:szCs w:val="21"/>
                <w:color w:val="auto"/>
              </w:rPr>
            </w:pPr>
          </w:p>
        </w:tc>
        <w:tc>
          <w:tcPr>
            <w:tcW w:w="11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Risk Oversight</w:t>
              </w:r>
            </w:hyperlink>
          </w:p>
        </w:tc>
        <w:tc>
          <w:tcPr>
            <w:tcW w:w="520" w:type="dxa"/>
            <w:vAlign w:val="bottom"/>
            <w:tcBorders>
              <w:top w:val="single" w:sz="8" w:color="0000EE"/>
            </w:tcBorders>
            <w:gridSpan w:val="7"/>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80" w:type="dxa"/>
            <w:vAlign w:val="bottom"/>
          </w:tcPr>
          <w:p>
            <w:pPr>
              <w:spacing w:after="0"/>
              <w:rPr>
                <w:sz w:val="21"/>
                <w:szCs w:val="21"/>
                <w:color w:val="auto"/>
              </w:rPr>
            </w:pPr>
          </w:p>
        </w:tc>
        <w:tc>
          <w:tcPr>
            <w:tcW w:w="2840" w:type="dxa"/>
            <w:vAlign w:val="bottom"/>
            <w:tcBorders>
              <w:bottom w:val="single" w:sz="8" w:color="0000EE"/>
            </w:tcBorders>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Corporate Governance Documents</w:t>
              </w:r>
            </w:hyperlink>
          </w:p>
        </w:tc>
        <w:tc>
          <w:tcPr>
            <w:tcW w:w="1840" w:type="dxa"/>
            <w:vAlign w:val="bottom"/>
            <w:gridSpan w:val="11"/>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Board Meetings and Committees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180" w:type="dxa"/>
            <w:vAlign w:val="bottom"/>
          </w:tcPr>
          <w:p>
            <w:pPr>
              <w:spacing w:after="0"/>
              <w:rPr>
                <w:sz w:val="21"/>
                <w:szCs w:val="21"/>
                <w:color w:val="auto"/>
              </w:rPr>
            </w:pPr>
          </w:p>
        </w:tc>
        <w:tc>
          <w:tcPr>
            <w:tcW w:w="1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Audit Committee</w:t>
              </w:r>
            </w:hyperlink>
          </w:p>
        </w:tc>
        <w:tc>
          <w:tcPr>
            <w:tcW w:w="360" w:type="dxa"/>
            <w:vAlign w:val="bottom"/>
            <w:tcBorders>
              <w:top w:val="single" w:sz="8" w:color="0000EE"/>
            </w:tcBorders>
            <w:gridSpan w:val="5"/>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Committee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Nominating and Corporate Governance Committee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80" w:type="dxa"/>
            <w:vAlign w:val="bottom"/>
          </w:tcPr>
          <w:p>
            <w:pPr>
              <w:spacing w:after="0"/>
              <w:rPr>
                <w:sz w:val="21"/>
                <w:szCs w:val="21"/>
                <w:color w:val="auto"/>
              </w:rPr>
            </w:pPr>
          </w:p>
        </w:tc>
        <w:tc>
          <w:tcPr>
            <w:tcW w:w="1700" w:type="dxa"/>
            <w:vAlign w:val="bottom"/>
            <w:tcBorders>
              <w:top w:val="single" w:sz="8" w:color="0000EE"/>
            </w:tcBorders>
            <w:gridSpan w:val="13"/>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Director Nominations</w:t>
              </w:r>
            </w:hyperlink>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Compensation Committee Interlocks and Insider</w:t>
              </w:r>
            </w:hyperlink>
          </w:p>
        </w:tc>
        <w:tc>
          <w:tcPr>
            <w:tcW w:w="420" w:type="dxa"/>
            <w:vAlign w:val="bottom"/>
          </w:tcPr>
          <w:p>
            <w:pPr>
              <w:spacing w:after="0"/>
              <w:rPr>
                <w:sz w:val="21"/>
                <w:szCs w:val="21"/>
                <w:color w:val="auto"/>
              </w:rPr>
            </w:pPr>
          </w:p>
        </w:tc>
      </w:tr>
      <w:tr>
        <w:trPr>
          <w:trHeight w:val="183"/>
        </w:trPr>
        <w:tc>
          <w:tcPr>
            <w:tcW w:w="18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Participation</w:t>
              </w:r>
            </w:hyperlink>
          </w:p>
        </w:tc>
        <w:tc>
          <w:tcPr>
            <w:tcW w:w="700" w:type="dxa"/>
            <w:vAlign w:val="bottom"/>
            <w:tcBorders>
              <w:top w:val="single" w:sz="8" w:color="0000EE"/>
            </w:tcBorders>
            <w:gridSpan w:val="10"/>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250"/>
        </w:trPr>
        <w:tc>
          <w:tcPr>
            <w:tcW w:w="180" w:type="dxa"/>
            <w:vAlign w:val="bottom"/>
          </w:tcPr>
          <w:p>
            <w:pPr>
              <w:spacing w:after="0"/>
              <w:rPr>
                <w:sz w:val="21"/>
                <w:szCs w:val="21"/>
                <w:color w:val="auto"/>
              </w:rPr>
            </w:pPr>
          </w:p>
        </w:tc>
        <w:tc>
          <w:tcPr>
            <w:tcW w:w="11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Code of Ethics</w:t>
              </w:r>
            </w:hyperlink>
          </w:p>
        </w:tc>
        <w:tc>
          <w:tcPr>
            <w:tcW w:w="520" w:type="dxa"/>
            <w:vAlign w:val="bottom"/>
            <w:gridSpan w:val="7"/>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180" w:type="dxa"/>
            <w:vAlign w:val="bottom"/>
          </w:tcPr>
          <w:p>
            <w:pPr>
              <w:spacing w:after="0"/>
              <w:rPr>
                <w:sz w:val="21"/>
                <w:szCs w:val="21"/>
                <w:color w:val="auto"/>
              </w:rPr>
            </w:pPr>
          </w:p>
        </w:tc>
        <w:tc>
          <w:tcPr>
            <w:tcW w:w="4680" w:type="dxa"/>
            <w:vAlign w:val="bottom"/>
            <w:gridSpan w:val="3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Environmental, Social and Governance Matters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
        </w:trPr>
        <w:tc>
          <w:tcPr>
            <w:tcW w:w="180" w:type="dxa"/>
            <w:vAlign w:val="bottom"/>
            <w:tcBorders>
              <w:bottom w:val="single" w:sz="8" w:color="002856"/>
            </w:tcBorders>
          </w:tcPr>
          <w:p>
            <w:pPr>
              <w:spacing w:after="0"/>
              <w:rPr>
                <w:sz w:val="2"/>
                <w:szCs w:val="2"/>
                <w:color w:val="auto"/>
              </w:rPr>
            </w:pPr>
          </w:p>
        </w:tc>
        <w:tc>
          <w:tcPr>
            <w:tcW w:w="640" w:type="dxa"/>
            <w:vAlign w:val="bottom"/>
            <w:tcBorders>
              <w:top w:val="single" w:sz="8" w:color="0000EE"/>
              <w:bottom w:val="single" w:sz="8" w:color="002856"/>
            </w:tcBorders>
          </w:tcPr>
          <w:p>
            <w:pPr>
              <w:spacing w:after="0"/>
              <w:rPr>
                <w:sz w:val="2"/>
                <w:szCs w:val="2"/>
                <w:color w:val="auto"/>
              </w:rPr>
            </w:pPr>
          </w:p>
        </w:tc>
        <w:tc>
          <w:tcPr>
            <w:tcW w:w="260" w:type="dxa"/>
            <w:vAlign w:val="bottom"/>
            <w:tcBorders>
              <w:top w:val="single" w:sz="8" w:color="0000EE"/>
              <w:bottom w:val="single" w:sz="8" w:color="002856"/>
            </w:tcBorders>
          </w:tcPr>
          <w:p>
            <w:pPr>
              <w:spacing w:after="0"/>
              <w:rPr>
                <w:sz w:val="2"/>
                <w:szCs w:val="2"/>
                <w:color w:val="auto"/>
              </w:rPr>
            </w:pPr>
          </w:p>
        </w:tc>
        <w:tc>
          <w:tcPr>
            <w:tcW w:w="100" w:type="dxa"/>
            <w:vAlign w:val="bottom"/>
            <w:tcBorders>
              <w:top w:val="single" w:sz="8" w:color="0000EE"/>
              <w:bottom w:val="single" w:sz="8" w:color="002856"/>
            </w:tcBorders>
          </w:tcPr>
          <w:p>
            <w:pPr>
              <w:spacing w:after="0"/>
              <w:rPr>
                <w:sz w:val="2"/>
                <w:szCs w:val="2"/>
                <w:color w:val="auto"/>
              </w:rPr>
            </w:pPr>
          </w:p>
        </w:tc>
        <w:tc>
          <w:tcPr>
            <w:tcW w:w="20" w:type="dxa"/>
            <w:vAlign w:val="bottom"/>
            <w:tcBorders>
              <w:top w:val="single" w:sz="8" w:color="0000EE"/>
              <w:bottom w:val="single" w:sz="8" w:color="002856"/>
            </w:tcBorders>
          </w:tcPr>
          <w:p>
            <w:pPr>
              <w:spacing w:after="0"/>
              <w:rPr>
                <w:sz w:val="2"/>
                <w:szCs w:val="2"/>
                <w:color w:val="auto"/>
              </w:rPr>
            </w:pPr>
          </w:p>
        </w:tc>
        <w:tc>
          <w:tcPr>
            <w:tcW w:w="120" w:type="dxa"/>
            <w:vAlign w:val="bottom"/>
            <w:tcBorders>
              <w:top w:val="single" w:sz="8" w:color="0000EE"/>
              <w:bottom w:val="single" w:sz="8" w:color="002856"/>
            </w:tcBorders>
          </w:tcPr>
          <w:p>
            <w:pPr>
              <w:spacing w:after="0"/>
              <w:rPr>
                <w:sz w:val="2"/>
                <w:szCs w:val="2"/>
                <w:color w:val="auto"/>
              </w:rPr>
            </w:pPr>
          </w:p>
        </w:tc>
        <w:tc>
          <w:tcPr>
            <w:tcW w:w="40" w:type="dxa"/>
            <w:vAlign w:val="bottom"/>
            <w:tcBorders>
              <w:top w:val="single" w:sz="8" w:color="0000EE"/>
              <w:bottom w:val="single" w:sz="8" w:color="002856"/>
            </w:tcBorders>
          </w:tcPr>
          <w:p>
            <w:pPr>
              <w:spacing w:after="0"/>
              <w:rPr>
                <w:sz w:val="2"/>
                <w:szCs w:val="2"/>
                <w:color w:val="auto"/>
              </w:rPr>
            </w:pPr>
          </w:p>
        </w:tc>
        <w:tc>
          <w:tcPr>
            <w:tcW w:w="10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20" w:type="dxa"/>
            <w:vAlign w:val="bottom"/>
            <w:tcBorders>
              <w:top w:val="single" w:sz="8" w:color="0000EE"/>
              <w:bottom w:val="single" w:sz="8" w:color="002856"/>
            </w:tcBorders>
          </w:tcPr>
          <w:p>
            <w:pPr>
              <w:spacing w:after="0"/>
              <w:rPr>
                <w:sz w:val="2"/>
                <w:szCs w:val="2"/>
                <w:color w:val="auto"/>
              </w:rPr>
            </w:pPr>
          </w:p>
        </w:tc>
        <w:tc>
          <w:tcPr>
            <w:tcW w:w="16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2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24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400" w:type="dxa"/>
            <w:vAlign w:val="bottom"/>
            <w:tcBorders>
              <w:top w:val="single" w:sz="8" w:color="0000EE"/>
              <w:bottom w:val="single" w:sz="8" w:color="002856"/>
            </w:tcBorders>
          </w:tcPr>
          <w:p>
            <w:pPr>
              <w:spacing w:after="0"/>
              <w:rPr>
                <w:sz w:val="2"/>
                <w:szCs w:val="2"/>
                <w:color w:val="auto"/>
              </w:rPr>
            </w:pPr>
          </w:p>
        </w:tc>
        <w:tc>
          <w:tcPr>
            <w:tcW w:w="140" w:type="dxa"/>
            <w:vAlign w:val="bottom"/>
            <w:tcBorders>
              <w:top w:val="single" w:sz="8" w:color="0000EE"/>
              <w:bottom w:val="single" w:sz="8" w:color="002856"/>
            </w:tcBorders>
          </w:tcPr>
          <w:p>
            <w:pPr>
              <w:spacing w:after="0"/>
              <w:rPr>
                <w:sz w:val="2"/>
                <w:szCs w:val="2"/>
                <w:color w:val="auto"/>
              </w:rPr>
            </w:pPr>
          </w:p>
        </w:tc>
        <w:tc>
          <w:tcPr>
            <w:tcW w:w="220" w:type="dxa"/>
            <w:vAlign w:val="bottom"/>
            <w:tcBorders>
              <w:top w:val="single" w:sz="8" w:color="0000EE"/>
              <w:bottom w:val="single" w:sz="8" w:color="002856"/>
            </w:tcBorders>
          </w:tcPr>
          <w:p>
            <w:pPr>
              <w:spacing w:after="0"/>
              <w:rPr>
                <w:sz w:val="2"/>
                <w:szCs w:val="2"/>
                <w:color w:val="auto"/>
              </w:rPr>
            </w:pPr>
          </w:p>
        </w:tc>
        <w:tc>
          <w:tcPr>
            <w:tcW w:w="160" w:type="dxa"/>
            <w:vAlign w:val="bottom"/>
            <w:tcBorders>
              <w:top w:val="single" w:sz="8" w:color="0000EE"/>
              <w:bottom w:val="single" w:sz="8" w:color="002856"/>
            </w:tcBorders>
          </w:tcPr>
          <w:p>
            <w:pPr>
              <w:spacing w:after="0"/>
              <w:rPr>
                <w:sz w:val="2"/>
                <w:szCs w:val="2"/>
                <w:color w:val="auto"/>
              </w:rPr>
            </w:pPr>
          </w:p>
        </w:tc>
        <w:tc>
          <w:tcPr>
            <w:tcW w:w="520" w:type="dxa"/>
            <w:vAlign w:val="bottom"/>
            <w:tcBorders>
              <w:top w:val="single" w:sz="8" w:color="0000EE"/>
              <w:bottom w:val="single" w:sz="8" w:color="002856"/>
            </w:tcBorders>
          </w:tcPr>
          <w:p>
            <w:pPr>
              <w:spacing w:after="0"/>
              <w:rPr>
                <w:sz w:val="2"/>
                <w:szCs w:val="2"/>
                <w:color w:val="auto"/>
              </w:rPr>
            </w:pPr>
          </w:p>
        </w:tc>
        <w:tc>
          <w:tcPr>
            <w:tcW w:w="2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20" w:type="dxa"/>
            <w:vAlign w:val="bottom"/>
            <w:tcBorders>
              <w:top w:val="single" w:sz="8" w:color="0000EE"/>
              <w:bottom w:val="single" w:sz="8" w:color="002856"/>
            </w:tcBorders>
          </w:tcPr>
          <w:p>
            <w:pPr>
              <w:spacing w:after="0"/>
              <w:rPr>
                <w:sz w:val="2"/>
                <w:szCs w:val="2"/>
                <w:color w:val="auto"/>
              </w:rPr>
            </w:pPr>
          </w:p>
        </w:tc>
        <w:tc>
          <w:tcPr>
            <w:tcW w:w="140" w:type="dxa"/>
            <w:vAlign w:val="bottom"/>
            <w:tcBorders>
              <w:top w:val="single" w:sz="8" w:color="0000EE"/>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46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420" w:type="dxa"/>
            <w:vAlign w:val="bottom"/>
            <w:tcBorders>
              <w:bottom w:val="single" w:sz="8" w:color="002856"/>
            </w:tcBorders>
          </w:tcPr>
          <w:p>
            <w:pPr>
              <w:spacing w:after="0"/>
              <w:rPr>
                <w:sz w:val="2"/>
                <w:szCs w:val="2"/>
                <w:color w:val="auto"/>
              </w:rPr>
            </w:pPr>
          </w:p>
        </w:tc>
      </w:tr>
      <w:tr>
        <w:trPr>
          <w:trHeight w:val="183"/>
        </w:trPr>
        <w:tc>
          <w:tcPr>
            <w:tcW w:w="3820" w:type="dxa"/>
            <w:vAlign w:val="bottom"/>
            <w:tcBorders>
              <w:bottom w:val="single" w:sz="8" w:color="0000EE"/>
            </w:tcBorders>
            <w:gridSpan w:val="25"/>
          </w:tcPr>
          <w:p>
            <w:pPr>
              <w:spacing w:after="0" w:line="182" w:lineRule="exact"/>
              <w:rPr>
                <w:rFonts w:ascii="Arial" w:cs="Arial" w:eastAsia="Arial" w:hAnsi="Arial"/>
                <w:sz w:val="18"/>
                <w:szCs w:val="18"/>
                <w:b w:val="1"/>
                <w:bCs w:val="1"/>
                <w:color w:val="0000EE"/>
                <w:w w:val="91"/>
              </w:rPr>
            </w:pPr>
            <w:hyperlink w:anchor="page24">
              <w:r>
                <w:rPr>
                  <w:rFonts w:ascii="Arial" w:cs="Arial" w:eastAsia="Arial" w:hAnsi="Arial"/>
                  <w:sz w:val="18"/>
                  <w:szCs w:val="18"/>
                  <w:b w:val="1"/>
                  <w:bCs w:val="1"/>
                  <w:color w:val="0000EE"/>
                  <w:w w:val="91"/>
                </w:rPr>
                <w:t>Item 2: Ratification of Appointment of Deloitte as</w:t>
              </w:r>
            </w:hyperlink>
          </w:p>
        </w:tc>
        <w:tc>
          <w:tcPr>
            <w:tcW w:w="1040" w:type="dxa"/>
            <w:vAlign w:val="bottom"/>
            <w:gridSpan w:val="6"/>
          </w:tcPr>
          <w:p>
            <w:pPr>
              <w:spacing w:after="0"/>
              <w:rPr>
                <w:sz w:val="15"/>
                <w:szCs w:val="15"/>
                <w:color w:val="auto"/>
              </w:rPr>
            </w:pPr>
          </w:p>
        </w:tc>
        <w:tc>
          <w:tcPr>
            <w:tcW w:w="420" w:type="dxa"/>
            <w:vAlign w:val="bottom"/>
          </w:tcPr>
          <w:p>
            <w:pPr>
              <w:spacing w:after="0"/>
              <w:rPr>
                <w:sz w:val="15"/>
                <w:szCs w:val="15"/>
                <w:color w:val="auto"/>
              </w:rPr>
            </w:pPr>
          </w:p>
        </w:tc>
      </w:tr>
      <w:tr>
        <w:trPr>
          <w:trHeight w:val="196"/>
        </w:trPr>
        <w:tc>
          <w:tcPr>
            <w:tcW w:w="4860" w:type="dxa"/>
            <w:vAlign w:val="bottom"/>
            <w:gridSpan w:val="3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Independent Registered Public Accounting Firm</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002856"/>
              </w:rPr>
              <w:t>19</w:t>
            </w:r>
          </w:p>
        </w:tc>
      </w:tr>
      <w:tr>
        <w:trPr>
          <w:trHeight w:val="75"/>
        </w:trPr>
        <w:tc>
          <w:tcPr>
            <w:tcW w:w="180" w:type="dxa"/>
            <w:vAlign w:val="bottom"/>
            <w:tcBorders>
              <w:top w:val="single" w:sz="8" w:color="0000EE"/>
              <w:bottom w:val="single" w:sz="8" w:color="002856"/>
            </w:tcBorders>
          </w:tcPr>
          <w:p>
            <w:pPr>
              <w:spacing w:after="0"/>
              <w:rPr>
                <w:sz w:val="6"/>
                <w:szCs w:val="6"/>
                <w:color w:val="auto"/>
              </w:rPr>
            </w:pPr>
          </w:p>
        </w:tc>
        <w:tc>
          <w:tcPr>
            <w:tcW w:w="640" w:type="dxa"/>
            <w:vAlign w:val="bottom"/>
            <w:tcBorders>
              <w:top w:val="single" w:sz="8" w:color="0000EE"/>
              <w:bottom w:val="single" w:sz="8" w:color="002856"/>
            </w:tcBorders>
          </w:tcPr>
          <w:p>
            <w:pPr>
              <w:spacing w:after="0"/>
              <w:rPr>
                <w:sz w:val="6"/>
                <w:szCs w:val="6"/>
                <w:color w:val="auto"/>
              </w:rPr>
            </w:pPr>
          </w:p>
        </w:tc>
        <w:tc>
          <w:tcPr>
            <w:tcW w:w="260" w:type="dxa"/>
            <w:vAlign w:val="bottom"/>
            <w:tcBorders>
              <w:top w:val="single" w:sz="8" w:color="0000EE"/>
              <w:bottom w:val="single" w:sz="8" w:color="002856"/>
            </w:tcBorders>
          </w:tcPr>
          <w:p>
            <w:pPr>
              <w:spacing w:after="0"/>
              <w:rPr>
                <w:sz w:val="6"/>
                <w:szCs w:val="6"/>
                <w:color w:val="auto"/>
              </w:rPr>
            </w:pPr>
          </w:p>
        </w:tc>
        <w:tc>
          <w:tcPr>
            <w:tcW w:w="100" w:type="dxa"/>
            <w:vAlign w:val="bottom"/>
            <w:tcBorders>
              <w:top w:val="single" w:sz="8" w:color="0000EE"/>
              <w:bottom w:val="single" w:sz="8" w:color="002856"/>
            </w:tcBorders>
          </w:tcPr>
          <w:p>
            <w:pPr>
              <w:spacing w:after="0"/>
              <w:rPr>
                <w:sz w:val="6"/>
                <w:szCs w:val="6"/>
                <w:color w:val="auto"/>
              </w:rPr>
            </w:pPr>
          </w:p>
        </w:tc>
        <w:tc>
          <w:tcPr>
            <w:tcW w:w="20" w:type="dxa"/>
            <w:vAlign w:val="bottom"/>
            <w:tcBorders>
              <w:top w:val="single" w:sz="8" w:color="0000EE"/>
              <w:bottom w:val="single" w:sz="8" w:color="002856"/>
            </w:tcBorders>
          </w:tcPr>
          <w:p>
            <w:pPr>
              <w:spacing w:after="0"/>
              <w:rPr>
                <w:sz w:val="6"/>
                <w:szCs w:val="6"/>
                <w:color w:val="auto"/>
              </w:rPr>
            </w:pPr>
          </w:p>
        </w:tc>
        <w:tc>
          <w:tcPr>
            <w:tcW w:w="120" w:type="dxa"/>
            <w:vAlign w:val="bottom"/>
            <w:tcBorders>
              <w:top w:val="single" w:sz="8" w:color="0000EE"/>
              <w:bottom w:val="single" w:sz="8" w:color="002856"/>
            </w:tcBorders>
          </w:tcPr>
          <w:p>
            <w:pPr>
              <w:spacing w:after="0"/>
              <w:rPr>
                <w:sz w:val="6"/>
                <w:szCs w:val="6"/>
                <w:color w:val="auto"/>
              </w:rPr>
            </w:pPr>
          </w:p>
        </w:tc>
        <w:tc>
          <w:tcPr>
            <w:tcW w:w="40" w:type="dxa"/>
            <w:vAlign w:val="bottom"/>
            <w:tcBorders>
              <w:top w:val="single" w:sz="8" w:color="0000EE"/>
              <w:bottom w:val="single" w:sz="8" w:color="002856"/>
            </w:tcBorders>
          </w:tcPr>
          <w:p>
            <w:pPr>
              <w:spacing w:after="0"/>
              <w:rPr>
                <w:sz w:val="6"/>
                <w:szCs w:val="6"/>
                <w:color w:val="auto"/>
              </w:rPr>
            </w:pPr>
          </w:p>
        </w:tc>
        <w:tc>
          <w:tcPr>
            <w:tcW w:w="10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2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400" w:type="dxa"/>
            <w:vAlign w:val="bottom"/>
            <w:tcBorders>
              <w:top w:val="single" w:sz="8" w:color="0000EE"/>
              <w:bottom w:val="single" w:sz="8" w:color="002856"/>
            </w:tcBorders>
          </w:tcPr>
          <w:p>
            <w:pPr>
              <w:spacing w:after="0"/>
              <w:rPr>
                <w:sz w:val="6"/>
                <w:szCs w:val="6"/>
                <w:color w:val="auto"/>
              </w:rPr>
            </w:pPr>
          </w:p>
        </w:tc>
        <w:tc>
          <w:tcPr>
            <w:tcW w:w="140" w:type="dxa"/>
            <w:vAlign w:val="bottom"/>
            <w:tcBorders>
              <w:top w:val="single" w:sz="8" w:color="0000EE"/>
              <w:bottom w:val="single" w:sz="8" w:color="002856"/>
            </w:tcBorders>
          </w:tcPr>
          <w:p>
            <w:pPr>
              <w:spacing w:after="0"/>
              <w:rPr>
                <w:sz w:val="6"/>
                <w:szCs w:val="6"/>
                <w:color w:val="auto"/>
              </w:rPr>
            </w:pPr>
          </w:p>
        </w:tc>
        <w:tc>
          <w:tcPr>
            <w:tcW w:w="2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520" w:type="dxa"/>
            <w:vAlign w:val="bottom"/>
            <w:tcBorders>
              <w:top w:val="single" w:sz="8" w:color="0000EE"/>
              <w:bottom w:val="single" w:sz="8" w:color="002856"/>
            </w:tcBorders>
          </w:tcPr>
          <w:p>
            <w:pPr>
              <w:spacing w:after="0"/>
              <w:rPr>
                <w:sz w:val="6"/>
                <w:szCs w:val="6"/>
                <w:color w:val="auto"/>
              </w:rPr>
            </w:pPr>
          </w:p>
        </w:tc>
        <w:tc>
          <w:tcPr>
            <w:tcW w:w="20" w:type="dxa"/>
            <w:vAlign w:val="bottom"/>
            <w:tcBorders>
              <w:top w:val="single" w:sz="8" w:color="0000EE"/>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14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46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420" w:type="dxa"/>
            <w:vAlign w:val="bottom"/>
            <w:tcBorders>
              <w:bottom w:val="single" w:sz="8" w:color="002856"/>
            </w:tcBorders>
          </w:tcPr>
          <w:p>
            <w:pPr>
              <w:spacing w:after="0"/>
              <w:rPr>
                <w:sz w:val="6"/>
                <w:szCs w:val="6"/>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Independent Registered Public Accounting Firm</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20</w:t>
            </w:r>
          </w:p>
        </w:tc>
      </w:tr>
      <w:tr>
        <w:trPr>
          <w:trHeight w:val="672"/>
        </w:trPr>
        <w:tc>
          <w:tcPr>
            <w:tcW w:w="188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514F51"/>
              </w:rPr>
              <w:t>2022 Proxy Statement</w:t>
            </w:r>
          </w:p>
        </w:tc>
        <w:tc>
          <w:tcPr>
            <w:tcW w:w="1840" w:type="dxa"/>
            <w:vAlign w:val="bottom"/>
            <w:tcBorders>
              <w:top w:val="single" w:sz="8" w:color="0000EE"/>
            </w:tcBorders>
            <w:gridSpan w:val="9"/>
          </w:tcPr>
          <w:p>
            <w:pPr>
              <w:ind w:left="40"/>
              <w:spacing w:after="0"/>
              <w:rPr>
                <w:sz w:val="20"/>
                <w:szCs w:val="20"/>
                <w:color w:val="auto"/>
              </w:rPr>
            </w:pPr>
            <w:r>
              <w:rPr>
                <w:rFonts w:ascii="Arial" w:cs="Arial" w:eastAsia="Arial" w:hAnsi="Arial"/>
                <w:sz w:val="20"/>
                <w:szCs w:val="20"/>
                <w:color w:val="EEEFEF"/>
              </w:rPr>
              <w:t>●  ●</w:t>
            </w:r>
          </w:p>
        </w:tc>
        <w:tc>
          <w:tcPr>
            <w:tcW w:w="114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Borders>
              <w:top w:val="single" w:sz="8" w:color="002856"/>
              <w:bottom w:val="single" w:sz="8" w:color="0000EE"/>
            </w:tcBorders>
            <w:gridSpan w:val="24"/>
          </w:tcPr>
          <w:p>
            <w:pPr>
              <w:spacing w:after="0" w:line="202" w:lineRule="exact"/>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Item 3: Stockholder Proposal Relating to the Adoption of a</w:t>
              </w:r>
            </w:hyperlink>
          </w:p>
        </w:tc>
        <w:tc>
          <w:tcPr>
            <w:tcW w:w="400" w:type="dxa"/>
            <w:vAlign w:val="bottom"/>
            <w:tcBorders>
              <w:top w:val="single" w:sz="8" w:color="002856"/>
            </w:tcBorders>
            <w:gridSpan w:val="4"/>
          </w:tcPr>
          <w:p>
            <w:pPr>
              <w:spacing w:after="0"/>
              <w:rPr>
                <w:sz w:val="17"/>
                <w:szCs w:val="17"/>
                <w:color w:val="auto"/>
              </w:rPr>
            </w:pPr>
          </w:p>
        </w:tc>
        <w:tc>
          <w:tcPr>
            <w:tcW w:w="480" w:type="dxa"/>
            <w:vAlign w:val="bottom"/>
            <w:tcBorders>
              <w:top w:val="single" w:sz="8" w:color="002856"/>
            </w:tcBorders>
          </w:tcPr>
          <w:p>
            <w:pPr>
              <w:spacing w:after="0"/>
              <w:rPr>
                <w:sz w:val="17"/>
                <w:szCs w:val="17"/>
                <w:color w:val="auto"/>
              </w:rPr>
            </w:pPr>
          </w:p>
        </w:tc>
      </w:tr>
      <w:tr>
        <w:trPr>
          <w:trHeight w:val="196"/>
        </w:trPr>
        <w:tc>
          <w:tcPr>
            <w:tcW w:w="19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Policy on Board Diversity</w:t>
              </w:r>
            </w:hyperlink>
          </w:p>
        </w:tc>
        <w:tc>
          <w:tcPr>
            <w:tcW w:w="294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002856"/>
              </w:rPr>
              <w:t>22</w:t>
            </w: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4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Stockholder Proposal</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Supporting Statement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
        </w:trPr>
        <w:tc>
          <w:tcPr>
            <w:tcW w:w="20" w:type="dxa"/>
            <w:vAlign w:val="bottom"/>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240" w:type="dxa"/>
            <w:vAlign w:val="bottom"/>
            <w:tcBorders>
              <w:top w:val="single" w:sz="8" w:color="0000EE"/>
              <w:bottom w:val="single" w:sz="8" w:color="002856"/>
            </w:tcBorders>
          </w:tcPr>
          <w:p>
            <w:pPr>
              <w:spacing w:after="0"/>
              <w:rPr>
                <w:sz w:val="2"/>
                <w:szCs w:val="2"/>
                <w:color w:val="auto"/>
              </w:rPr>
            </w:pPr>
          </w:p>
        </w:tc>
        <w:tc>
          <w:tcPr>
            <w:tcW w:w="580" w:type="dxa"/>
            <w:vAlign w:val="bottom"/>
            <w:tcBorders>
              <w:top w:val="single" w:sz="8" w:color="0000EE"/>
              <w:bottom w:val="single" w:sz="8" w:color="002856"/>
            </w:tcBorders>
          </w:tcPr>
          <w:p>
            <w:pPr>
              <w:spacing w:after="0"/>
              <w:rPr>
                <w:sz w:val="2"/>
                <w:szCs w:val="2"/>
                <w:color w:val="auto"/>
              </w:rPr>
            </w:pPr>
          </w:p>
        </w:tc>
        <w:tc>
          <w:tcPr>
            <w:tcW w:w="12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54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40" w:type="dxa"/>
            <w:vAlign w:val="bottom"/>
            <w:tcBorders>
              <w:top w:val="single" w:sz="8" w:color="0000EE"/>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34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18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64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80" w:type="dxa"/>
            <w:vAlign w:val="bottom"/>
            <w:tcBorders>
              <w:bottom w:val="single" w:sz="8" w:color="002856"/>
            </w:tcBorders>
          </w:tcPr>
          <w:p>
            <w:pPr>
              <w:spacing w:after="0"/>
              <w:rPr>
                <w:sz w:val="2"/>
                <w:szCs w:val="2"/>
                <w:color w:val="auto"/>
              </w:rPr>
            </w:pPr>
          </w:p>
        </w:tc>
        <w:tc>
          <w:tcPr>
            <w:tcW w:w="38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6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480" w:type="dxa"/>
            <w:vAlign w:val="bottom"/>
            <w:tcBorders>
              <w:bottom w:val="single" w:sz="8" w:color="002856"/>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900" w:type="dxa"/>
            <w:vAlign w:val="bottom"/>
            <w:gridSpan w:val="27"/>
          </w:tcPr>
          <w:p>
            <w:pPr>
              <w:spacing w:after="0" w:line="182"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Audit Committee Report</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24</w:t>
            </w:r>
          </w:p>
        </w:tc>
      </w:tr>
      <w:tr>
        <w:trPr>
          <w:trHeight w:val="75"/>
        </w:trPr>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580" w:type="dxa"/>
            <w:vAlign w:val="bottom"/>
            <w:tcBorders>
              <w:top w:val="single" w:sz="8" w:color="0000EE"/>
              <w:bottom w:val="single" w:sz="8" w:color="002856"/>
            </w:tcBorders>
          </w:tcPr>
          <w:p>
            <w:pPr>
              <w:spacing w:after="0"/>
              <w:rPr>
                <w:sz w:val="6"/>
                <w:szCs w:val="6"/>
                <w:color w:val="auto"/>
              </w:rPr>
            </w:pPr>
          </w:p>
        </w:tc>
        <w:tc>
          <w:tcPr>
            <w:tcW w:w="12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54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40" w:type="dxa"/>
            <w:vAlign w:val="bottom"/>
            <w:tcBorders>
              <w:top w:val="single" w:sz="8" w:color="0000EE"/>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340" w:type="dxa"/>
            <w:vAlign w:val="bottom"/>
            <w:tcBorders>
              <w:bottom w:val="single" w:sz="8" w:color="002856"/>
            </w:tcBorders>
          </w:tcPr>
          <w:p>
            <w:pPr>
              <w:spacing w:after="0"/>
              <w:rPr>
                <w:sz w:val="6"/>
                <w:szCs w:val="6"/>
                <w:color w:val="auto"/>
              </w:rPr>
            </w:pPr>
          </w:p>
        </w:tc>
        <w:tc>
          <w:tcPr>
            <w:tcW w:w="140" w:type="dxa"/>
            <w:vAlign w:val="bottom"/>
            <w:tcBorders>
              <w:bottom w:val="single" w:sz="8" w:color="002856"/>
            </w:tcBorders>
          </w:tcPr>
          <w:p>
            <w:pPr>
              <w:spacing w:after="0"/>
              <w:rPr>
                <w:sz w:val="6"/>
                <w:szCs w:val="6"/>
                <w:color w:val="auto"/>
              </w:rPr>
            </w:pPr>
          </w:p>
        </w:tc>
        <w:tc>
          <w:tcPr>
            <w:tcW w:w="10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18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4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80" w:type="dxa"/>
            <w:vAlign w:val="bottom"/>
            <w:tcBorders>
              <w:bottom w:val="single" w:sz="8" w:color="002856"/>
            </w:tcBorders>
          </w:tcPr>
          <w:p>
            <w:pPr>
              <w:spacing w:after="0"/>
              <w:rPr>
                <w:sz w:val="6"/>
                <w:szCs w:val="6"/>
                <w:color w:val="auto"/>
              </w:rPr>
            </w:pPr>
          </w:p>
        </w:tc>
        <w:tc>
          <w:tcPr>
            <w:tcW w:w="3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480" w:type="dxa"/>
            <w:vAlign w:val="bottom"/>
            <w:tcBorders>
              <w:bottom w:val="single" w:sz="8" w:color="002856"/>
            </w:tcBorders>
          </w:tcPr>
          <w:p>
            <w:pPr>
              <w:spacing w:after="0"/>
              <w:rPr>
                <w:sz w:val="6"/>
                <w:szCs w:val="6"/>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Security Ownership of Certain Beneficial Owners and</w:t>
              </w:r>
            </w:hyperlink>
          </w:p>
        </w:tc>
        <w:tc>
          <w:tcPr>
            <w:tcW w:w="480" w:type="dxa"/>
            <w:vAlign w:val="bottom"/>
          </w:tcPr>
          <w:p>
            <w:pPr>
              <w:spacing w:after="0"/>
              <w:rPr>
                <w:sz w:val="15"/>
                <w:szCs w:val="15"/>
                <w:color w:val="auto"/>
              </w:rPr>
            </w:pPr>
          </w:p>
        </w:tc>
      </w:tr>
      <w:tr>
        <w:trPr>
          <w:trHeight w:val="196"/>
        </w:trPr>
        <w:tc>
          <w:tcPr>
            <w:tcW w:w="414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Management</w:t>
              </w:r>
            </w:hyperlink>
          </w:p>
        </w:tc>
        <w:tc>
          <w:tcPr>
            <w:tcW w:w="78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002856"/>
              </w:rPr>
              <w:t>25</w:t>
            </w:r>
          </w:p>
        </w:tc>
      </w:tr>
      <w:tr>
        <w:trPr>
          <w:trHeight w:val="74"/>
        </w:trPr>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580" w:type="dxa"/>
            <w:vAlign w:val="bottom"/>
            <w:tcBorders>
              <w:top w:val="single" w:sz="8" w:color="0000EE"/>
              <w:bottom w:val="single" w:sz="8" w:color="002856"/>
            </w:tcBorders>
          </w:tcPr>
          <w:p>
            <w:pPr>
              <w:spacing w:after="0"/>
              <w:rPr>
                <w:sz w:val="6"/>
                <w:szCs w:val="6"/>
                <w:color w:val="auto"/>
              </w:rPr>
            </w:pPr>
          </w:p>
        </w:tc>
        <w:tc>
          <w:tcPr>
            <w:tcW w:w="12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54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340" w:type="dxa"/>
            <w:vAlign w:val="bottom"/>
            <w:tcBorders>
              <w:bottom w:val="single" w:sz="8" w:color="002856"/>
            </w:tcBorders>
          </w:tcPr>
          <w:p>
            <w:pPr>
              <w:spacing w:after="0"/>
              <w:rPr>
                <w:sz w:val="6"/>
                <w:szCs w:val="6"/>
                <w:color w:val="auto"/>
              </w:rPr>
            </w:pPr>
          </w:p>
        </w:tc>
        <w:tc>
          <w:tcPr>
            <w:tcW w:w="140" w:type="dxa"/>
            <w:vAlign w:val="bottom"/>
            <w:tcBorders>
              <w:bottom w:val="single" w:sz="8" w:color="002856"/>
            </w:tcBorders>
          </w:tcPr>
          <w:p>
            <w:pPr>
              <w:spacing w:after="0"/>
              <w:rPr>
                <w:sz w:val="6"/>
                <w:szCs w:val="6"/>
                <w:color w:val="auto"/>
              </w:rPr>
            </w:pPr>
          </w:p>
        </w:tc>
        <w:tc>
          <w:tcPr>
            <w:tcW w:w="10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18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4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80" w:type="dxa"/>
            <w:vAlign w:val="bottom"/>
            <w:tcBorders>
              <w:bottom w:val="single" w:sz="8" w:color="002856"/>
            </w:tcBorders>
          </w:tcPr>
          <w:p>
            <w:pPr>
              <w:spacing w:after="0"/>
              <w:rPr>
                <w:sz w:val="6"/>
                <w:szCs w:val="6"/>
                <w:color w:val="auto"/>
              </w:rPr>
            </w:pPr>
          </w:p>
        </w:tc>
        <w:tc>
          <w:tcPr>
            <w:tcW w:w="3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480" w:type="dxa"/>
            <w:vAlign w:val="bottom"/>
            <w:tcBorders>
              <w:bottom w:val="single" w:sz="8" w:color="002856"/>
            </w:tcBorders>
          </w:tcPr>
          <w:p>
            <w:pPr>
              <w:spacing w:after="0"/>
              <w:rPr>
                <w:sz w:val="6"/>
                <w:szCs w:val="6"/>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Executive Officers of the Company</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28</w:t>
            </w:r>
          </w:p>
        </w:tc>
      </w:tr>
      <w:tr>
        <w:trPr>
          <w:trHeight w:val="75"/>
        </w:trPr>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580" w:type="dxa"/>
            <w:vAlign w:val="bottom"/>
            <w:tcBorders>
              <w:top w:val="single" w:sz="8" w:color="0000EE"/>
              <w:bottom w:val="single" w:sz="8" w:color="002856"/>
            </w:tcBorders>
          </w:tcPr>
          <w:p>
            <w:pPr>
              <w:spacing w:after="0"/>
              <w:rPr>
                <w:sz w:val="6"/>
                <w:szCs w:val="6"/>
                <w:color w:val="auto"/>
              </w:rPr>
            </w:pPr>
          </w:p>
        </w:tc>
        <w:tc>
          <w:tcPr>
            <w:tcW w:w="12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54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4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340" w:type="dxa"/>
            <w:vAlign w:val="bottom"/>
            <w:tcBorders>
              <w:top w:val="single" w:sz="8" w:color="0000EE"/>
              <w:bottom w:val="single" w:sz="8" w:color="002856"/>
            </w:tcBorders>
          </w:tcPr>
          <w:p>
            <w:pPr>
              <w:spacing w:after="0"/>
              <w:rPr>
                <w:sz w:val="6"/>
                <w:szCs w:val="6"/>
                <w:color w:val="auto"/>
              </w:rPr>
            </w:pPr>
          </w:p>
        </w:tc>
        <w:tc>
          <w:tcPr>
            <w:tcW w:w="140" w:type="dxa"/>
            <w:vAlign w:val="bottom"/>
            <w:tcBorders>
              <w:top w:val="single" w:sz="8" w:color="0000EE"/>
              <w:bottom w:val="single" w:sz="8" w:color="002856"/>
            </w:tcBorders>
          </w:tcPr>
          <w:p>
            <w:pPr>
              <w:spacing w:after="0"/>
              <w:rPr>
                <w:sz w:val="6"/>
                <w:szCs w:val="6"/>
                <w:color w:val="auto"/>
              </w:rPr>
            </w:pPr>
          </w:p>
        </w:tc>
        <w:tc>
          <w:tcPr>
            <w:tcW w:w="100" w:type="dxa"/>
            <w:vAlign w:val="bottom"/>
            <w:tcBorders>
              <w:top w:val="single" w:sz="8" w:color="0000EE"/>
              <w:bottom w:val="single" w:sz="8" w:color="002856"/>
            </w:tcBorders>
          </w:tcPr>
          <w:p>
            <w:pPr>
              <w:spacing w:after="0"/>
              <w:rPr>
                <w:sz w:val="6"/>
                <w:szCs w:val="6"/>
                <w:color w:val="auto"/>
              </w:rPr>
            </w:pPr>
          </w:p>
        </w:tc>
        <w:tc>
          <w:tcPr>
            <w:tcW w:w="40" w:type="dxa"/>
            <w:vAlign w:val="bottom"/>
            <w:tcBorders>
              <w:top w:val="single" w:sz="8" w:color="0000EE"/>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18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4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80" w:type="dxa"/>
            <w:vAlign w:val="bottom"/>
            <w:tcBorders>
              <w:bottom w:val="single" w:sz="8" w:color="002856"/>
            </w:tcBorders>
          </w:tcPr>
          <w:p>
            <w:pPr>
              <w:spacing w:after="0"/>
              <w:rPr>
                <w:sz w:val="6"/>
                <w:szCs w:val="6"/>
                <w:color w:val="auto"/>
              </w:rPr>
            </w:pPr>
          </w:p>
        </w:tc>
        <w:tc>
          <w:tcPr>
            <w:tcW w:w="3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480" w:type="dxa"/>
            <w:vAlign w:val="bottom"/>
            <w:tcBorders>
              <w:bottom w:val="single" w:sz="8" w:color="002856"/>
            </w:tcBorders>
          </w:tcPr>
          <w:p>
            <w:pPr>
              <w:spacing w:after="0"/>
              <w:rPr>
                <w:sz w:val="6"/>
                <w:szCs w:val="6"/>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Executive Compensation</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30</w:t>
            </w: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740" w:type="dxa"/>
            <w:vAlign w:val="bottom"/>
            <w:gridSpan w:val="2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Compensation Discussion &amp; Analysis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Compensation Committee Report</w:t>
            </w:r>
          </w:p>
        </w:tc>
        <w:tc>
          <w:tcPr>
            <w:tcW w:w="1780" w:type="dxa"/>
            <w:vAlign w:val="bottom"/>
            <w:gridSpan w:val="8"/>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Summary Compensation Table</w:t>
              </w:r>
            </w:hyperlink>
          </w:p>
        </w:tc>
        <w:tc>
          <w:tcPr>
            <w:tcW w:w="200" w:type="dxa"/>
            <w:vAlign w:val="bottom"/>
            <w:tcBorders>
              <w:top w:val="single" w:sz="8" w:color="0000EE"/>
            </w:tcBorders>
            <w:gridSpan w:val="2"/>
          </w:tcPr>
          <w:p>
            <w:pPr>
              <w:spacing w:after="0"/>
              <w:rPr>
                <w:sz w:val="21"/>
                <w:szCs w:val="21"/>
                <w:color w:val="auto"/>
              </w:rPr>
            </w:pPr>
          </w:p>
        </w:tc>
        <w:tc>
          <w:tcPr>
            <w:tcW w:w="2080" w:type="dxa"/>
            <w:vAlign w:val="bottom"/>
            <w:gridSpan w:val="11"/>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Grants of Plan-Based Awards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8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Narrative Disclosure to Summary Compensation Table and</w:t>
              </w:r>
            </w:hyperlink>
          </w:p>
        </w:tc>
        <w:tc>
          <w:tcPr>
            <w:tcW w:w="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40" w:type="dxa"/>
            <w:vAlign w:val="bottom"/>
            <w:gridSpan w:val="26"/>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Grants of Plan-Based Awards Table</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8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Outstanding Equity Awards at Fiscal Year-End</w:t>
              </w:r>
            </w:hyperlink>
          </w:p>
        </w:tc>
        <w:tc>
          <w:tcPr>
            <w:tcW w:w="1060" w:type="dxa"/>
            <w:vAlign w:val="bottom"/>
            <w:gridSpan w:val="6"/>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Options Exercised and Stock Vested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Potential Payments upon Termination or Change in Control</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80" w:type="dxa"/>
            <w:vAlign w:val="bottom"/>
            <w:tcBorders>
              <w:top w:val="single" w:sz="8" w:color="0000EE"/>
            </w:tcBorders>
            <w:gridSpan w:val="2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Pay Ratio Disclosure</w:t>
              </w:r>
            </w:hyperlink>
          </w:p>
        </w:tc>
        <w:tc>
          <w:tcPr>
            <w:tcW w:w="60" w:type="dxa"/>
            <w:vAlign w:val="bottom"/>
            <w:gridSpan w:val="2"/>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4"/>
        </w:trPr>
        <w:tc>
          <w:tcPr>
            <w:tcW w:w="20" w:type="dxa"/>
            <w:vAlign w:val="bottom"/>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240" w:type="dxa"/>
            <w:vAlign w:val="bottom"/>
            <w:tcBorders>
              <w:top w:val="single" w:sz="8" w:color="0000EE"/>
              <w:bottom w:val="single" w:sz="8" w:color="002856"/>
            </w:tcBorders>
          </w:tcPr>
          <w:p>
            <w:pPr>
              <w:spacing w:after="0"/>
              <w:rPr>
                <w:sz w:val="2"/>
                <w:szCs w:val="2"/>
                <w:color w:val="auto"/>
              </w:rPr>
            </w:pPr>
          </w:p>
        </w:tc>
        <w:tc>
          <w:tcPr>
            <w:tcW w:w="580" w:type="dxa"/>
            <w:vAlign w:val="bottom"/>
            <w:tcBorders>
              <w:top w:val="single" w:sz="8" w:color="0000EE"/>
              <w:bottom w:val="single" w:sz="8" w:color="002856"/>
            </w:tcBorders>
          </w:tcPr>
          <w:p>
            <w:pPr>
              <w:spacing w:after="0"/>
              <w:rPr>
                <w:sz w:val="2"/>
                <w:szCs w:val="2"/>
                <w:color w:val="auto"/>
              </w:rPr>
            </w:pPr>
          </w:p>
        </w:tc>
        <w:tc>
          <w:tcPr>
            <w:tcW w:w="12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54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340" w:type="dxa"/>
            <w:vAlign w:val="bottom"/>
            <w:tcBorders>
              <w:bottom w:val="single" w:sz="8" w:color="002856"/>
            </w:tcBorders>
          </w:tcPr>
          <w:p>
            <w:pPr>
              <w:spacing w:after="0"/>
              <w:rPr>
                <w:sz w:val="2"/>
                <w:szCs w:val="2"/>
                <w:color w:val="auto"/>
              </w:rPr>
            </w:pPr>
          </w:p>
        </w:tc>
        <w:tc>
          <w:tcPr>
            <w:tcW w:w="140" w:type="dxa"/>
            <w:vAlign w:val="bottom"/>
            <w:tcBorders>
              <w:bottom w:val="single" w:sz="8" w:color="002856"/>
            </w:tcBorders>
          </w:tcPr>
          <w:p>
            <w:pPr>
              <w:spacing w:after="0"/>
              <w:rPr>
                <w:sz w:val="2"/>
                <w:szCs w:val="2"/>
                <w:color w:val="auto"/>
              </w:rPr>
            </w:pPr>
          </w:p>
        </w:tc>
        <w:tc>
          <w:tcPr>
            <w:tcW w:w="10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18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60" w:type="dxa"/>
            <w:vAlign w:val="bottom"/>
            <w:tcBorders>
              <w:bottom w:val="single" w:sz="8" w:color="002856"/>
            </w:tcBorders>
          </w:tcPr>
          <w:p>
            <w:pPr>
              <w:spacing w:after="0"/>
              <w:rPr>
                <w:sz w:val="2"/>
                <w:szCs w:val="2"/>
                <w:color w:val="auto"/>
              </w:rPr>
            </w:pPr>
          </w:p>
        </w:tc>
        <w:tc>
          <w:tcPr>
            <w:tcW w:w="64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80" w:type="dxa"/>
            <w:vAlign w:val="bottom"/>
            <w:tcBorders>
              <w:bottom w:val="single" w:sz="8" w:color="002856"/>
            </w:tcBorders>
          </w:tcPr>
          <w:p>
            <w:pPr>
              <w:spacing w:after="0"/>
              <w:rPr>
                <w:sz w:val="2"/>
                <w:szCs w:val="2"/>
                <w:color w:val="auto"/>
              </w:rPr>
            </w:pPr>
          </w:p>
        </w:tc>
        <w:tc>
          <w:tcPr>
            <w:tcW w:w="380" w:type="dxa"/>
            <w:vAlign w:val="bottom"/>
            <w:tcBorders>
              <w:bottom w:val="single" w:sz="8" w:color="002856"/>
            </w:tcBorders>
          </w:tcPr>
          <w:p>
            <w:pPr>
              <w:spacing w:after="0"/>
              <w:rPr>
                <w:sz w:val="2"/>
                <w:szCs w:val="2"/>
                <w:color w:val="auto"/>
              </w:rPr>
            </w:pPr>
          </w:p>
        </w:tc>
        <w:tc>
          <w:tcPr>
            <w:tcW w:w="80" w:type="dxa"/>
            <w:vAlign w:val="bottom"/>
            <w:tcBorders>
              <w:bottom w:val="single" w:sz="8" w:color="002856"/>
            </w:tcBorders>
          </w:tcPr>
          <w:p>
            <w:pPr>
              <w:spacing w:after="0"/>
              <w:rPr>
                <w:sz w:val="2"/>
                <w:szCs w:val="2"/>
                <w:color w:val="auto"/>
              </w:rPr>
            </w:pPr>
          </w:p>
        </w:tc>
        <w:tc>
          <w:tcPr>
            <w:tcW w:w="26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480" w:type="dxa"/>
            <w:vAlign w:val="bottom"/>
            <w:tcBorders>
              <w:bottom w:val="single" w:sz="8" w:color="002856"/>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900" w:type="dxa"/>
            <w:vAlign w:val="bottom"/>
            <w:gridSpan w:val="27"/>
          </w:tcPr>
          <w:p>
            <w:pPr>
              <w:spacing w:after="0" w:line="182"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Compensation of Directors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56</w:t>
            </w:r>
          </w:p>
        </w:tc>
      </w:tr>
      <w:tr>
        <w:trPr>
          <w:trHeight w:val="75"/>
        </w:trPr>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580" w:type="dxa"/>
            <w:vAlign w:val="bottom"/>
            <w:tcBorders>
              <w:top w:val="single" w:sz="8" w:color="0000EE"/>
              <w:bottom w:val="single" w:sz="8" w:color="002856"/>
            </w:tcBorders>
          </w:tcPr>
          <w:p>
            <w:pPr>
              <w:spacing w:after="0"/>
              <w:rPr>
                <w:sz w:val="6"/>
                <w:szCs w:val="6"/>
                <w:color w:val="auto"/>
              </w:rPr>
            </w:pPr>
          </w:p>
        </w:tc>
        <w:tc>
          <w:tcPr>
            <w:tcW w:w="12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54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40" w:type="dxa"/>
            <w:vAlign w:val="bottom"/>
            <w:tcBorders>
              <w:top w:val="single" w:sz="8" w:color="0000EE"/>
              <w:bottom w:val="single" w:sz="8" w:color="002856"/>
            </w:tcBorders>
          </w:tcPr>
          <w:p>
            <w:pPr>
              <w:spacing w:after="0"/>
              <w:rPr>
                <w:sz w:val="6"/>
                <w:szCs w:val="6"/>
                <w:color w:val="auto"/>
              </w:rPr>
            </w:pPr>
          </w:p>
        </w:tc>
        <w:tc>
          <w:tcPr>
            <w:tcW w:w="60" w:type="dxa"/>
            <w:vAlign w:val="bottom"/>
            <w:tcBorders>
              <w:top w:val="single" w:sz="8" w:color="0000EE"/>
              <w:bottom w:val="single" w:sz="8" w:color="002856"/>
            </w:tcBorders>
          </w:tcPr>
          <w:p>
            <w:pPr>
              <w:spacing w:after="0"/>
              <w:rPr>
                <w:sz w:val="6"/>
                <w:szCs w:val="6"/>
                <w:color w:val="auto"/>
              </w:rPr>
            </w:pPr>
          </w:p>
        </w:tc>
        <w:tc>
          <w:tcPr>
            <w:tcW w:w="80" w:type="dxa"/>
            <w:vAlign w:val="bottom"/>
            <w:tcBorders>
              <w:top w:val="single" w:sz="8" w:color="0000EE"/>
              <w:bottom w:val="single" w:sz="8" w:color="002856"/>
            </w:tcBorders>
          </w:tcPr>
          <w:p>
            <w:pPr>
              <w:spacing w:after="0"/>
              <w:rPr>
                <w:sz w:val="6"/>
                <w:szCs w:val="6"/>
                <w:color w:val="auto"/>
              </w:rPr>
            </w:pPr>
          </w:p>
        </w:tc>
        <w:tc>
          <w:tcPr>
            <w:tcW w:w="340" w:type="dxa"/>
            <w:vAlign w:val="bottom"/>
            <w:tcBorders>
              <w:bottom w:val="single" w:sz="8" w:color="002856"/>
            </w:tcBorders>
          </w:tcPr>
          <w:p>
            <w:pPr>
              <w:spacing w:after="0"/>
              <w:rPr>
                <w:sz w:val="6"/>
                <w:szCs w:val="6"/>
                <w:color w:val="auto"/>
              </w:rPr>
            </w:pPr>
          </w:p>
        </w:tc>
        <w:tc>
          <w:tcPr>
            <w:tcW w:w="140" w:type="dxa"/>
            <w:vAlign w:val="bottom"/>
            <w:tcBorders>
              <w:bottom w:val="single" w:sz="8" w:color="002856"/>
            </w:tcBorders>
          </w:tcPr>
          <w:p>
            <w:pPr>
              <w:spacing w:after="0"/>
              <w:rPr>
                <w:sz w:val="6"/>
                <w:szCs w:val="6"/>
                <w:color w:val="auto"/>
              </w:rPr>
            </w:pPr>
          </w:p>
        </w:tc>
        <w:tc>
          <w:tcPr>
            <w:tcW w:w="10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18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4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80" w:type="dxa"/>
            <w:vAlign w:val="bottom"/>
            <w:tcBorders>
              <w:bottom w:val="single" w:sz="8" w:color="002856"/>
            </w:tcBorders>
          </w:tcPr>
          <w:p>
            <w:pPr>
              <w:spacing w:after="0"/>
              <w:rPr>
                <w:sz w:val="6"/>
                <w:szCs w:val="6"/>
                <w:color w:val="auto"/>
              </w:rPr>
            </w:pPr>
          </w:p>
        </w:tc>
        <w:tc>
          <w:tcPr>
            <w:tcW w:w="3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480" w:type="dxa"/>
            <w:vAlign w:val="bottom"/>
            <w:tcBorders>
              <w:bottom w:val="single" w:sz="8" w:color="002856"/>
            </w:tcBorders>
          </w:tcPr>
          <w:p>
            <w:pPr>
              <w:spacing w:after="0"/>
              <w:rPr>
                <w:sz w:val="6"/>
                <w:szCs w:val="6"/>
                <w:color w:val="auto"/>
              </w:rPr>
            </w:pPr>
          </w:p>
        </w:tc>
      </w:tr>
      <w:tr>
        <w:trPr>
          <w:trHeight w:val="182"/>
        </w:trPr>
        <w:tc>
          <w:tcPr>
            <w:tcW w:w="4900" w:type="dxa"/>
            <w:vAlign w:val="bottom"/>
            <w:tcBorders>
              <w:bottom w:val="single" w:sz="8" w:color="0000EE"/>
            </w:tcBorders>
            <w:gridSpan w:val="27"/>
          </w:tcPr>
          <w:p>
            <w:pPr>
              <w:spacing w:after="0" w:line="182" w:lineRule="exact"/>
              <w:rPr>
                <w:rFonts w:ascii="Arial" w:cs="Arial" w:eastAsia="Arial" w:hAnsi="Arial"/>
                <w:sz w:val="18"/>
                <w:szCs w:val="18"/>
                <w:b w:val="1"/>
                <w:bCs w:val="1"/>
                <w:color w:val="0000EE"/>
                <w:w w:val="89"/>
              </w:rPr>
            </w:pPr>
            <w:hyperlink w:anchor="page62">
              <w:r>
                <w:rPr>
                  <w:rFonts w:ascii="Arial" w:cs="Arial" w:eastAsia="Arial" w:hAnsi="Arial"/>
                  <w:sz w:val="18"/>
                  <w:szCs w:val="18"/>
                  <w:b w:val="1"/>
                  <w:bCs w:val="1"/>
                  <w:color w:val="0000EE"/>
                  <w:w w:val="89"/>
                </w:rPr>
                <w:t>Securities Authorized for Issuance Under Equity Compensation</w:t>
              </w:r>
            </w:hyperlink>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6"/>
        </w:trPr>
        <w:tc>
          <w:tcPr>
            <w:tcW w:w="4920" w:type="dxa"/>
            <w:vAlign w:val="bottom"/>
            <w:gridSpan w:val="28"/>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Plans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002856"/>
              </w:rPr>
              <w:t>57</w:t>
            </w:r>
          </w:p>
        </w:tc>
      </w:tr>
      <w:tr>
        <w:trPr>
          <w:trHeight w:val="75"/>
        </w:trPr>
        <w:tc>
          <w:tcPr>
            <w:tcW w:w="20" w:type="dxa"/>
            <w:vAlign w:val="bottom"/>
            <w:tcBorders>
              <w:top w:val="single" w:sz="8" w:color="0000EE"/>
              <w:bottom w:val="single" w:sz="8" w:color="002856"/>
            </w:tcBorders>
          </w:tcPr>
          <w:p>
            <w:pPr>
              <w:spacing w:after="0"/>
              <w:rPr>
                <w:sz w:val="6"/>
                <w:szCs w:val="6"/>
                <w:color w:val="auto"/>
              </w:rPr>
            </w:pPr>
          </w:p>
        </w:tc>
        <w:tc>
          <w:tcPr>
            <w:tcW w:w="160" w:type="dxa"/>
            <w:vAlign w:val="bottom"/>
            <w:tcBorders>
              <w:top w:val="single" w:sz="8" w:color="0000EE"/>
              <w:bottom w:val="single" w:sz="8" w:color="002856"/>
            </w:tcBorders>
          </w:tcPr>
          <w:p>
            <w:pPr>
              <w:spacing w:after="0"/>
              <w:rPr>
                <w:sz w:val="6"/>
                <w:szCs w:val="6"/>
                <w:color w:val="auto"/>
              </w:rPr>
            </w:pPr>
          </w:p>
        </w:tc>
        <w:tc>
          <w:tcPr>
            <w:tcW w:w="240" w:type="dxa"/>
            <w:vAlign w:val="bottom"/>
            <w:tcBorders>
              <w:top w:val="single" w:sz="8" w:color="0000EE"/>
              <w:bottom w:val="single" w:sz="8" w:color="002856"/>
            </w:tcBorders>
          </w:tcPr>
          <w:p>
            <w:pPr>
              <w:spacing w:after="0"/>
              <w:rPr>
                <w:sz w:val="6"/>
                <w:szCs w:val="6"/>
                <w:color w:val="auto"/>
              </w:rPr>
            </w:pPr>
          </w:p>
        </w:tc>
        <w:tc>
          <w:tcPr>
            <w:tcW w:w="580" w:type="dxa"/>
            <w:vAlign w:val="bottom"/>
            <w:tcBorders>
              <w:bottom w:val="single" w:sz="8" w:color="002856"/>
            </w:tcBorders>
          </w:tcPr>
          <w:p>
            <w:pPr>
              <w:spacing w:after="0"/>
              <w:rPr>
                <w:sz w:val="6"/>
                <w:szCs w:val="6"/>
                <w:color w:val="auto"/>
              </w:rPr>
            </w:pPr>
          </w:p>
        </w:tc>
        <w:tc>
          <w:tcPr>
            <w:tcW w:w="12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54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340" w:type="dxa"/>
            <w:vAlign w:val="bottom"/>
            <w:tcBorders>
              <w:bottom w:val="single" w:sz="8" w:color="002856"/>
            </w:tcBorders>
          </w:tcPr>
          <w:p>
            <w:pPr>
              <w:spacing w:after="0"/>
              <w:rPr>
                <w:sz w:val="6"/>
                <w:szCs w:val="6"/>
                <w:color w:val="auto"/>
              </w:rPr>
            </w:pPr>
          </w:p>
        </w:tc>
        <w:tc>
          <w:tcPr>
            <w:tcW w:w="140" w:type="dxa"/>
            <w:vAlign w:val="bottom"/>
            <w:tcBorders>
              <w:bottom w:val="single" w:sz="8" w:color="002856"/>
            </w:tcBorders>
          </w:tcPr>
          <w:p>
            <w:pPr>
              <w:spacing w:after="0"/>
              <w:rPr>
                <w:sz w:val="6"/>
                <w:szCs w:val="6"/>
                <w:color w:val="auto"/>
              </w:rPr>
            </w:pPr>
          </w:p>
        </w:tc>
        <w:tc>
          <w:tcPr>
            <w:tcW w:w="10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160" w:type="dxa"/>
            <w:vAlign w:val="bottom"/>
            <w:tcBorders>
              <w:bottom w:val="single" w:sz="8" w:color="002856"/>
            </w:tcBorders>
          </w:tcPr>
          <w:p>
            <w:pPr>
              <w:spacing w:after="0"/>
              <w:rPr>
                <w:sz w:val="6"/>
                <w:szCs w:val="6"/>
                <w:color w:val="auto"/>
              </w:rPr>
            </w:pPr>
          </w:p>
        </w:tc>
        <w:tc>
          <w:tcPr>
            <w:tcW w:w="18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0" w:type="dxa"/>
            <w:vAlign w:val="bottom"/>
            <w:tcBorders>
              <w:bottom w:val="single" w:sz="8" w:color="002856"/>
            </w:tcBorders>
          </w:tcPr>
          <w:p>
            <w:pPr>
              <w:spacing w:after="0"/>
              <w:rPr>
                <w:sz w:val="6"/>
                <w:szCs w:val="6"/>
                <w:color w:val="auto"/>
              </w:rPr>
            </w:pPr>
          </w:p>
        </w:tc>
        <w:tc>
          <w:tcPr>
            <w:tcW w:w="64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80" w:type="dxa"/>
            <w:vAlign w:val="bottom"/>
            <w:tcBorders>
              <w:bottom w:val="single" w:sz="8" w:color="002856"/>
            </w:tcBorders>
          </w:tcPr>
          <w:p>
            <w:pPr>
              <w:spacing w:after="0"/>
              <w:rPr>
                <w:sz w:val="6"/>
                <w:szCs w:val="6"/>
                <w:color w:val="auto"/>
              </w:rPr>
            </w:pPr>
          </w:p>
        </w:tc>
        <w:tc>
          <w:tcPr>
            <w:tcW w:w="380" w:type="dxa"/>
            <w:vAlign w:val="bottom"/>
            <w:tcBorders>
              <w:bottom w:val="single" w:sz="8" w:color="002856"/>
            </w:tcBorders>
          </w:tcPr>
          <w:p>
            <w:pPr>
              <w:spacing w:after="0"/>
              <w:rPr>
                <w:sz w:val="6"/>
                <w:szCs w:val="6"/>
                <w:color w:val="auto"/>
              </w:rPr>
            </w:pPr>
          </w:p>
        </w:tc>
        <w:tc>
          <w:tcPr>
            <w:tcW w:w="80" w:type="dxa"/>
            <w:vAlign w:val="bottom"/>
            <w:tcBorders>
              <w:bottom w:val="single" w:sz="8" w:color="002856"/>
            </w:tcBorders>
          </w:tcPr>
          <w:p>
            <w:pPr>
              <w:spacing w:after="0"/>
              <w:rPr>
                <w:sz w:val="6"/>
                <w:szCs w:val="6"/>
                <w:color w:val="auto"/>
              </w:rPr>
            </w:pPr>
          </w:p>
        </w:tc>
        <w:tc>
          <w:tcPr>
            <w:tcW w:w="260" w:type="dxa"/>
            <w:vAlign w:val="bottom"/>
            <w:tcBorders>
              <w:bottom w:val="single" w:sz="8" w:color="002856"/>
            </w:tcBorders>
          </w:tcPr>
          <w:p>
            <w:pPr>
              <w:spacing w:after="0"/>
              <w:rPr>
                <w:sz w:val="6"/>
                <w:szCs w:val="6"/>
                <w:color w:val="auto"/>
              </w:rPr>
            </w:pPr>
          </w:p>
        </w:tc>
        <w:tc>
          <w:tcPr>
            <w:tcW w:w="40" w:type="dxa"/>
            <w:vAlign w:val="bottom"/>
            <w:tcBorders>
              <w:bottom w:val="single" w:sz="8" w:color="002856"/>
            </w:tcBorders>
          </w:tcPr>
          <w:p>
            <w:pPr>
              <w:spacing w:after="0"/>
              <w:rPr>
                <w:sz w:val="6"/>
                <w:szCs w:val="6"/>
                <w:color w:val="auto"/>
              </w:rPr>
            </w:pPr>
          </w:p>
        </w:tc>
        <w:tc>
          <w:tcPr>
            <w:tcW w:w="20" w:type="dxa"/>
            <w:vAlign w:val="bottom"/>
            <w:tcBorders>
              <w:bottom w:val="single" w:sz="8" w:color="002856"/>
            </w:tcBorders>
          </w:tcPr>
          <w:p>
            <w:pPr>
              <w:spacing w:after="0"/>
              <w:rPr>
                <w:sz w:val="6"/>
                <w:szCs w:val="6"/>
                <w:color w:val="auto"/>
              </w:rPr>
            </w:pPr>
          </w:p>
        </w:tc>
        <w:tc>
          <w:tcPr>
            <w:tcW w:w="480" w:type="dxa"/>
            <w:vAlign w:val="bottom"/>
            <w:tcBorders>
              <w:bottom w:val="single" w:sz="8" w:color="002856"/>
            </w:tcBorders>
          </w:tcPr>
          <w:p>
            <w:pPr>
              <w:spacing w:after="0"/>
              <w:rPr>
                <w:sz w:val="6"/>
                <w:szCs w:val="6"/>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Certain Relationships and Related Party Transactions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58</w:t>
            </w:r>
          </w:p>
        </w:tc>
      </w:tr>
      <w:tr>
        <w:trPr>
          <w:trHeight w:val="263"/>
        </w:trPr>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960" w:type="dxa"/>
            <w:vAlign w:val="bottom"/>
            <w:tcBorders>
              <w:top w:val="single" w:sz="8" w:color="0000EE"/>
            </w:tcBorders>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Transactions With Refinitiv/Thomson Reuters</w:t>
              </w:r>
            </w:hyperlink>
          </w:p>
        </w:tc>
        <w:tc>
          <w:tcPr>
            <w:tcW w:w="78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Related Party Transactions Entered Into in Connection</w:t>
              </w:r>
            </w:hyperlink>
          </w:p>
        </w:tc>
        <w:tc>
          <w:tcPr>
            <w:tcW w:w="480" w:type="dxa"/>
            <w:vAlign w:val="bottom"/>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With the IPO</w:t>
              </w:r>
            </w:hyperlink>
          </w:p>
        </w:tc>
        <w:tc>
          <w:tcPr>
            <w:tcW w:w="3320" w:type="dxa"/>
            <w:vAlign w:val="bottom"/>
            <w:tcBorders>
              <w:top w:val="single" w:sz="8" w:color="0000EE"/>
            </w:tcBorders>
            <w:gridSpan w:val="18"/>
          </w:tcPr>
          <w:p>
            <w:pPr>
              <w:spacing w:after="0"/>
              <w:rPr>
                <w:sz w:val="15"/>
                <w:szCs w:val="15"/>
                <w:color w:val="auto"/>
              </w:rPr>
            </w:pPr>
          </w:p>
        </w:tc>
        <w:tc>
          <w:tcPr>
            <w:tcW w:w="400" w:type="dxa"/>
            <w:vAlign w:val="bottom"/>
            <w:gridSpan w:val="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Indemnification Agreements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0" w:type="dxa"/>
            <w:vAlign w:val="bottom"/>
            <w:gridSpan w:val="1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40" w:type="dxa"/>
            <w:vAlign w:val="bottom"/>
            <w:gridSpan w:val="2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Policies and Procedures for Related Party Transactions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4"/>
        </w:trPr>
        <w:tc>
          <w:tcPr>
            <w:tcW w:w="20" w:type="dxa"/>
            <w:vAlign w:val="bottom"/>
          </w:tcPr>
          <w:p>
            <w:pPr>
              <w:spacing w:after="0"/>
              <w:rPr>
                <w:sz w:val="2"/>
                <w:szCs w:val="2"/>
                <w:color w:val="auto"/>
              </w:rPr>
            </w:pPr>
          </w:p>
        </w:tc>
        <w:tc>
          <w:tcPr>
            <w:tcW w:w="160" w:type="dxa"/>
            <w:vAlign w:val="bottom"/>
            <w:tcBorders>
              <w:bottom w:val="single" w:sz="8" w:color="002856"/>
            </w:tcBorders>
          </w:tcPr>
          <w:p>
            <w:pPr>
              <w:spacing w:after="0"/>
              <w:rPr>
                <w:sz w:val="2"/>
                <w:szCs w:val="2"/>
                <w:color w:val="auto"/>
              </w:rPr>
            </w:pPr>
          </w:p>
        </w:tc>
        <w:tc>
          <w:tcPr>
            <w:tcW w:w="240" w:type="dxa"/>
            <w:vAlign w:val="bottom"/>
            <w:tcBorders>
              <w:top w:val="single" w:sz="8" w:color="0000EE"/>
              <w:bottom w:val="single" w:sz="8" w:color="002856"/>
            </w:tcBorders>
          </w:tcPr>
          <w:p>
            <w:pPr>
              <w:spacing w:after="0"/>
              <w:rPr>
                <w:sz w:val="2"/>
                <w:szCs w:val="2"/>
                <w:color w:val="auto"/>
              </w:rPr>
            </w:pPr>
          </w:p>
        </w:tc>
        <w:tc>
          <w:tcPr>
            <w:tcW w:w="580" w:type="dxa"/>
            <w:vAlign w:val="bottom"/>
            <w:tcBorders>
              <w:top w:val="single" w:sz="8" w:color="0000EE"/>
              <w:bottom w:val="single" w:sz="8" w:color="002856"/>
            </w:tcBorders>
          </w:tcPr>
          <w:p>
            <w:pPr>
              <w:spacing w:after="0"/>
              <w:rPr>
                <w:sz w:val="2"/>
                <w:szCs w:val="2"/>
                <w:color w:val="auto"/>
              </w:rPr>
            </w:pPr>
          </w:p>
        </w:tc>
        <w:tc>
          <w:tcPr>
            <w:tcW w:w="12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54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4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340" w:type="dxa"/>
            <w:vAlign w:val="bottom"/>
            <w:tcBorders>
              <w:top w:val="single" w:sz="8" w:color="0000EE"/>
              <w:bottom w:val="single" w:sz="8" w:color="002856"/>
            </w:tcBorders>
          </w:tcPr>
          <w:p>
            <w:pPr>
              <w:spacing w:after="0"/>
              <w:rPr>
                <w:sz w:val="2"/>
                <w:szCs w:val="2"/>
                <w:color w:val="auto"/>
              </w:rPr>
            </w:pPr>
          </w:p>
        </w:tc>
        <w:tc>
          <w:tcPr>
            <w:tcW w:w="140" w:type="dxa"/>
            <w:vAlign w:val="bottom"/>
            <w:tcBorders>
              <w:top w:val="single" w:sz="8" w:color="0000EE"/>
              <w:bottom w:val="single" w:sz="8" w:color="002856"/>
            </w:tcBorders>
          </w:tcPr>
          <w:p>
            <w:pPr>
              <w:spacing w:after="0"/>
              <w:rPr>
                <w:sz w:val="2"/>
                <w:szCs w:val="2"/>
                <w:color w:val="auto"/>
              </w:rPr>
            </w:pPr>
          </w:p>
        </w:tc>
        <w:tc>
          <w:tcPr>
            <w:tcW w:w="100" w:type="dxa"/>
            <w:vAlign w:val="bottom"/>
            <w:tcBorders>
              <w:top w:val="single" w:sz="8" w:color="0000EE"/>
              <w:bottom w:val="single" w:sz="8" w:color="002856"/>
            </w:tcBorders>
          </w:tcPr>
          <w:p>
            <w:pPr>
              <w:spacing w:after="0"/>
              <w:rPr>
                <w:sz w:val="2"/>
                <w:szCs w:val="2"/>
                <w:color w:val="auto"/>
              </w:rPr>
            </w:pPr>
          </w:p>
        </w:tc>
        <w:tc>
          <w:tcPr>
            <w:tcW w:w="40" w:type="dxa"/>
            <w:vAlign w:val="bottom"/>
            <w:tcBorders>
              <w:top w:val="single" w:sz="8" w:color="0000EE"/>
              <w:bottom w:val="single" w:sz="8" w:color="002856"/>
            </w:tcBorders>
          </w:tcPr>
          <w:p>
            <w:pPr>
              <w:spacing w:after="0"/>
              <w:rPr>
                <w:sz w:val="2"/>
                <w:szCs w:val="2"/>
                <w:color w:val="auto"/>
              </w:rPr>
            </w:pPr>
          </w:p>
        </w:tc>
        <w:tc>
          <w:tcPr>
            <w:tcW w:w="160" w:type="dxa"/>
            <w:vAlign w:val="bottom"/>
            <w:tcBorders>
              <w:top w:val="single" w:sz="8" w:color="0000EE"/>
              <w:bottom w:val="single" w:sz="8" w:color="002856"/>
            </w:tcBorders>
          </w:tcPr>
          <w:p>
            <w:pPr>
              <w:spacing w:after="0"/>
              <w:rPr>
                <w:sz w:val="2"/>
                <w:szCs w:val="2"/>
                <w:color w:val="auto"/>
              </w:rPr>
            </w:pPr>
          </w:p>
        </w:tc>
        <w:tc>
          <w:tcPr>
            <w:tcW w:w="18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60" w:type="dxa"/>
            <w:vAlign w:val="bottom"/>
            <w:tcBorders>
              <w:top w:val="single" w:sz="8" w:color="0000EE"/>
              <w:bottom w:val="single" w:sz="8" w:color="002856"/>
            </w:tcBorders>
          </w:tcPr>
          <w:p>
            <w:pPr>
              <w:spacing w:after="0"/>
              <w:rPr>
                <w:sz w:val="2"/>
                <w:szCs w:val="2"/>
                <w:color w:val="auto"/>
              </w:rPr>
            </w:pPr>
          </w:p>
        </w:tc>
        <w:tc>
          <w:tcPr>
            <w:tcW w:w="64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280" w:type="dxa"/>
            <w:vAlign w:val="bottom"/>
            <w:tcBorders>
              <w:top w:val="single" w:sz="8" w:color="0000EE"/>
              <w:bottom w:val="single" w:sz="8" w:color="002856"/>
            </w:tcBorders>
          </w:tcPr>
          <w:p>
            <w:pPr>
              <w:spacing w:after="0"/>
              <w:rPr>
                <w:sz w:val="2"/>
                <w:szCs w:val="2"/>
                <w:color w:val="auto"/>
              </w:rPr>
            </w:pPr>
          </w:p>
        </w:tc>
        <w:tc>
          <w:tcPr>
            <w:tcW w:w="380" w:type="dxa"/>
            <w:vAlign w:val="bottom"/>
            <w:tcBorders>
              <w:top w:val="single" w:sz="8" w:color="0000EE"/>
              <w:bottom w:val="single" w:sz="8" w:color="002856"/>
            </w:tcBorders>
          </w:tcPr>
          <w:p>
            <w:pPr>
              <w:spacing w:after="0"/>
              <w:rPr>
                <w:sz w:val="2"/>
                <w:szCs w:val="2"/>
                <w:color w:val="auto"/>
              </w:rPr>
            </w:pPr>
          </w:p>
        </w:tc>
        <w:tc>
          <w:tcPr>
            <w:tcW w:w="80" w:type="dxa"/>
            <w:vAlign w:val="bottom"/>
            <w:tcBorders>
              <w:top w:val="single" w:sz="8" w:color="0000EE"/>
              <w:bottom w:val="single" w:sz="8" w:color="002856"/>
            </w:tcBorders>
          </w:tcPr>
          <w:p>
            <w:pPr>
              <w:spacing w:after="0"/>
              <w:rPr>
                <w:sz w:val="2"/>
                <w:szCs w:val="2"/>
                <w:color w:val="auto"/>
              </w:rPr>
            </w:pPr>
          </w:p>
        </w:tc>
        <w:tc>
          <w:tcPr>
            <w:tcW w:w="260" w:type="dxa"/>
            <w:vAlign w:val="bottom"/>
            <w:tcBorders>
              <w:bottom w:val="single" w:sz="8" w:color="002856"/>
            </w:tcBorders>
          </w:tcPr>
          <w:p>
            <w:pPr>
              <w:spacing w:after="0"/>
              <w:rPr>
                <w:sz w:val="2"/>
                <w:szCs w:val="2"/>
                <w:color w:val="auto"/>
              </w:rPr>
            </w:pPr>
          </w:p>
        </w:tc>
        <w:tc>
          <w:tcPr>
            <w:tcW w:w="40" w:type="dxa"/>
            <w:vAlign w:val="bottom"/>
            <w:tcBorders>
              <w:bottom w:val="single" w:sz="8" w:color="002856"/>
            </w:tcBorders>
          </w:tcPr>
          <w:p>
            <w:pPr>
              <w:spacing w:after="0"/>
              <w:rPr>
                <w:sz w:val="2"/>
                <w:szCs w:val="2"/>
                <w:color w:val="auto"/>
              </w:rPr>
            </w:pPr>
          </w:p>
        </w:tc>
        <w:tc>
          <w:tcPr>
            <w:tcW w:w="20" w:type="dxa"/>
            <w:vAlign w:val="bottom"/>
            <w:tcBorders>
              <w:bottom w:val="single" w:sz="8" w:color="002856"/>
            </w:tcBorders>
          </w:tcPr>
          <w:p>
            <w:pPr>
              <w:spacing w:after="0"/>
              <w:rPr>
                <w:sz w:val="2"/>
                <w:szCs w:val="2"/>
                <w:color w:val="auto"/>
              </w:rPr>
            </w:pPr>
          </w:p>
        </w:tc>
        <w:tc>
          <w:tcPr>
            <w:tcW w:w="480" w:type="dxa"/>
            <w:vAlign w:val="bottom"/>
            <w:tcBorders>
              <w:bottom w:val="single" w:sz="8" w:color="002856"/>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900" w:type="dxa"/>
            <w:vAlign w:val="bottom"/>
            <w:gridSpan w:val="27"/>
          </w:tcPr>
          <w:p>
            <w:pPr>
              <w:spacing w:after="0" w:line="182"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Expenses of Solicitation</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66</w:t>
            </w:r>
          </w:p>
        </w:tc>
      </w:tr>
      <w:tr>
        <w:trPr>
          <w:trHeight w:val="48"/>
        </w:trPr>
        <w:tc>
          <w:tcPr>
            <w:tcW w:w="20" w:type="dxa"/>
            <w:vAlign w:val="bottom"/>
            <w:tcBorders>
              <w:top w:val="single" w:sz="8" w:color="0000EE"/>
              <w:bottom w:val="single" w:sz="8" w:color="002856"/>
            </w:tcBorders>
          </w:tcPr>
          <w:p>
            <w:pPr>
              <w:spacing w:after="0"/>
              <w:rPr>
                <w:sz w:val="4"/>
                <w:szCs w:val="4"/>
                <w:color w:val="auto"/>
              </w:rPr>
            </w:pPr>
          </w:p>
        </w:tc>
        <w:tc>
          <w:tcPr>
            <w:tcW w:w="160" w:type="dxa"/>
            <w:vAlign w:val="bottom"/>
            <w:tcBorders>
              <w:top w:val="single" w:sz="8" w:color="0000EE"/>
              <w:bottom w:val="single" w:sz="8" w:color="002856"/>
            </w:tcBorders>
          </w:tcPr>
          <w:p>
            <w:pPr>
              <w:spacing w:after="0"/>
              <w:rPr>
                <w:sz w:val="4"/>
                <w:szCs w:val="4"/>
                <w:color w:val="auto"/>
              </w:rPr>
            </w:pPr>
          </w:p>
        </w:tc>
        <w:tc>
          <w:tcPr>
            <w:tcW w:w="240" w:type="dxa"/>
            <w:vAlign w:val="bottom"/>
            <w:tcBorders>
              <w:top w:val="single" w:sz="8" w:color="0000EE"/>
              <w:bottom w:val="single" w:sz="8" w:color="002856"/>
            </w:tcBorders>
          </w:tcPr>
          <w:p>
            <w:pPr>
              <w:spacing w:after="0"/>
              <w:rPr>
                <w:sz w:val="4"/>
                <w:szCs w:val="4"/>
                <w:color w:val="auto"/>
              </w:rPr>
            </w:pPr>
          </w:p>
        </w:tc>
        <w:tc>
          <w:tcPr>
            <w:tcW w:w="580" w:type="dxa"/>
            <w:vAlign w:val="bottom"/>
            <w:tcBorders>
              <w:top w:val="single" w:sz="8" w:color="0000EE"/>
              <w:bottom w:val="single" w:sz="8" w:color="002856"/>
            </w:tcBorders>
          </w:tcPr>
          <w:p>
            <w:pPr>
              <w:spacing w:after="0"/>
              <w:rPr>
                <w:sz w:val="4"/>
                <w:szCs w:val="4"/>
                <w:color w:val="auto"/>
              </w:rPr>
            </w:pPr>
          </w:p>
        </w:tc>
        <w:tc>
          <w:tcPr>
            <w:tcW w:w="120" w:type="dxa"/>
            <w:vAlign w:val="bottom"/>
            <w:tcBorders>
              <w:top w:val="single" w:sz="8" w:color="0000EE"/>
              <w:bottom w:val="single" w:sz="8" w:color="002856"/>
            </w:tcBorders>
          </w:tcPr>
          <w:p>
            <w:pPr>
              <w:spacing w:after="0"/>
              <w:rPr>
                <w:sz w:val="4"/>
                <w:szCs w:val="4"/>
                <w:color w:val="auto"/>
              </w:rPr>
            </w:pPr>
          </w:p>
        </w:tc>
        <w:tc>
          <w:tcPr>
            <w:tcW w:w="80" w:type="dxa"/>
            <w:vAlign w:val="bottom"/>
            <w:tcBorders>
              <w:top w:val="single" w:sz="8" w:color="0000EE"/>
              <w:bottom w:val="single" w:sz="8" w:color="002856"/>
            </w:tcBorders>
          </w:tcPr>
          <w:p>
            <w:pPr>
              <w:spacing w:after="0"/>
              <w:rPr>
                <w:sz w:val="4"/>
                <w:szCs w:val="4"/>
                <w:color w:val="auto"/>
              </w:rPr>
            </w:pPr>
          </w:p>
        </w:tc>
        <w:tc>
          <w:tcPr>
            <w:tcW w:w="80" w:type="dxa"/>
            <w:vAlign w:val="bottom"/>
            <w:tcBorders>
              <w:top w:val="single" w:sz="8" w:color="0000EE"/>
              <w:bottom w:val="single" w:sz="8" w:color="002856"/>
            </w:tcBorders>
          </w:tcPr>
          <w:p>
            <w:pPr>
              <w:spacing w:after="0"/>
              <w:rPr>
                <w:sz w:val="4"/>
                <w:szCs w:val="4"/>
                <w:color w:val="auto"/>
              </w:rPr>
            </w:pPr>
          </w:p>
        </w:tc>
        <w:tc>
          <w:tcPr>
            <w:tcW w:w="540" w:type="dxa"/>
            <w:vAlign w:val="bottom"/>
            <w:tcBorders>
              <w:top w:val="single" w:sz="8" w:color="0000EE"/>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340" w:type="dxa"/>
            <w:vAlign w:val="bottom"/>
            <w:tcBorders>
              <w:bottom w:val="single" w:sz="8" w:color="002856"/>
            </w:tcBorders>
          </w:tcPr>
          <w:p>
            <w:pPr>
              <w:spacing w:after="0"/>
              <w:rPr>
                <w:sz w:val="4"/>
                <w:szCs w:val="4"/>
                <w:color w:val="auto"/>
              </w:rPr>
            </w:pPr>
          </w:p>
        </w:tc>
        <w:tc>
          <w:tcPr>
            <w:tcW w:w="140" w:type="dxa"/>
            <w:vAlign w:val="bottom"/>
            <w:tcBorders>
              <w:bottom w:val="single" w:sz="8" w:color="002856"/>
            </w:tcBorders>
          </w:tcPr>
          <w:p>
            <w:pPr>
              <w:spacing w:after="0"/>
              <w:rPr>
                <w:sz w:val="4"/>
                <w:szCs w:val="4"/>
                <w:color w:val="auto"/>
              </w:rPr>
            </w:pPr>
          </w:p>
        </w:tc>
        <w:tc>
          <w:tcPr>
            <w:tcW w:w="10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160" w:type="dxa"/>
            <w:vAlign w:val="bottom"/>
            <w:tcBorders>
              <w:bottom w:val="single" w:sz="8" w:color="002856"/>
            </w:tcBorders>
          </w:tcPr>
          <w:p>
            <w:pPr>
              <w:spacing w:after="0"/>
              <w:rPr>
                <w:sz w:val="4"/>
                <w:szCs w:val="4"/>
                <w:color w:val="auto"/>
              </w:rPr>
            </w:pPr>
          </w:p>
        </w:tc>
        <w:tc>
          <w:tcPr>
            <w:tcW w:w="18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4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80" w:type="dxa"/>
            <w:vAlign w:val="bottom"/>
            <w:tcBorders>
              <w:bottom w:val="single" w:sz="8" w:color="002856"/>
            </w:tcBorders>
          </w:tcPr>
          <w:p>
            <w:pPr>
              <w:spacing w:after="0"/>
              <w:rPr>
                <w:sz w:val="4"/>
                <w:szCs w:val="4"/>
                <w:color w:val="auto"/>
              </w:rPr>
            </w:pPr>
          </w:p>
        </w:tc>
        <w:tc>
          <w:tcPr>
            <w:tcW w:w="38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6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20" w:type="dxa"/>
            <w:vAlign w:val="bottom"/>
            <w:tcBorders>
              <w:bottom w:val="single" w:sz="8" w:color="002856"/>
            </w:tcBorders>
          </w:tcPr>
          <w:p>
            <w:pPr>
              <w:spacing w:after="0"/>
              <w:rPr>
                <w:sz w:val="4"/>
                <w:szCs w:val="4"/>
                <w:color w:val="auto"/>
              </w:rPr>
            </w:pPr>
          </w:p>
        </w:tc>
        <w:tc>
          <w:tcPr>
            <w:tcW w:w="480" w:type="dxa"/>
            <w:vAlign w:val="bottom"/>
            <w:tcBorders>
              <w:bottom w:val="single" w:sz="8" w:color="002856"/>
            </w:tcBorders>
          </w:tcPr>
          <w:p>
            <w:pPr>
              <w:spacing w:after="0"/>
              <w:rPr>
                <w:sz w:val="4"/>
                <w:szCs w:val="4"/>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Other Matters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67</w:t>
            </w:r>
          </w:p>
        </w:tc>
      </w:tr>
      <w:tr>
        <w:trPr>
          <w:trHeight w:val="48"/>
        </w:trPr>
        <w:tc>
          <w:tcPr>
            <w:tcW w:w="20" w:type="dxa"/>
            <w:vAlign w:val="bottom"/>
            <w:tcBorders>
              <w:top w:val="single" w:sz="8" w:color="0000EE"/>
              <w:bottom w:val="single" w:sz="8" w:color="002856"/>
            </w:tcBorders>
          </w:tcPr>
          <w:p>
            <w:pPr>
              <w:spacing w:after="0"/>
              <w:rPr>
                <w:sz w:val="4"/>
                <w:szCs w:val="4"/>
                <w:color w:val="auto"/>
              </w:rPr>
            </w:pPr>
          </w:p>
        </w:tc>
        <w:tc>
          <w:tcPr>
            <w:tcW w:w="160" w:type="dxa"/>
            <w:vAlign w:val="bottom"/>
            <w:tcBorders>
              <w:top w:val="single" w:sz="8" w:color="0000EE"/>
              <w:bottom w:val="single" w:sz="8" w:color="002856"/>
            </w:tcBorders>
          </w:tcPr>
          <w:p>
            <w:pPr>
              <w:spacing w:after="0"/>
              <w:rPr>
                <w:sz w:val="4"/>
                <w:szCs w:val="4"/>
                <w:color w:val="auto"/>
              </w:rPr>
            </w:pPr>
          </w:p>
        </w:tc>
        <w:tc>
          <w:tcPr>
            <w:tcW w:w="240" w:type="dxa"/>
            <w:vAlign w:val="bottom"/>
            <w:tcBorders>
              <w:top w:val="single" w:sz="8" w:color="0000EE"/>
              <w:bottom w:val="single" w:sz="8" w:color="002856"/>
            </w:tcBorders>
          </w:tcPr>
          <w:p>
            <w:pPr>
              <w:spacing w:after="0"/>
              <w:rPr>
                <w:sz w:val="4"/>
                <w:szCs w:val="4"/>
                <w:color w:val="auto"/>
              </w:rPr>
            </w:pPr>
          </w:p>
        </w:tc>
        <w:tc>
          <w:tcPr>
            <w:tcW w:w="580" w:type="dxa"/>
            <w:vAlign w:val="bottom"/>
            <w:tcBorders>
              <w:top w:val="single" w:sz="8" w:color="0000EE"/>
              <w:bottom w:val="single" w:sz="8" w:color="002856"/>
            </w:tcBorders>
          </w:tcPr>
          <w:p>
            <w:pPr>
              <w:spacing w:after="0"/>
              <w:rPr>
                <w:sz w:val="4"/>
                <w:szCs w:val="4"/>
                <w:color w:val="auto"/>
              </w:rPr>
            </w:pPr>
          </w:p>
        </w:tc>
        <w:tc>
          <w:tcPr>
            <w:tcW w:w="120" w:type="dxa"/>
            <w:vAlign w:val="bottom"/>
            <w:tcBorders>
              <w:top w:val="single" w:sz="8" w:color="0000EE"/>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54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340" w:type="dxa"/>
            <w:vAlign w:val="bottom"/>
            <w:tcBorders>
              <w:bottom w:val="single" w:sz="8" w:color="002856"/>
            </w:tcBorders>
          </w:tcPr>
          <w:p>
            <w:pPr>
              <w:spacing w:after="0"/>
              <w:rPr>
                <w:sz w:val="4"/>
                <w:szCs w:val="4"/>
                <w:color w:val="auto"/>
              </w:rPr>
            </w:pPr>
          </w:p>
        </w:tc>
        <w:tc>
          <w:tcPr>
            <w:tcW w:w="140" w:type="dxa"/>
            <w:vAlign w:val="bottom"/>
            <w:tcBorders>
              <w:bottom w:val="single" w:sz="8" w:color="002856"/>
            </w:tcBorders>
          </w:tcPr>
          <w:p>
            <w:pPr>
              <w:spacing w:after="0"/>
              <w:rPr>
                <w:sz w:val="4"/>
                <w:szCs w:val="4"/>
                <w:color w:val="auto"/>
              </w:rPr>
            </w:pPr>
          </w:p>
        </w:tc>
        <w:tc>
          <w:tcPr>
            <w:tcW w:w="10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160" w:type="dxa"/>
            <w:vAlign w:val="bottom"/>
            <w:tcBorders>
              <w:bottom w:val="single" w:sz="8" w:color="002856"/>
            </w:tcBorders>
          </w:tcPr>
          <w:p>
            <w:pPr>
              <w:spacing w:after="0"/>
              <w:rPr>
                <w:sz w:val="4"/>
                <w:szCs w:val="4"/>
                <w:color w:val="auto"/>
              </w:rPr>
            </w:pPr>
          </w:p>
        </w:tc>
        <w:tc>
          <w:tcPr>
            <w:tcW w:w="18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4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80" w:type="dxa"/>
            <w:vAlign w:val="bottom"/>
            <w:tcBorders>
              <w:bottom w:val="single" w:sz="8" w:color="002856"/>
            </w:tcBorders>
          </w:tcPr>
          <w:p>
            <w:pPr>
              <w:spacing w:after="0"/>
              <w:rPr>
                <w:sz w:val="4"/>
                <w:szCs w:val="4"/>
                <w:color w:val="auto"/>
              </w:rPr>
            </w:pPr>
          </w:p>
        </w:tc>
        <w:tc>
          <w:tcPr>
            <w:tcW w:w="38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6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20" w:type="dxa"/>
            <w:vAlign w:val="bottom"/>
            <w:tcBorders>
              <w:bottom w:val="single" w:sz="8" w:color="002856"/>
            </w:tcBorders>
          </w:tcPr>
          <w:p>
            <w:pPr>
              <w:spacing w:after="0"/>
              <w:rPr>
                <w:sz w:val="4"/>
                <w:szCs w:val="4"/>
                <w:color w:val="auto"/>
              </w:rPr>
            </w:pPr>
          </w:p>
        </w:tc>
        <w:tc>
          <w:tcPr>
            <w:tcW w:w="480" w:type="dxa"/>
            <w:vAlign w:val="bottom"/>
            <w:tcBorders>
              <w:bottom w:val="single" w:sz="8" w:color="002856"/>
            </w:tcBorders>
          </w:tcPr>
          <w:p>
            <w:pPr>
              <w:spacing w:after="0"/>
              <w:rPr>
                <w:sz w:val="4"/>
                <w:szCs w:val="4"/>
                <w:color w:val="auto"/>
              </w:rPr>
            </w:pPr>
          </w:p>
        </w:tc>
      </w:tr>
      <w:tr>
        <w:trPr>
          <w:trHeight w:val="183"/>
        </w:trPr>
        <w:tc>
          <w:tcPr>
            <w:tcW w:w="4920" w:type="dxa"/>
            <w:vAlign w:val="bottom"/>
            <w:gridSpan w:val="28"/>
          </w:tcPr>
          <w:p>
            <w:pPr>
              <w:spacing w:after="0" w:line="182"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Proposals of Stockholders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002856"/>
              </w:rPr>
              <w:t>68</w:t>
            </w:r>
          </w:p>
        </w:tc>
      </w:tr>
      <w:tr>
        <w:trPr>
          <w:trHeight w:val="48"/>
        </w:trPr>
        <w:tc>
          <w:tcPr>
            <w:tcW w:w="20" w:type="dxa"/>
            <w:vAlign w:val="bottom"/>
            <w:tcBorders>
              <w:top w:val="single" w:sz="8" w:color="0000EE"/>
              <w:bottom w:val="single" w:sz="8" w:color="002856"/>
            </w:tcBorders>
          </w:tcPr>
          <w:p>
            <w:pPr>
              <w:spacing w:after="0"/>
              <w:rPr>
                <w:sz w:val="4"/>
                <w:szCs w:val="4"/>
                <w:color w:val="auto"/>
              </w:rPr>
            </w:pPr>
          </w:p>
        </w:tc>
        <w:tc>
          <w:tcPr>
            <w:tcW w:w="160" w:type="dxa"/>
            <w:vAlign w:val="bottom"/>
            <w:tcBorders>
              <w:top w:val="single" w:sz="8" w:color="0000EE"/>
              <w:bottom w:val="single" w:sz="8" w:color="002856"/>
            </w:tcBorders>
          </w:tcPr>
          <w:p>
            <w:pPr>
              <w:spacing w:after="0"/>
              <w:rPr>
                <w:sz w:val="4"/>
                <w:szCs w:val="4"/>
                <w:color w:val="auto"/>
              </w:rPr>
            </w:pPr>
          </w:p>
        </w:tc>
        <w:tc>
          <w:tcPr>
            <w:tcW w:w="240" w:type="dxa"/>
            <w:vAlign w:val="bottom"/>
            <w:tcBorders>
              <w:top w:val="single" w:sz="8" w:color="0000EE"/>
              <w:bottom w:val="single" w:sz="8" w:color="002856"/>
            </w:tcBorders>
          </w:tcPr>
          <w:p>
            <w:pPr>
              <w:spacing w:after="0"/>
              <w:rPr>
                <w:sz w:val="4"/>
                <w:szCs w:val="4"/>
                <w:color w:val="auto"/>
              </w:rPr>
            </w:pPr>
          </w:p>
        </w:tc>
        <w:tc>
          <w:tcPr>
            <w:tcW w:w="580" w:type="dxa"/>
            <w:vAlign w:val="bottom"/>
            <w:tcBorders>
              <w:top w:val="single" w:sz="8" w:color="0000EE"/>
              <w:bottom w:val="single" w:sz="8" w:color="002856"/>
            </w:tcBorders>
          </w:tcPr>
          <w:p>
            <w:pPr>
              <w:spacing w:after="0"/>
              <w:rPr>
                <w:sz w:val="4"/>
                <w:szCs w:val="4"/>
                <w:color w:val="auto"/>
              </w:rPr>
            </w:pPr>
          </w:p>
        </w:tc>
        <w:tc>
          <w:tcPr>
            <w:tcW w:w="120" w:type="dxa"/>
            <w:vAlign w:val="bottom"/>
            <w:tcBorders>
              <w:top w:val="single" w:sz="8" w:color="0000EE"/>
              <w:bottom w:val="single" w:sz="8" w:color="002856"/>
            </w:tcBorders>
          </w:tcPr>
          <w:p>
            <w:pPr>
              <w:spacing w:after="0"/>
              <w:rPr>
                <w:sz w:val="4"/>
                <w:szCs w:val="4"/>
                <w:color w:val="auto"/>
              </w:rPr>
            </w:pPr>
          </w:p>
        </w:tc>
        <w:tc>
          <w:tcPr>
            <w:tcW w:w="80" w:type="dxa"/>
            <w:vAlign w:val="bottom"/>
            <w:tcBorders>
              <w:top w:val="single" w:sz="8" w:color="0000EE"/>
              <w:bottom w:val="single" w:sz="8" w:color="002856"/>
            </w:tcBorders>
          </w:tcPr>
          <w:p>
            <w:pPr>
              <w:spacing w:after="0"/>
              <w:rPr>
                <w:sz w:val="4"/>
                <w:szCs w:val="4"/>
                <w:color w:val="auto"/>
              </w:rPr>
            </w:pPr>
          </w:p>
        </w:tc>
        <w:tc>
          <w:tcPr>
            <w:tcW w:w="80" w:type="dxa"/>
            <w:vAlign w:val="bottom"/>
            <w:tcBorders>
              <w:top w:val="single" w:sz="8" w:color="0000EE"/>
              <w:bottom w:val="single" w:sz="8" w:color="002856"/>
            </w:tcBorders>
          </w:tcPr>
          <w:p>
            <w:pPr>
              <w:spacing w:after="0"/>
              <w:rPr>
                <w:sz w:val="4"/>
                <w:szCs w:val="4"/>
                <w:color w:val="auto"/>
              </w:rPr>
            </w:pPr>
          </w:p>
        </w:tc>
        <w:tc>
          <w:tcPr>
            <w:tcW w:w="540" w:type="dxa"/>
            <w:vAlign w:val="bottom"/>
            <w:tcBorders>
              <w:top w:val="single" w:sz="8" w:color="0000EE"/>
              <w:bottom w:val="single" w:sz="8" w:color="002856"/>
            </w:tcBorders>
          </w:tcPr>
          <w:p>
            <w:pPr>
              <w:spacing w:after="0"/>
              <w:rPr>
                <w:sz w:val="4"/>
                <w:szCs w:val="4"/>
                <w:color w:val="auto"/>
              </w:rPr>
            </w:pPr>
          </w:p>
        </w:tc>
        <w:tc>
          <w:tcPr>
            <w:tcW w:w="60" w:type="dxa"/>
            <w:vAlign w:val="bottom"/>
            <w:tcBorders>
              <w:top w:val="single" w:sz="8" w:color="0000EE"/>
              <w:bottom w:val="single" w:sz="8" w:color="002856"/>
            </w:tcBorders>
          </w:tcPr>
          <w:p>
            <w:pPr>
              <w:spacing w:after="0"/>
              <w:rPr>
                <w:sz w:val="4"/>
                <w:szCs w:val="4"/>
                <w:color w:val="auto"/>
              </w:rPr>
            </w:pPr>
          </w:p>
        </w:tc>
        <w:tc>
          <w:tcPr>
            <w:tcW w:w="40" w:type="dxa"/>
            <w:vAlign w:val="bottom"/>
            <w:tcBorders>
              <w:top w:val="single" w:sz="8" w:color="0000EE"/>
              <w:bottom w:val="single" w:sz="8" w:color="002856"/>
            </w:tcBorders>
          </w:tcPr>
          <w:p>
            <w:pPr>
              <w:spacing w:after="0"/>
              <w:rPr>
                <w:sz w:val="4"/>
                <w:szCs w:val="4"/>
                <w:color w:val="auto"/>
              </w:rPr>
            </w:pPr>
          </w:p>
        </w:tc>
        <w:tc>
          <w:tcPr>
            <w:tcW w:w="60" w:type="dxa"/>
            <w:vAlign w:val="bottom"/>
            <w:tcBorders>
              <w:top w:val="single" w:sz="8" w:color="0000EE"/>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340" w:type="dxa"/>
            <w:vAlign w:val="bottom"/>
            <w:tcBorders>
              <w:bottom w:val="single" w:sz="8" w:color="002856"/>
            </w:tcBorders>
          </w:tcPr>
          <w:p>
            <w:pPr>
              <w:spacing w:after="0"/>
              <w:rPr>
                <w:sz w:val="4"/>
                <w:szCs w:val="4"/>
                <w:color w:val="auto"/>
              </w:rPr>
            </w:pPr>
          </w:p>
        </w:tc>
        <w:tc>
          <w:tcPr>
            <w:tcW w:w="140" w:type="dxa"/>
            <w:vAlign w:val="bottom"/>
            <w:tcBorders>
              <w:bottom w:val="single" w:sz="8" w:color="002856"/>
            </w:tcBorders>
          </w:tcPr>
          <w:p>
            <w:pPr>
              <w:spacing w:after="0"/>
              <w:rPr>
                <w:sz w:val="4"/>
                <w:szCs w:val="4"/>
                <w:color w:val="auto"/>
              </w:rPr>
            </w:pPr>
          </w:p>
        </w:tc>
        <w:tc>
          <w:tcPr>
            <w:tcW w:w="10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160" w:type="dxa"/>
            <w:vAlign w:val="bottom"/>
            <w:tcBorders>
              <w:bottom w:val="single" w:sz="8" w:color="002856"/>
            </w:tcBorders>
          </w:tcPr>
          <w:p>
            <w:pPr>
              <w:spacing w:after="0"/>
              <w:rPr>
                <w:sz w:val="4"/>
                <w:szCs w:val="4"/>
                <w:color w:val="auto"/>
              </w:rPr>
            </w:pPr>
          </w:p>
        </w:tc>
        <w:tc>
          <w:tcPr>
            <w:tcW w:w="18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0" w:type="dxa"/>
            <w:vAlign w:val="bottom"/>
            <w:tcBorders>
              <w:bottom w:val="single" w:sz="8" w:color="002856"/>
            </w:tcBorders>
          </w:tcPr>
          <w:p>
            <w:pPr>
              <w:spacing w:after="0"/>
              <w:rPr>
                <w:sz w:val="4"/>
                <w:szCs w:val="4"/>
                <w:color w:val="auto"/>
              </w:rPr>
            </w:pPr>
          </w:p>
        </w:tc>
        <w:tc>
          <w:tcPr>
            <w:tcW w:w="64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80" w:type="dxa"/>
            <w:vAlign w:val="bottom"/>
            <w:tcBorders>
              <w:bottom w:val="single" w:sz="8" w:color="002856"/>
            </w:tcBorders>
          </w:tcPr>
          <w:p>
            <w:pPr>
              <w:spacing w:after="0"/>
              <w:rPr>
                <w:sz w:val="4"/>
                <w:szCs w:val="4"/>
                <w:color w:val="auto"/>
              </w:rPr>
            </w:pPr>
          </w:p>
        </w:tc>
        <w:tc>
          <w:tcPr>
            <w:tcW w:w="380" w:type="dxa"/>
            <w:vAlign w:val="bottom"/>
            <w:tcBorders>
              <w:bottom w:val="single" w:sz="8" w:color="002856"/>
            </w:tcBorders>
          </w:tcPr>
          <w:p>
            <w:pPr>
              <w:spacing w:after="0"/>
              <w:rPr>
                <w:sz w:val="4"/>
                <w:szCs w:val="4"/>
                <w:color w:val="auto"/>
              </w:rPr>
            </w:pPr>
          </w:p>
        </w:tc>
        <w:tc>
          <w:tcPr>
            <w:tcW w:w="80" w:type="dxa"/>
            <w:vAlign w:val="bottom"/>
            <w:tcBorders>
              <w:bottom w:val="single" w:sz="8" w:color="002856"/>
            </w:tcBorders>
          </w:tcPr>
          <w:p>
            <w:pPr>
              <w:spacing w:after="0"/>
              <w:rPr>
                <w:sz w:val="4"/>
                <w:szCs w:val="4"/>
                <w:color w:val="auto"/>
              </w:rPr>
            </w:pPr>
          </w:p>
        </w:tc>
        <w:tc>
          <w:tcPr>
            <w:tcW w:w="260" w:type="dxa"/>
            <w:vAlign w:val="bottom"/>
            <w:tcBorders>
              <w:bottom w:val="single" w:sz="8" w:color="002856"/>
            </w:tcBorders>
          </w:tcPr>
          <w:p>
            <w:pPr>
              <w:spacing w:after="0"/>
              <w:rPr>
                <w:sz w:val="4"/>
                <w:szCs w:val="4"/>
                <w:color w:val="auto"/>
              </w:rPr>
            </w:pPr>
          </w:p>
        </w:tc>
        <w:tc>
          <w:tcPr>
            <w:tcW w:w="40" w:type="dxa"/>
            <w:vAlign w:val="bottom"/>
            <w:tcBorders>
              <w:bottom w:val="single" w:sz="8" w:color="002856"/>
            </w:tcBorders>
          </w:tcPr>
          <w:p>
            <w:pPr>
              <w:spacing w:after="0"/>
              <w:rPr>
                <w:sz w:val="4"/>
                <w:szCs w:val="4"/>
                <w:color w:val="auto"/>
              </w:rPr>
            </w:pPr>
          </w:p>
        </w:tc>
        <w:tc>
          <w:tcPr>
            <w:tcW w:w="20" w:type="dxa"/>
            <w:vAlign w:val="bottom"/>
            <w:tcBorders>
              <w:bottom w:val="single" w:sz="8" w:color="002856"/>
            </w:tcBorders>
          </w:tcPr>
          <w:p>
            <w:pPr>
              <w:spacing w:after="0"/>
              <w:rPr>
                <w:sz w:val="4"/>
                <w:szCs w:val="4"/>
                <w:color w:val="auto"/>
              </w:rPr>
            </w:pPr>
          </w:p>
        </w:tc>
        <w:tc>
          <w:tcPr>
            <w:tcW w:w="480" w:type="dxa"/>
            <w:vAlign w:val="bottom"/>
            <w:tcBorders>
              <w:bottom w:val="single" w:sz="8" w:color="002856"/>
            </w:tcBorders>
          </w:tcPr>
          <w:p>
            <w:pPr>
              <w:spacing w:after="0"/>
              <w:rPr>
                <w:sz w:val="4"/>
                <w:szCs w:val="4"/>
                <w:color w:val="auto"/>
              </w:rPr>
            </w:pPr>
          </w:p>
        </w:tc>
      </w:tr>
      <w:tr>
        <w:trPr>
          <w:trHeight w:val="183"/>
        </w:trPr>
        <w:tc>
          <w:tcPr>
            <w:tcW w:w="4920" w:type="dxa"/>
            <w:vAlign w:val="bottom"/>
            <w:tcBorders>
              <w:bottom w:val="single" w:sz="8" w:color="0000EE"/>
            </w:tcBorders>
            <w:gridSpan w:val="28"/>
          </w:tcPr>
          <w:p>
            <w:pPr>
              <w:spacing w:after="0" w:line="182" w:lineRule="exact"/>
              <w:rPr>
                <w:rFonts w:ascii="Arial" w:cs="Arial" w:eastAsia="Arial" w:hAnsi="Arial"/>
                <w:sz w:val="18"/>
                <w:szCs w:val="18"/>
                <w:b w:val="1"/>
                <w:bCs w:val="1"/>
                <w:color w:val="0000EE"/>
                <w:w w:val="91"/>
              </w:rPr>
            </w:pPr>
            <w:hyperlink w:anchor="page74">
              <w:r>
                <w:rPr>
                  <w:rFonts w:ascii="Arial" w:cs="Arial" w:eastAsia="Arial" w:hAnsi="Arial"/>
                  <w:sz w:val="18"/>
                  <w:szCs w:val="18"/>
                  <w:b w:val="1"/>
                  <w:bCs w:val="1"/>
                  <w:color w:val="0000EE"/>
                  <w:w w:val="91"/>
                </w:rPr>
                <w:t>Householding; Availability of Annual Report on Form 10-K and</w:t>
              </w:r>
            </w:hyperlink>
          </w:p>
        </w:tc>
        <w:tc>
          <w:tcPr>
            <w:tcW w:w="480" w:type="dxa"/>
            <w:vAlign w:val="bottom"/>
          </w:tcPr>
          <w:p>
            <w:pPr>
              <w:spacing w:after="0"/>
              <w:rPr>
                <w:sz w:val="15"/>
                <w:szCs w:val="15"/>
                <w:color w:val="auto"/>
              </w:rPr>
            </w:pPr>
          </w:p>
        </w:tc>
      </w:tr>
      <w:tr>
        <w:trPr>
          <w:trHeight w:val="196"/>
        </w:trPr>
        <w:tc>
          <w:tcPr>
            <w:tcW w:w="4920" w:type="dxa"/>
            <w:vAlign w:val="bottom"/>
            <w:gridSpan w:val="28"/>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Proxy Statement</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002856"/>
              </w:rPr>
              <w:t>69</w:t>
            </w: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-6600190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8308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enclosed proxy is solicited by the Board of Directors (the “Board”) of Tradeweb Markets Inc. (“Tradeweb” or the “Company”) for use at the Annual Meeting of Stockholders (the “Annual Meeting”) to be held virtually at 12:30 p.m., Eastern Time, on Tuesday, May 10, 2022, at </w:t>
      </w:r>
      <w:r>
        <w:rPr>
          <w:rFonts w:ascii="Arial" w:cs="Arial" w:eastAsia="Arial" w:hAnsi="Arial"/>
          <w:sz w:val="18"/>
          <w:szCs w:val="18"/>
          <w:u w:val="single" w:color="auto"/>
          <w:color w:val="auto"/>
        </w:rPr>
        <w:t>www.virtualshareholdermeeting.com/TW2022</w:t>
      </w:r>
      <w:r>
        <w:rPr>
          <w:rFonts w:ascii="Arial" w:cs="Arial" w:eastAsia="Arial" w:hAnsi="Arial"/>
          <w:sz w:val="18"/>
          <w:szCs w:val="18"/>
          <w:color w:val="auto"/>
        </w:rPr>
        <w:t xml:space="preserve"> and at any adjournment or postponement thereof. Our principal offices are located at 1177 Avenue of the Americas, New York, New York 10036. This Proxy Statement is first being made available to our stockholders on or about March 29, 2022. 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Outstanding Securities and Quorum</w:t>
      </w:r>
    </w:p>
    <w:p>
      <w:pPr>
        <w:spacing w:after="0" w:line="102"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Only holders of record of our Class A common stock, Class B common stock, Class C common stock and Class D common stock (each such designation having par value $0.00001 per share) at the close of business on March 14, 2022, the record date, will be entitled to notice of, and to vote at, the Annual Meeting. On that date, we had 107,246,495 shares of Class A common stock outstanding and entitled to vote, 96,933,192 shares of Class B common stock outstanding and entitled to vote, 1,654,825 shares of Class C common stock outstanding and entitled to vote and 28,325,833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5"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Company’s stockholders generally. Each share of Class B common stock and Class D common stock entitles its holder to ten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Economic</w:t>
            </w:r>
          </w:p>
        </w:tc>
      </w:tr>
      <w:tr>
        <w:trPr>
          <w:trHeight w:val="202"/>
        </w:trPr>
        <w:tc>
          <w:tcPr>
            <w:tcW w:w="8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Class of Common Stock</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Par Value</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Votes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Rights</w:t>
            </w:r>
          </w:p>
        </w:tc>
      </w:tr>
      <w:tr>
        <w:trPr>
          <w:trHeight w:val="256"/>
        </w:trPr>
        <w:tc>
          <w:tcPr>
            <w:tcW w:w="8640" w:type="dxa"/>
            <w:vAlign w:val="bottom"/>
            <w:shd w:val="clear" w:color="auto" w:fill="CCEEF7"/>
          </w:tcPr>
          <w:p>
            <w:pPr>
              <w:ind w:left="60"/>
              <w:spacing w:after="0"/>
              <w:rPr>
                <w:sz w:val="20"/>
                <w:szCs w:val="20"/>
                <w:color w:val="auto"/>
              </w:rPr>
            </w:pPr>
            <w:r>
              <w:rPr>
                <w:rFonts w:ascii="Arial" w:cs="Arial" w:eastAsia="Arial" w:hAnsi="Arial"/>
                <w:sz w:val="16"/>
                <w:szCs w:val="16"/>
                <w:color w:val="auto"/>
              </w:rPr>
              <w:t>Class A common stock</w:t>
            </w:r>
          </w:p>
        </w:tc>
        <w:tc>
          <w:tcPr>
            <w:tcW w:w="1020" w:type="dxa"/>
            <w:vAlign w:val="bottom"/>
            <w:shd w:val="clear" w:color="auto" w:fill="CCEEF7"/>
          </w:tcPr>
          <w:p>
            <w:pPr>
              <w:jc w:val="center"/>
              <w:spacing w:after="0"/>
              <w:rPr>
                <w:sz w:val="20"/>
                <w:szCs w:val="20"/>
                <w:color w:val="auto"/>
              </w:rPr>
            </w:pPr>
            <w:r>
              <w:rPr>
                <w:rFonts w:ascii="Arial" w:cs="Arial" w:eastAsia="Arial" w:hAnsi="Arial"/>
                <w:sz w:val="16"/>
                <w:szCs w:val="16"/>
                <w:color w:val="auto"/>
              </w:rPr>
              <w:t>$0.00001</w:t>
            </w:r>
          </w:p>
        </w:tc>
        <w:tc>
          <w:tcPr>
            <w:tcW w:w="580" w:type="dxa"/>
            <w:vAlign w:val="bottom"/>
            <w:shd w:val="clear" w:color="auto" w:fill="CCEEF7"/>
          </w:tcPr>
          <w:p>
            <w:pPr>
              <w:jc w:val="right"/>
              <w:ind w:right="61"/>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Yes</w:t>
            </w:r>
          </w:p>
        </w:tc>
      </w:tr>
      <w:tr>
        <w:trPr>
          <w:trHeight w:val="260"/>
        </w:trPr>
        <w:tc>
          <w:tcPr>
            <w:tcW w:w="8640" w:type="dxa"/>
            <w:vAlign w:val="bottom"/>
          </w:tcPr>
          <w:p>
            <w:pPr>
              <w:ind w:left="60"/>
              <w:spacing w:after="0"/>
              <w:rPr>
                <w:sz w:val="20"/>
                <w:szCs w:val="20"/>
                <w:color w:val="auto"/>
              </w:rPr>
            </w:pPr>
            <w:r>
              <w:rPr>
                <w:rFonts w:ascii="Arial" w:cs="Arial" w:eastAsia="Arial" w:hAnsi="Arial"/>
                <w:sz w:val="16"/>
                <w:szCs w:val="16"/>
                <w:color w:val="auto"/>
              </w:rPr>
              <w:t>Class B common stock</w:t>
            </w:r>
          </w:p>
        </w:tc>
        <w:tc>
          <w:tcPr>
            <w:tcW w:w="1020" w:type="dxa"/>
            <w:vAlign w:val="bottom"/>
          </w:tcPr>
          <w:p>
            <w:pPr>
              <w:jc w:val="center"/>
              <w:spacing w:after="0"/>
              <w:rPr>
                <w:sz w:val="20"/>
                <w:szCs w:val="20"/>
                <w:color w:val="auto"/>
              </w:rPr>
            </w:pPr>
            <w:r>
              <w:rPr>
                <w:rFonts w:ascii="Arial" w:cs="Arial" w:eastAsia="Arial" w:hAnsi="Arial"/>
                <w:sz w:val="16"/>
                <w:szCs w:val="16"/>
                <w:color w:val="auto"/>
              </w:rPr>
              <w:t>$0.00001</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780" w:type="dxa"/>
            <w:vAlign w:val="bottom"/>
          </w:tcPr>
          <w:p>
            <w:pPr>
              <w:jc w:val="right"/>
              <w:spacing w:after="0"/>
              <w:rPr>
                <w:sz w:val="20"/>
                <w:szCs w:val="20"/>
                <w:color w:val="auto"/>
              </w:rPr>
            </w:pPr>
            <w:r>
              <w:rPr>
                <w:rFonts w:ascii="Arial" w:cs="Arial" w:eastAsia="Arial" w:hAnsi="Arial"/>
                <w:sz w:val="16"/>
                <w:szCs w:val="16"/>
                <w:color w:val="auto"/>
              </w:rPr>
              <w:t>Yes</w:t>
            </w:r>
          </w:p>
        </w:tc>
      </w:tr>
      <w:tr>
        <w:trPr>
          <w:trHeight w:val="280"/>
        </w:trPr>
        <w:tc>
          <w:tcPr>
            <w:tcW w:w="8640" w:type="dxa"/>
            <w:vAlign w:val="bottom"/>
            <w:shd w:val="clear" w:color="auto" w:fill="CCEEF7"/>
          </w:tcPr>
          <w:p>
            <w:pPr>
              <w:ind w:left="60"/>
              <w:spacing w:after="0"/>
              <w:rPr>
                <w:sz w:val="20"/>
                <w:szCs w:val="20"/>
                <w:color w:val="auto"/>
              </w:rPr>
            </w:pPr>
            <w:r>
              <w:rPr>
                <w:rFonts w:ascii="Arial" w:cs="Arial" w:eastAsia="Arial" w:hAnsi="Arial"/>
                <w:sz w:val="16"/>
                <w:szCs w:val="16"/>
                <w:color w:val="auto"/>
              </w:rPr>
              <w:t>Class C common stock</w:t>
            </w:r>
          </w:p>
        </w:tc>
        <w:tc>
          <w:tcPr>
            <w:tcW w:w="1020" w:type="dxa"/>
            <w:vAlign w:val="bottom"/>
            <w:shd w:val="clear" w:color="auto" w:fill="CCEEF7"/>
          </w:tcPr>
          <w:p>
            <w:pPr>
              <w:jc w:val="center"/>
              <w:spacing w:after="0"/>
              <w:rPr>
                <w:sz w:val="20"/>
                <w:szCs w:val="20"/>
                <w:color w:val="auto"/>
              </w:rPr>
            </w:pPr>
            <w:r>
              <w:rPr>
                <w:rFonts w:ascii="Arial" w:cs="Arial" w:eastAsia="Arial" w:hAnsi="Arial"/>
                <w:sz w:val="16"/>
                <w:szCs w:val="16"/>
                <w:color w:val="auto"/>
              </w:rPr>
              <w:t>$0.00001</w:t>
            </w:r>
          </w:p>
        </w:tc>
        <w:tc>
          <w:tcPr>
            <w:tcW w:w="580" w:type="dxa"/>
            <w:vAlign w:val="bottom"/>
            <w:shd w:val="clear" w:color="auto" w:fill="CCEEF7"/>
          </w:tcPr>
          <w:p>
            <w:pPr>
              <w:jc w:val="right"/>
              <w:ind w:right="61"/>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No</w:t>
            </w:r>
          </w:p>
        </w:tc>
      </w:tr>
      <w:tr>
        <w:trPr>
          <w:trHeight w:val="277"/>
        </w:trPr>
        <w:tc>
          <w:tcPr>
            <w:tcW w:w="86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Class D common stock</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$0.00001</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w:t>
            </w:r>
          </w:p>
        </w:tc>
      </w:tr>
    </w:tbl>
    <w:p>
      <w:pPr>
        <w:spacing w:after="0" w:line="20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All of the shares of our outstanding Class B common stock are currently held by an indirect subsidiary (the “Refinitiv Direct Owner”) of Refinitiv Parent Limited (“Refinitiv”). Until January 29, 2021, Refinitiv was indirectly controlled by (i) certain investment funds affiliated with The Blackstone Group Inc. (f/k/a The Blackstone Group L.P.) (“Blackstone”), (ii) an affiliate of Canada Pension Plan Investment Board, (iii) an affiliate of GIC Special Investments Pte. Ltd. and (iv) certain co-investors (collectively, the “Investor Group”), which collectively indirectly held a 55% ownership interest in Refinitiv, and Thomson Reuters Corporation (“Thomson Reuters”), which indirectly held a 45% ownership interest in Refinitiv. On January 29, 2021, the London Stock Exchange Group plc (“LSEG”) closed a transaction with the Investor Group and Thomson Reuters to acquire the Refinitiv business. Following the consummation of such transaction, LSEG became the controlling shareholder of Refinitiv, and Refinitiv continues to be the controlling stockholder of Tradeweb, holding approximately 88.1% of the combined voting power of our Class A common stock, Class B common stock, Class C common stock and Class D common stock. LSEG has advised us that it intends to vote all such shares for the election of each of the nominees to the Board named herein and the ratification</w:t>
      </w:r>
    </w:p>
    <w:p>
      <w:pPr>
        <w:spacing w:after="0" w:line="183" w:lineRule="exact"/>
        <w:rPr>
          <w:sz w:val="20"/>
          <w:szCs w:val="20"/>
          <w:color w:val="auto"/>
        </w:rPr>
      </w:pPr>
    </w:p>
    <w:p>
      <w:pPr>
        <w:ind w:left="120"/>
        <w:spacing w:after="0"/>
        <w:tabs>
          <w:tab w:leader="none" w:pos="2020" w:val="left"/>
          <w:tab w:leader="none" w:pos="2320" w:val="left"/>
          <w:tab w:leader="none" w:pos="110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086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340"/>
        <w:spacing w:after="0" w:line="258" w:lineRule="auto"/>
        <w:rPr>
          <w:sz w:val="20"/>
          <w:szCs w:val="20"/>
          <w:color w:val="auto"/>
        </w:rPr>
      </w:pPr>
      <w:r>
        <w:rPr>
          <w:rFonts w:ascii="Arial" w:cs="Arial" w:eastAsia="Arial" w:hAnsi="Arial"/>
          <w:sz w:val="18"/>
          <w:szCs w:val="18"/>
          <w:color w:val="auto"/>
        </w:rPr>
        <w:t>of the appointment of our independent registered public accounting firm, and against the stockholder proposal relating to the adoption of a policy on board diversity.</w:t>
      </w:r>
    </w:p>
    <w:p>
      <w:pPr>
        <w:spacing w:after="0" w:line="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majority of the voting power of Class A common stock, Class B common stock, Class C common stock and Class D common stock entitled to vote, present virtually or represented by proxy, constitutes a quorum for the transaction of business at the Annual Meeting. Abstentions and broker non-votes will be included in determining the presence of a quorum at the Annual Meeting.</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Internet Availability of Proxy Materials</w:t>
      </w:r>
    </w:p>
    <w:p>
      <w:pPr>
        <w:spacing w:after="0" w:line="10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furnishing proxy materials to some of our stockholders via the Internet by mailing a Notice of Internet Availability of Proxy Materials, instead of mailing printed copies of those materials. The Notice of Internet Availability of Proxy Materials directs stockholders to a website where they can access our proxy materials, including this Proxy Statement and our combined Annual Report to Stockholders and Annual Report on Form 10-K for the year ended December 31, 2021 (the “2021 Annual Report”), and view instructions on how to vote via the Internet or by telephone. If you received a Notice of Internet Availability of Proxy Materials and would prefer to receive a paper copy of our proxy materials, please follow the instructions included in the Notice of Internet Availability of Proxy Materials. If you elect to receive our future proxy materials electronically, you will receive access to those materials via e-mail unless and until you elect otherwise.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Proxy Voting</w:t>
      </w:r>
    </w:p>
    <w:p>
      <w:pPr>
        <w:spacing w:after="0" w:line="10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the election of each of the nominees to the Board named herein, “FOR” the ratification of the appointment of our independent registered public accounting firm and “AGAINST” the stockholder proposal relating to the adoption of a policy on board diversity.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1"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The manner in which your shares may be voted depends on how your shares are held. If you own shares of record, meaning that your shares are represented by certificates or book entries in your name so that you appear as a stockholder on the records of American Stock Transfer &amp; Trust Company, LLC (“AST”), our stock transfer agent, you may vote by proxy, meaning you authorize individuals named in the proxy card to vote your shares. 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proxy materials through your bank, brokerage firm, or other nominee) by returning a voting instruction form received from that institution. In these circumstances, if you do not provide voting instructions, the institution may nevertheless vote your shares on your behalf with respect to the ratification of the appointment of Deloitte as our independent registered public accounting firm for the fiscal year ending December 31, 2022, but cannot vote your shares on any other matters being considered at the Annual Meeting.</w:t>
      </w:r>
    </w:p>
    <w:p>
      <w:pPr>
        <w:spacing w:after="0" w:line="18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205740</wp:posOffset>
            </wp:positionV>
            <wp:extent cx="90868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Voting Standard</w:t>
      </w:r>
    </w:p>
    <w:p>
      <w:pPr>
        <w:spacing w:after="0" w:line="102"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With respect to the election of directors (Item 1), a nominee for director shall be elected to the Board by a plurality of the votes cast in respect of the shares of common stock present virtually or represented by proxy at the Annual Meeting and entitled to vote on the election of directors. A plurality vote requirement means that the director nominees with the greatest number of votes cast, even if less than a majority, will be elected. You may vote “FOR” or “WITHHOLD” with respect to each nominee. Votes that are withheld will be excluded entirely from the vote with respect to the nominee from which they are withheld. Withhold votes and broker non-votes will have no effect on the outcome of the election. Broker non-votes occur when a person holding shares in street name, such as through a brokerage firm, does not provide instructions as to how to vote those shares and the broker lacks the authority to vote uninstructed shares at its discretion. Under current Nasdaq Global Select Market (“Nasdaq”) interpretations that govern broker non-votes, Item 1 and Item 3 are considered non-discretionary matters, and a broker will lack the authority to vote uninstructed shares at its discretion on such proposals. Item 2 is considered a discretionary matter, and a broker will be permitted to exercise its discretion to vote uninstructed shares on the proposal.</w:t>
      </w:r>
    </w:p>
    <w:p>
      <w:pPr>
        <w:spacing w:after="0" w:line="8" w:lineRule="exact"/>
        <w:rPr>
          <w:sz w:val="20"/>
          <w:szCs w:val="20"/>
          <w:color w:val="auto"/>
        </w:rPr>
      </w:pPr>
    </w:p>
    <w:p>
      <w:pPr>
        <w:ind w:left="120" w:right="180" w:firstLine="440"/>
        <w:spacing w:after="0" w:line="250" w:lineRule="auto"/>
        <w:rPr>
          <w:sz w:val="20"/>
          <w:szCs w:val="20"/>
          <w:color w:val="auto"/>
        </w:rPr>
      </w:pPr>
      <w:r>
        <w:rPr>
          <w:rFonts w:ascii="Arial" w:cs="Arial" w:eastAsia="Arial" w:hAnsi="Arial"/>
          <w:sz w:val="18"/>
          <w:szCs w:val="18"/>
          <w:color w:val="auto"/>
        </w:rPr>
        <w:t>With respect to the ratification of the appointment of Deloitte as our independent registered public accounting firm for the fiscal year ending December 31, 2022 (Item 2), the affirmative vote of a majority of the voting power of common stock present virtually or represented by proxy and entitled to vote on the matter is required to approve the matter. With respect to Item 2 you may vote “FOR”, “AGAINST”, or “ABSTAIN”. For this matter, abstentions are not counted as affirmative votes on a matter but are counted as present at the Annual Meeting and entitled to vote and will have the effect of a vote “AGAINST” the matter.</w:t>
      </w:r>
    </w:p>
    <w:p>
      <w:pPr>
        <w:spacing w:after="0" w:line="2"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color w:val="auto"/>
        </w:rPr>
        <w:t>With respect to the stockholder proposal relating to the adoption of a policy on board diversity (Item 3), the affirmative vote of a majority of the voting power of common stock present virtually or represented by proxy and entitled to vote on the matter is required to approve the matter. With respect to Item 3 you may vote “FOR”, “AGAINST”, or “ABSTAIN”. For this matter, abstentions are not counted as affirmative votes on a matter but are counted as present at the Annual Meeting and entitled to vote and will have the effect of a vote “AGAINST” the matter, and broker non-votes, if any, will have no effect on the outcome of this matter.</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Voting via the Internet or by telephone helps save money by reducing postage and proxy tabulation costs.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180" w:type="dxa"/>
            <w:vAlign w:val="bottom"/>
            <w:shd w:val="clear" w:color="auto" w:fill="EDEDED"/>
          </w:tcPr>
          <w:p>
            <w:pPr>
              <w:spacing w:after="0"/>
              <w:rPr>
                <w:sz w:val="24"/>
                <w:szCs w:val="24"/>
                <w:color w:val="auto"/>
              </w:rPr>
            </w:pPr>
          </w:p>
        </w:tc>
        <w:tc>
          <w:tcPr>
            <w:tcW w:w="5440" w:type="dxa"/>
            <w:vAlign w:val="bottom"/>
            <w:gridSpan w:val="4"/>
            <w:shd w:val="clear" w:color="auto" w:fill="EDEDED"/>
          </w:tcPr>
          <w:p>
            <w:pPr>
              <w:jc w:val="center"/>
              <w:ind w:right="180"/>
              <w:spacing w:after="0"/>
              <w:rPr>
                <w:sz w:val="20"/>
                <w:szCs w:val="20"/>
                <w:color w:val="auto"/>
              </w:rPr>
            </w:pPr>
            <w:r>
              <w:rPr>
                <w:rFonts w:ascii="Arial" w:cs="Arial" w:eastAsia="Arial" w:hAnsi="Arial"/>
                <w:sz w:val="18"/>
                <w:szCs w:val="18"/>
                <w:b w:val="1"/>
                <w:bCs w:val="1"/>
                <w:color w:val="002856"/>
              </w:rPr>
              <w:t>VOTE BY INTERNET</w:t>
            </w:r>
          </w:p>
        </w:tc>
        <w:tc>
          <w:tcPr>
            <w:tcW w:w="220" w:type="dxa"/>
            <w:vAlign w:val="bottom"/>
            <w:shd w:val="clear" w:color="auto" w:fill="EDEDED"/>
          </w:tcPr>
          <w:p>
            <w:pPr>
              <w:spacing w:after="0"/>
              <w:rPr>
                <w:sz w:val="24"/>
                <w:szCs w:val="24"/>
                <w:color w:val="auto"/>
              </w:rPr>
            </w:pPr>
          </w:p>
        </w:tc>
        <w:tc>
          <w:tcPr>
            <w:tcW w:w="5180" w:type="dxa"/>
            <w:vAlign w:val="bottom"/>
            <w:shd w:val="clear" w:color="auto" w:fill="EDEDED"/>
          </w:tcPr>
          <w:p>
            <w:pPr>
              <w:jc w:val="center"/>
              <w:ind w:right="30"/>
              <w:spacing w:after="0"/>
              <w:rPr>
                <w:sz w:val="20"/>
                <w:szCs w:val="20"/>
                <w:color w:val="auto"/>
              </w:rPr>
            </w:pPr>
            <w:r>
              <w:rPr>
                <w:rFonts w:ascii="Arial" w:cs="Arial" w:eastAsia="Arial" w:hAnsi="Arial"/>
                <w:sz w:val="18"/>
                <w:szCs w:val="18"/>
                <w:b w:val="1"/>
                <w:bCs w:val="1"/>
                <w:color w:val="002856"/>
                <w:w w:val="99"/>
              </w:rPr>
              <w:t>VOTE BY TELEPHONE</w:t>
            </w:r>
          </w:p>
        </w:tc>
      </w:tr>
      <w:tr>
        <w:trPr>
          <w:trHeight w:val="220"/>
        </w:trPr>
        <w:tc>
          <w:tcPr>
            <w:tcW w:w="180" w:type="dxa"/>
            <w:vAlign w:val="bottom"/>
            <w:shd w:val="clear" w:color="auto" w:fill="EDEDED"/>
          </w:tcPr>
          <w:p>
            <w:pPr>
              <w:spacing w:after="0"/>
              <w:rPr>
                <w:sz w:val="19"/>
                <w:szCs w:val="19"/>
                <w:color w:val="auto"/>
              </w:rPr>
            </w:pPr>
          </w:p>
        </w:tc>
        <w:tc>
          <w:tcPr>
            <w:tcW w:w="5440" w:type="dxa"/>
            <w:vAlign w:val="bottom"/>
            <w:gridSpan w:val="4"/>
            <w:shd w:val="clear" w:color="auto" w:fill="EDEDED"/>
          </w:tcPr>
          <w:p>
            <w:pPr>
              <w:jc w:val="center"/>
              <w:ind w:right="180"/>
              <w:spacing w:after="0"/>
              <w:rPr>
                <w:sz w:val="20"/>
                <w:szCs w:val="20"/>
                <w:color w:val="auto"/>
              </w:rPr>
            </w:pPr>
            <w:r>
              <w:rPr>
                <w:rFonts w:ascii="Arial" w:cs="Arial" w:eastAsia="Arial" w:hAnsi="Arial"/>
                <w:sz w:val="18"/>
                <w:szCs w:val="18"/>
                <w:b w:val="1"/>
                <w:bCs w:val="1"/>
                <w:color w:val="002856"/>
                <w:w w:val="89"/>
              </w:rPr>
              <w:t>Shares Held of Record:</w:t>
            </w:r>
          </w:p>
        </w:tc>
        <w:tc>
          <w:tcPr>
            <w:tcW w:w="220" w:type="dxa"/>
            <w:vAlign w:val="bottom"/>
            <w:shd w:val="clear" w:color="auto" w:fill="EDEDED"/>
          </w:tcPr>
          <w:p>
            <w:pPr>
              <w:spacing w:after="0"/>
              <w:rPr>
                <w:sz w:val="19"/>
                <w:szCs w:val="19"/>
                <w:color w:val="auto"/>
              </w:rPr>
            </w:pPr>
          </w:p>
        </w:tc>
        <w:tc>
          <w:tcPr>
            <w:tcW w:w="5180" w:type="dxa"/>
            <w:vAlign w:val="bottom"/>
            <w:shd w:val="clear" w:color="auto" w:fill="EDEDED"/>
          </w:tcPr>
          <w:p>
            <w:pPr>
              <w:jc w:val="center"/>
              <w:ind w:right="30"/>
              <w:spacing w:after="0"/>
              <w:rPr>
                <w:sz w:val="20"/>
                <w:szCs w:val="20"/>
                <w:color w:val="auto"/>
              </w:rPr>
            </w:pPr>
            <w:r>
              <w:rPr>
                <w:rFonts w:ascii="Arial" w:cs="Arial" w:eastAsia="Arial" w:hAnsi="Arial"/>
                <w:sz w:val="18"/>
                <w:szCs w:val="18"/>
                <w:b w:val="1"/>
                <w:bCs w:val="1"/>
                <w:color w:val="002856"/>
                <w:w w:val="89"/>
              </w:rPr>
              <w:t>Shares Held of Record:</w:t>
            </w:r>
          </w:p>
        </w:tc>
      </w:tr>
      <w:tr>
        <w:trPr>
          <w:trHeight w:val="190"/>
        </w:trPr>
        <w:tc>
          <w:tcPr>
            <w:tcW w:w="180" w:type="dxa"/>
            <w:vAlign w:val="bottom"/>
            <w:tcBorders>
              <w:bottom w:val="single" w:sz="8" w:color="EDEDED"/>
            </w:tcBorders>
            <w:shd w:val="clear" w:color="auto" w:fill="EDEDED"/>
          </w:tcPr>
          <w:p>
            <w:pPr>
              <w:spacing w:after="0"/>
              <w:rPr>
                <w:sz w:val="16"/>
                <w:szCs w:val="16"/>
                <w:color w:val="auto"/>
              </w:rPr>
            </w:pPr>
          </w:p>
        </w:tc>
        <w:tc>
          <w:tcPr>
            <w:tcW w:w="1920" w:type="dxa"/>
            <w:vAlign w:val="bottom"/>
            <w:tcBorders>
              <w:bottom w:val="single" w:sz="8" w:color="EDEDED"/>
            </w:tcBorders>
            <w:shd w:val="clear" w:color="auto" w:fill="EDEDED"/>
          </w:tcPr>
          <w:p>
            <w:pPr>
              <w:spacing w:after="0"/>
              <w:rPr>
                <w:sz w:val="16"/>
                <w:szCs w:val="16"/>
                <w:color w:val="auto"/>
              </w:rPr>
            </w:pPr>
          </w:p>
        </w:tc>
        <w:tc>
          <w:tcPr>
            <w:tcW w:w="1460" w:type="dxa"/>
            <w:vAlign w:val="bottom"/>
            <w:tcBorders>
              <w:bottom w:val="single" w:sz="8" w:color="auto"/>
            </w:tcBorders>
            <w:gridSpan w:val="2"/>
            <w:shd w:val="clear" w:color="auto" w:fill="EDEDED"/>
          </w:tcPr>
          <w:p>
            <w:pPr>
              <w:jc w:val="center"/>
              <w:ind w:right="20"/>
              <w:spacing w:after="0" w:line="190" w:lineRule="exact"/>
              <w:rPr>
                <w:sz w:val="20"/>
                <w:szCs w:val="20"/>
                <w:color w:val="auto"/>
              </w:rPr>
            </w:pPr>
            <w:r>
              <w:rPr>
                <w:rFonts w:ascii="Arial" w:cs="Arial" w:eastAsia="Arial" w:hAnsi="Arial"/>
                <w:sz w:val="18"/>
                <w:szCs w:val="18"/>
                <w:i w:val="1"/>
                <w:iCs w:val="1"/>
                <w:color w:val="auto"/>
                <w:w w:val="89"/>
              </w:rPr>
              <w:t>www.proxyvote.com</w:t>
            </w:r>
          </w:p>
        </w:tc>
        <w:tc>
          <w:tcPr>
            <w:tcW w:w="2060" w:type="dxa"/>
            <w:vAlign w:val="bottom"/>
            <w:tcBorders>
              <w:bottom w:val="single" w:sz="8" w:color="EDEDED"/>
            </w:tcBorders>
            <w:shd w:val="clear" w:color="auto" w:fill="EDEDED"/>
          </w:tcPr>
          <w:p>
            <w:pPr>
              <w:spacing w:after="0"/>
              <w:rPr>
                <w:sz w:val="16"/>
                <w:szCs w:val="16"/>
                <w:color w:val="auto"/>
              </w:rPr>
            </w:pPr>
          </w:p>
        </w:tc>
        <w:tc>
          <w:tcPr>
            <w:tcW w:w="220" w:type="dxa"/>
            <w:vAlign w:val="bottom"/>
            <w:tcBorders>
              <w:bottom w:val="single" w:sz="8" w:color="EDEDED"/>
            </w:tcBorders>
            <w:shd w:val="clear" w:color="auto" w:fill="EDEDED"/>
          </w:tcPr>
          <w:p>
            <w:pPr>
              <w:spacing w:after="0"/>
              <w:rPr>
                <w:sz w:val="16"/>
                <w:szCs w:val="16"/>
                <w:color w:val="auto"/>
              </w:rPr>
            </w:pPr>
          </w:p>
        </w:tc>
        <w:tc>
          <w:tcPr>
            <w:tcW w:w="5180" w:type="dxa"/>
            <w:vAlign w:val="bottom"/>
            <w:tcBorders>
              <w:bottom w:val="single" w:sz="8" w:color="EDEDED"/>
            </w:tcBorders>
            <w:shd w:val="clear" w:color="auto" w:fill="EDEDED"/>
          </w:tcPr>
          <w:p>
            <w:pPr>
              <w:jc w:val="center"/>
              <w:ind w:right="30"/>
              <w:spacing w:after="0" w:line="190" w:lineRule="exact"/>
              <w:rPr>
                <w:sz w:val="20"/>
                <w:szCs w:val="20"/>
                <w:color w:val="auto"/>
              </w:rPr>
            </w:pPr>
            <w:r>
              <w:rPr>
                <w:rFonts w:ascii="Arial" w:cs="Arial" w:eastAsia="Arial" w:hAnsi="Arial"/>
                <w:sz w:val="18"/>
                <w:szCs w:val="18"/>
                <w:color w:val="auto"/>
                <w:w w:val="90"/>
              </w:rPr>
              <w:t>800-690-6903</w:t>
            </w:r>
          </w:p>
        </w:tc>
      </w:tr>
      <w:tr>
        <w:trPr>
          <w:trHeight w:val="344"/>
        </w:trPr>
        <w:tc>
          <w:tcPr>
            <w:tcW w:w="180" w:type="dxa"/>
            <w:vAlign w:val="bottom"/>
            <w:shd w:val="clear" w:color="auto" w:fill="EDEDED"/>
          </w:tcPr>
          <w:p>
            <w:pPr>
              <w:spacing w:after="0"/>
              <w:rPr>
                <w:sz w:val="24"/>
                <w:szCs w:val="24"/>
                <w:color w:val="auto"/>
              </w:rPr>
            </w:pPr>
          </w:p>
        </w:tc>
        <w:tc>
          <w:tcPr>
            <w:tcW w:w="5440" w:type="dxa"/>
            <w:vAlign w:val="bottom"/>
            <w:gridSpan w:val="4"/>
            <w:shd w:val="clear" w:color="auto" w:fill="EDEDED"/>
          </w:tcPr>
          <w:p>
            <w:pPr>
              <w:jc w:val="center"/>
              <w:ind w:right="180"/>
              <w:spacing w:after="0"/>
              <w:rPr>
                <w:sz w:val="20"/>
                <w:szCs w:val="20"/>
                <w:color w:val="auto"/>
              </w:rPr>
            </w:pPr>
            <w:r>
              <w:rPr>
                <w:rFonts w:ascii="Arial" w:cs="Arial" w:eastAsia="Arial" w:hAnsi="Arial"/>
                <w:sz w:val="18"/>
                <w:szCs w:val="18"/>
                <w:b w:val="1"/>
                <w:bCs w:val="1"/>
                <w:color w:val="002856"/>
                <w:w w:val="90"/>
              </w:rPr>
              <w:t>Shares Held in Street Name:</w:t>
            </w:r>
          </w:p>
        </w:tc>
        <w:tc>
          <w:tcPr>
            <w:tcW w:w="220" w:type="dxa"/>
            <w:vAlign w:val="bottom"/>
            <w:shd w:val="clear" w:color="auto" w:fill="EDEDED"/>
          </w:tcPr>
          <w:p>
            <w:pPr>
              <w:spacing w:after="0"/>
              <w:rPr>
                <w:sz w:val="24"/>
                <w:szCs w:val="24"/>
                <w:color w:val="auto"/>
              </w:rPr>
            </w:pPr>
          </w:p>
        </w:tc>
        <w:tc>
          <w:tcPr>
            <w:tcW w:w="5180" w:type="dxa"/>
            <w:vAlign w:val="bottom"/>
            <w:shd w:val="clear" w:color="auto" w:fill="EDEDED"/>
          </w:tcPr>
          <w:p>
            <w:pPr>
              <w:jc w:val="center"/>
              <w:ind w:right="30"/>
              <w:spacing w:after="0"/>
              <w:rPr>
                <w:sz w:val="20"/>
                <w:szCs w:val="20"/>
                <w:color w:val="auto"/>
              </w:rPr>
            </w:pPr>
            <w:r>
              <w:rPr>
                <w:rFonts w:ascii="Arial" w:cs="Arial" w:eastAsia="Arial" w:hAnsi="Arial"/>
                <w:sz w:val="18"/>
                <w:szCs w:val="18"/>
                <w:b w:val="1"/>
                <w:bCs w:val="1"/>
                <w:color w:val="002856"/>
                <w:w w:val="90"/>
              </w:rPr>
              <w:t>Shares Held in Street Name:</w:t>
            </w:r>
          </w:p>
        </w:tc>
      </w:tr>
      <w:tr>
        <w:trPr>
          <w:trHeight w:val="190"/>
        </w:trPr>
        <w:tc>
          <w:tcPr>
            <w:tcW w:w="180" w:type="dxa"/>
            <w:vAlign w:val="bottom"/>
            <w:tcBorders>
              <w:bottom w:val="single" w:sz="8" w:color="EDEDED"/>
            </w:tcBorders>
            <w:shd w:val="clear" w:color="auto" w:fill="EDEDED"/>
          </w:tcPr>
          <w:p>
            <w:pPr>
              <w:spacing w:after="0"/>
              <w:rPr>
                <w:sz w:val="16"/>
                <w:szCs w:val="16"/>
                <w:color w:val="auto"/>
              </w:rPr>
            </w:pPr>
          </w:p>
        </w:tc>
        <w:tc>
          <w:tcPr>
            <w:tcW w:w="1920" w:type="dxa"/>
            <w:vAlign w:val="bottom"/>
            <w:tcBorders>
              <w:bottom w:val="single" w:sz="8" w:color="EDEDED"/>
            </w:tcBorders>
            <w:shd w:val="clear" w:color="auto" w:fill="EDEDED"/>
          </w:tcPr>
          <w:p>
            <w:pPr>
              <w:spacing w:after="0"/>
              <w:rPr>
                <w:sz w:val="16"/>
                <w:szCs w:val="16"/>
                <w:color w:val="auto"/>
              </w:rPr>
            </w:pPr>
          </w:p>
        </w:tc>
        <w:tc>
          <w:tcPr>
            <w:tcW w:w="1440" w:type="dxa"/>
            <w:vAlign w:val="bottom"/>
            <w:tcBorders>
              <w:bottom w:val="single" w:sz="8" w:color="auto"/>
            </w:tcBorders>
            <w:shd w:val="clear" w:color="auto" w:fill="EDEDED"/>
          </w:tcPr>
          <w:p>
            <w:pPr>
              <w:jc w:val="center"/>
              <w:spacing w:after="0" w:line="190" w:lineRule="exact"/>
              <w:rPr>
                <w:sz w:val="20"/>
                <w:szCs w:val="20"/>
                <w:color w:val="auto"/>
              </w:rPr>
            </w:pPr>
            <w:r>
              <w:rPr>
                <w:rFonts w:ascii="Arial" w:cs="Arial" w:eastAsia="Arial" w:hAnsi="Arial"/>
                <w:sz w:val="18"/>
                <w:szCs w:val="18"/>
                <w:i w:val="1"/>
                <w:iCs w:val="1"/>
                <w:color w:val="auto"/>
                <w:w w:val="89"/>
              </w:rPr>
              <w:t>www.proxyvote.com</w:t>
            </w:r>
          </w:p>
        </w:tc>
        <w:tc>
          <w:tcPr>
            <w:tcW w:w="2080" w:type="dxa"/>
            <w:vAlign w:val="bottom"/>
            <w:tcBorders>
              <w:bottom w:val="single" w:sz="8" w:color="EDEDED"/>
            </w:tcBorders>
            <w:gridSpan w:val="2"/>
            <w:shd w:val="clear" w:color="auto" w:fill="EDEDED"/>
          </w:tcPr>
          <w:p>
            <w:pPr>
              <w:spacing w:after="0"/>
              <w:rPr>
                <w:sz w:val="16"/>
                <w:szCs w:val="16"/>
                <w:color w:val="auto"/>
              </w:rPr>
            </w:pPr>
          </w:p>
        </w:tc>
        <w:tc>
          <w:tcPr>
            <w:tcW w:w="220" w:type="dxa"/>
            <w:vAlign w:val="bottom"/>
            <w:tcBorders>
              <w:bottom w:val="single" w:sz="8" w:color="EDEDED"/>
            </w:tcBorders>
            <w:shd w:val="clear" w:color="auto" w:fill="EDEDED"/>
          </w:tcPr>
          <w:p>
            <w:pPr>
              <w:spacing w:after="0"/>
              <w:rPr>
                <w:sz w:val="16"/>
                <w:szCs w:val="16"/>
                <w:color w:val="auto"/>
              </w:rPr>
            </w:pPr>
          </w:p>
        </w:tc>
        <w:tc>
          <w:tcPr>
            <w:tcW w:w="5180" w:type="dxa"/>
            <w:vAlign w:val="bottom"/>
            <w:tcBorders>
              <w:bottom w:val="single" w:sz="8" w:color="EDEDED"/>
            </w:tcBorders>
            <w:shd w:val="clear" w:color="auto" w:fill="EDEDED"/>
          </w:tcPr>
          <w:p>
            <w:pPr>
              <w:jc w:val="center"/>
              <w:ind w:right="30"/>
              <w:spacing w:after="0" w:line="190" w:lineRule="exact"/>
              <w:rPr>
                <w:sz w:val="20"/>
                <w:szCs w:val="20"/>
                <w:color w:val="auto"/>
              </w:rPr>
            </w:pPr>
            <w:r>
              <w:rPr>
                <w:rFonts w:ascii="Arial" w:cs="Arial" w:eastAsia="Arial" w:hAnsi="Arial"/>
                <w:sz w:val="18"/>
                <w:szCs w:val="18"/>
                <w:i w:val="1"/>
                <w:iCs w:val="1"/>
                <w:color w:val="auto"/>
                <w:w w:val="90"/>
              </w:rPr>
              <w:t>See Voting Instruction Form</w:t>
            </w:r>
          </w:p>
        </w:tc>
      </w:tr>
      <w:tr>
        <w:trPr>
          <w:trHeight w:val="237"/>
        </w:trPr>
        <w:tc>
          <w:tcPr>
            <w:tcW w:w="180" w:type="dxa"/>
            <w:vAlign w:val="bottom"/>
            <w:shd w:val="clear" w:color="auto" w:fill="EDEDED"/>
          </w:tcPr>
          <w:p>
            <w:pPr>
              <w:spacing w:after="0"/>
              <w:rPr>
                <w:sz w:val="20"/>
                <w:szCs w:val="20"/>
                <w:color w:val="auto"/>
              </w:rPr>
            </w:pPr>
          </w:p>
        </w:tc>
        <w:tc>
          <w:tcPr>
            <w:tcW w:w="5440" w:type="dxa"/>
            <w:vAlign w:val="bottom"/>
            <w:gridSpan w:val="4"/>
            <w:shd w:val="clear" w:color="auto" w:fill="EDEDED"/>
          </w:tcPr>
          <w:p>
            <w:pPr>
              <w:jc w:val="center"/>
              <w:ind w:right="180"/>
              <w:spacing w:after="0"/>
              <w:rPr>
                <w:sz w:val="20"/>
                <w:szCs w:val="20"/>
                <w:color w:val="auto"/>
              </w:rPr>
            </w:pPr>
            <w:r>
              <w:rPr>
                <w:rFonts w:ascii="Arial" w:cs="Arial" w:eastAsia="Arial" w:hAnsi="Arial"/>
                <w:sz w:val="18"/>
                <w:szCs w:val="18"/>
                <w:color w:val="auto"/>
                <w:w w:val="89"/>
              </w:rPr>
              <w:t>24 hours a day / 7 days a week</w:t>
            </w:r>
          </w:p>
        </w:tc>
        <w:tc>
          <w:tcPr>
            <w:tcW w:w="220" w:type="dxa"/>
            <w:vAlign w:val="bottom"/>
            <w:shd w:val="clear" w:color="auto" w:fill="EDEDED"/>
          </w:tcPr>
          <w:p>
            <w:pPr>
              <w:spacing w:after="0"/>
              <w:rPr>
                <w:sz w:val="20"/>
                <w:szCs w:val="20"/>
                <w:color w:val="auto"/>
              </w:rPr>
            </w:pPr>
          </w:p>
        </w:tc>
        <w:tc>
          <w:tcPr>
            <w:tcW w:w="5180" w:type="dxa"/>
            <w:vAlign w:val="bottom"/>
            <w:shd w:val="clear" w:color="auto" w:fill="EDEDED"/>
          </w:tcPr>
          <w:p>
            <w:pPr>
              <w:jc w:val="center"/>
              <w:ind w:right="30"/>
              <w:spacing w:after="0"/>
              <w:rPr>
                <w:sz w:val="20"/>
                <w:szCs w:val="20"/>
                <w:color w:val="auto"/>
              </w:rPr>
            </w:pPr>
            <w:r>
              <w:rPr>
                <w:rFonts w:ascii="Arial" w:cs="Arial" w:eastAsia="Arial" w:hAnsi="Arial"/>
                <w:sz w:val="18"/>
                <w:szCs w:val="18"/>
                <w:color w:val="auto"/>
                <w:w w:val="89"/>
              </w:rPr>
              <w:t>24 hours a day / 7 days a week</w:t>
            </w:r>
          </w:p>
        </w:tc>
      </w:tr>
      <w:tr>
        <w:trPr>
          <w:trHeight w:val="338"/>
        </w:trPr>
        <w:tc>
          <w:tcPr>
            <w:tcW w:w="5620" w:type="dxa"/>
            <w:vAlign w:val="bottom"/>
            <w:gridSpan w:val="5"/>
            <w:shd w:val="clear" w:color="auto" w:fill="EDEDED"/>
          </w:tcPr>
          <w:p>
            <w:pPr>
              <w:ind w:left="60"/>
              <w:spacing w:after="0"/>
              <w:rPr>
                <w:sz w:val="20"/>
                <w:szCs w:val="20"/>
                <w:color w:val="auto"/>
              </w:rPr>
            </w:pPr>
            <w:r>
              <w:rPr>
                <w:rFonts w:ascii="Arial" w:cs="Arial" w:eastAsia="Arial" w:hAnsi="Arial"/>
                <w:sz w:val="18"/>
                <w:szCs w:val="18"/>
                <w:b w:val="1"/>
                <w:bCs w:val="1"/>
                <w:color w:val="002856"/>
              </w:rPr>
              <w:t>INSTRUCTIONS:</w:t>
            </w:r>
          </w:p>
        </w:tc>
        <w:tc>
          <w:tcPr>
            <w:tcW w:w="5400" w:type="dxa"/>
            <w:vAlign w:val="bottom"/>
            <w:gridSpan w:val="2"/>
            <w:shd w:val="clear" w:color="auto" w:fill="EDEDED"/>
          </w:tcPr>
          <w:p>
            <w:pPr>
              <w:ind w:left="120"/>
              <w:spacing w:after="0"/>
              <w:rPr>
                <w:sz w:val="20"/>
                <w:szCs w:val="20"/>
                <w:color w:val="auto"/>
              </w:rPr>
            </w:pPr>
            <w:r>
              <w:rPr>
                <w:rFonts w:ascii="Arial" w:cs="Arial" w:eastAsia="Arial" w:hAnsi="Arial"/>
                <w:sz w:val="18"/>
                <w:szCs w:val="18"/>
                <w:b w:val="1"/>
                <w:bCs w:val="1"/>
                <w:color w:val="002856"/>
              </w:rPr>
              <w:t>INSTRUCTIONS:</w:t>
            </w:r>
          </w:p>
        </w:tc>
      </w:tr>
      <w:tr>
        <w:trPr>
          <w:trHeight w:val="323"/>
        </w:trPr>
        <w:tc>
          <w:tcPr>
            <w:tcW w:w="180" w:type="dxa"/>
            <w:vAlign w:val="bottom"/>
            <w:shd w:val="clear" w:color="auto" w:fill="EDEDED"/>
          </w:tcPr>
          <w:p>
            <w:pPr>
              <w:ind w:left="60"/>
              <w:spacing w:after="0"/>
              <w:rPr>
                <w:sz w:val="20"/>
                <w:szCs w:val="20"/>
                <w:color w:val="auto"/>
              </w:rPr>
            </w:pPr>
            <w:r>
              <w:rPr>
                <w:rFonts w:ascii="Arial" w:cs="Arial" w:eastAsia="Arial" w:hAnsi="Arial"/>
                <w:sz w:val="18"/>
                <w:szCs w:val="18"/>
                <w:color w:val="auto"/>
              </w:rPr>
              <w:t>•</w:t>
            </w:r>
          </w:p>
        </w:tc>
        <w:tc>
          <w:tcPr>
            <w:tcW w:w="5440" w:type="dxa"/>
            <w:vAlign w:val="bottom"/>
            <w:gridSpan w:val="4"/>
            <w:shd w:val="clear" w:color="auto" w:fill="EDEDED"/>
          </w:tcPr>
          <w:p>
            <w:pPr>
              <w:ind w:left="40"/>
              <w:spacing w:after="0"/>
              <w:rPr>
                <w:sz w:val="20"/>
                <w:szCs w:val="20"/>
                <w:color w:val="auto"/>
              </w:rPr>
            </w:pPr>
            <w:r>
              <w:rPr>
                <w:rFonts w:ascii="Arial" w:cs="Arial" w:eastAsia="Arial" w:hAnsi="Arial"/>
                <w:sz w:val="18"/>
                <w:szCs w:val="18"/>
                <w:color w:val="auto"/>
              </w:rPr>
              <w:t>Read this Proxy Statement.</w:t>
            </w:r>
          </w:p>
        </w:tc>
        <w:tc>
          <w:tcPr>
            <w:tcW w:w="220" w:type="dxa"/>
            <w:vAlign w:val="bottom"/>
            <w:shd w:val="clear" w:color="auto" w:fill="EDEDED"/>
          </w:tcPr>
          <w:p>
            <w:pPr>
              <w:ind w:left="120"/>
              <w:spacing w:after="0"/>
              <w:rPr>
                <w:sz w:val="20"/>
                <w:szCs w:val="20"/>
                <w:color w:val="auto"/>
              </w:rPr>
            </w:pPr>
            <w:r>
              <w:rPr>
                <w:rFonts w:ascii="Arial" w:cs="Arial" w:eastAsia="Arial" w:hAnsi="Arial"/>
                <w:sz w:val="18"/>
                <w:szCs w:val="18"/>
                <w:color w:val="auto"/>
              </w:rPr>
              <w:t>•</w:t>
            </w:r>
          </w:p>
        </w:tc>
        <w:tc>
          <w:tcPr>
            <w:tcW w:w="5180" w:type="dxa"/>
            <w:vAlign w:val="bottom"/>
            <w:shd w:val="clear" w:color="auto" w:fill="EDEDED"/>
          </w:tcPr>
          <w:p>
            <w:pPr>
              <w:ind w:left="40"/>
              <w:spacing w:after="0"/>
              <w:rPr>
                <w:sz w:val="20"/>
                <w:szCs w:val="20"/>
                <w:color w:val="auto"/>
              </w:rPr>
            </w:pPr>
            <w:r>
              <w:rPr>
                <w:rFonts w:ascii="Arial" w:cs="Arial" w:eastAsia="Arial" w:hAnsi="Arial"/>
                <w:sz w:val="18"/>
                <w:szCs w:val="18"/>
                <w:color w:val="auto"/>
              </w:rPr>
              <w:t>Read this Proxy Statement.</w:t>
            </w:r>
          </w:p>
        </w:tc>
      </w:tr>
      <w:tr>
        <w:trPr>
          <w:trHeight w:val="216"/>
        </w:trPr>
        <w:tc>
          <w:tcPr>
            <w:tcW w:w="180" w:type="dxa"/>
            <w:vAlign w:val="bottom"/>
            <w:shd w:val="clear" w:color="auto" w:fill="EDEDED"/>
          </w:tcPr>
          <w:p>
            <w:pPr>
              <w:ind w:left="60"/>
              <w:spacing w:after="0"/>
              <w:rPr>
                <w:sz w:val="20"/>
                <w:szCs w:val="20"/>
                <w:color w:val="auto"/>
              </w:rPr>
            </w:pPr>
            <w:r>
              <w:rPr>
                <w:rFonts w:ascii="Arial" w:cs="Arial" w:eastAsia="Arial" w:hAnsi="Arial"/>
                <w:sz w:val="18"/>
                <w:szCs w:val="18"/>
                <w:color w:val="auto"/>
              </w:rPr>
              <w:t>•</w:t>
            </w:r>
          </w:p>
        </w:tc>
        <w:tc>
          <w:tcPr>
            <w:tcW w:w="5440" w:type="dxa"/>
            <w:vAlign w:val="bottom"/>
            <w:gridSpan w:val="4"/>
            <w:shd w:val="clear" w:color="auto" w:fill="EDEDED"/>
          </w:tcPr>
          <w:p>
            <w:pPr>
              <w:ind w:left="40"/>
              <w:spacing w:after="0"/>
              <w:rPr>
                <w:sz w:val="20"/>
                <w:szCs w:val="20"/>
                <w:color w:val="auto"/>
              </w:rPr>
            </w:pPr>
            <w:r>
              <w:rPr>
                <w:rFonts w:ascii="Arial" w:cs="Arial" w:eastAsia="Arial" w:hAnsi="Arial"/>
                <w:sz w:val="18"/>
                <w:szCs w:val="18"/>
                <w:color w:val="auto"/>
              </w:rPr>
              <w:t>Go to the website listed above.</w:t>
            </w:r>
          </w:p>
        </w:tc>
        <w:tc>
          <w:tcPr>
            <w:tcW w:w="220" w:type="dxa"/>
            <w:vAlign w:val="bottom"/>
            <w:shd w:val="clear" w:color="auto" w:fill="EDEDED"/>
          </w:tcPr>
          <w:p>
            <w:pPr>
              <w:ind w:left="120"/>
              <w:spacing w:after="0"/>
              <w:rPr>
                <w:sz w:val="20"/>
                <w:szCs w:val="20"/>
                <w:color w:val="auto"/>
              </w:rPr>
            </w:pPr>
            <w:r>
              <w:rPr>
                <w:rFonts w:ascii="Arial" w:cs="Arial" w:eastAsia="Arial" w:hAnsi="Arial"/>
                <w:sz w:val="18"/>
                <w:szCs w:val="18"/>
                <w:color w:val="auto"/>
              </w:rPr>
              <w:t>•</w:t>
            </w:r>
          </w:p>
        </w:tc>
        <w:tc>
          <w:tcPr>
            <w:tcW w:w="5180" w:type="dxa"/>
            <w:vAlign w:val="bottom"/>
            <w:shd w:val="clear" w:color="auto" w:fill="EDEDED"/>
          </w:tcPr>
          <w:p>
            <w:pPr>
              <w:ind w:left="40"/>
              <w:spacing w:after="0"/>
              <w:rPr>
                <w:sz w:val="20"/>
                <w:szCs w:val="20"/>
                <w:color w:val="auto"/>
              </w:rPr>
            </w:pPr>
            <w:r>
              <w:rPr>
                <w:rFonts w:ascii="Arial" w:cs="Arial" w:eastAsia="Arial" w:hAnsi="Arial"/>
                <w:sz w:val="18"/>
                <w:szCs w:val="18"/>
                <w:color w:val="auto"/>
              </w:rPr>
              <w:t>Call the applicable number noted above.</w:t>
            </w:r>
          </w:p>
        </w:tc>
      </w:tr>
      <w:tr>
        <w:trPr>
          <w:trHeight w:val="216"/>
        </w:trPr>
        <w:tc>
          <w:tcPr>
            <w:tcW w:w="180" w:type="dxa"/>
            <w:vAlign w:val="bottom"/>
            <w:shd w:val="clear" w:color="auto" w:fill="EDEDED"/>
          </w:tcPr>
          <w:p>
            <w:pPr>
              <w:ind w:left="60"/>
              <w:spacing w:after="0"/>
              <w:rPr>
                <w:sz w:val="20"/>
                <w:szCs w:val="20"/>
                <w:color w:val="auto"/>
              </w:rPr>
            </w:pPr>
            <w:r>
              <w:rPr>
                <w:rFonts w:ascii="Arial" w:cs="Arial" w:eastAsia="Arial" w:hAnsi="Arial"/>
                <w:sz w:val="18"/>
                <w:szCs w:val="18"/>
                <w:color w:val="auto"/>
              </w:rPr>
              <w:t>•</w:t>
            </w:r>
          </w:p>
        </w:tc>
        <w:tc>
          <w:tcPr>
            <w:tcW w:w="5440" w:type="dxa"/>
            <w:vAlign w:val="bottom"/>
            <w:gridSpan w:val="4"/>
            <w:shd w:val="clear" w:color="auto" w:fill="EDEDED"/>
          </w:tcPr>
          <w:p>
            <w:pPr>
              <w:ind w:left="40"/>
              <w:spacing w:after="0"/>
              <w:rPr>
                <w:sz w:val="20"/>
                <w:szCs w:val="20"/>
                <w:color w:val="auto"/>
              </w:rPr>
            </w:pPr>
            <w:r>
              <w:rPr>
                <w:rFonts w:ascii="Arial" w:cs="Arial" w:eastAsia="Arial" w:hAnsi="Arial"/>
                <w:sz w:val="18"/>
                <w:szCs w:val="18"/>
                <w:color w:val="auto"/>
                <w:w w:val="95"/>
              </w:rPr>
              <w:t>Have your Notice of Internet Availability of Proxy Materials, proxy card,</w:t>
            </w:r>
          </w:p>
        </w:tc>
        <w:tc>
          <w:tcPr>
            <w:tcW w:w="220" w:type="dxa"/>
            <w:vAlign w:val="bottom"/>
            <w:shd w:val="clear" w:color="auto" w:fill="EDEDED"/>
          </w:tcPr>
          <w:p>
            <w:pPr>
              <w:ind w:left="120"/>
              <w:spacing w:after="0"/>
              <w:rPr>
                <w:sz w:val="20"/>
                <w:szCs w:val="20"/>
                <w:color w:val="auto"/>
              </w:rPr>
            </w:pPr>
            <w:r>
              <w:rPr>
                <w:rFonts w:ascii="Arial" w:cs="Arial" w:eastAsia="Arial" w:hAnsi="Arial"/>
                <w:sz w:val="18"/>
                <w:szCs w:val="18"/>
                <w:color w:val="auto"/>
              </w:rPr>
              <w:t>•</w:t>
            </w:r>
          </w:p>
        </w:tc>
        <w:tc>
          <w:tcPr>
            <w:tcW w:w="5180" w:type="dxa"/>
            <w:vAlign w:val="bottom"/>
            <w:shd w:val="clear" w:color="auto" w:fill="EDEDED"/>
          </w:tcPr>
          <w:p>
            <w:pPr>
              <w:ind w:left="40"/>
              <w:spacing w:after="0"/>
              <w:rPr>
                <w:sz w:val="20"/>
                <w:szCs w:val="20"/>
                <w:color w:val="auto"/>
              </w:rPr>
            </w:pPr>
            <w:r>
              <w:rPr>
                <w:rFonts w:ascii="Arial" w:cs="Arial" w:eastAsia="Arial" w:hAnsi="Arial"/>
                <w:sz w:val="18"/>
                <w:szCs w:val="18"/>
                <w:color w:val="auto"/>
                <w:w w:val="98"/>
              </w:rPr>
              <w:t>Have your Notice of Internet Availability of Proxy Materials, proxy</w:t>
            </w:r>
          </w:p>
        </w:tc>
      </w:tr>
      <w:tr>
        <w:trPr>
          <w:trHeight w:val="230"/>
        </w:trPr>
        <w:tc>
          <w:tcPr>
            <w:tcW w:w="180" w:type="dxa"/>
            <w:vAlign w:val="bottom"/>
            <w:shd w:val="clear" w:color="auto" w:fill="EDEDED"/>
          </w:tcPr>
          <w:p>
            <w:pPr>
              <w:spacing w:after="0"/>
              <w:rPr>
                <w:sz w:val="20"/>
                <w:szCs w:val="20"/>
                <w:color w:val="auto"/>
              </w:rPr>
            </w:pPr>
          </w:p>
        </w:tc>
        <w:tc>
          <w:tcPr>
            <w:tcW w:w="5440" w:type="dxa"/>
            <w:vAlign w:val="bottom"/>
            <w:gridSpan w:val="4"/>
            <w:shd w:val="clear" w:color="auto" w:fill="EDEDED"/>
          </w:tcPr>
          <w:p>
            <w:pPr>
              <w:ind w:left="60"/>
              <w:spacing w:after="0"/>
              <w:rPr>
                <w:sz w:val="20"/>
                <w:szCs w:val="20"/>
                <w:color w:val="auto"/>
              </w:rPr>
            </w:pPr>
            <w:r>
              <w:rPr>
                <w:rFonts w:ascii="Arial" w:cs="Arial" w:eastAsia="Arial" w:hAnsi="Arial"/>
                <w:sz w:val="18"/>
                <w:szCs w:val="18"/>
                <w:color w:val="auto"/>
              </w:rPr>
              <w:t>or voting instruction form in hand and follow the instructions.</w:t>
            </w:r>
          </w:p>
        </w:tc>
        <w:tc>
          <w:tcPr>
            <w:tcW w:w="220" w:type="dxa"/>
            <w:vAlign w:val="bottom"/>
            <w:shd w:val="clear" w:color="auto" w:fill="EDEDED"/>
          </w:tcPr>
          <w:p>
            <w:pPr>
              <w:spacing w:after="0"/>
              <w:rPr>
                <w:sz w:val="20"/>
                <w:szCs w:val="20"/>
                <w:color w:val="auto"/>
              </w:rPr>
            </w:pPr>
          </w:p>
        </w:tc>
        <w:tc>
          <w:tcPr>
            <w:tcW w:w="5180" w:type="dxa"/>
            <w:vAlign w:val="bottom"/>
            <w:shd w:val="clear" w:color="auto" w:fill="EDEDED"/>
          </w:tcPr>
          <w:p>
            <w:pPr>
              <w:ind w:left="60"/>
              <w:spacing w:after="0"/>
              <w:rPr>
                <w:sz w:val="20"/>
                <w:szCs w:val="20"/>
                <w:color w:val="auto"/>
              </w:rPr>
            </w:pPr>
            <w:r>
              <w:rPr>
                <w:rFonts w:ascii="Arial" w:cs="Arial" w:eastAsia="Arial" w:hAnsi="Arial"/>
                <w:sz w:val="18"/>
                <w:szCs w:val="18"/>
                <w:color w:val="auto"/>
                <w:w w:val="97"/>
              </w:rPr>
              <w:t>card, or voting instruction form in hand and follow the instructions.</w:t>
            </w:r>
          </w:p>
        </w:tc>
      </w:tr>
      <w:tr>
        <w:trPr>
          <w:trHeight w:val="135"/>
        </w:trPr>
        <w:tc>
          <w:tcPr>
            <w:tcW w:w="180" w:type="dxa"/>
            <w:vAlign w:val="bottom"/>
            <w:shd w:val="clear" w:color="auto" w:fill="EDEDED"/>
          </w:tcPr>
          <w:p>
            <w:pPr>
              <w:spacing w:after="0"/>
              <w:rPr>
                <w:sz w:val="11"/>
                <w:szCs w:val="11"/>
                <w:color w:val="auto"/>
              </w:rPr>
            </w:pPr>
          </w:p>
        </w:tc>
        <w:tc>
          <w:tcPr>
            <w:tcW w:w="1920" w:type="dxa"/>
            <w:vAlign w:val="bottom"/>
            <w:shd w:val="clear" w:color="auto" w:fill="EDEDED"/>
          </w:tcPr>
          <w:p>
            <w:pPr>
              <w:spacing w:after="0"/>
              <w:rPr>
                <w:sz w:val="11"/>
                <w:szCs w:val="11"/>
                <w:color w:val="auto"/>
              </w:rPr>
            </w:pPr>
          </w:p>
        </w:tc>
        <w:tc>
          <w:tcPr>
            <w:tcW w:w="1440" w:type="dxa"/>
            <w:vAlign w:val="bottom"/>
            <w:shd w:val="clear" w:color="auto" w:fill="EDEDED"/>
          </w:tcPr>
          <w:p>
            <w:pPr>
              <w:spacing w:after="0"/>
              <w:rPr>
                <w:sz w:val="11"/>
                <w:szCs w:val="11"/>
                <w:color w:val="auto"/>
              </w:rPr>
            </w:pPr>
          </w:p>
        </w:tc>
        <w:tc>
          <w:tcPr>
            <w:tcW w:w="20" w:type="dxa"/>
            <w:vAlign w:val="bottom"/>
            <w:shd w:val="clear" w:color="auto" w:fill="EDEDED"/>
          </w:tcPr>
          <w:p>
            <w:pPr>
              <w:spacing w:after="0"/>
              <w:rPr>
                <w:sz w:val="11"/>
                <w:szCs w:val="11"/>
                <w:color w:val="auto"/>
              </w:rPr>
            </w:pPr>
          </w:p>
        </w:tc>
        <w:tc>
          <w:tcPr>
            <w:tcW w:w="2060" w:type="dxa"/>
            <w:vAlign w:val="bottom"/>
            <w:shd w:val="clear" w:color="auto" w:fill="EDEDED"/>
          </w:tcPr>
          <w:p>
            <w:pPr>
              <w:spacing w:after="0"/>
              <w:rPr>
                <w:sz w:val="11"/>
                <w:szCs w:val="11"/>
                <w:color w:val="auto"/>
              </w:rPr>
            </w:pPr>
          </w:p>
        </w:tc>
        <w:tc>
          <w:tcPr>
            <w:tcW w:w="220" w:type="dxa"/>
            <w:vAlign w:val="bottom"/>
            <w:shd w:val="clear" w:color="auto" w:fill="EDEDED"/>
          </w:tcPr>
          <w:p>
            <w:pPr>
              <w:spacing w:after="0"/>
              <w:rPr>
                <w:sz w:val="11"/>
                <w:szCs w:val="11"/>
                <w:color w:val="auto"/>
              </w:rPr>
            </w:pPr>
          </w:p>
        </w:tc>
        <w:tc>
          <w:tcPr>
            <w:tcW w:w="5180" w:type="dxa"/>
            <w:vAlign w:val="bottom"/>
            <w:shd w:val="clear" w:color="auto" w:fill="EDEDED"/>
          </w:tcPr>
          <w:p>
            <w:pPr>
              <w:spacing w:after="0"/>
              <w:rPr>
                <w:sz w:val="11"/>
                <w:szCs w:val="11"/>
                <w:color w:val="auto"/>
              </w:rPr>
            </w:pPr>
          </w:p>
        </w:tc>
      </w:tr>
    </w:tbl>
    <w:p>
      <w:pPr>
        <w:spacing w:after="0" w:line="202"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b w:val="1"/>
          <w:bCs w:val="1"/>
          <w:i w:val="1"/>
          <w:iCs w:val="1"/>
          <w:color w:val="auto"/>
        </w:rPr>
        <w:t>We encourage you to register to receive all future stockholder communications electronically, instead of in print. This means that, after you register, access to the 2021 Annual Report, Proxy Statement, and other correspondence will be delivered to you via e-mail.</w:t>
      </w:r>
    </w:p>
    <w:p>
      <w:pPr>
        <w:spacing w:after="0" w:line="121" w:lineRule="exact"/>
        <w:rPr>
          <w:sz w:val="20"/>
          <w:szCs w:val="20"/>
          <w:color w:val="auto"/>
        </w:rPr>
      </w:pPr>
    </w:p>
    <w:p>
      <w:pPr>
        <w:ind w:left="120"/>
        <w:spacing w:after="0"/>
        <w:tabs>
          <w:tab w:leader="none" w:pos="2020" w:val="left"/>
          <w:tab w:leader="none" w:pos="2320" w:val="left"/>
          <w:tab w:leader="none" w:pos="110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0868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Voting and Attendance at the Annual Meeting</w:t>
      </w:r>
    </w:p>
    <w:p>
      <w:pPr>
        <w:spacing w:after="0" w:line="102"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If you own common stock of record, you may virtually attend the Annual Meeting and vote virtually, regardless of whether you have previously voted by proxy card, via the Internet, or by telephone. If you own common stock in street name, you may virtually attend the Annual Meeting, but in order to vote your shares at the Annual Meeting you must obtain a “legal proxy” from the bank, brokerage firm, or other nominee that holds your shares. You should contact your bank or brokerage account representative to learn how to obtain a legal proxy. 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14, 2022) are entitled to virtually attend the Annual Meeting. Each stockholder may appoint only one proxyholder or representative to virtually attend on the stockholder’s behalf.</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Revocation</w:t>
      </w:r>
    </w:p>
    <w:p>
      <w:pPr>
        <w:spacing w:after="0" w:line="10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If you own common stock of record, you may revoke your proxy or change your voting instructions at any time before your shares are voted at the Annual Meeting by delivering to the Secretary of the Company 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References to Websites</w:t>
      </w:r>
    </w:p>
    <w:p>
      <w:pPr>
        <w:spacing w:after="0" w:line="10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Information contained on our website, or any website that is linked to or otherwise referenced herein, is not incorporated into, or a part of, this Proxy Statement.</w:t>
      </w:r>
    </w:p>
    <w:p>
      <w:pPr>
        <w:spacing w:after="0" w:line="16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77419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1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Board currently has eleven seats, divided into three classes: Class I, Class II and Class III. Each class consists, as nearly as possible, of one-third of the total number of directors. One Class III seat is currently vacant and will be vacant at the time of the Annual Meeting and until the Board either reduces its size or elects a candidate to fill such vacancy.</w:t>
      </w:r>
    </w:p>
    <w:p>
      <w:pPr>
        <w:spacing w:after="0" w:line="89" w:lineRule="exact"/>
        <w:rPr>
          <w:sz w:val="20"/>
          <w:szCs w:val="20"/>
          <w:color w:val="auto"/>
        </w:rPr>
      </w:pPr>
    </w:p>
    <w:p>
      <w:pPr>
        <w:ind w:left="540" w:hanging="208"/>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Class I directors are John Finley, Scott Ganeles, Murray Roos, and Von Hughes, and their terms will expire at the 2023 Annual Meeting.</w:t>
      </w:r>
    </w:p>
    <w:p>
      <w:pPr>
        <w:spacing w:after="0" w:line="142" w:lineRule="exact"/>
        <w:rPr>
          <w:rFonts w:ascii="Arial" w:cs="Arial" w:eastAsia="Arial" w:hAnsi="Arial"/>
          <w:sz w:val="17"/>
          <w:szCs w:val="17"/>
          <w:color w:val="auto"/>
        </w:rPr>
      </w:pPr>
    </w:p>
    <w:p>
      <w:pPr>
        <w:ind w:left="540" w:hanging="208"/>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 directors are Balbir Bakhshi, Paula Madoff and Thomas Pluta, and their terms will expire at the 2024 Annual Meeting.</w:t>
      </w:r>
    </w:p>
    <w:p>
      <w:pPr>
        <w:spacing w:after="0" w:line="130" w:lineRule="exact"/>
        <w:rPr>
          <w:rFonts w:ascii="Arial" w:cs="Arial" w:eastAsia="Arial" w:hAnsi="Arial"/>
          <w:sz w:val="18"/>
          <w:szCs w:val="18"/>
          <w:color w:val="auto"/>
        </w:rPr>
      </w:pPr>
    </w:p>
    <w:p>
      <w:pPr>
        <w:ind w:left="540" w:hanging="208"/>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III directors are Steven Berns, William (“Billy”) Hult and Lee Olesky, and their terms will expire at this Annual Meeting.</w:t>
      </w:r>
    </w:p>
    <w:p>
      <w:pPr>
        <w:spacing w:after="0" w:line="117"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7"/>
          <w:szCs w:val="17"/>
          <w:color w:val="auto"/>
        </w:rPr>
        <w:t>The Board proposes that Steven Berns, Billy Hult and Lee Olesky be reelected to Class III for new terms of three years each. Each nominee for director will, if elected, continue in office until the 2025 Annual Meeting and until the director’s successor has been duly elected and qualified, or until the earlier of the director’s death, resignation or removal. The proxy holders named on the proxy card intend to vote the proxy (if you are a stockholder of record) for the election of each of these nominees, unless you indicate on the proxy card that your vote should be cast against any of the nominees. Under Securities and Exchange Commission (“SEC”) rules, proxies cannot be voted for a greater number of persons than the number of nominees named. Accordingly, proxies cannot be voted for greater than the three Class III seats open for election.</w:t>
      </w:r>
    </w:p>
    <w:p>
      <w:pPr>
        <w:spacing w:after="0" w:line="1"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recommends a vote “for” each nominee.</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Biographical and Related Information of Director Nominees and Continuing Directors</w:t>
      </w:r>
    </w:p>
    <w:p>
      <w:pPr>
        <w:spacing w:after="0" w:line="10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10, 2022, which is the date of the Annual Meeting.</w:t>
      </w:r>
    </w:p>
    <w:p>
      <w:pPr>
        <w:spacing w:after="0" w:line="181" w:lineRule="exact"/>
        <w:rPr>
          <w:sz w:val="20"/>
          <w:szCs w:val="20"/>
          <w:color w:val="auto"/>
        </w:rPr>
      </w:pPr>
    </w:p>
    <w:p>
      <w:pPr>
        <w:ind w:left="120"/>
        <w:spacing w:after="0"/>
        <w:tabs>
          <w:tab w:leader="none" w:pos="2020" w:val="left"/>
          <w:tab w:leader="none" w:pos="2320" w:val="left"/>
          <w:tab w:leader="none" w:pos="110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9979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97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Nominees for Director Whose Terms Would Expire at the 2025 Annual Meeting</w:t>
      </w:r>
    </w:p>
    <w:p>
      <w:pPr>
        <w:spacing w:after="0" w:line="10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The Board has nominated three directors to be elected at the Annual Meeting to serve for three-year terms ending with the 2025 Annual Meeting of Stockholders and until a successor is duly elected and qualified, or until the earlier of the director’s death, resignation, or removal. Each nominee is currently a director of the Company and has agreed to serve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348615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Steven Berns</w:t>
      </w:r>
    </w:p>
    <w:p>
      <w:pPr>
        <w:spacing w:after="0" w:line="112"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7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600"/>
        <w:spacing w:after="0"/>
        <w:tabs>
          <w:tab w:leader="none" w:pos="24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April 2020</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Audit Committee (Chair)</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5" w:lineRule="exact"/>
        <w:rPr>
          <w:sz w:val="20"/>
          <w:szCs w:val="20"/>
          <w:color w:val="auto"/>
        </w:rPr>
      </w:pPr>
    </w:p>
    <w:p>
      <w:pPr>
        <w:ind w:left="320" w:hanging="20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financial knowledge</w:t>
      </w:r>
    </w:p>
    <w:p>
      <w:pPr>
        <w:ind w:left="320" w:right="500" w:hanging="204"/>
        <w:spacing w:after="0" w:line="24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Chief Financial Officer of TripleLift, Shutterstock, Tribune, Revlon, TWM LLC and MDC Partners</w:t>
      </w:r>
    </w:p>
    <w:p>
      <w:pPr>
        <w:spacing w:after="0" w:line="29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Mr. Berns is currently the Chief Operating Officer and Chief Financial Officer of TripleLift, and previously served as Chief Financial Officer of GTT Communications, Inc. from April 2020 until January 2021. Prior to that, Mr. Berns served as Chief 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Tradeweb Markets LLC (“TWM LLC”), the Company’s predecessor, and President, Chief Financial Officer and Director of MDC Partners, Inc. (“MDC Partners”). He previously held several senior financial positions at the Interpublic Group of Companies, Inc. and Revlon. Mr. Berns currently serves as a board member and Chair of the Audit Committee for Forum Merger IV Corporation and has previously served as a board member of Forum Merger Corporation, LivePerson, Inc. and Shutterstock. Mr. Berns received a B.S. in Business and Economics from Lehigh University and an Executive MBA in Finance from New York University, Stern School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6"/>
        <w:spacing w:after="0"/>
        <w:rPr>
          <w:sz w:val="20"/>
          <w:szCs w:val="20"/>
          <w:color w:val="auto"/>
        </w:rPr>
      </w:pPr>
      <w:r>
        <w:rPr>
          <w:rFonts w:ascii="Arial" w:cs="Arial" w:eastAsia="Arial" w:hAnsi="Arial"/>
          <w:sz w:val="25"/>
          <w:szCs w:val="25"/>
          <w:color w:val="00ADD8"/>
        </w:rPr>
        <w:t>Billy Hult</w:t>
      </w:r>
    </w:p>
    <w:p>
      <w:pPr>
        <w:spacing w:after="0" w:line="112" w:lineRule="exact"/>
        <w:rPr>
          <w:sz w:val="20"/>
          <w:szCs w:val="20"/>
          <w:color w:val="auto"/>
        </w:rPr>
      </w:pPr>
    </w:p>
    <w:p>
      <w:pPr>
        <w:ind w:left="1526"/>
        <w:spacing w:after="0"/>
        <w:tabs>
          <w:tab w:leader="none" w:pos="2346"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796925" cy="797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526"/>
        <w:spacing w:after="0"/>
        <w:tabs>
          <w:tab w:leader="none" w:pos="2346"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March 2019</w:t>
      </w:r>
    </w:p>
    <w:p>
      <w:pPr>
        <w:spacing w:after="0" w:line="122" w:lineRule="exact"/>
        <w:rPr>
          <w:sz w:val="20"/>
          <w:szCs w:val="20"/>
          <w:color w:val="auto"/>
        </w:rPr>
      </w:pPr>
    </w:p>
    <w:p>
      <w:pPr>
        <w:ind w:left="1526"/>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526"/>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5" w:lineRule="exact"/>
        <w:rPr>
          <w:sz w:val="20"/>
          <w:szCs w:val="20"/>
          <w:color w:val="auto"/>
        </w:rPr>
      </w:pPr>
    </w:p>
    <w:p>
      <w:pPr>
        <w:ind w:left="206" w:hanging="206"/>
        <w:spacing w:after="0"/>
        <w:tabs>
          <w:tab w:leader="none" w:pos="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industry experience</w:t>
      </w:r>
    </w:p>
    <w:p>
      <w:pPr>
        <w:ind w:left="206" w:right="180" w:hanging="206"/>
        <w:spacing w:after="0" w:line="246" w:lineRule="auto"/>
        <w:tabs>
          <w:tab w:leader="none" w:pos="206"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expertise in our business that he has developed as our President</w:t>
      </w:r>
    </w:p>
    <w:p>
      <w:pPr>
        <w:spacing w:after="0" w:line="291" w:lineRule="exact"/>
        <w:rPr>
          <w:sz w:val="20"/>
          <w:szCs w:val="20"/>
          <w:color w:val="auto"/>
        </w:rPr>
      </w:pPr>
    </w:p>
    <w:p>
      <w:pPr>
        <w:ind w:left="6" w:right="20"/>
        <w:spacing w:after="0" w:line="283" w:lineRule="auto"/>
        <w:rPr>
          <w:sz w:val="20"/>
          <w:szCs w:val="20"/>
          <w:color w:val="auto"/>
        </w:rPr>
      </w:pPr>
      <w:r>
        <w:rPr>
          <w:rFonts w:ascii="Arial" w:cs="Arial" w:eastAsia="Arial" w:hAnsi="Arial"/>
          <w:sz w:val="16"/>
          <w:szCs w:val="16"/>
          <w:color w:val="auto"/>
        </w:rPr>
        <w:t>Mr. Hult has served as Tradeweb’s Chief Executive Officer-elect since February 2022, and as its President since its formation. Mr. Hult has served as TWM LLC’s President since September 2008 and, prior to the series of reorganization transactions that were completed on April 4, 2019 in connection with the Company’s initial public offering, which closed on April 8, 2019 (the “IPO”), whereby TWM LLC became the principal operating subsidiary of the Company (the “Reorganization Transactions”), served on the former board of managers of TWM LLC beginning in September 2008. Mr. Hult joined Tradeweb in July 2000 as a product manager and oversaw the creation of our TBA-MBS marketplace. In 2005, Mr. Hult went on to serve as the head of U.S. products overseeing the firm’s expansion into new asset classes. Prior to joining Tradeweb,</w:t>
      </w:r>
    </w:p>
    <w:p>
      <w:pPr>
        <w:spacing w:after="0" w:line="3" w:lineRule="exact"/>
        <w:rPr>
          <w:sz w:val="20"/>
          <w:szCs w:val="20"/>
          <w:color w:val="auto"/>
        </w:rPr>
      </w:pPr>
    </w:p>
    <w:p>
      <w:pPr>
        <w:ind w:left="6" w:right="80"/>
        <w:spacing w:after="0" w:line="260" w:lineRule="auto"/>
        <w:rPr>
          <w:sz w:val="20"/>
          <w:szCs w:val="20"/>
          <w:color w:val="auto"/>
        </w:rPr>
      </w:pPr>
      <w:r>
        <w:rPr>
          <w:rFonts w:ascii="Arial" w:cs="Arial" w:eastAsia="Arial" w:hAnsi="Arial"/>
          <w:sz w:val="18"/>
          <w:szCs w:val="18"/>
          <w:color w:val="auto"/>
        </w:rPr>
        <w:t>Mr. Hult held a variety of trading positions at Société Générale from 1997 to 2000. He received a B.A. from Denison University.</w:t>
      </w:r>
    </w:p>
    <w:p>
      <w:pPr>
        <w:spacing w:after="0" w:line="1934"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111"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205740</wp:posOffset>
            </wp:positionV>
            <wp:extent cx="90043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1002665</wp:posOffset>
            </wp:positionV>
            <wp:extent cx="33604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Lee Olesky</w:t>
      </w:r>
    </w:p>
    <w:p>
      <w:pPr>
        <w:spacing w:after="0" w:line="112"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6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ind w:left="1600"/>
        <w:spacing w:after="0"/>
        <w:tabs>
          <w:tab w:leader="none" w:pos="24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March 2019</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5" w:lineRule="exact"/>
        <w:rPr>
          <w:sz w:val="20"/>
          <w:szCs w:val="20"/>
          <w:color w:val="auto"/>
        </w:rPr>
      </w:pPr>
    </w:p>
    <w:p>
      <w:pPr>
        <w:ind w:left="320" w:hanging="20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leadership experience</w:t>
      </w:r>
    </w:p>
    <w:p>
      <w:pPr>
        <w:ind w:left="320" w:right="5800" w:hanging="204"/>
        <w:spacing w:after="0" w:line="246"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expertise in our business that he has developed as our Chief Executive Officer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Olesky is our co-founder and has served as Chairperson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Tradeweb’s Board since February 2022 and as Tradeweb’s Chief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Officer since its formation. Mr. Olesky will be retiring as our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 effective December 31, 2022, to be succeeded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Mr. Hult effective January 1, 2023. Following his retirement,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Olesky will continue to serve as the Chairperson of our 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Olesky has been TWM LLC’s Chief Executive Officer since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2008 and, prior to the Reorganization Transactions, served 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former board of managers of TWM LLC beginning in 2008. After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being our founding Chairperson of the Board from 1996 to 1998,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Olesky rejoined the Company in February 2002 in London 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driving the Company’s expansion in Europe and into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derivatives markets. He then led the expansion of Tradeweb into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Asia, opening offices in Tokyo, Hong Kong and Singapore. Prior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returning to the Company, Mr. Olesky worked at Credit Suisse First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from 1993 to 1999 in a variety of management positions,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ultimately as Chief Operating Officer for the Fixed Income Americas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division. Following his time at Credit Suisse First Boston, from 1999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2002, he served as Chief Executive Officer of BrokerTec, an electronic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brokerage platform that he co-founded. He received a B.A. from Tulane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University and a J.D. from The George Washington University.</w:t>
      </w:r>
    </w:p>
    <w:p>
      <w:pPr>
        <w:spacing w:after="0" w:line="343" w:lineRule="exact"/>
        <w:rPr>
          <w:sz w:val="20"/>
          <w:szCs w:val="20"/>
          <w:color w:val="auto"/>
        </w:rPr>
      </w:pPr>
    </w:p>
    <w:p>
      <w:pPr>
        <w:ind w:left="120"/>
        <w:spacing w:after="0"/>
        <w:tabs>
          <w:tab w:leader="none" w:pos="2020" w:val="left"/>
          <w:tab w:leader="none" w:pos="2320" w:val="left"/>
          <w:tab w:leader="none" w:pos="110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9979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97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Directors Whose Terms Expire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John Finley</w:t>
      </w:r>
    </w:p>
    <w:p>
      <w:pPr>
        <w:spacing w:after="0" w:line="112" w:lineRule="exact"/>
        <w:rPr>
          <w:sz w:val="20"/>
          <w:szCs w:val="20"/>
          <w:color w:val="auto"/>
        </w:rPr>
      </w:pPr>
    </w:p>
    <w:p>
      <w:pPr>
        <w:ind w:left="1560"/>
        <w:spacing w:after="0"/>
        <w:tabs>
          <w:tab w:leader="none" w:pos="244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7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560"/>
        <w:spacing w:after="0"/>
        <w:tabs>
          <w:tab w:leader="none" w:pos="2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March 2019</w:t>
      </w:r>
    </w:p>
    <w:p>
      <w:pPr>
        <w:spacing w:after="0" w:line="109"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02856"/>
        </w:rPr>
        <w:t>Tradeweb Committees:</w:t>
      </w:r>
    </w:p>
    <w:p>
      <w:pPr>
        <w:spacing w:after="0" w:line="1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Compensation</w:t>
      </w:r>
    </w:p>
    <w:p>
      <w:pPr>
        <w:ind w:left="1560"/>
        <w:spacing w:after="0" w:line="234" w:lineRule="auto"/>
        <w:rPr>
          <w:sz w:val="20"/>
          <w:szCs w:val="20"/>
          <w:color w:val="auto"/>
        </w:rPr>
      </w:pPr>
      <w:r>
        <w:rPr>
          <w:rFonts w:ascii="Arial" w:cs="Arial" w:eastAsia="Arial" w:hAnsi="Arial"/>
          <w:sz w:val="18"/>
          <w:szCs w:val="18"/>
          <w:color w:val="auto"/>
        </w:rPr>
        <w:t>Committee, Nominating and</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Corporate Governance Committee (Chair)</w:t>
      </w: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Extensive business, management and legal experience</w:t>
      </w:r>
    </w:p>
    <w:p>
      <w:pPr>
        <w:spacing w:after="0" w:line="30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Mr. Finley is a Senior Managing 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the Advisory Board of the Harvard Law School Program on Corporate Governance, the Board of Advisors of the Penn Institute for Law and Economics and the Advisory Board of the Penn Netter Center for Community Partnerships. Mr. Finley is also currently a member of the U.S. Advisory Council on Historic Preservation. He has served 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6"/>
          <w:szCs w:val="16"/>
          <w:i w:val="1"/>
          <w:iCs w:val="1"/>
          <w:color w:val="auto"/>
        </w:rPr>
        <w:t xml:space="preserve">summa cum laude, </w:t>
      </w:r>
      <w:r>
        <w:rPr>
          <w:rFonts w:ascii="Arial" w:cs="Arial" w:eastAsia="Arial" w:hAnsi="Arial"/>
          <w:sz w:val="16"/>
          <w:szCs w:val="16"/>
          <w:color w:val="auto"/>
        </w:rPr>
        <w:t>from the Wharton School of the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Pennsylvania (1978), a B.A. in History,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from the College of Arts and Sciences of the University of Pennsylvania (1978) and a JD, </w:t>
      </w:r>
      <w:r>
        <w:rPr>
          <w:rFonts w:ascii="Arial" w:cs="Arial" w:eastAsia="Arial" w:hAnsi="Arial"/>
          <w:sz w:val="16"/>
          <w:szCs w:val="16"/>
          <w:i w:val="1"/>
          <w:iCs w:val="1"/>
          <w:color w:val="auto"/>
        </w:rPr>
        <w:t>cum laude,</w:t>
      </w:r>
      <w:r>
        <w:rPr>
          <w:rFonts w:ascii="Arial" w:cs="Arial" w:eastAsia="Arial" w:hAnsi="Arial"/>
          <w:sz w:val="16"/>
          <w:szCs w:val="16"/>
          <w:color w:val="auto"/>
        </w:rPr>
        <w:t xml:space="preserve"> from Harvard Law School (1981).</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6"/>
        <w:spacing w:after="0"/>
        <w:rPr>
          <w:sz w:val="20"/>
          <w:szCs w:val="20"/>
          <w:color w:val="auto"/>
        </w:rPr>
      </w:pPr>
      <w:r>
        <w:rPr>
          <w:rFonts w:ascii="Arial" w:cs="Arial" w:eastAsia="Arial" w:hAnsi="Arial"/>
          <w:sz w:val="25"/>
          <w:szCs w:val="25"/>
          <w:color w:val="00ADD8"/>
        </w:rPr>
        <w:t>Scott Ganeles</w:t>
      </w:r>
    </w:p>
    <w:p>
      <w:pPr>
        <w:spacing w:after="0" w:line="112" w:lineRule="exact"/>
        <w:rPr>
          <w:sz w:val="20"/>
          <w:szCs w:val="20"/>
          <w:color w:val="auto"/>
        </w:rPr>
      </w:pPr>
    </w:p>
    <w:p>
      <w:pPr>
        <w:ind w:left="1526"/>
        <w:spacing w:after="0"/>
        <w:tabs>
          <w:tab w:leader="none" w:pos="2406"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796925" cy="797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526"/>
        <w:spacing w:after="0"/>
        <w:tabs>
          <w:tab w:leader="none" w:pos="2406"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March 2019</w:t>
      </w:r>
    </w:p>
    <w:p>
      <w:pPr>
        <w:spacing w:after="0" w:line="109" w:lineRule="exact"/>
        <w:rPr>
          <w:sz w:val="20"/>
          <w:szCs w:val="20"/>
          <w:color w:val="auto"/>
        </w:rPr>
      </w:pPr>
    </w:p>
    <w:p>
      <w:pPr>
        <w:ind w:left="1526"/>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526" w:right="1280"/>
        <w:spacing w:after="0" w:line="246" w:lineRule="auto"/>
        <w:rPr>
          <w:sz w:val="20"/>
          <w:szCs w:val="20"/>
          <w:color w:val="auto"/>
        </w:rPr>
      </w:pPr>
      <w:r>
        <w:rPr>
          <w:rFonts w:ascii="Arial" w:cs="Arial" w:eastAsia="Arial" w:hAnsi="Arial"/>
          <w:sz w:val="18"/>
          <w:szCs w:val="18"/>
          <w:color w:val="auto"/>
        </w:rPr>
        <w:t>Audit Committee, Compensation Committee</w:t>
      </w:r>
    </w:p>
    <w:p>
      <w:pPr>
        <w:spacing w:after="0" w:line="36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206" w:right="180" w:hanging="206"/>
        <w:spacing w:after="0" w:line="246" w:lineRule="auto"/>
        <w:tabs>
          <w:tab w:leader="none" w:pos="20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business and management experience and thorough knowledge of our industry</w:t>
      </w:r>
    </w:p>
    <w:p>
      <w:pPr>
        <w:spacing w:after="0" w:line="291" w:lineRule="exact"/>
        <w:rPr>
          <w:sz w:val="20"/>
          <w:szCs w:val="20"/>
          <w:color w:val="auto"/>
        </w:rPr>
      </w:pPr>
    </w:p>
    <w:p>
      <w:pPr>
        <w:ind w:left="6" w:right="80"/>
        <w:spacing w:after="0" w:line="286" w:lineRule="auto"/>
        <w:rPr>
          <w:sz w:val="20"/>
          <w:szCs w:val="20"/>
          <w:color w:val="auto"/>
        </w:rPr>
      </w:pPr>
      <w:r>
        <w:rPr>
          <w:rFonts w:ascii="Arial" w:cs="Arial" w:eastAsia="Arial" w:hAnsi="Arial"/>
          <w:sz w:val="16"/>
          <w:szCs w:val="16"/>
          <w:color w:val="auto"/>
        </w:rPr>
        <w:t>Mr. Ganeles is currently a Senior Partner at WestCap Group, LLC, a growth equity firm that invests in growth-stage technology businesses in the financial technology, real estate technology and healthcare technology industries as well as asset-light marketplace platforms. Prior to that,</w:t>
      </w:r>
    </w:p>
    <w:p>
      <w:pPr>
        <w:spacing w:after="0" w:line="1" w:lineRule="exact"/>
        <w:rPr>
          <w:sz w:val="20"/>
          <w:szCs w:val="20"/>
          <w:color w:val="auto"/>
        </w:rPr>
      </w:pPr>
    </w:p>
    <w:p>
      <w:pPr>
        <w:ind w:left="6" w:right="40"/>
        <w:spacing w:after="0" w:line="269" w:lineRule="auto"/>
        <w:rPr>
          <w:sz w:val="20"/>
          <w:szCs w:val="20"/>
          <w:color w:val="auto"/>
        </w:rPr>
      </w:pPr>
      <w:r>
        <w:rPr>
          <w:rFonts w:ascii="Arial" w:cs="Arial" w:eastAsia="Arial" w:hAnsi="Arial"/>
          <w:sz w:val="17"/>
          <w:szCs w:val="17"/>
          <w:color w:val="auto"/>
        </w:rPr>
        <w:t>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w:t>
      </w:r>
    </w:p>
    <w:p>
      <w:pPr>
        <w:spacing w:after="0" w:line="2795"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109"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220345</wp:posOffset>
            </wp:positionV>
            <wp:extent cx="90043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043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862965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Von Hughes</w:t>
      </w:r>
    </w:p>
    <w:p>
      <w:pPr>
        <w:spacing w:after="0" w:line="112"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6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ind w:left="1600"/>
        <w:spacing w:after="0"/>
        <w:tabs>
          <w:tab w:leader="none" w:pos="2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March 2021</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Extensive financial, industry and governance knowledge</w:t>
      </w:r>
    </w:p>
    <w:p>
      <w:pPr>
        <w:spacing w:after="0" w:line="30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Mr. Hughes is a partner and managing director of PAAMCO Prisma, where he has served as Head of Strategic Advisory &amp; Client Acquisition since 2010. Mr. Hughes has also served as a director of PAAMCO Prisma Holdings LLC since 2018. Mr. Hughes has been with PAAMCO Prisma (formerly known as PAAMCO) since 2003, and has served in a number of senior roles at the firm. Prior to joining PAAMCO Prisma, Mr. Hughes held senior positions at Goldman Sachs and at Utendahl Capital Partners. Mr. Hughes is a board member of Greenwich Roundtable. Mr. Hughes received a J.D. from Harvard Law School, a M.M.P. from the John F. Kennedy School of Government at Harvard University and a B.A. in Philosophy (cum laude) from Yale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
        <w:spacing w:after="0"/>
        <w:rPr>
          <w:sz w:val="20"/>
          <w:szCs w:val="20"/>
          <w:color w:val="auto"/>
        </w:rPr>
      </w:pPr>
      <w:r>
        <w:rPr>
          <w:rFonts w:ascii="Arial" w:cs="Arial" w:eastAsia="Arial" w:hAnsi="Arial"/>
          <w:sz w:val="25"/>
          <w:szCs w:val="25"/>
          <w:color w:val="00ADD8"/>
        </w:rPr>
        <w:t>Murray Roos</w:t>
      </w:r>
    </w:p>
    <w:p>
      <w:pPr>
        <w:spacing w:after="0" w:line="112" w:lineRule="exact"/>
        <w:rPr>
          <w:sz w:val="20"/>
          <w:szCs w:val="20"/>
          <w:color w:val="auto"/>
        </w:rPr>
      </w:pPr>
    </w:p>
    <w:p>
      <w:pPr>
        <w:ind w:left="1526"/>
        <w:spacing w:after="0"/>
        <w:tabs>
          <w:tab w:leader="none" w:pos="2346"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796925" cy="796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ind w:left="1526"/>
        <w:spacing w:after="0"/>
        <w:tabs>
          <w:tab w:leader="none" w:pos="2346"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March 2021</w:t>
      </w:r>
    </w:p>
    <w:p>
      <w:pPr>
        <w:spacing w:after="0" w:line="122" w:lineRule="exact"/>
        <w:rPr>
          <w:sz w:val="20"/>
          <w:szCs w:val="20"/>
          <w:color w:val="auto"/>
        </w:rPr>
      </w:pPr>
    </w:p>
    <w:p>
      <w:pPr>
        <w:ind w:left="1526"/>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526"/>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206" w:right="820" w:hanging="206"/>
        <w:spacing w:after="0" w:line="246" w:lineRule="auto"/>
        <w:tabs>
          <w:tab w:leader="none" w:pos="2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leadership experience across sales, trading and origination</w:t>
      </w:r>
    </w:p>
    <w:p>
      <w:pPr>
        <w:spacing w:after="0" w:line="291" w:lineRule="exact"/>
        <w:rPr>
          <w:sz w:val="20"/>
          <w:szCs w:val="20"/>
          <w:color w:val="auto"/>
        </w:rPr>
      </w:pPr>
    </w:p>
    <w:p>
      <w:pPr>
        <w:ind w:left="6" w:right="100"/>
        <w:spacing w:after="0" w:line="271" w:lineRule="auto"/>
        <w:rPr>
          <w:sz w:val="20"/>
          <w:szCs w:val="20"/>
          <w:color w:val="auto"/>
        </w:rPr>
      </w:pPr>
      <w:r>
        <w:rPr>
          <w:rFonts w:ascii="Arial" w:cs="Arial" w:eastAsia="Arial" w:hAnsi="Arial"/>
          <w:sz w:val="17"/>
          <w:szCs w:val="17"/>
          <w:color w:val="auto"/>
        </w:rPr>
        <w:t>Mr. Roos has served as the Group Director, Capital Markets, and as a member of the Executive Committee, of LSEG since April 2020. Prior to joining LSEG, Mr. Roos held several senior positions at Citigroup from April 2015 to March 2020, including Global Co-Head of Equities, and previously led Citigroup’s Multi-Asset Structuring Group. Prior to that, Mr. Roos held various management and trading positions at Deutsche Bank, and was previously a trader at UBS. Mr. Roos received a BSc from the University of Cape Town.</w:t>
      </w:r>
    </w:p>
    <w:p>
      <w:pPr>
        <w:spacing w:after="0" w:line="651" w:lineRule="exact"/>
        <w:rPr>
          <w:sz w:val="20"/>
          <w:szCs w:val="20"/>
          <w:color w:val="auto"/>
        </w:rPr>
      </w:pPr>
    </w:p>
    <w:p>
      <w:pPr>
        <w:sectPr>
          <w:pgSz w:w="11900" w:h="16838" w:orient="portrait"/>
          <w:cols w:equalWidth="0" w:num="2">
            <w:col w:w="5340" w:space="394"/>
            <w:col w:w="5406"/>
          </w:cols>
          <w:pgMar w:left="320" w:top="459" w:right="439" w:bottom="1440" w:gutter="0" w:footer="0" w:header="0"/>
          <w:type w:val="continuous"/>
        </w:sectPr>
      </w:pPr>
    </w:p>
    <w:p>
      <w:pPr>
        <w:spacing w:after="0" w:line="104" w:lineRule="exact"/>
        <w:rPr>
          <w:sz w:val="20"/>
          <w:szCs w:val="20"/>
          <w:color w:val="auto"/>
        </w:rPr>
      </w:pPr>
    </w:p>
    <w:p>
      <w:pPr>
        <w:ind w:left="120"/>
        <w:spacing w:after="0"/>
        <w:tabs>
          <w:tab w:leader="none" w:pos="2020" w:val="left"/>
          <w:tab w:leader="none" w:pos="2320" w:val="left"/>
          <w:tab w:leader="none" w:pos="1102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9</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9979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997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Directors Whose Terms Expire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Balbir Bakhshi</w:t>
      </w:r>
    </w:p>
    <w:p>
      <w:pPr>
        <w:spacing w:after="0" w:line="112" w:lineRule="exact"/>
        <w:rPr>
          <w:sz w:val="20"/>
          <w:szCs w:val="20"/>
          <w:color w:val="auto"/>
        </w:rPr>
      </w:pPr>
    </w:p>
    <w:p>
      <w:pPr>
        <w:ind w:left="1600"/>
        <w:spacing w:after="0"/>
        <w:tabs>
          <w:tab w:leader="none" w:pos="242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7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600"/>
        <w:spacing w:after="0"/>
        <w:tabs>
          <w:tab w:leader="none" w:pos="2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July 2021</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320" w:right="620" w:hanging="204"/>
        <w:spacing w:after="0" w:line="246"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background in leadership, operations and risk management</w:t>
      </w:r>
    </w:p>
    <w:p>
      <w:pPr>
        <w:spacing w:after="0" w:line="29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Mr. Bakhshi has served as the Chief Risk Officer of the London Stock Exchange Group plc (“LSEG”) and member of LSEG’s executive committee since January 2021. Prior to joining LSEG, Mr. Bakhshi was Group Head of Non-Financial Risk Management at Deutsche Bank. Prior to this, Mr. Bakhshi was Global Head of Operational Risk Management at Credit Suisse and previously held a variety of senior roles at Credit Suisse including UK Investment Banking Chief Risk Officer and Head of Market Risk. Mr. Bakhshi received a B.A. from the University of Westminster and an MSc from Brunel University.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6"/>
        <w:spacing w:after="0"/>
        <w:rPr>
          <w:sz w:val="20"/>
          <w:szCs w:val="20"/>
          <w:color w:val="auto"/>
        </w:rPr>
      </w:pPr>
      <w:r>
        <w:rPr>
          <w:rFonts w:ascii="Arial" w:cs="Arial" w:eastAsia="Arial" w:hAnsi="Arial"/>
          <w:sz w:val="25"/>
          <w:szCs w:val="25"/>
          <w:color w:val="00ADD8"/>
        </w:rPr>
        <w:t>Paula Madoff</w:t>
      </w:r>
    </w:p>
    <w:p>
      <w:pPr>
        <w:spacing w:after="0" w:line="112" w:lineRule="exact"/>
        <w:rPr>
          <w:sz w:val="20"/>
          <w:szCs w:val="20"/>
          <w:color w:val="auto"/>
        </w:rPr>
      </w:pPr>
    </w:p>
    <w:p>
      <w:pPr>
        <w:ind w:left="1566"/>
        <w:spacing w:after="0"/>
        <w:tabs>
          <w:tab w:leader="none" w:pos="2366"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796925" cy="797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6925" cy="797560"/>
                    </a:xfrm>
                    <a:prstGeom prst="rect">
                      <a:avLst/>
                    </a:prstGeom>
                    <a:noFill/>
                  </pic:spPr>
                </pic:pic>
              </a:graphicData>
            </a:graphic>
          </wp:anchor>
        </w:drawing>
      </w:r>
    </w:p>
    <w:p>
      <w:pPr>
        <w:ind w:left="1566"/>
        <w:spacing w:after="0"/>
        <w:tabs>
          <w:tab w:leader="none" w:pos="2366"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March 2019</w:t>
      </w:r>
    </w:p>
    <w:p>
      <w:pPr>
        <w:spacing w:after="0" w:line="109" w:lineRule="exact"/>
        <w:rPr>
          <w:sz w:val="20"/>
          <w:szCs w:val="20"/>
          <w:color w:val="auto"/>
        </w:rPr>
      </w:pPr>
    </w:p>
    <w:p>
      <w:pPr>
        <w:ind w:left="1566"/>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566" w:right="1080" w:hanging="9"/>
        <w:spacing w:after="0"/>
        <w:rPr>
          <w:sz w:val="20"/>
          <w:szCs w:val="20"/>
          <w:color w:val="auto"/>
        </w:rPr>
      </w:pPr>
      <w:r>
        <w:rPr>
          <w:rFonts w:ascii="Arial" w:cs="Arial" w:eastAsia="Arial" w:hAnsi="Arial"/>
          <w:sz w:val="18"/>
          <w:szCs w:val="18"/>
          <w:color w:val="auto"/>
        </w:rPr>
        <w:t>Audit Committee, Compensation Committee, Nominating and Corporate Governance Committee</w:t>
      </w:r>
    </w:p>
    <w:p>
      <w:pPr>
        <w:spacing w:after="0" w:line="34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9" w:lineRule="exact"/>
        <w:rPr>
          <w:sz w:val="20"/>
          <w:szCs w:val="20"/>
          <w:color w:val="auto"/>
        </w:rPr>
      </w:pPr>
    </w:p>
    <w:p>
      <w:pPr>
        <w:ind w:left="206" w:right="340" w:hanging="206"/>
        <w:spacing w:after="0" w:line="234" w:lineRule="auto"/>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Deep bench of knowledge and experience working with sales and distributions for Goldman’s interest rate products and mortgages</w:t>
      </w:r>
    </w:p>
    <w:p>
      <w:pPr>
        <w:spacing w:after="0" w:line="2" w:lineRule="exact"/>
        <w:rPr>
          <w:rFonts w:ascii="Arial" w:cs="Arial" w:eastAsia="Arial" w:hAnsi="Arial"/>
          <w:sz w:val="18"/>
          <w:szCs w:val="18"/>
          <w:color w:val="auto"/>
        </w:rPr>
      </w:pPr>
    </w:p>
    <w:p>
      <w:pPr>
        <w:ind w:left="206" w:hanging="206"/>
        <w:spacing w:after="0"/>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service on boards and board committees</w:t>
      </w:r>
    </w:p>
    <w:p>
      <w:pPr>
        <w:spacing w:after="0" w:line="266" w:lineRule="exact"/>
        <w:rPr>
          <w:sz w:val="20"/>
          <w:szCs w:val="20"/>
          <w:color w:val="auto"/>
        </w:rPr>
      </w:pPr>
    </w:p>
    <w:p>
      <w:pPr>
        <w:ind w:left="6" w:right="40"/>
        <w:spacing w:after="0" w:line="282" w:lineRule="auto"/>
        <w:rPr>
          <w:sz w:val="20"/>
          <w:szCs w:val="20"/>
          <w:color w:val="auto"/>
        </w:rPr>
      </w:pPr>
      <w:r>
        <w:rPr>
          <w:rFonts w:ascii="Arial" w:cs="Arial" w:eastAsia="Arial" w:hAnsi="Arial"/>
          <w:sz w:val="16"/>
          <w:szCs w:val="16"/>
          <w:color w:val="auto"/>
        </w:rPr>
        <w:t>Ms. Madoff has served as Tradeweb’s Lead Independent Director since February 2022. Ms. Madoff currently serves as an Advisor to Goldman Sachs (“Goldman”). She had been employed by Goldman for 28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Chief Executive Officer of Goldman Sachs Mitsui Marine Derivatives Products, L.P.; and was a member of its Securities Division Operating Committee and Firmwide New Activity Committee. Before joining Goldman,</w:t>
      </w:r>
    </w:p>
    <w:p>
      <w:pPr>
        <w:spacing w:after="0" w:line="11" w:lineRule="exact"/>
        <w:rPr>
          <w:sz w:val="20"/>
          <w:szCs w:val="20"/>
          <w:color w:val="auto"/>
        </w:rPr>
      </w:pPr>
    </w:p>
    <w:p>
      <w:pPr>
        <w:ind w:left="6" w:right="80"/>
        <w:spacing w:after="0" w:line="281" w:lineRule="auto"/>
        <w:rPr>
          <w:sz w:val="20"/>
          <w:szCs w:val="20"/>
          <w:color w:val="auto"/>
        </w:rPr>
      </w:pPr>
      <w:r>
        <w:rPr>
          <w:rFonts w:ascii="Arial" w:cs="Arial" w:eastAsia="Arial" w:hAnsi="Arial"/>
          <w:sz w:val="16"/>
          <w:szCs w:val="16"/>
          <w:color w:val="auto"/>
        </w:rPr>
        <w:t>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w:t>
      </w:r>
    </w:p>
    <w:p>
      <w:pPr>
        <w:spacing w:after="0" w:line="3" w:lineRule="exact"/>
        <w:rPr>
          <w:sz w:val="20"/>
          <w:szCs w:val="20"/>
          <w:color w:val="auto"/>
        </w:rPr>
      </w:pPr>
    </w:p>
    <w:p>
      <w:pPr>
        <w:ind w:left="6" w:right="560"/>
        <w:spacing w:after="0" w:line="323" w:lineRule="auto"/>
        <w:rPr>
          <w:sz w:val="20"/>
          <w:szCs w:val="20"/>
          <w:color w:val="auto"/>
        </w:rPr>
      </w:pPr>
      <w:r>
        <w:rPr>
          <w:rFonts w:ascii="Arial" w:cs="Arial" w:eastAsia="Arial" w:hAnsi="Arial"/>
          <w:sz w:val="16"/>
          <w:szCs w:val="16"/>
          <w:color w:val="auto"/>
        </w:rPr>
        <w:t xml:space="preserve">Ms. Madoff received a B.A. degree in Economics, </w:t>
      </w:r>
      <w:r>
        <w:rPr>
          <w:rFonts w:ascii="Arial" w:cs="Arial" w:eastAsia="Arial" w:hAnsi="Arial"/>
          <w:sz w:val="16"/>
          <w:szCs w:val="16"/>
          <w:i w:val="1"/>
          <w:iCs w:val="1"/>
          <w:color w:val="auto"/>
        </w:rPr>
        <w:t>cum laude,</w:t>
      </w:r>
      <w:r>
        <w:rPr>
          <w:rFonts w:ascii="Arial" w:cs="Arial" w:eastAsia="Arial" w:hAnsi="Arial"/>
          <w:sz w:val="16"/>
          <w:szCs w:val="16"/>
          <w:color w:val="auto"/>
        </w:rPr>
        <w:t xml:space="preserve"> from Lafayette College and an M.B.A. from Harvard Business School.</w:t>
      </w:r>
    </w:p>
    <w:p>
      <w:pPr>
        <w:spacing w:after="0" w:line="200"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84"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10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205740</wp:posOffset>
            </wp:positionV>
            <wp:extent cx="90043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043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848360</wp:posOffset>
            </wp:positionV>
            <wp:extent cx="33604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Thomas Pluta</w:t>
      </w:r>
    </w:p>
    <w:p>
      <w:pPr>
        <w:spacing w:after="0" w:line="112"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b w:val="1"/>
          <w:bCs w:val="1"/>
          <w:color w:val="002856"/>
        </w:rPr>
        <w:t>Age:</w:t>
      </w:r>
      <w:r>
        <w:rPr>
          <w:sz w:val="20"/>
          <w:szCs w:val="20"/>
          <w:color w:val="auto"/>
        </w:rPr>
        <w:tab/>
      </w:r>
      <w:r>
        <w:rPr>
          <w:rFonts w:ascii="Arial" w:cs="Arial" w:eastAsia="Arial" w:hAnsi="Arial"/>
          <w:sz w:val="18"/>
          <w:szCs w:val="18"/>
          <w:b w:val="1"/>
          <w:bCs w:val="1"/>
          <w:color w:val="002856"/>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796925" cy="796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96925" cy="796925"/>
                    </a:xfrm>
                    <a:prstGeom prst="rect">
                      <a:avLst/>
                    </a:prstGeom>
                    <a:noFill/>
                  </pic:spPr>
                </pic:pic>
              </a:graphicData>
            </a:graphic>
          </wp:anchor>
        </w:drawing>
      </w:r>
    </w:p>
    <w:p>
      <w:pPr>
        <w:ind w:left="1720"/>
        <w:spacing w:after="0"/>
        <w:tabs>
          <w:tab w:leader="none" w:pos="24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March 2019</w:t>
      </w:r>
    </w:p>
    <w:p>
      <w:pPr>
        <w:spacing w:after="0" w:line="12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002856"/>
        </w:rPr>
        <w:t>Tradeweb Committees:</w:t>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Key Experience and Qualifications:</w:t>
      </w:r>
    </w:p>
    <w:p>
      <w:pPr>
        <w:spacing w:after="0" w:line="135" w:lineRule="exact"/>
        <w:rPr>
          <w:sz w:val="20"/>
          <w:szCs w:val="20"/>
          <w:color w:val="auto"/>
        </w:rPr>
      </w:pPr>
    </w:p>
    <w:p>
      <w:pPr>
        <w:ind w:left="320" w:hanging="20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trading and management experience</w:t>
      </w:r>
    </w:p>
    <w:p>
      <w:pPr>
        <w:ind w:left="320" w:hanging="20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Deep knowledge of our industry</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Reorganization Transactions, Mr. Pluta served on the former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managers of TWM LLC beginning in December 2017.</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Pluta has served as Global Head of the Linear Rates Trading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at J.P. Morgan since July 2019. Prior to that, Mr. Pluta was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Co-Head of Global Rates Trading between April 2015 and July 2019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Head of Short Term Interest Rate Trading between January 2014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April 2015 at J.P. Morgan. In addition to his 26 year career at J.P.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Morgan managing trading teams across the Global Rates, Emerging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Markets and Foreign Exchange businesses, he serves as the Corporate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Investment Bank lead for the firm-wide LIBOR Transition Program.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champion for advancing the people agenda at J.P. Morgan, Mr. Pluta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has been actively engaged throughout his career, and holds leadership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positions in various diversity &amp; inclusion, recruiting, and culture-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building efforts. He received a B.A. in Economics from Yale University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an M.B.A. in General Management from the Harvard Business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School.</w:t>
      </w:r>
    </w:p>
    <w:p>
      <w:pPr>
        <w:spacing w:after="0" w:line="34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95453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5453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Controlled Company Exception and Director Independence</w:t>
      </w:r>
    </w:p>
    <w:p>
      <w:pPr>
        <w:spacing w:after="0" w:line="102"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color w:val="auto"/>
        </w:rPr>
        <w:t>Our Board has affirmatively determined that Mr. Berns, Mr. Ganeles, Mr. Hughes and Ms. Madoff are independent directors under the rules of Nasdaq, and are independent directors as such term is defined in Rule 10A-3(b)(1) under the Exchange Act.</w:t>
      </w:r>
    </w:p>
    <w:p>
      <w:pPr>
        <w:spacing w:after="0" w:line="1" w:lineRule="exact"/>
        <w:rPr>
          <w:sz w:val="20"/>
          <w:szCs w:val="20"/>
          <w:color w:val="auto"/>
        </w:rPr>
      </w:pPr>
    </w:p>
    <w:p>
      <w:pPr>
        <w:ind w:left="120" w:right="40" w:firstLine="440"/>
        <w:spacing w:after="0" w:line="251" w:lineRule="auto"/>
        <w:rPr>
          <w:sz w:val="20"/>
          <w:szCs w:val="20"/>
          <w:color w:val="auto"/>
        </w:rPr>
      </w:pPr>
      <w:r>
        <w:rPr>
          <w:rFonts w:ascii="Arial" w:cs="Arial" w:eastAsia="Arial" w:hAnsi="Arial"/>
          <w:sz w:val="18"/>
          <w:szCs w:val="18"/>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that certain stockholders agreement with the Company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w:t>
      </w:r>
    </w:p>
    <w:p>
      <w:pPr>
        <w:spacing w:after="0" w:line="10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3" w:lineRule="exact"/>
        <w:rPr>
          <w:rFonts w:ascii="Arial" w:cs="Arial" w:eastAsia="Arial" w:hAnsi="Arial"/>
          <w:sz w:val="18"/>
          <w:szCs w:val="18"/>
          <w:color w:val="auto"/>
        </w:rPr>
      </w:pPr>
    </w:p>
    <w:p>
      <w:pPr>
        <w:ind w:left="1080" w:right="320" w:hanging="532"/>
        <w:spacing w:after="0" w:line="250"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by its independent directors or by a nominations committee that is composed entirely of independent directors; and</w:t>
      </w: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w:t>
      </w:r>
    </w:p>
    <w:p>
      <w:pPr>
        <w:spacing w:after="0" w:line="10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Board Leadership</w:t>
      </w:r>
    </w:p>
    <w:p>
      <w:pPr>
        <w:spacing w:after="0" w:line="10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our stockholders.</w:t>
      </w:r>
    </w:p>
    <w:p>
      <w:pPr>
        <w:spacing w:after="0" w:line="3"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8"/>
          <w:szCs w:val="18"/>
          <w:color w:val="auto"/>
        </w:rPr>
        <w:t>The Board selects its chairperson (“Chairperson”) and the Company’s Chief Executive Officer in the manner it considers in the best interests of the Company. Therefore, the Board does not have a policy on whether the roles of Chairperson and Chief Executive Officer should be separate or combined and, if it is to be separate, whether the Chairperson should be selected from the independent directors. At the present time, Mr. Olesky serves as the Chairperson of the Board.</w:t>
      </w:r>
    </w:p>
    <w:p>
      <w:pPr>
        <w:spacing w:after="0" w:line="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Board believes that the current leadership structure is appropriate given Mr. Olesky’s role in co-founding the Company. In addition, the Board believes that the leadership structure improves the Board’s ability to focus on key policy and operational issues and helps the Company operate in the interest of the stockholders.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Executive Sessions</w:t>
      </w:r>
    </w:p>
    <w:p>
      <w:pPr>
        <w:spacing w:after="0" w:line="20"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non-management directors meet in executive session with no members of management present at every regularly scheduled meeting of the Board, and, if the non-management directors include directors who have not been determined to be independent, the independent directors shall separately meet in a private session at least once a year that excludes management and directors who have not been determined to be independent. The Chairperson of the Board (or, if the Chairperson is a management director or is not an independent director, a director designated by the non-management or independent directors, as applicable) presides at the executive sessions of the Board.</w:t>
      </w:r>
    </w:p>
    <w:p>
      <w:pPr>
        <w:spacing w:after="0" w:line="17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12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205740</wp:posOffset>
            </wp:positionV>
            <wp:extent cx="98615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61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Communications with Directors</w:t>
      </w:r>
    </w:p>
    <w:p>
      <w:pPr>
        <w:spacing w:after="0" w:line="10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Stockholders and other interested parties may communicate with the Board by writing to the General Counsel, Tradeweb Markets Inc., 1177 Avenue of the Americas, New York, New York 10036. Written communications may be addressed to the Chairperson of the Board, the chairperson of any of the Audit, Nominating and Corporate Governance, and Compensation Committees, or to the non-management or independent directors as a group. The General Counsel will forward such communications to the appropriate party.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Board Diversity Policy</w:t>
      </w:r>
    </w:p>
    <w:p>
      <w:pPr>
        <w:spacing w:after="0" w:line="10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Company recognizes and embraces the benefits of having a diverse Board to enhance the quality of its performance. With a view to achieving a sustainable and balanced development, the Company sees diversity at the Board level as an essential element in supporting the attainment of its strategic objectives and its sustainable development. In designing the Board’s composition, Board diversity is considered from a number of aspects, including but not limited to gender, age, race, ethnicity, nationality, cultural and educational background, professional experience, skills, knowledge and length of service. The ultimate decision on all Board nominations will be based on merit and contribution that the selected candidates will bring to the Board, having due regard for the benefits of diversity on the Board.</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 Matrix (As of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8860"/>
        <w:spacing w:after="0"/>
        <w:rPr>
          <w:sz w:val="20"/>
          <w:szCs w:val="20"/>
          <w:color w:val="auto"/>
        </w:rPr>
      </w:pPr>
      <w:r>
        <w:rPr>
          <w:rFonts w:ascii="Arial" w:cs="Arial" w:eastAsia="Arial" w:hAnsi="Arial"/>
          <w:sz w:val="13"/>
          <w:szCs w:val="13"/>
          <w:color w:val="auto"/>
        </w:rPr>
        <w:t>Total Number of Directors: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Did Not</w:t>
            </w:r>
          </w:p>
        </w:tc>
      </w:tr>
      <w:tr>
        <w:trPr>
          <w:trHeight w:val="154"/>
        </w:trPr>
        <w:tc>
          <w:tcPr>
            <w:tcW w:w="7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center"/>
              <w:ind w:left="21"/>
              <w:spacing w:after="0" w:line="154" w:lineRule="exact"/>
              <w:rPr>
                <w:sz w:val="20"/>
                <w:szCs w:val="20"/>
                <w:color w:val="auto"/>
              </w:rPr>
            </w:pPr>
            <w:r>
              <w:rPr>
                <w:rFonts w:ascii="Arial" w:cs="Arial" w:eastAsia="Arial" w:hAnsi="Arial"/>
                <w:sz w:val="14"/>
                <w:szCs w:val="14"/>
                <w:color w:val="auto"/>
                <w:w w:val="98"/>
              </w:rPr>
              <w:t>Non-</w:t>
            </w: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w w:val="90"/>
              </w:rPr>
              <w:t>Disclose</w:t>
            </w:r>
          </w:p>
        </w:tc>
      </w:tr>
      <w:tr>
        <w:trPr>
          <w:trHeight w:val="196"/>
        </w:trPr>
        <w:tc>
          <w:tcPr>
            <w:tcW w:w="7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Female</w:t>
            </w: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Male</w:t>
            </w:r>
          </w:p>
        </w:tc>
        <w:tc>
          <w:tcPr>
            <w:tcW w:w="9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color w:val="auto"/>
              </w:rPr>
              <w:t>Binary</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Gender</w:t>
            </w:r>
          </w:p>
        </w:tc>
      </w:tr>
      <w:tr>
        <w:trPr>
          <w:trHeight w:val="290"/>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Part I: Gender Identity</w:t>
            </w:r>
          </w:p>
        </w:tc>
        <w:tc>
          <w:tcPr>
            <w:tcW w:w="880" w:type="dxa"/>
            <w:vAlign w:val="bottom"/>
            <w:tcBorders>
              <w:bottom w:val="single" w:sz="8" w:color="CCEEF7"/>
            </w:tcBorders>
            <w:shd w:val="clear" w:color="auto" w:fill="CCEEF7"/>
          </w:tcPr>
          <w:p>
            <w:pPr>
              <w:spacing w:after="0"/>
              <w:rPr>
                <w:sz w:val="24"/>
                <w:szCs w:val="24"/>
                <w:color w:val="auto"/>
              </w:rPr>
            </w:pPr>
          </w:p>
        </w:tc>
        <w:tc>
          <w:tcPr>
            <w:tcW w:w="600" w:type="dxa"/>
            <w:vAlign w:val="bottom"/>
            <w:tcBorders>
              <w:bottom w:val="single" w:sz="8" w:color="CCEEF7"/>
            </w:tcBorders>
            <w:shd w:val="clear" w:color="auto" w:fill="CCEEF7"/>
          </w:tcPr>
          <w:p>
            <w:pPr>
              <w:spacing w:after="0"/>
              <w:rPr>
                <w:sz w:val="24"/>
                <w:szCs w:val="24"/>
                <w:color w:val="auto"/>
              </w:rPr>
            </w:pPr>
          </w:p>
        </w:tc>
        <w:tc>
          <w:tcPr>
            <w:tcW w:w="920" w:type="dxa"/>
            <w:vAlign w:val="bottom"/>
            <w:tcBorders>
              <w:bottom w:val="single" w:sz="8" w:color="CCEEF7"/>
            </w:tcBorders>
            <w:shd w:val="clear" w:color="auto" w:fill="CCEEF7"/>
          </w:tcPr>
          <w:p>
            <w:pPr>
              <w:spacing w:after="0"/>
              <w:rPr>
                <w:sz w:val="24"/>
                <w:szCs w:val="24"/>
                <w:color w:val="auto"/>
              </w:rPr>
            </w:pPr>
          </w:p>
        </w:tc>
        <w:tc>
          <w:tcPr>
            <w:tcW w:w="920" w:type="dxa"/>
            <w:vAlign w:val="bottom"/>
            <w:tcBorders>
              <w:bottom w:val="single" w:sz="8" w:color="CCEEF7"/>
            </w:tcBorders>
            <w:shd w:val="clear" w:color="auto" w:fill="CCEEF7"/>
          </w:tcPr>
          <w:p>
            <w:pPr>
              <w:spacing w:after="0"/>
              <w:rPr>
                <w:sz w:val="24"/>
                <w:szCs w:val="24"/>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Directors</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600" w:type="dxa"/>
            <w:vAlign w:val="bottom"/>
          </w:tcPr>
          <w:p>
            <w:pPr>
              <w:jc w:val="center"/>
              <w:ind w:left="20"/>
              <w:spacing w:after="0"/>
              <w:rPr>
                <w:sz w:val="20"/>
                <w:szCs w:val="20"/>
                <w:color w:val="auto"/>
              </w:rPr>
            </w:pPr>
            <w:r>
              <w:rPr>
                <w:rFonts w:ascii="Arial" w:cs="Arial" w:eastAsia="Arial" w:hAnsi="Arial"/>
                <w:sz w:val="16"/>
                <w:szCs w:val="16"/>
                <w:color w:val="auto"/>
              </w:rPr>
              <w:t>9</w:t>
            </w:r>
          </w:p>
        </w:tc>
        <w:tc>
          <w:tcPr>
            <w:tcW w:w="92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Part II: Demographic Background</w:t>
            </w:r>
          </w:p>
        </w:tc>
        <w:tc>
          <w:tcPr>
            <w:tcW w:w="880" w:type="dxa"/>
            <w:vAlign w:val="bottom"/>
            <w:tcBorders>
              <w:bottom w:val="single" w:sz="8" w:color="CCEEF7"/>
            </w:tcBorders>
            <w:shd w:val="clear" w:color="auto" w:fill="CCEEF7"/>
          </w:tcPr>
          <w:p>
            <w:pPr>
              <w:spacing w:after="0"/>
              <w:rPr>
                <w:sz w:val="24"/>
                <w:szCs w:val="24"/>
                <w:color w:val="auto"/>
              </w:rPr>
            </w:pPr>
          </w:p>
        </w:tc>
        <w:tc>
          <w:tcPr>
            <w:tcW w:w="600" w:type="dxa"/>
            <w:vAlign w:val="bottom"/>
            <w:tcBorders>
              <w:bottom w:val="single" w:sz="8" w:color="CCEEF7"/>
            </w:tcBorders>
            <w:shd w:val="clear" w:color="auto" w:fill="CCEEF7"/>
          </w:tcPr>
          <w:p>
            <w:pPr>
              <w:spacing w:after="0"/>
              <w:rPr>
                <w:sz w:val="24"/>
                <w:szCs w:val="24"/>
                <w:color w:val="auto"/>
              </w:rPr>
            </w:pPr>
          </w:p>
        </w:tc>
        <w:tc>
          <w:tcPr>
            <w:tcW w:w="920" w:type="dxa"/>
            <w:vAlign w:val="bottom"/>
            <w:tcBorders>
              <w:bottom w:val="single" w:sz="8" w:color="CCEEF7"/>
            </w:tcBorders>
            <w:shd w:val="clear" w:color="auto" w:fill="CCEEF7"/>
          </w:tcPr>
          <w:p>
            <w:pPr>
              <w:spacing w:after="0"/>
              <w:rPr>
                <w:sz w:val="24"/>
                <w:szCs w:val="24"/>
                <w:color w:val="auto"/>
              </w:rPr>
            </w:pPr>
          </w:p>
        </w:tc>
        <w:tc>
          <w:tcPr>
            <w:tcW w:w="920" w:type="dxa"/>
            <w:vAlign w:val="bottom"/>
            <w:tcBorders>
              <w:bottom w:val="single" w:sz="8" w:color="CCEEF7"/>
            </w:tcBorders>
            <w:shd w:val="clear" w:color="auto" w:fill="CCEEF7"/>
          </w:tcPr>
          <w:p>
            <w:pPr>
              <w:spacing w:after="0"/>
              <w:rPr>
                <w:sz w:val="24"/>
                <w:szCs w:val="24"/>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African American or Black</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Pr>
          <w:p>
            <w:pPr>
              <w:jc w:val="center"/>
              <w:ind w:left="20"/>
              <w:spacing w:after="0"/>
              <w:rPr>
                <w:sz w:val="20"/>
                <w:szCs w:val="20"/>
                <w:color w:val="auto"/>
              </w:rPr>
            </w:pPr>
            <w:r>
              <w:rPr>
                <w:rFonts w:ascii="Arial" w:cs="Arial" w:eastAsia="Arial" w:hAnsi="Arial"/>
                <w:sz w:val="16"/>
                <w:szCs w:val="16"/>
                <w:color w:val="auto"/>
              </w:rPr>
              <w:t>1</w:t>
            </w:r>
          </w:p>
        </w:tc>
        <w:tc>
          <w:tcPr>
            <w:tcW w:w="92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Alaskan Native or Native American</w:t>
            </w:r>
          </w:p>
        </w:tc>
        <w:tc>
          <w:tcPr>
            <w:tcW w:w="880" w:type="dxa"/>
            <w:vAlign w:val="bottom"/>
            <w:tcBorders>
              <w:bottom w:val="single" w:sz="8" w:color="CCEEF7"/>
            </w:tcBorders>
            <w:shd w:val="clear" w:color="auto" w:fill="CCEEF7"/>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Borders>
              <w:bottom w:val="single" w:sz="8" w:color="CCEEF7"/>
            </w:tcBorders>
            <w:shd w:val="clear" w:color="auto" w:fill="CCEEF7"/>
          </w:tcPr>
          <w:p>
            <w:pPr>
              <w:jc w:val="center"/>
              <w:ind w:left="40"/>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7"/>
            </w:tcBorders>
            <w:shd w:val="clear" w:color="auto" w:fill="CCEEF7"/>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7"/>
            </w:tcBorders>
            <w:shd w:val="clear" w:color="auto" w:fill="CCEEF7"/>
          </w:tcPr>
          <w:p>
            <w:pPr>
              <w:jc w:val="center"/>
              <w:spacing w:after="0"/>
              <w:rPr>
                <w:sz w:val="20"/>
                <w:szCs w:val="20"/>
                <w:color w:val="auto"/>
              </w:rPr>
            </w:pPr>
            <w:r>
              <w:rPr>
                <w:rFonts w:ascii="Arial" w:cs="Arial" w:eastAsia="Arial" w:hAnsi="Arial"/>
                <w:sz w:val="16"/>
                <w:szCs w:val="16"/>
                <w:color w:val="auto"/>
              </w:rPr>
              <w:t>—</w:t>
            </w: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Asian</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Pr>
          <w:p>
            <w:pPr>
              <w:jc w:val="center"/>
              <w:ind w:left="20"/>
              <w:spacing w:after="0"/>
              <w:rPr>
                <w:sz w:val="20"/>
                <w:szCs w:val="20"/>
                <w:color w:val="auto"/>
              </w:rPr>
            </w:pPr>
            <w:r>
              <w:rPr>
                <w:rFonts w:ascii="Arial" w:cs="Arial" w:eastAsia="Arial" w:hAnsi="Arial"/>
                <w:sz w:val="16"/>
                <w:szCs w:val="16"/>
                <w:color w:val="auto"/>
              </w:rPr>
              <w:t>1</w:t>
            </w:r>
          </w:p>
        </w:tc>
        <w:tc>
          <w:tcPr>
            <w:tcW w:w="92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4"/>
        </w:trPr>
        <w:tc>
          <w:tcPr>
            <w:tcW w:w="77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Hispanic or Latinx</w:t>
            </w:r>
          </w:p>
        </w:tc>
        <w:tc>
          <w:tcPr>
            <w:tcW w:w="880" w:type="dxa"/>
            <w:vAlign w:val="bottom"/>
            <w:tcBorders>
              <w:bottom w:val="single" w:sz="8" w:color="CCEEF7"/>
            </w:tcBorders>
            <w:shd w:val="clear" w:color="auto" w:fill="CCEEF7"/>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Borders>
              <w:bottom w:val="single" w:sz="8" w:color="CCEEF7"/>
            </w:tcBorders>
            <w:shd w:val="clear" w:color="auto" w:fill="CCEEF7"/>
          </w:tcPr>
          <w:p>
            <w:pPr>
              <w:jc w:val="center"/>
              <w:ind w:left="40"/>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7"/>
            </w:tcBorders>
            <w:shd w:val="clear" w:color="auto" w:fill="CCEEF7"/>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Borders>
              <w:bottom w:val="single" w:sz="8" w:color="CCEEF7"/>
            </w:tcBorders>
            <w:shd w:val="clear" w:color="auto" w:fill="CCEEF7"/>
          </w:tcPr>
          <w:p>
            <w:pPr>
              <w:jc w:val="center"/>
              <w:spacing w:after="0"/>
              <w:rPr>
                <w:sz w:val="20"/>
                <w:szCs w:val="20"/>
                <w:color w:val="auto"/>
              </w:rPr>
            </w:pPr>
            <w:r>
              <w:rPr>
                <w:rFonts w:ascii="Arial" w:cs="Arial" w:eastAsia="Arial" w:hAnsi="Arial"/>
                <w:sz w:val="16"/>
                <w:szCs w:val="16"/>
                <w:color w:val="auto"/>
              </w:rPr>
              <w:t>—</w:t>
            </w: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Native Hawaiian or Pacific Islander</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64"/>
        </w:trPr>
        <w:tc>
          <w:tcPr>
            <w:tcW w:w="7700" w:type="dxa"/>
            <w:vAlign w:val="bottom"/>
            <w:shd w:val="clear" w:color="auto" w:fill="CCEEF7"/>
          </w:tcPr>
          <w:p>
            <w:pPr>
              <w:ind w:left="60"/>
              <w:spacing w:after="0"/>
              <w:rPr>
                <w:sz w:val="20"/>
                <w:szCs w:val="20"/>
                <w:color w:val="auto"/>
              </w:rPr>
            </w:pPr>
            <w:r>
              <w:rPr>
                <w:rFonts w:ascii="Arial" w:cs="Arial" w:eastAsia="Arial" w:hAnsi="Arial"/>
                <w:sz w:val="16"/>
                <w:szCs w:val="16"/>
                <w:color w:val="auto"/>
              </w:rPr>
              <w:t>White</w:t>
            </w:r>
          </w:p>
        </w:tc>
        <w:tc>
          <w:tcPr>
            <w:tcW w:w="88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89"/>
              </w:rPr>
              <w:t>1</w:t>
            </w:r>
          </w:p>
        </w:tc>
        <w:tc>
          <w:tcPr>
            <w:tcW w:w="600" w:type="dxa"/>
            <w:vAlign w:val="bottom"/>
            <w:shd w:val="clear" w:color="auto" w:fill="CCEEF7"/>
          </w:tcPr>
          <w:p>
            <w:pPr>
              <w:jc w:val="center"/>
              <w:ind w:left="20"/>
              <w:spacing w:after="0"/>
              <w:rPr>
                <w:sz w:val="20"/>
                <w:szCs w:val="20"/>
                <w:color w:val="auto"/>
              </w:rPr>
            </w:pPr>
            <w:r>
              <w:rPr>
                <w:rFonts w:ascii="Arial" w:cs="Arial" w:eastAsia="Arial" w:hAnsi="Arial"/>
                <w:sz w:val="16"/>
                <w:szCs w:val="16"/>
                <w:color w:val="auto"/>
              </w:rPr>
              <w:t>7</w:t>
            </w:r>
          </w:p>
        </w:tc>
        <w:tc>
          <w:tcPr>
            <w:tcW w:w="920" w:type="dxa"/>
            <w:vAlign w:val="bottom"/>
            <w:shd w:val="clear" w:color="auto" w:fill="CCEEF7"/>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7"/>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shd w:val="clear" w:color="auto" w:fill="CCEEF7"/>
          </w:tcPr>
          <w:p>
            <w:pPr>
              <w:spacing w:after="0"/>
              <w:rPr>
                <w:sz w:val="5"/>
                <w:szCs w:val="5"/>
                <w:color w:val="auto"/>
              </w:rPr>
            </w:pPr>
          </w:p>
        </w:tc>
        <w:tc>
          <w:tcPr>
            <w:tcW w:w="880" w:type="dxa"/>
            <w:vAlign w:val="bottom"/>
            <w:shd w:val="clear" w:color="auto" w:fill="CCEEF7"/>
          </w:tcPr>
          <w:p>
            <w:pPr>
              <w:spacing w:after="0"/>
              <w:rPr>
                <w:sz w:val="5"/>
                <w:szCs w:val="5"/>
                <w:color w:val="auto"/>
              </w:rPr>
            </w:pPr>
          </w:p>
        </w:tc>
        <w:tc>
          <w:tcPr>
            <w:tcW w:w="60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Two or More Races or Ethnicities</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tcPr>
          <w:p>
            <w:pPr>
              <w:jc w:val="center"/>
              <w:ind w:left="4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60"/>
        </w:trPr>
        <w:tc>
          <w:tcPr>
            <w:tcW w:w="7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64"/>
        </w:trPr>
        <w:tc>
          <w:tcPr>
            <w:tcW w:w="77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LGBTQ+</w:t>
            </w:r>
          </w:p>
        </w:tc>
        <w:tc>
          <w:tcPr>
            <w:tcW w:w="880" w:type="dxa"/>
            <w:vAlign w:val="bottom"/>
            <w:shd w:val="clear" w:color="auto" w:fill="CCEEF7"/>
          </w:tcPr>
          <w:p>
            <w:pPr>
              <w:spacing w:after="0"/>
              <w:rPr>
                <w:sz w:val="22"/>
                <w:szCs w:val="22"/>
                <w:color w:val="auto"/>
              </w:rPr>
            </w:pPr>
          </w:p>
        </w:tc>
        <w:tc>
          <w:tcPr>
            <w:tcW w:w="600" w:type="dxa"/>
            <w:vAlign w:val="bottom"/>
            <w:shd w:val="clear" w:color="auto" w:fill="CCEEF7"/>
          </w:tcPr>
          <w:p>
            <w:pPr>
              <w:spacing w:after="0"/>
              <w:rPr>
                <w:sz w:val="22"/>
                <w:szCs w:val="22"/>
                <w:color w:val="auto"/>
              </w:rPr>
            </w:pPr>
          </w:p>
        </w:tc>
        <w:tc>
          <w:tcPr>
            <w:tcW w:w="920" w:type="dxa"/>
            <w:vAlign w:val="bottom"/>
            <w:shd w:val="clear" w:color="auto" w:fill="CCEEF7"/>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spacing w:after="0"/>
              <w:rPr>
                <w:sz w:val="22"/>
                <w:szCs w:val="22"/>
                <w:color w:val="auto"/>
              </w:rPr>
            </w:pPr>
          </w:p>
        </w:tc>
      </w:tr>
      <w:tr>
        <w:trPr>
          <w:trHeight w:val="60"/>
        </w:trPr>
        <w:tc>
          <w:tcPr>
            <w:tcW w:w="7700" w:type="dxa"/>
            <w:vAlign w:val="bottom"/>
            <w:shd w:val="clear" w:color="auto" w:fill="CCEEF7"/>
          </w:tcPr>
          <w:p>
            <w:pPr>
              <w:spacing w:after="0"/>
              <w:rPr>
                <w:sz w:val="5"/>
                <w:szCs w:val="5"/>
                <w:color w:val="auto"/>
              </w:rPr>
            </w:pPr>
          </w:p>
        </w:tc>
        <w:tc>
          <w:tcPr>
            <w:tcW w:w="880" w:type="dxa"/>
            <w:vAlign w:val="bottom"/>
            <w:shd w:val="clear" w:color="auto" w:fill="CCEEF7"/>
          </w:tcPr>
          <w:p>
            <w:pPr>
              <w:spacing w:after="0"/>
              <w:rPr>
                <w:sz w:val="5"/>
                <w:szCs w:val="5"/>
                <w:color w:val="auto"/>
              </w:rPr>
            </w:pPr>
          </w:p>
        </w:tc>
        <w:tc>
          <w:tcPr>
            <w:tcW w:w="60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r>
      <w:tr>
        <w:trPr>
          <w:trHeight w:val="264"/>
        </w:trPr>
        <w:tc>
          <w:tcPr>
            <w:tcW w:w="7700" w:type="dxa"/>
            <w:vAlign w:val="bottom"/>
          </w:tcPr>
          <w:p>
            <w:pPr>
              <w:ind w:left="60"/>
              <w:spacing w:after="0"/>
              <w:rPr>
                <w:sz w:val="20"/>
                <w:szCs w:val="20"/>
                <w:color w:val="auto"/>
              </w:rPr>
            </w:pPr>
            <w:r>
              <w:rPr>
                <w:rFonts w:ascii="Arial" w:cs="Arial" w:eastAsia="Arial" w:hAnsi="Arial"/>
                <w:sz w:val="16"/>
                <w:szCs w:val="16"/>
                <w:color w:val="auto"/>
              </w:rPr>
              <w:t>Did Not Disclose Demographic Background</w:t>
            </w: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2"/>
                <w:szCs w:val="22"/>
                <w:color w:val="auto"/>
              </w:rPr>
            </w:pPr>
          </w:p>
        </w:tc>
      </w:tr>
      <w:tr>
        <w:trPr>
          <w:trHeight w:val="67"/>
        </w:trPr>
        <w:tc>
          <w:tcPr>
            <w:tcW w:w="7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pacing w:after="0" w:line="326"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Risk Oversight</w:t>
      </w:r>
    </w:p>
    <w:p>
      <w:pPr>
        <w:spacing w:after="0" w:line="102"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The Board exercises direct oversight of strategic risks to the Company. The Audit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Company’s Chief Risk Officer updates the Board and the Audit Committee regularly throughout the year, and more frequently as necessary and appropriate. The Board and Audit Committee provide feedback and recommendations accordingly. With respect to cybersecurity risk oversight, our Board and our Audit Committee receive updates from our Chief Information Officer and Chief Risk Officer or their delegates to assess the primary cybersecurity risks facing the Company and the measures the Company is taking to mitigate such risks. In addition to such updates, our Board and our Audit Committee receive updates from management as to changes to the Company’s cybersecurity risk profile or significant newly identified risks.</w:t>
      </w:r>
    </w:p>
    <w:p>
      <w:pPr>
        <w:spacing w:after="0" w:line="176"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9441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441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Compensation Committee oversees risks relating to the Company’s compensation policies and practices. The Nominating and Corporate Governance Committee assists the Board by overseeing and evaluating programs and risks associated with Board organization, membership and structure and corporate governance. Each committee charged with risk oversight reports to the Board on those matters.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Corporate Governance Documents</w:t>
      </w:r>
    </w:p>
    <w:p>
      <w:pPr>
        <w:spacing w:after="0" w:line="102"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 xml:space="preserve">Please visit our investor relations website at </w:t>
      </w:r>
      <w:r>
        <w:rPr>
          <w:rFonts w:ascii="Arial" w:cs="Arial" w:eastAsia="Arial" w:hAnsi="Arial"/>
          <w:sz w:val="18"/>
          <w:szCs w:val="18"/>
          <w:u w:val="single" w:color="auto"/>
          <w:color w:val="auto"/>
        </w:rPr>
        <w:t>https://investors.tradeweb.com/corporate-governance</w:t>
      </w:r>
      <w:r>
        <w:rPr>
          <w:rFonts w:ascii="Arial" w:cs="Arial" w:eastAsia="Arial" w:hAnsi="Arial"/>
          <w:sz w:val="18"/>
          <w:szCs w:val="18"/>
          <w:color w:val="auto"/>
        </w:rPr>
        <w:t>, “Documents and Charters,” for additional information on our corporate governance, including:</w:t>
      </w:r>
    </w:p>
    <w:p>
      <w:pPr>
        <w:spacing w:after="0" w:line="76" w:lineRule="exact"/>
        <w:rPr>
          <w:sz w:val="20"/>
          <w:szCs w:val="20"/>
          <w:color w:val="auto"/>
        </w:rPr>
      </w:pPr>
    </w:p>
    <w:p>
      <w:pPr>
        <w:ind w:left="540" w:hanging="208"/>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Bylaws (our “Bylaws”);</w:t>
      </w:r>
    </w:p>
    <w:p>
      <w:pPr>
        <w:spacing w:after="0" w:line="23" w:lineRule="exact"/>
        <w:rPr>
          <w:rFonts w:ascii="Arial" w:cs="Arial" w:eastAsia="Arial" w:hAnsi="Arial"/>
          <w:sz w:val="18"/>
          <w:szCs w:val="18"/>
          <w:color w:val="auto"/>
        </w:rPr>
      </w:pPr>
    </w:p>
    <w:p>
      <w:pPr>
        <w:ind w:left="540" w:hanging="208"/>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(our “Certificate of Incorporation”);</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Code of Business Conduct and Ethics, as amended; and</w:t>
      </w:r>
    </w:p>
    <w:p>
      <w:pPr>
        <w:spacing w:after="0" w:line="9" w:lineRule="exact"/>
        <w:rPr>
          <w:rFonts w:ascii="Arial" w:cs="Arial" w:eastAsia="Arial" w:hAnsi="Arial"/>
          <w:sz w:val="18"/>
          <w:szCs w:val="18"/>
          <w:color w:val="auto"/>
        </w:rPr>
      </w:pPr>
    </w:p>
    <w:p>
      <w:pPr>
        <w:ind w:left="540" w:right="440" w:hanging="208"/>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charters approved by the Board for the Audit Committee, the Compensation Committee, and the Nominating and Corporate Governance Committee, each as amended.</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Board Meetings and Committees</w:t>
      </w:r>
    </w:p>
    <w:p>
      <w:pPr>
        <w:spacing w:after="0" w:line="102"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Board meets regularly during the year, and holds special meetings and acts by unanimous written consent whenever circumstances require. During 2021, there were six meetings of the Board. Each director attended at least 75% of the aggregate of the total number of meetings of the Board (held during the period for which he or she was a director) and the total number of meetings held by all committees on which he or she served (during the periods that he or she served) during 2021. In addition, directors are expected to make every effort to virtually attend any meetings of stockholders.</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Board has established an Audit Committee, a Compensation Committee, and a Nominating and Corporate Governance Committee (collectively, the “Committees”), each of which hold meetings and act by unanimous written consent whenever circumstances require. The Committees keep the Board informed of their actions and provide assistance to the Board in fulfilling its oversight responsibility to stockholders. The table below provides current membership information as well as meeting information for the last fiscal year.</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jc w:val="right"/>
              <w:ind w:right="104"/>
              <w:spacing w:after="0"/>
              <w:rPr>
                <w:sz w:val="20"/>
                <w:szCs w:val="20"/>
                <w:color w:val="auto"/>
              </w:rPr>
            </w:pPr>
            <w:r>
              <w:rPr>
                <w:rFonts w:ascii="Arial" w:cs="Arial" w:eastAsia="Arial" w:hAnsi="Arial"/>
                <w:sz w:val="14"/>
                <w:szCs w:val="14"/>
                <w:color w:val="auto"/>
              </w:rPr>
              <w:t>Nominating and</w:t>
            </w:r>
          </w:p>
        </w:tc>
      </w:tr>
      <w:tr>
        <w:trPr>
          <w:trHeight w:val="148"/>
        </w:trPr>
        <w:tc>
          <w:tcPr>
            <w:tcW w:w="58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tcPr>
          <w:p>
            <w:pPr>
              <w:jc w:val="right"/>
              <w:ind w:right="104"/>
              <w:spacing w:after="0" w:line="149" w:lineRule="exact"/>
              <w:rPr>
                <w:sz w:val="20"/>
                <w:szCs w:val="20"/>
                <w:color w:val="auto"/>
              </w:rPr>
            </w:pPr>
            <w:r>
              <w:rPr>
                <w:rFonts w:ascii="Arial" w:cs="Arial" w:eastAsia="Arial" w:hAnsi="Arial"/>
                <w:sz w:val="14"/>
                <w:szCs w:val="14"/>
                <w:color w:val="auto"/>
              </w:rPr>
              <w:t>Corporate</w:t>
            </w:r>
          </w:p>
        </w:tc>
      </w:tr>
      <w:tr>
        <w:trPr>
          <w:trHeight w:val="154"/>
        </w:trPr>
        <w:tc>
          <w:tcPr>
            <w:tcW w:w="5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60" w:type="dxa"/>
            <w:vAlign w:val="bottom"/>
          </w:tcPr>
          <w:p>
            <w:pPr>
              <w:jc w:val="center"/>
              <w:ind w:left="2"/>
              <w:spacing w:after="0" w:line="154" w:lineRule="exact"/>
              <w:rPr>
                <w:sz w:val="20"/>
                <w:szCs w:val="20"/>
                <w:color w:val="auto"/>
              </w:rPr>
            </w:pPr>
            <w:r>
              <w:rPr>
                <w:rFonts w:ascii="Arial" w:cs="Arial" w:eastAsia="Arial" w:hAnsi="Arial"/>
                <w:sz w:val="14"/>
                <w:szCs w:val="14"/>
                <w:color w:val="auto"/>
                <w:w w:val="90"/>
              </w:rPr>
              <w:t>Compensation</w:t>
            </w:r>
          </w:p>
        </w:tc>
        <w:tc>
          <w:tcPr>
            <w:tcW w:w="1480" w:type="dxa"/>
            <w:vAlign w:val="bottom"/>
          </w:tcPr>
          <w:p>
            <w:pPr>
              <w:jc w:val="right"/>
              <w:ind w:right="104"/>
              <w:spacing w:after="0" w:line="154" w:lineRule="exact"/>
              <w:rPr>
                <w:sz w:val="20"/>
                <w:szCs w:val="20"/>
                <w:color w:val="auto"/>
              </w:rPr>
            </w:pPr>
            <w:r>
              <w:rPr>
                <w:rFonts w:ascii="Arial" w:cs="Arial" w:eastAsia="Arial" w:hAnsi="Arial"/>
                <w:sz w:val="14"/>
                <w:szCs w:val="14"/>
                <w:color w:val="auto"/>
              </w:rPr>
              <w:t>Governance</w:t>
            </w:r>
          </w:p>
        </w:tc>
      </w:tr>
      <w:tr>
        <w:trPr>
          <w:trHeight w:val="197"/>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Audit Committee</w:t>
            </w: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Committee</w:t>
            </w: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Committee</w:t>
            </w:r>
          </w:p>
        </w:tc>
      </w:tr>
      <w:tr>
        <w:trPr>
          <w:trHeight w:val="256"/>
        </w:trPr>
        <w:tc>
          <w:tcPr>
            <w:tcW w:w="5820" w:type="dxa"/>
            <w:vAlign w:val="bottom"/>
            <w:shd w:val="clear" w:color="auto" w:fill="CCEEF7"/>
          </w:tcPr>
          <w:p>
            <w:pPr>
              <w:ind w:left="60"/>
              <w:spacing w:after="0"/>
              <w:rPr>
                <w:sz w:val="20"/>
                <w:szCs w:val="20"/>
                <w:color w:val="auto"/>
              </w:rPr>
            </w:pPr>
            <w:r>
              <w:rPr>
                <w:rFonts w:ascii="Arial" w:cs="Arial" w:eastAsia="Arial" w:hAnsi="Arial"/>
                <w:sz w:val="16"/>
                <w:szCs w:val="16"/>
                <w:color w:val="auto"/>
              </w:rPr>
              <w:t>Balbir Bakhshi</w:t>
            </w:r>
          </w:p>
        </w:tc>
        <w:tc>
          <w:tcPr>
            <w:tcW w:w="2060" w:type="dxa"/>
            <w:vAlign w:val="bottom"/>
            <w:shd w:val="clear" w:color="auto" w:fill="CCEEF7"/>
          </w:tcPr>
          <w:p>
            <w:pPr>
              <w:spacing w:after="0"/>
              <w:rPr>
                <w:sz w:val="22"/>
                <w:szCs w:val="22"/>
                <w:color w:val="auto"/>
              </w:rPr>
            </w:pPr>
          </w:p>
        </w:tc>
        <w:tc>
          <w:tcPr>
            <w:tcW w:w="1660" w:type="dxa"/>
            <w:vAlign w:val="bottom"/>
            <w:shd w:val="clear" w:color="auto" w:fill="CCEEF7"/>
          </w:tcPr>
          <w:p>
            <w:pPr>
              <w:spacing w:after="0"/>
              <w:rPr>
                <w:sz w:val="22"/>
                <w:szCs w:val="22"/>
                <w:color w:val="auto"/>
              </w:rPr>
            </w:pPr>
          </w:p>
        </w:tc>
        <w:tc>
          <w:tcPr>
            <w:tcW w:w="1480" w:type="dxa"/>
            <w:vAlign w:val="bottom"/>
            <w:shd w:val="clear" w:color="auto" w:fill="CCEEF7"/>
          </w:tcPr>
          <w:p>
            <w:pPr>
              <w:spacing w:after="0"/>
              <w:rPr>
                <w:sz w:val="22"/>
                <w:szCs w:val="22"/>
                <w:color w:val="auto"/>
              </w:rPr>
            </w:pP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Steven Berns</w:t>
            </w:r>
          </w:p>
        </w:tc>
        <w:tc>
          <w:tcPr>
            <w:tcW w:w="2060" w:type="dxa"/>
            <w:vAlign w:val="bottom"/>
          </w:tcPr>
          <w:p>
            <w:pPr>
              <w:jc w:val="center"/>
              <w:ind w:left="181"/>
              <w:spacing w:after="0"/>
              <w:rPr>
                <w:sz w:val="20"/>
                <w:szCs w:val="20"/>
                <w:color w:val="auto"/>
              </w:rPr>
            </w:pPr>
            <w:r>
              <w:rPr>
                <w:rFonts w:ascii="Arial" w:cs="Arial" w:eastAsia="Arial" w:hAnsi="Arial"/>
                <w:sz w:val="16"/>
                <w:szCs w:val="16"/>
                <w:color w:val="auto"/>
                <w:w w:val="94"/>
              </w:rPr>
              <w:t>X*</w:t>
            </w: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820" w:type="dxa"/>
            <w:vAlign w:val="bottom"/>
            <w:shd w:val="clear" w:color="auto" w:fill="CCEEF7"/>
          </w:tcPr>
          <w:p>
            <w:pPr>
              <w:ind w:left="60"/>
              <w:spacing w:after="0"/>
              <w:rPr>
                <w:sz w:val="20"/>
                <w:szCs w:val="20"/>
                <w:color w:val="auto"/>
              </w:rPr>
            </w:pPr>
            <w:r>
              <w:rPr>
                <w:rFonts w:ascii="Arial" w:cs="Arial" w:eastAsia="Arial" w:hAnsi="Arial"/>
                <w:sz w:val="16"/>
                <w:szCs w:val="16"/>
                <w:color w:val="auto"/>
              </w:rPr>
              <w:t>John Finley</w:t>
            </w:r>
          </w:p>
        </w:tc>
        <w:tc>
          <w:tcPr>
            <w:tcW w:w="2060" w:type="dxa"/>
            <w:vAlign w:val="bottom"/>
            <w:shd w:val="clear" w:color="auto" w:fill="CCEEF7"/>
          </w:tcPr>
          <w:p>
            <w:pPr>
              <w:spacing w:after="0"/>
              <w:rPr>
                <w:sz w:val="24"/>
                <w:szCs w:val="24"/>
                <w:color w:val="auto"/>
              </w:rPr>
            </w:pPr>
          </w:p>
        </w:tc>
        <w:tc>
          <w:tcPr>
            <w:tcW w:w="1660" w:type="dxa"/>
            <w:vAlign w:val="bottom"/>
            <w:shd w:val="clear" w:color="auto" w:fill="CCEEF7"/>
          </w:tcPr>
          <w:p>
            <w:pPr>
              <w:jc w:val="center"/>
              <w:ind w:left="22"/>
              <w:spacing w:after="0"/>
              <w:rPr>
                <w:sz w:val="20"/>
                <w:szCs w:val="20"/>
                <w:color w:val="auto"/>
              </w:rPr>
            </w:pPr>
            <w:r>
              <w:rPr>
                <w:rFonts w:ascii="Arial" w:cs="Arial" w:eastAsia="Arial" w:hAnsi="Arial"/>
                <w:sz w:val="16"/>
                <w:szCs w:val="16"/>
                <w:color w:val="auto"/>
              </w:rPr>
              <w:t>X</w:t>
            </w:r>
          </w:p>
        </w:tc>
        <w:tc>
          <w:tcPr>
            <w:tcW w:w="1480" w:type="dxa"/>
            <w:vAlign w:val="bottom"/>
            <w:shd w:val="clear" w:color="auto" w:fill="CCEEF7"/>
          </w:tcPr>
          <w:p>
            <w:pPr>
              <w:jc w:val="center"/>
              <w:ind w:left="164"/>
              <w:spacing w:after="0"/>
              <w:rPr>
                <w:sz w:val="20"/>
                <w:szCs w:val="20"/>
                <w:color w:val="auto"/>
              </w:rPr>
            </w:pPr>
            <w:r>
              <w:rPr>
                <w:rFonts w:ascii="Arial" w:cs="Arial" w:eastAsia="Arial" w:hAnsi="Arial"/>
                <w:sz w:val="16"/>
                <w:szCs w:val="16"/>
                <w:color w:val="auto"/>
                <w:w w:val="94"/>
              </w:rPr>
              <w:t>X*</w:t>
            </w: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Scott Ganeles</w:t>
            </w:r>
          </w:p>
        </w:tc>
        <w:tc>
          <w:tcPr>
            <w:tcW w:w="2060" w:type="dxa"/>
            <w:vAlign w:val="bottom"/>
          </w:tcPr>
          <w:p>
            <w:pPr>
              <w:jc w:val="center"/>
              <w:ind w:left="181"/>
              <w:spacing w:after="0"/>
              <w:rPr>
                <w:sz w:val="20"/>
                <w:szCs w:val="20"/>
                <w:color w:val="auto"/>
              </w:rPr>
            </w:pPr>
            <w:r>
              <w:rPr>
                <w:rFonts w:ascii="Arial" w:cs="Arial" w:eastAsia="Arial" w:hAnsi="Arial"/>
                <w:sz w:val="16"/>
                <w:szCs w:val="16"/>
                <w:color w:val="auto"/>
              </w:rPr>
              <w:t>X</w:t>
            </w:r>
          </w:p>
        </w:tc>
        <w:tc>
          <w:tcPr>
            <w:tcW w:w="1660" w:type="dxa"/>
            <w:vAlign w:val="bottom"/>
          </w:tcPr>
          <w:p>
            <w:pPr>
              <w:jc w:val="center"/>
              <w:ind w:left="22"/>
              <w:spacing w:after="0"/>
              <w:rPr>
                <w:sz w:val="20"/>
                <w:szCs w:val="20"/>
                <w:color w:val="auto"/>
              </w:rPr>
            </w:pPr>
            <w:r>
              <w:rPr>
                <w:rFonts w:ascii="Arial" w:cs="Arial" w:eastAsia="Arial" w:hAnsi="Arial"/>
                <w:sz w:val="16"/>
                <w:szCs w:val="16"/>
                <w:color w:val="auto"/>
              </w:rPr>
              <w:t>X</w:t>
            </w:r>
          </w:p>
        </w:tc>
        <w:tc>
          <w:tcPr>
            <w:tcW w:w="1480" w:type="dxa"/>
            <w:vAlign w:val="bottom"/>
          </w:tcPr>
          <w:p>
            <w:pPr>
              <w:spacing w:after="0"/>
              <w:rPr>
                <w:sz w:val="22"/>
                <w:szCs w:val="22"/>
                <w:color w:val="auto"/>
              </w:rPr>
            </w:pPr>
          </w:p>
        </w:tc>
      </w:tr>
      <w:tr>
        <w:trPr>
          <w:trHeight w:val="280"/>
        </w:trPr>
        <w:tc>
          <w:tcPr>
            <w:tcW w:w="5820" w:type="dxa"/>
            <w:vAlign w:val="bottom"/>
            <w:shd w:val="clear" w:color="auto" w:fill="CCEEF7"/>
          </w:tcPr>
          <w:p>
            <w:pPr>
              <w:ind w:left="60"/>
              <w:spacing w:after="0"/>
              <w:rPr>
                <w:sz w:val="20"/>
                <w:szCs w:val="20"/>
                <w:color w:val="auto"/>
              </w:rPr>
            </w:pPr>
            <w:r>
              <w:rPr>
                <w:rFonts w:ascii="Arial" w:cs="Arial" w:eastAsia="Arial" w:hAnsi="Arial"/>
                <w:sz w:val="16"/>
                <w:szCs w:val="16"/>
                <w:color w:val="auto"/>
              </w:rPr>
              <w:t>Von Hughes</w:t>
            </w:r>
          </w:p>
        </w:tc>
        <w:tc>
          <w:tcPr>
            <w:tcW w:w="2060" w:type="dxa"/>
            <w:vAlign w:val="bottom"/>
            <w:shd w:val="clear" w:color="auto" w:fill="CCEEF7"/>
          </w:tcPr>
          <w:p>
            <w:pPr>
              <w:jc w:val="center"/>
              <w:ind w:left="181"/>
              <w:spacing w:after="0"/>
              <w:rPr>
                <w:sz w:val="20"/>
                <w:szCs w:val="20"/>
                <w:color w:val="auto"/>
              </w:rPr>
            </w:pPr>
            <w:r>
              <w:rPr>
                <w:rFonts w:ascii="Arial" w:cs="Arial" w:eastAsia="Arial" w:hAnsi="Arial"/>
                <w:sz w:val="16"/>
                <w:szCs w:val="16"/>
                <w:color w:val="auto"/>
              </w:rPr>
              <w:t>X</w:t>
            </w:r>
          </w:p>
        </w:tc>
        <w:tc>
          <w:tcPr>
            <w:tcW w:w="1660" w:type="dxa"/>
            <w:vAlign w:val="bottom"/>
            <w:shd w:val="clear" w:color="auto" w:fill="CCEEF7"/>
          </w:tcPr>
          <w:p>
            <w:pPr>
              <w:spacing w:after="0"/>
              <w:rPr>
                <w:sz w:val="24"/>
                <w:szCs w:val="24"/>
                <w:color w:val="auto"/>
              </w:rPr>
            </w:pPr>
          </w:p>
        </w:tc>
        <w:tc>
          <w:tcPr>
            <w:tcW w:w="1480" w:type="dxa"/>
            <w:vAlign w:val="bottom"/>
            <w:shd w:val="clear" w:color="auto" w:fill="CCEEF7"/>
          </w:tcPr>
          <w:p>
            <w:pPr>
              <w:spacing w:after="0"/>
              <w:rPr>
                <w:sz w:val="24"/>
                <w:szCs w:val="24"/>
                <w:color w:val="auto"/>
              </w:rPr>
            </w:pP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Billy Hult</w:t>
            </w:r>
          </w:p>
        </w:tc>
        <w:tc>
          <w:tcPr>
            <w:tcW w:w="2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820" w:type="dxa"/>
            <w:vAlign w:val="bottom"/>
            <w:shd w:val="clear" w:color="auto" w:fill="CCEEF7"/>
          </w:tcPr>
          <w:p>
            <w:pPr>
              <w:ind w:left="60"/>
              <w:spacing w:after="0"/>
              <w:rPr>
                <w:sz w:val="20"/>
                <w:szCs w:val="20"/>
                <w:color w:val="auto"/>
              </w:rPr>
            </w:pPr>
            <w:r>
              <w:rPr>
                <w:rFonts w:ascii="Arial" w:cs="Arial" w:eastAsia="Arial" w:hAnsi="Arial"/>
                <w:sz w:val="16"/>
                <w:szCs w:val="16"/>
                <w:color w:val="auto"/>
              </w:rPr>
              <w:t>Paula Madoff</w:t>
            </w:r>
          </w:p>
        </w:tc>
        <w:tc>
          <w:tcPr>
            <w:tcW w:w="2060" w:type="dxa"/>
            <w:vAlign w:val="bottom"/>
            <w:shd w:val="clear" w:color="auto" w:fill="CCEEF7"/>
          </w:tcPr>
          <w:p>
            <w:pPr>
              <w:jc w:val="center"/>
              <w:ind w:left="181"/>
              <w:spacing w:after="0"/>
              <w:rPr>
                <w:sz w:val="20"/>
                <w:szCs w:val="20"/>
                <w:color w:val="auto"/>
              </w:rPr>
            </w:pPr>
            <w:r>
              <w:rPr>
                <w:rFonts w:ascii="Arial" w:cs="Arial" w:eastAsia="Arial" w:hAnsi="Arial"/>
                <w:sz w:val="16"/>
                <w:szCs w:val="16"/>
                <w:color w:val="auto"/>
              </w:rPr>
              <w:t>X</w:t>
            </w:r>
          </w:p>
        </w:tc>
        <w:tc>
          <w:tcPr>
            <w:tcW w:w="1660" w:type="dxa"/>
            <w:vAlign w:val="bottom"/>
            <w:shd w:val="clear" w:color="auto" w:fill="CCEEF7"/>
          </w:tcPr>
          <w:p>
            <w:pPr>
              <w:jc w:val="center"/>
              <w:ind w:left="22"/>
              <w:spacing w:after="0"/>
              <w:rPr>
                <w:sz w:val="20"/>
                <w:szCs w:val="20"/>
                <w:color w:val="auto"/>
              </w:rPr>
            </w:pPr>
            <w:r>
              <w:rPr>
                <w:rFonts w:ascii="Arial" w:cs="Arial" w:eastAsia="Arial" w:hAnsi="Arial"/>
                <w:sz w:val="16"/>
                <w:szCs w:val="16"/>
                <w:color w:val="auto"/>
              </w:rPr>
              <w:t>X</w:t>
            </w:r>
          </w:p>
        </w:tc>
        <w:tc>
          <w:tcPr>
            <w:tcW w:w="1480" w:type="dxa"/>
            <w:vAlign w:val="bottom"/>
            <w:shd w:val="clear" w:color="auto" w:fill="CCEEF7"/>
          </w:tcPr>
          <w:p>
            <w:pPr>
              <w:jc w:val="center"/>
              <w:ind w:left="164"/>
              <w:spacing w:after="0"/>
              <w:rPr>
                <w:sz w:val="20"/>
                <w:szCs w:val="20"/>
                <w:color w:val="auto"/>
              </w:rPr>
            </w:pPr>
            <w:r>
              <w:rPr>
                <w:rFonts w:ascii="Arial" w:cs="Arial" w:eastAsia="Arial" w:hAnsi="Arial"/>
                <w:sz w:val="16"/>
                <w:szCs w:val="16"/>
                <w:color w:val="auto"/>
              </w:rPr>
              <w:t>X</w:t>
            </w: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Lee Olesky</w:t>
            </w:r>
          </w:p>
        </w:tc>
        <w:tc>
          <w:tcPr>
            <w:tcW w:w="2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820" w:type="dxa"/>
            <w:vAlign w:val="bottom"/>
            <w:shd w:val="clear" w:color="auto" w:fill="CCEEF7"/>
          </w:tcPr>
          <w:p>
            <w:pPr>
              <w:ind w:left="60"/>
              <w:spacing w:after="0"/>
              <w:rPr>
                <w:sz w:val="20"/>
                <w:szCs w:val="20"/>
                <w:color w:val="auto"/>
              </w:rPr>
            </w:pPr>
            <w:r>
              <w:rPr>
                <w:rFonts w:ascii="Arial" w:cs="Arial" w:eastAsia="Arial" w:hAnsi="Arial"/>
                <w:sz w:val="16"/>
                <w:szCs w:val="16"/>
                <w:color w:val="auto"/>
              </w:rPr>
              <w:t>Thomas Pluta</w:t>
            </w:r>
          </w:p>
        </w:tc>
        <w:tc>
          <w:tcPr>
            <w:tcW w:w="2060" w:type="dxa"/>
            <w:vAlign w:val="bottom"/>
            <w:shd w:val="clear" w:color="auto" w:fill="CCEEF7"/>
          </w:tcPr>
          <w:p>
            <w:pPr>
              <w:spacing w:after="0"/>
              <w:rPr>
                <w:sz w:val="24"/>
                <w:szCs w:val="24"/>
                <w:color w:val="auto"/>
              </w:rPr>
            </w:pPr>
          </w:p>
        </w:tc>
        <w:tc>
          <w:tcPr>
            <w:tcW w:w="1660" w:type="dxa"/>
            <w:vAlign w:val="bottom"/>
            <w:shd w:val="clear" w:color="auto" w:fill="CCEEF7"/>
          </w:tcPr>
          <w:p>
            <w:pPr>
              <w:spacing w:after="0"/>
              <w:rPr>
                <w:sz w:val="24"/>
                <w:szCs w:val="24"/>
                <w:color w:val="auto"/>
              </w:rPr>
            </w:pPr>
          </w:p>
        </w:tc>
        <w:tc>
          <w:tcPr>
            <w:tcW w:w="1480" w:type="dxa"/>
            <w:vAlign w:val="bottom"/>
            <w:shd w:val="clear" w:color="auto" w:fill="CCEEF7"/>
          </w:tcPr>
          <w:p>
            <w:pPr>
              <w:spacing w:after="0"/>
              <w:rPr>
                <w:sz w:val="24"/>
                <w:szCs w:val="24"/>
                <w:color w:val="auto"/>
              </w:rPr>
            </w:pP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Murray Roos</w:t>
            </w:r>
          </w:p>
        </w:tc>
        <w:tc>
          <w:tcPr>
            <w:tcW w:w="2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7"/>
        </w:trPr>
        <w:tc>
          <w:tcPr>
            <w:tcW w:w="582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Total Meetings in 2021</w:t>
            </w:r>
          </w:p>
        </w:tc>
        <w:tc>
          <w:tcPr>
            <w:tcW w:w="2060" w:type="dxa"/>
            <w:vAlign w:val="bottom"/>
            <w:tcBorders>
              <w:bottom w:val="single" w:sz="8" w:color="auto"/>
            </w:tcBorders>
            <w:shd w:val="clear" w:color="auto" w:fill="CCEEF7"/>
          </w:tcPr>
          <w:p>
            <w:pPr>
              <w:jc w:val="center"/>
              <w:ind w:left="181"/>
              <w:spacing w:after="0"/>
              <w:rPr>
                <w:sz w:val="20"/>
                <w:szCs w:val="20"/>
                <w:color w:val="auto"/>
              </w:rPr>
            </w:pPr>
            <w:r>
              <w:rPr>
                <w:rFonts w:ascii="Arial" w:cs="Arial" w:eastAsia="Arial" w:hAnsi="Arial"/>
                <w:sz w:val="16"/>
                <w:szCs w:val="16"/>
                <w:color w:val="auto"/>
                <w:w w:val="89"/>
              </w:rPr>
              <w:t>7</w:t>
            </w:r>
          </w:p>
        </w:tc>
        <w:tc>
          <w:tcPr>
            <w:tcW w:w="1660" w:type="dxa"/>
            <w:vAlign w:val="bottom"/>
            <w:tcBorders>
              <w:bottom w:val="single" w:sz="8" w:color="auto"/>
            </w:tcBorders>
            <w:shd w:val="clear" w:color="auto" w:fill="CCEEF7"/>
          </w:tcPr>
          <w:p>
            <w:pPr>
              <w:jc w:val="center"/>
              <w:ind w:left="22"/>
              <w:spacing w:after="0"/>
              <w:rPr>
                <w:sz w:val="20"/>
                <w:szCs w:val="20"/>
                <w:color w:val="auto"/>
              </w:rPr>
            </w:pPr>
            <w:r>
              <w:rPr>
                <w:rFonts w:ascii="Arial" w:cs="Arial" w:eastAsia="Arial" w:hAnsi="Arial"/>
                <w:sz w:val="16"/>
                <w:szCs w:val="16"/>
                <w:color w:val="auto"/>
                <w:w w:val="89"/>
              </w:rPr>
              <w:t>1</w:t>
            </w:r>
          </w:p>
        </w:tc>
        <w:tc>
          <w:tcPr>
            <w:tcW w:w="1480" w:type="dxa"/>
            <w:vAlign w:val="bottom"/>
            <w:tcBorders>
              <w:bottom w:val="single" w:sz="8" w:color="auto"/>
            </w:tcBorders>
            <w:shd w:val="clear" w:color="auto" w:fill="CCEEF7"/>
          </w:tcPr>
          <w:p>
            <w:pPr>
              <w:jc w:val="center"/>
              <w:ind w:left="164"/>
              <w:spacing w:after="0"/>
              <w:rPr>
                <w:sz w:val="20"/>
                <w:szCs w:val="20"/>
                <w:color w:val="auto"/>
              </w:rPr>
            </w:pPr>
            <w:r>
              <w:rPr>
                <w:rFonts w:ascii="Arial" w:cs="Arial" w:eastAsia="Arial" w:hAnsi="Arial"/>
                <w:sz w:val="16"/>
                <w:szCs w:val="16"/>
                <w:color w:val="auto"/>
                <w:w w:val="89"/>
              </w:rPr>
              <w:t>1</w:t>
            </w:r>
          </w:p>
        </w:tc>
      </w:tr>
    </w:tbl>
    <w:p>
      <w:pPr>
        <w:spacing w:after="0" w:line="24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Denotes committee chair</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performed by these Committees, which are set forth in more detail in their charters, are summarized below.</w:t>
      </w:r>
    </w:p>
    <w:p>
      <w:pPr>
        <w:spacing w:after="0" w:line="22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14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205740</wp:posOffset>
            </wp:positionV>
            <wp:extent cx="98615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61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Audit Committee</w:t>
      </w:r>
    </w:p>
    <w:p>
      <w:pPr>
        <w:spacing w:after="0" w:line="10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members of the Audit Committee are Mr. Berns, as Chairperson, Mr. Ganeles, Mr. Hughes and Ms. Madoff. The Audit Committee is responsible for, among other things:</w:t>
      </w:r>
    </w:p>
    <w:p>
      <w:pPr>
        <w:spacing w:after="0" w:line="76" w:lineRule="exact"/>
        <w:rPr>
          <w:sz w:val="20"/>
          <w:szCs w:val="20"/>
          <w:color w:val="auto"/>
        </w:rPr>
      </w:pPr>
    </w:p>
    <w:p>
      <w:pPr>
        <w:ind w:left="540" w:right="620" w:hanging="208"/>
        <w:spacing w:after="0" w:line="25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quality and integrity of the Company’s financial statements, including oversight of the Company’s accounting and financial reporting processes and financial statement audits;</w:t>
      </w:r>
    </w:p>
    <w:p>
      <w:pPr>
        <w:spacing w:after="0" w:line="1" w:lineRule="exact"/>
        <w:rPr>
          <w:rFonts w:ascii="Arial" w:cs="Arial" w:eastAsia="Arial" w:hAnsi="Arial"/>
          <w:sz w:val="18"/>
          <w:szCs w:val="18"/>
          <w:color w:val="auto"/>
        </w:rPr>
      </w:pPr>
    </w:p>
    <w:p>
      <w:pPr>
        <w:ind w:left="540" w:right="400" w:hanging="208"/>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 applicable to financial statements and accounting and financial reporting processes;</w:t>
      </w:r>
    </w:p>
    <w:p>
      <w:pPr>
        <w:ind w:left="540" w:hanging="20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independent registered public accounting firm’s qualifications, performance and independence;</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performance of the Company’s internal audit function; and</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to be included in the Company’s annual proxy statement.</w:t>
      </w:r>
    </w:p>
    <w:p>
      <w:pPr>
        <w:spacing w:after="0" w:line="103"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Mr. Berns qualifies as our “audit committee financial expert” within the meaning of regulations adopted by the SEC and each Audit Committee member meets Nasdaq’s financial sophistication requirements. Our Board has also determined that each of Mr. Berns, Mr. Ganeles, Mr. Hughes and Ms. Madoff are “independent” as defined under Nasdaq rules and the Exchange Act and rules and regulations promulgated thereunder.</w:t>
      </w:r>
    </w:p>
    <w:p>
      <w:pPr>
        <w:spacing w:after="0" w:line="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Compensation Committee</w:t>
      </w:r>
    </w:p>
    <w:p>
      <w:pPr>
        <w:spacing w:after="0" w:line="10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members of the Compensation Committee are Mr. Finley, Mr. Ganeles and Ms. Madoff.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 The Compensation Committee is responsible for, among other things:</w:t>
      </w:r>
    </w:p>
    <w:p>
      <w:pPr>
        <w:spacing w:after="0" w:line="92" w:lineRule="exact"/>
        <w:rPr>
          <w:sz w:val="20"/>
          <w:szCs w:val="20"/>
          <w:color w:val="auto"/>
        </w:rPr>
      </w:pPr>
    </w:p>
    <w:p>
      <w:pPr>
        <w:ind w:left="540" w:hanging="208"/>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reviewing the overall compensation philosophy of the Company;</w:t>
      </w:r>
    </w:p>
    <w:p>
      <w:pPr>
        <w:spacing w:after="0" w:line="23" w:lineRule="exact"/>
        <w:rPr>
          <w:rFonts w:ascii="Arial" w:cs="Arial" w:eastAsia="Arial" w:hAnsi="Arial"/>
          <w:sz w:val="18"/>
          <w:szCs w:val="18"/>
          <w:color w:val="auto"/>
        </w:rPr>
      </w:pPr>
    </w:p>
    <w:p>
      <w:pPr>
        <w:ind w:left="540" w:right="60" w:hanging="208"/>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Chief Executive Officer and other executive officers’ compensation, including annual performance objectives, if any;</w:t>
      </w:r>
    </w:p>
    <w:p>
      <w:pPr>
        <w:ind w:left="540" w:right="460" w:hanging="208"/>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ind w:left="540" w:right="260" w:hanging="208"/>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the annual salary, bonus, equity and equity-based incentives and other benefits, direct and indirect, of the executive officers other than the Chief Executive Officer;</w:t>
      </w:r>
    </w:p>
    <w:p>
      <w:pPr>
        <w:ind w:left="540" w:right="300" w:hanging="208"/>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ind w:left="540" w:right="400" w:hanging="208"/>
        <w:spacing w:after="0" w:line="323"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136"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9441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right="200" w:hanging="208"/>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2" w:lineRule="exact"/>
        <w:rPr>
          <w:rFonts w:ascii="Arial" w:cs="Arial" w:eastAsia="Arial" w:hAnsi="Arial"/>
          <w:sz w:val="18"/>
          <w:szCs w:val="18"/>
          <w:color w:val="auto"/>
        </w:rPr>
      </w:pPr>
    </w:p>
    <w:p>
      <w:pPr>
        <w:jc w:val="both"/>
        <w:ind w:left="540" w:right="280" w:hanging="208"/>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the Company’s equity-based plans, equity-based awards and incentive-compensation plans, and administering the plans in accordance with their terms or oversee the activities of the individuals responsible for administering those plans, as applicable;</w:t>
      </w:r>
    </w:p>
    <w:p>
      <w:pPr>
        <w:spacing w:after="0" w:line="1" w:lineRule="exact"/>
        <w:rPr>
          <w:rFonts w:ascii="Arial" w:cs="Arial" w:eastAsia="Arial" w:hAnsi="Arial"/>
          <w:sz w:val="18"/>
          <w:szCs w:val="18"/>
          <w:color w:val="auto"/>
        </w:rPr>
      </w:pPr>
    </w:p>
    <w:p>
      <w:pPr>
        <w:ind w:left="540" w:hanging="20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monitoring the Company’s regulatory and internal compliance with respect to compensation matters; and</w:t>
      </w:r>
    </w:p>
    <w:p>
      <w:pPr>
        <w:spacing w:after="0" w:line="9" w:lineRule="exact"/>
        <w:rPr>
          <w:rFonts w:ascii="Arial" w:cs="Arial" w:eastAsia="Arial" w:hAnsi="Arial"/>
          <w:sz w:val="18"/>
          <w:szCs w:val="18"/>
          <w:color w:val="auto"/>
        </w:rPr>
      </w:pPr>
    </w:p>
    <w:p>
      <w:pPr>
        <w:ind w:left="540" w:right="180" w:hanging="208"/>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Nominating and Corporate Governance Committee</w:t>
      </w:r>
    </w:p>
    <w:p>
      <w:pPr>
        <w:spacing w:after="0" w:line="1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members of the Nominating and Corporate Governance Committee are Mr. Finley, as Chairperson and Ms. Madoff. The Nominating and Corporate Governance Committee assists our Board in identifying individuals qualified to become Board members, makes recommendations for nominees for committees and develops, recommends to the Board and reviews our corporate governance principles. The Nominating and Corporate Governance Committee is responsible for, among other things:</w:t>
      </w:r>
    </w:p>
    <w:p>
      <w:pPr>
        <w:spacing w:after="0" w:line="92" w:lineRule="exact"/>
        <w:rPr>
          <w:sz w:val="20"/>
          <w:szCs w:val="20"/>
          <w:color w:val="auto"/>
        </w:rPr>
      </w:pPr>
    </w:p>
    <w:p>
      <w:pPr>
        <w:jc w:val="both"/>
        <w:ind w:left="540" w:right="500" w:hanging="208"/>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2" w:lineRule="exact"/>
        <w:rPr>
          <w:rFonts w:ascii="Arial" w:cs="Arial" w:eastAsia="Arial" w:hAnsi="Arial"/>
          <w:sz w:val="18"/>
          <w:szCs w:val="18"/>
          <w:color w:val="auto"/>
        </w:rPr>
      </w:pPr>
    </w:p>
    <w:p>
      <w:pPr>
        <w:ind w:left="540" w:right="460" w:hanging="208"/>
        <w:spacing w:after="0" w:line="26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developing and recommending to the Board a set of corporate governance principles to be included in the Company’s Corporate Governance Guidelines, as the same may be amended from time to time, and assisting the Board in complying with them;</w:t>
      </w:r>
    </w:p>
    <w:p>
      <w:pPr>
        <w:ind w:left="540" w:hanging="20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recommending members of the Board to serve on committees of the Board and evaluating the functions and performance of such committees;</w:t>
      </w:r>
    </w:p>
    <w:p>
      <w:pPr>
        <w:spacing w:after="0" w:line="32" w:lineRule="exact"/>
        <w:rPr>
          <w:rFonts w:ascii="Arial" w:cs="Arial" w:eastAsia="Arial" w:hAnsi="Arial"/>
          <w:sz w:val="16"/>
          <w:szCs w:val="16"/>
          <w:color w:val="auto"/>
        </w:rPr>
      </w:pPr>
    </w:p>
    <w:p>
      <w:pPr>
        <w:ind w:left="540" w:hanging="20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and approving the management continuity planning process; and</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Director Nominations</w:t>
      </w:r>
    </w:p>
    <w:p>
      <w:pPr>
        <w:spacing w:after="0" w:line="102" w:lineRule="exact"/>
        <w:rPr>
          <w:sz w:val="20"/>
          <w:szCs w:val="20"/>
          <w:color w:val="auto"/>
        </w:rPr>
      </w:pPr>
    </w:p>
    <w:p>
      <w:pPr>
        <w:jc w:val="both"/>
        <w:ind w:left="120" w:right="60"/>
        <w:spacing w:after="0" w:line="287" w:lineRule="auto"/>
        <w:rPr>
          <w:sz w:val="20"/>
          <w:szCs w:val="20"/>
          <w:color w:val="auto"/>
        </w:rPr>
      </w:pPr>
      <w:r>
        <w:rPr>
          <w:rFonts w:ascii="Arial" w:cs="Arial" w:eastAsia="Arial" w:hAnsi="Arial"/>
          <w:sz w:val="16"/>
          <w:szCs w:val="16"/>
          <w:color w:val="auto"/>
        </w:rPr>
        <w:t>The Nominating and Corporate Governance Committee identifies individuals believed to be qualified as candidates to serve on the Board and selects, or recommends that the Board select, the nominees for all directorships to be filled by the Board or by our stockholders at an annual or special meeting. In identifying candidates for membership on the Board, the Committee takes into account all factors it considers appropriate, which may include</w:t>
      </w:r>
    </w:p>
    <w:p>
      <w:pPr>
        <w:spacing w:after="0" w:line="2" w:lineRule="exact"/>
        <w:rPr>
          <w:sz w:val="20"/>
          <w:szCs w:val="20"/>
          <w:color w:val="auto"/>
        </w:rPr>
      </w:pPr>
    </w:p>
    <w:p>
      <w:pPr>
        <w:ind w:left="120" w:right="20" w:hanging="4"/>
        <w:spacing w:after="0" w:line="268" w:lineRule="auto"/>
        <w:tabs>
          <w:tab w:leader="none" w:pos="3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individual qualifications, including strength of character, mature judgment, familiarity with the Company’s business and industry, independence of thought and an ability to work collegially and (b) all other factors the Committee considers appropriate, which may include age, gender and ethnic diversity, diversity of background,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executive compensation background and the size, composition and combined expertise of the existing Board. The Committee also may consider the extent to which the candidate would fill a present need on the Board. When evaluating whether to re-nominate existing directors, the Committee considers matters relating to the retirement of current directors, including term limits or age limits, as well as the performance of such directors.</w:t>
      </w:r>
    </w:p>
    <w:p>
      <w:pPr>
        <w:spacing w:after="0" w:line="181"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16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205740</wp:posOffset>
            </wp:positionV>
            <wp:extent cx="98615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861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7"/>
          <w:szCs w:val="17"/>
          <w:color w:val="auto"/>
        </w:rPr>
        <w:t>The Nominating and Corporate Governance Committee evaluates director candidates recommended by stockholders on a substantially similar basis as it considers other nominees. Any recommendation submitted to the Secretary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the written consent of the candidate to serve as one of our directors if elected. Stockholders wishing to propose a candidate for consideration may do so by submitting the above information to the attention of the Secretary, Tradeweb Markets Inc., 1177 Avenue of the Americas, New York, New York 10036. All recommendations for nomination received by the Secretary that satisfy the requirements of our Bylaws relating to such director nominations will be presented to the Nominating and Corporate Governance Committee for its consideration. Please see the section titled “Proposals of Stockholders” for information regarding the advance notice provisions applicable to stockholder director nominations set forth in our Bylaws.</w:t>
      </w:r>
    </w:p>
    <w:p>
      <w:pPr>
        <w:spacing w:after="0" w:line="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pursuant to the Stockholders Agreement, the Refinitiv Owners have the right to designate nominees to our Board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Compensation Committee Interlocks and Insider Participation</w:t>
      </w:r>
    </w:p>
    <w:p>
      <w:pPr>
        <w:spacing w:after="0" w:line="10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Code of Ethics</w:t>
      </w:r>
    </w:p>
    <w:p>
      <w:pPr>
        <w:spacing w:after="0" w:line="102"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 xml:space="preserve">We have adopted a Code of Business Conduct and Ethics applicable to all of our directors, officers (including our principal executive officer, principal financial officer and principal accounting officer) and all global employees. Our Code of Business Conduct and Ethics is a “code of ethics,” as defined in Item 406(b) of Regulation S-K. Our Code of Business Conduct and Ethics is available on our website at </w:t>
      </w:r>
      <w:r>
        <w:rPr>
          <w:rFonts w:ascii="Arial" w:cs="Arial" w:eastAsia="Arial" w:hAnsi="Arial"/>
          <w:sz w:val="18"/>
          <w:szCs w:val="18"/>
          <w:u w:val="single" w:color="auto"/>
          <w:color w:val="auto"/>
        </w:rPr>
        <w:t>https://investors.tradeweb.com/corporate-governance/</w:t>
      </w:r>
      <w:r>
        <w:rPr>
          <w:rFonts w:ascii="Arial" w:cs="Arial" w:eastAsia="Arial" w:hAnsi="Arial"/>
          <w:sz w:val="18"/>
          <w:szCs w:val="18"/>
          <w:color w:val="auto"/>
        </w:rPr>
        <w:t>. See “Corporate Governance—Corporate Governance Documents” for additional information.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The Code of Business Conduct and Ethics was most recently amended on March 25, 2022. The information contained on, or accessible from, our website is not part of this Proxy Statement by reference or otherwise.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Environmental, Social and Governance Matters</w:t>
      </w:r>
    </w:p>
    <w:p>
      <w:pPr>
        <w:spacing w:after="0" w:line="102" w:lineRule="exact"/>
        <w:rPr>
          <w:sz w:val="20"/>
          <w:szCs w:val="20"/>
          <w:color w:val="auto"/>
        </w:rPr>
      </w:pPr>
    </w:p>
    <w:p>
      <w:pPr>
        <w:ind w:left="120" w:right="440"/>
        <w:spacing w:after="0" w:line="287" w:lineRule="auto"/>
        <w:rPr>
          <w:sz w:val="20"/>
          <w:szCs w:val="20"/>
          <w:color w:val="auto"/>
        </w:rPr>
      </w:pPr>
      <w:r>
        <w:rPr>
          <w:rFonts w:ascii="Arial" w:cs="Arial" w:eastAsia="Arial" w:hAnsi="Arial"/>
          <w:sz w:val="16"/>
          <w:szCs w:val="16"/>
          <w:color w:val="auto"/>
        </w:rPr>
        <w:t>We have long been committed to creating and fostering an inclusive workplace, celebrating our diverse employee base, providing transparency and innovation for our markets and ensuring transparency and validity for the data that propels them. Our long-term view encompasses ever more sustainable ways of working and investing as we forge the links between better serving markets and better serving the world.</w:t>
      </w:r>
    </w:p>
    <w:p>
      <w:pPr>
        <w:spacing w:after="0" w:line="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Beginning in 2019, we have given much thought into formulating what environmental, social and governance (“ESG”) means to our Company and how to best navigate our ESG journey as it relates to our various stakeholders. Our Board is enthusiastic about advancing our ESG strategies across the Company, with a planned increase in scope and focus on providing oversight and guidance for our ESG commitments and direction. The Company’s ESG strategy and initiatives are overseen by the Board’s</w:t>
      </w:r>
    </w:p>
    <w:p>
      <w:pPr>
        <w:spacing w:after="0" w:line="190"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99441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Nominating and Corporate Governance Committee, which periodically reviews and makes recommendations to the Company in order to further our ESG goals. In 2020, we formed an ESG Steering Committee comprised of senior level executives across the Company. The ESG Steering Committee is an advisory board assembled to guide our focus and ensure delivery of a thoughtful approach to integrating our ESG strategy into all aspects of our business and operations. To support this implementation, in December 2020 we created and filled a dedicated role to organize and manage our global Corporate Social Responsibility and ESG Initiatives. This role reports directly to the Global Head of Corporate Development, who is a member of the Executive Committee and the chair of the ESG Steering Committee.</w:t>
      </w:r>
    </w:p>
    <w:p>
      <w:pPr>
        <w:spacing w:after="0" w:line="1" w:lineRule="exact"/>
        <w:rPr>
          <w:sz w:val="20"/>
          <w:szCs w:val="20"/>
          <w:color w:val="auto"/>
        </w:rPr>
      </w:pPr>
    </w:p>
    <w:p>
      <w:pPr>
        <w:ind w:left="120" w:right="100" w:firstLine="440"/>
        <w:spacing w:after="0" w:line="265" w:lineRule="auto"/>
        <w:rPr>
          <w:sz w:val="20"/>
          <w:szCs w:val="20"/>
          <w:color w:val="auto"/>
        </w:rPr>
      </w:pPr>
      <w:r>
        <w:rPr>
          <w:rFonts w:ascii="Arial" w:cs="Arial" w:eastAsia="Arial" w:hAnsi="Arial"/>
          <w:sz w:val="17"/>
          <w:szCs w:val="17"/>
          <w:color w:val="auto"/>
        </w:rPr>
        <w:t>In September 2021, we published our inaugural 2020 Corporate Sustainability Report to increase transparency for our strong foundation in ESG matters. In preparing our 2020 Corporate Sustainability Report, we evaluated multiple disclosure frameworks and ultimately decided to use a blend of metrics (including the Global Reporting Initiative (“GRI”) and Sustainability Accounting Standards Board (“SASB”) metrics), as well as Task Force on Climate-related Financial Disclosures (“TCFD”) guidance, that we feel are most relevant to our position at the intersection of financial and technology services. The report outlines our commitment to corporate transparency and comprehensive ESG standards, discussing in detail our progress toward quantifying and reducing our carbon footprint, growing our use of renewable energy, demonstrating our commitment to advancing sustainable finance and creating solutions to help our clients pursue investment in climate-aligned strategies.</w:t>
      </w:r>
    </w:p>
    <w:p>
      <w:pPr>
        <w:spacing w:after="0" w:line="1"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8"/>
          <w:szCs w:val="18"/>
          <w:color w:val="auto"/>
        </w:rPr>
        <w:t>In 2021, we also joined the Climate Bonds Initiative’s (“CBI”) Partnership Programme to promote the visibility and accessibility of green bond trading activity across a wide range of asset classes, as well as to provide more clarity around our own green bond trading volumes. In 2021, CBI-screened green bonds accounted for $136 billion of the total $148 billion in green bond trading volume executed on Tradeweb, a record and an increase of 72% from 2020.</w:t>
      </w:r>
    </w:p>
    <w:p>
      <w:pPr>
        <w:spacing w:after="0" w:line="2" w:lineRule="exact"/>
        <w:rPr>
          <w:sz w:val="20"/>
          <w:szCs w:val="20"/>
          <w:color w:val="auto"/>
        </w:rPr>
      </w:pPr>
    </w:p>
    <w:p>
      <w:pPr>
        <w:ind w:left="120" w:right="440" w:firstLine="440"/>
        <w:spacing w:after="0" w:line="281" w:lineRule="auto"/>
        <w:rPr>
          <w:sz w:val="20"/>
          <w:szCs w:val="20"/>
          <w:color w:val="auto"/>
        </w:rPr>
      </w:pPr>
      <w:r>
        <w:rPr>
          <w:rFonts w:ascii="Arial" w:cs="Arial" w:eastAsia="Arial" w:hAnsi="Arial"/>
          <w:sz w:val="16"/>
          <w:szCs w:val="16"/>
          <w:color w:val="auto"/>
        </w:rPr>
        <w:t>Equally important is the progress we’re making on diversity, equity and inclusion, through our many employee resource groups. Tradeweb is committed to creating and fostering an inclusive workplace, growing our diverse employee base with many opportunities for career development.</w:t>
      </w:r>
    </w:p>
    <w:p>
      <w:pPr>
        <w:spacing w:after="0" w:line="1" w:lineRule="exact"/>
        <w:rPr>
          <w:sz w:val="20"/>
          <w:szCs w:val="20"/>
          <w:color w:val="auto"/>
        </w:rPr>
      </w:pPr>
    </w:p>
    <w:p>
      <w:pPr>
        <w:ind w:left="120" w:right="480" w:firstLine="440"/>
        <w:spacing w:after="0" w:line="253" w:lineRule="auto"/>
        <w:rPr>
          <w:sz w:val="20"/>
          <w:szCs w:val="20"/>
          <w:color w:val="auto"/>
        </w:rPr>
      </w:pPr>
      <w:r>
        <w:rPr>
          <w:rFonts w:ascii="Arial" w:cs="Arial" w:eastAsia="Arial" w:hAnsi="Arial"/>
          <w:sz w:val="18"/>
          <w:szCs w:val="18"/>
          <w:color w:val="auto"/>
        </w:rPr>
        <w:t xml:space="preserve">For further detail regarding our ESG initiatives, our 2020 Corporate Sustainability Report is available on our website at </w:t>
      </w:r>
      <w:r>
        <w:rPr>
          <w:rFonts w:ascii="Arial" w:cs="Arial" w:eastAsia="Arial" w:hAnsi="Arial"/>
          <w:sz w:val="18"/>
          <w:szCs w:val="18"/>
          <w:u w:val="single" w:color="auto"/>
          <w:color w:val="auto"/>
        </w:rPr>
        <w:t>https://investors.tradeweb.com</w:t>
      </w:r>
      <w:r>
        <w:rPr>
          <w:rFonts w:ascii="Arial" w:cs="Arial" w:eastAsia="Arial" w:hAnsi="Arial"/>
          <w:sz w:val="18"/>
          <w:szCs w:val="18"/>
          <w:color w:val="auto"/>
        </w:rPr>
        <w:t>. See “Tradeweb Corporate Responsibility” for additional information. The references to our 2020 Corporate Responsibility Report and our website are not intended to incorporate the information in that report or on our website into this Proxy Statement by reference.</w:t>
      </w:r>
    </w:p>
    <w:p>
      <w:pPr>
        <w:spacing w:after="0" w:line="190"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18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4063365" cy="49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63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Under the rules and regulations of the SEC, Nasdaq and the Public Company Accounting Oversight Board (the “PCAOB”), the Audit Committee is directly responsible for the appointment, compensation, retention, and oversight of our independent registered public accounting firm. In addition, the Audit Committee considers the independence of our independent registered public accounting firm and participates in the selection of the independent registered public accounting firm’s lead engagement partner. The Audit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2022. Deloitte has served as our independent registered public accounting firm since November 2018.</w:t>
      </w:r>
    </w:p>
    <w:p>
      <w:pPr>
        <w:spacing w:after="0" w:line="5" w:lineRule="exact"/>
        <w:rPr>
          <w:sz w:val="20"/>
          <w:szCs w:val="20"/>
          <w:color w:val="auto"/>
        </w:rPr>
      </w:pPr>
    </w:p>
    <w:p>
      <w:pPr>
        <w:ind w:left="120" w:right="120" w:firstLine="440"/>
        <w:spacing w:after="0" w:line="265" w:lineRule="auto"/>
        <w:rPr>
          <w:sz w:val="20"/>
          <w:szCs w:val="20"/>
          <w:color w:val="auto"/>
        </w:rPr>
      </w:pPr>
      <w:r>
        <w:rPr>
          <w:rFonts w:ascii="Arial" w:cs="Arial" w:eastAsia="Arial" w:hAnsi="Arial"/>
          <w:sz w:val="17"/>
          <w:szCs w:val="17"/>
          <w:color w:val="auto"/>
        </w:rPr>
        <w:t>The Board and the Audit Committee believe that the continued retention of Deloitte as the Company’s independent registered public accounting firm is in the best interests of the Company and its stockholders. If stockholders do not ratify the selection of Deloitte, the Audit Committee will evaluate the stockholder vote when considering the selection of a registered public accounting firm for the audit engagement for the 2022 fiscal year. In addition, even if stockholders ratify the selection of Deloitte as our independent registered public accounting firm, the Audit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1" w:lineRule="exact"/>
        <w:rPr>
          <w:sz w:val="20"/>
          <w:szCs w:val="20"/>
          <w:color w:val="auto"/>
        </w:rPr>
      </w:pPr>
    </w:p>
    <w:p>
      <w:pPr>
        <w:ind w:left="120" w:right="740" w:firstLine="440"/>
        <w:spacing w:after="0" w:line="260"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Deloitte as our independent registered public accounting firm for the fiscal year ending December 31, 2022.</w:t>
      </w:r>
    </w:p>
    <w:p>
      <w:pPr>
        <w:spacing w:after="0" w:line="18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4063365" cy="283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6336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420"/>
        <w:spacing w:after="0" w:line="258" w:lineRule="auto"/>
        <w:rPr>
          <w:sz w:val="20"/>
          <w:szCs w:val="20"/>
          <w:color w:val="auto"/>
        </w:rPr>
      </w:pPr>
      <w:r>
        <w:rPr>
          <w:rFonts w:ascii="Arial" w:cs="Arial" w:eastAsia="Arial" w:hAnsi="Arial"/>
          <w:sz w:val="18"/>
          <w:szCs w:val="18"/>
          <w:color w:val="auto"/>
        </w:rPr>
        <w:t>Representatives of Deloitte are expected to virtually attend the Annual Meeting and will have an opportunity to make a statement and to respond to appropriate questions from stockholders.</w:t>
      </w:r>
    </w:p>
    <w:p>
      <w:pPr>
        <w:spacing w:after="0" w:line="1"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color w:val="auto"/>
        </w:rPr>
        <w:t>Consistent with SEC and PCAOB requirements regarding auditor independence, the Audit Committee has responsibility for appointing, setting compensation for and overseeing the work of, the independent registered public accounting firm. In recognition of this responsibility, the Audit Committee has established a policy to pre-approve all audit and permissible non-audit services provided by the independent registered public accounting firm.</w:t>
      </w:r>
    </w:p>
    <w:p>
      <w:pPr>
        <w:spacing w:after="0" w:line="2" w:lineRule="exact"/>
        <w:rPr>
          <w:sz w:val="20"/>
          <w:szCs w:val="20"/>
          <w:color w:val="auto"/>
        </w:rPr>
      </w:pPr>
    </w:p>
    <w:p>
      <w:pPr>
        <w:ind w:left="120" w:right="580" w:firstLine="440"/>
        <w:spacing w:after="0" w:line="255" w:lineRule="auto"/>
        <w:rPr>
          <w:sz w:val="20"/>
          <w:szCs w:val="20"/>
          <w:color w:val="auto"/>
        </w:rPr>
      </w:pPr>
      <w:r>
        <w:rPr>
          <w:rFonts w:ascii="Arial" w:cs="Arial" w:eastAsia="Arial" w:hAnsi="Arial"/>
          <w:sz w:val="18"/>
          <w:szCs w:val="18"/>
          <w:color w:val="auto"/>
        </w:rPr>
        <w:t>Prior to engagement of the independent registered public accounting firm for the next year’s audit, management will submit to the Audit Committee for approval a list of services and related fees expected to be rendered during that year within each of the following four categories of services:</w:t>
      </w:r>
    </w:p>
    <w:p>
      <w:pPr>
        <w:spacing w:after="0" w:line="95" w:lineRule="exact"/>
        <w:rPr>
          <w:sz w:val="20"/>
          <w:szCs w:val="20"/>
          <w:color w:val="auto"/>
        </w:rPr>
      </w:pPr>
    </w:p>
    <w:p>
      <w:pPr>
        <w:ind w:left="1080" w:right="140" w:hanging="532"/>
        <w:spacing w:after="0" w:line="271"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ind w:left="1080" w:right="780" w:hanging="532"/>
        <w:spacing w:after="0" w:line="28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spacing w:after="0" w:line="1" w:lineRule="exact"/>
        <w:rPr>
          <w:rFonts w:ascii="Arial" w:cs="Arial" w:eastAsia="Arial" w:hAnsi="Arial"/>
          <w:sz w:val="16"/>
          <w:szCs w:val="16"/>
          <w:color w:val="auto"/>
        </w:rPr>
      </w:pPr>
    </w:p>
    <w:p>
      <w:pPr>
        <w:ind w:left="1080" w:right="40" w:hanging="532"/>
        <w:spacing w:after="0" w:line="250"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services are those services not captured in the Audit, Audit-Related or Tax categories.</w:t>
      </w:r>
    </w:p>
    <w:p>
      <w:pPr>
        <w:spacing w:after="0" w:line="211"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Prior to engagement, the Audit Committee pre-approves independent registered public accounting firm services within each category and the fees of each category are budgeted.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 All of the services in the table below were pre-approved by the Audit Committee.</w:t>
      </w:r>
    </w:p>
    <w:p>
      <w:pPr>
        <w:spacing w:after="0" w:line="187"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205740</wp:posOffset>
            </wp:positionV>
            <wp:extent cx="204025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0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The following is a description of the professional services performed and the fees billed by Deloitte for each of the fiscal years ended December 31, 2021 and 2020.</w:t>
      </w:r>
    </w:p>
    <w:p>
      <w:pPr>
        <w:spacing w:after="0" w:line="192" w:lineRule="exact"/>
        <w:rPr>
          <w:sz w:val="20"/>
          <w:szCs w:val="20"/>
          <w:color w:val="auto"/>
        </w:rPr>
      </w:pPr>
    </w:p>
    <w:p>
      <w:pPr>
        <w:jc w:val="right"/>
        <w:ind w:right="200"/>
        <w:spacing w:after="0"/>
        <w:tabs>
          <w:tab w:leader="none" w:pos="1020" w:val="left"/>
        </w:tabs>
        <w:rPr>
          <w:sz w:val="20"/>
          <w:szCs w:val="20"/>
          <w:color w:val="auto"/>
        </w:rPr>
      </w:pPr>
      <w:r>
        <w:rPr>
          <w:rFonts w:ascii="Arial" w:cs="Arial" w:eastAsia="Arial" w:hAnsi="Arial"/>
          <w:sz w:val="14"/>
          <w:szCs w:val="14"/>
          <w:color w:val="auto"/>
        </w:rPr>
        <w:t>Fiscal Year Ended</w:t>
      </w:r>
      <w:r>
        <w:rPr>
          <w:sz w:val="20"/>
          <w:szCs w:val="20"/>
          <w:color w:val="auto"/>
        </w:rPr>
        <w:tab/>
      </w:r>
      <w:r>
        <w:rPr>
          <w:rFonts w:ascii="Arial" w:cs="Arial" w:eastAsia="Arial" w:hAnsi="Arial"/>
          <w:sz w:val="12"/>
          <w:szCs w:val="12"/>
          <w:color w:val="auto"/>
        </w:rPr>
        <w:t>Fiscal Year Ended</w:t>
      </w:r>
    </w:p>
    <w:p>
      <w:pPr>
        <w:jc w:val="right"/>
        <w:ind w:right="200"/>
        <w:spacing w:after="0"/>
        <w:rPr>
          <w:sz w:val="20"/>
          <w:szCs w:val="20"/>
          <w:color w:val="auto"/>
        </w:rPr>
      </w:pPr>
      <w:r>
        <w:rPr>
          <w:rFonts w:ascii="Arial" w:cs="Arial" w:eastAsia="Arial" w:hAnsi="Arial"/>
          <w:sz w:val="14"/>
          <w:szCs w:val="14"/>
          <w:color w:val="auto"/>
        </w:rPr>
        <w:t>December 31, 2020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Audit-related Services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529780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97805" cy="205740"/>
                    </a:xfrm>
                    <a:prstGeom prst="rect">
                      <a:avLst/>
                    </a:prstGeom>
                    <a:noFill/>
                  </pic:spPr>
                </pic:pic>
              </a:graphicData>
            </a:graphic>
          </wp:anchor>
        </w:drawing>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All Other Fees</w:t>
      </w:r>
      <w:r>
        <w:rPr>
          <w:rFonts w:ascii="Arial" w:cs="Arial" w:eastAsia="Arial" w:hAnsi="Arial"/>
          <w:sz w:val="27"/>
          <w:szCs w:val="27"/>
          <w:color w:val="auto"/>
          <w:vertAlign w:val="superscript"/>
        </w:rPr>
        <w:t>(4)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1220" w:type="dxa"/>
            <w:vAlign w:val="bottom"/>
            <w:tcBorders>
              <w:bottom w:val="single" w:sz="8" w:color="CCEEF7"/>
            </w:tcBorders>
            <w:gridSpan w:val="2"/>
            <w:shd w:val="clear" w:color="auto" w:fill="CCEEF7"/>
          </w:tcPr>
          <w:p>
            <w:pPr>
              <w:jc w:val="right"/>
              <w:spacing w:after="0"/>
              <w:rPr>
                <w:sz w:val="20"/>
                <w:szCs w:val="20"/>
                <w:color w:val="auto"/>
              </w:rPr>
            </w:pPr>
            <w:r>
              <w:rPr>
                <w:rFonts w:ascii="Arial" w:cs="Arial" w:eastAsia="Arial" w:hAnsi="Arial"/>
                <w:sz w:val="16"/>
                <w:szCs w:val="16"/>
                <w:color w:val="auto"/>
              </w:rPr>
              <w:t>$ 3,617,990</w:t>
            </w:r>
          </w:p>
        </w:tc>
        <w:tc>
          <w:tcPr>
            <w:tcW w:w="420" w:type="dxa"/>
            <w:vAlign w:val="bottom"/>
            <w:tcBorders>
              <w:bottom w:val="single" w:sz="8" w:color="CCEEF7"/>
            </w:tcBorders>
            <w:shd w:val="clear" w:color="auto" w:fill="CCEEF7"/>
          </w:tcPr>
          <w:p>
            <w:pPr>
              <w:spacing w:after="0"/>
              <w:rPr>
                <w:sz w:val="24"/>
                <w:szCs w:val="24"/>
                <w:color w:val="auto"/>
              </w:rPr>
            </w:pPr>
          </w:p>
        </w:tc>
        <w:tc>
          <w:tcPr>
            <w:tcW w:w="1040" w:type="dxa"/>
            <w:vAlign w:val="bottom"/>
            <w:tcBorders>
              <w:bottom w:val="single" w:sz="8" w:color="CCEEF7"/>
            </w:tcBorders>
            <w:gridSpan w:val="2"/>
            <w:shd w:val="clear" w:color="auto" w:fill="CCEEF7"/>
          </w:tcPr>
          <w:p>
            <w:pPr>
              <w:jc w:val="right"/>
              <w:ind w:right="220"/>
              <w:spacing w:after="0"/>
              <w:rPr>
                <w:sz w:val="20"/>
                <w:szCs w:val="20"/>
                <w:color w:val="auto"/>
              </w:rPr>
            </w:pPr>
            <w:r>
              <w:rPr>
                <w:rFonts w:ascii="Arial" w:cs="Arial" w:eastAsia="Arial" w:hAnsi="Arial"/>
                <w:sz w:val="16"/>
                <w:szCs w:val="16"/>
                <w:color w:val="auto"/>
                <w:w w:val="99"/>
              </w:rPr>
              <w:t>$4,006,250</w:t>
            </w:r>
          </w:p>
        </w:tc>
      </w:tr>
      <w:tr>
        <w:trPr>
          <w:trHeight w:val="264"/>
        </w:trPr>
        <w:tc>
          <w:tcPr>
            <w:tcW w:w="360" w:type="dxa"/>
            <w:vAlign w:val="bottom"/>
          </w:tcPr>
          <w:p>
            <w:pPr>
              <w:spacing w:after="0"/>
              <w:rPr>
                <w:sz w:val="22"/>
                <w:szCs w:val="22"/>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60"/>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304"/>
        </w:trPr>
        <w:tc>
          <w:tcPr>
            <w:tcW w:w="360" w:type="dxa"/>
            <w:vAlign w:val="bottom"/>
            <w:tcBorders>
              <w:bottom w:val="single" w:sz="8" w:color="CCEEF7"/>
            </w:tcBorders>
            <w:shd w:val="clear" w:color="auto" w:fill="CCEEF7"/>
          </w:tcPr>
          <w:p>
            <w:pPr>
              <w:spacing w:after="0"/>
              <w:rPr>
                <w:sz w:val="24"/>
                <w:szCs w:val="24"/>
                <w:color w:val="auto"/>
              </w:rPr>
            </w:pPr>
          </w:p>
        </w:tc>
        <w:tc>
          <w:tcPr>
            <w:tcW w:w="1280" w:type="dxa"/>
            <w:vAlign w:val="bottom"/>
            <w:tcBorders>
              <w:bottom w:val="single" w:sz="8" w:color="CCEEF7"/>
            </w:tcBorders>
            <w:gridSpan w:val="2"/>
            <w:shd w:val="clear" w:color="auto" w:fill="CCEEF7"/>
          </w:tcPr>
          <w:p>
            <w:pPr>
              <w:jc w:val="right"/>
              <w:ind w:right="4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7"/>
            </w:tcBorders>
            <w:gridSpan w:val="2"/>
            <w:shd w:val="clear" w:color="auto" w:fill="CCEEF7"/>
          </w:tcPr>
          <w:p>
            <w:pPr>
              <w:jc w:val="right"/>
              <w:ind w:right="220"/>
              <w:spacing w:after="0"/>
              <w:rPr>
                <w:sz w:val="20"/>
                <w:szCs w:val="20"/>
                <w:color w:val="auto"/>
              </w:rPr>
            </w:pPr>
            <w:r>
              <w:rPr>
                <w:rFonts w:ascii="Arial" w:cs="Arial" w:eastAsia="Arial" w:hAnsi="Arial"/>
                <w:sz w:val="16"/>
                <w:szCs w:val="16"/>
                <w:color w:val="auto"/>
              </w:rPr>
              <w:t>—</w:t>
            </w:r>
          </w:p>
        </w:tc>
      </w:tr>
      <w:tr>
        <w:trPr>
          <w:trHeight w:val="277"/>
        </w:trPr>
        <w:tc>
          <w:tcPr>
            <w:tcW w:w="1640" w:type="dxa"/>
            <w:vAlign w:val="bottom"/>
            <w:gridSpan w:val="3"/>
          </w:tcPr>
          <w:p>
            <w:pPr>
              <w:jc w:val="right"/>
              <w:ind w:right="420"/>
              <w:spacing w:after="0"/>
              <w:rPr>
                <w:sz w:val="20"/>
                <w:szCs w:val="20"/>
                <w:color w:val="auto"/>
              </w:rPr>
            </w:pPr>
            <w:r>
              <w:rPr>
                <w:rFonts w:ascii="Arial" w:cs="Arial" w:eastAsia="Arial" w:hAnsi="Arial"/>
                <w:sz w:val="16"/>
                <w:szCs w:val="16"/>
                <w:color w:val="auto"/>
              </w:rPr>
              <w:t>4,126</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4,926</w:t>
            </w:r>
          </w:p>
        </w:tc>
      </w:tr>
      <w:tr>
        <w:trPr>
          <w:trHeight w:val="20"/>
        </w:trPr>
        <w:tc>
          <w:tcPr>
            <w:tcW w:w="3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1640" w:type="dxa"/>
            <w:vAlign w:val="bottom"/>
            <w:gridSpan w:val="3"/>
            <w:shd w:val="clear" w:color="auto" w:fill="CCEEF7"/>
          </w:tcPr>
          <w:p>
            <w:pPr>
              <w:jc w:val="right"/>
              <w:ind w:right="420"/>
              <w:spacing w:after="0"/>
              <w:rPr>
                <w:sz w:val="20"/>
                <w:szCs w:val="20"/>
                <w:color w:val="auto"/>
              </w:rPr>
            </w:pPr>
            <w:r>
              <w:rPr>
                <w:rFonts w:ascii="Arial" w:cs="Arial" w:eastAsia="Arial" w:hAnsi="Arial"/>
                <w:sz w:val="16"/>
                <w:szCs w:val="16"/>
                <w:color w:val="auto"/>
              </w:rPr>
              <w:t>$ 3,622,116</w:t>
            </w:r>
          </w:p>
        </w:tc>
        <w:tc>
          <w:tcPr>
            <w:tcW w:w="1040" w:type="dxa"/>
            <w:vAlign w:val="bottom"/>
            <w:gridSpan w:val="2"/>
            <w:shd w:val="clear" w:color="auto" w:fill="CCEEF7"/>
          </w:tcPr>
          <w:p>
            <w:pPr>
              <w:jc w:val="right"/>
              <w:ind w:right="220"/>
              <w:spacing w:after="0"/>
              <w:rPr>
                <w:sz w:val="20"/>
                <w:szCs w:val="20"/>
                <w:color w:val="auto"/>
              </w:rPr>
            </w:pPr>
            <w:r>
              <w:rPr>
                <w:rFonts w:ascii="Arial" w:cs="Arial" w:eastAsia="Arial" w:hAnsi="Arial"/>
                <w:sz w:val="16"/>
                <w:szCs w:val="16"/>
                <w:color w:val="auto"/>
                <w:w w:val="99"/>
              </w:rPr>
              <w:t>$4,011,176</w:t>
            </w:r>
          </w:p>
        </w:tc>
      </w:tr>
      <w:tr>
        <w:trPr>
          <w:trHeight w:val="73"/>
        </w:trPr>
        <w:tc>
          <w:tcPr>
            <w:tcW w:w="360" w:type="dxa"/>
            <w:vAlign w:val="bottom"/>
            <w:shd w:val="clear" w:color="auto" w:fill="CCEEF7"/>
          </w:tcPr>
          <w:p>
            <w:pPr>
              <w:spacing w:after="0"/>
              <w:rPr>
                <w:sz w:val="6"/>
                <w:szCs w:val="6"/>
                <w:color w:val="auto"/>
              </w:rPr>
            </w:pPr>
          </w:p>
        </w:tc>
        <w:tc>
          <w:tcPr>
            <w:tcW w:w="860" w:type="dxa"/>
            <w:vAlign w:val="bottom"/>
            <w:shd w:val="clear" w:color="auto" w:fill="CCEEF7"/>
          </w:tcPr>
          <w:p>
            <w:pPr>
              <w:spacing w:after="0"/>
              <w:rPr>
                <w:sz w:val="6"/>
                <w:szCs w:val="6"/>
                <w:color w:val="auto"/>
              </w:rPr>
            </w:pPr>
          </w:p>
        </w:tc>
        <w:tc>
          <w:tcPr>
            <w:tcW w:w="420" w:type="dxa"/>
            <w:vAlign w:val="bottom"/>
            <w:shd w:val="clear" w:color="auto" w:fill="CCEEF7"/>
          </w:tcPr>
          <w:p>
            <w:pPr>
              <w:spacing w:after="0"/>
              <w:rPr>
                <w:sz w:val="6"/>
                <w:szCs w:val="6"/>
                <w:color w:val="auto"/>
              </w:rPr>
            </w:pPr>
          </w:p>
        </w:tc>
        <w:tc>
          <w:tcPr>
            <w:tcW w:w="820" w:type="dxa"/>
            <w:vAlign w:val="bottom"/>
            <w:shd w:val="clear" w:color="auto" w:fill="CCEEF7"/>
          </w:tcPr>
          <w:p>
            <w:pPr>
              <w:spacing w:after="0"/>
              <w:rPr>
                <w:sz w:val="6"/>
                <w:szCs w:val="6"/>
                <w:color w:val="auto"/>
              </w:rPr>
            </w:pPr>
          </w:p>
        </w:tc>
        <w:tc>
          <w:tcPr>
            <w:tcW w:w="220" w:type="dxa"/>
            <w:vAlign w:val="bottom"/>
            <w:shd w:val="clear" w:color="auto" w:fill="CCEEF7"/>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-5297805</wp:posOffset>
            </wp:positionH>
            <wp:positionV relativeFrom="paragraph">
              <wp:posOffset>-213995</wp:posOffset>
            </wp:positionV>
            <wp:extent cx="699516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680"/>
          </w:cols>
          <w:pgMar w:left="320" w:top="459" w:right="439" w:bottom="1440" w:gutter="0" w:footer="0" w:header="0"/>
          <w:type w:val="continuous"/>
        </w:sectPr>
      </w:pPr>
    </w:p>
    <w:p>
      <w:pPr>
        <w:spacing w:after="0" w:line="61" w:lineRule="exact"/>
        <w:rPr>
          <w:sz w:val="20"/>
          <w:szCs w:val="20"/>
          <w:color w:val="auto"/>
        </w:rPr>
      </w:pPr>
    </w:p>
    <w:p>
      <w:pPr>
        <w:ind w:left="540" w:right="140" w:hanging="424"/>
        <w:spacing w:after="0" w:line="249"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Audit fees consist of fees for professional services rendered for the audit of our financial statements and internal controls over financial reporting, reviews of interim financial statements, consent and comfort letters in connection with registration statements filed with the SEC, and statutory and regulatory filings, and audits related to LSEG’s financial statements.</w:t>
      </w:r>
    </w:p>
    <w:p>
      <w:pPr>
        <w:spacing w:after="0" w:line="65"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Audit related services consist of Service Organization Control (SOC) audits.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Tax fees are for tax compliance services.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other fees relate to professional services not included in the categories above, including fees related to a subscription to an accounting research tool.</w:t>
      </w:r>
    </w:p>
    <w:p>
      <w:pPr>
        <w:spacing w:after="0" w:line="195"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21</w:t>
      </w:r>
    </w:p>
    <w:p>
      <w:pPr>
        <w:sectPr>
          <w:pgSz w:w="11900" w:h="16838" w:orient="portrait"/>
          <w:cols w:equalWidth="0" w:num="1">
            <w:col w:w="11140"/>
          </w:cols>
          <w:pgMar w:left="32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300095" cy="4972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00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Vermont Pension Investment Committee, a beneficial owner of at least $2,000 in market value of the Company’s common stock, requested that the Company include the below stockholder proposal in the proxy materials regarding the Annual Meeting.</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Stockholder Proposal</w:t>
      </w:r>
    </w:p>
    <w:p>
      <w:pPr>
        <w:spacing w:after="0" w:line="102"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“Resolved, shareholders request that the Board of Directors of Tradeweb Markets adopt a policy for improving board diversity (the “Policy”) requiring that the initial list of candidates from which new management supported director nominees are chosen (the “Initial List”) by the Nominating and Corporate Governance Committee should include, but need not be limited to, qualified women and minority candidates. The Policy should provide that any third-party consultant asked to furnish an Initial List will be requested to include such candidates.”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Supporting Statement</w:t>
      </w:r>
    </w:p>
    <w:p>
      <w:pPr>
        <w:spacing w:after="0" w:line="102" w:lineRule="exact"/>
        <w:rPr>
          <w:sz w:val="20"/>
          <w:szCs w:val="20"/>
          <w:color w:val="auto"/>
        </w:rPr>
      </w:pPr>
    </w:p>
    <w:p>
      <w:pPr>
        <w:ind w:left="120" w:right="600"/>
        <w:spacing w:after="0" w:line="254" w:lineRule="auto"/>
        <w:rPr>
          <w:sz w:val="20"/>
          <w:szCs w:val="20"/>
          <w:color w:val="auto"/>
        </w:rPr>
      </w:pPr>
      <w:r>
        <w:rPr>
          <w:rFonts w:ascii="Arial" w:cs="Arial" w:eastAsia="Arial" w:hAnsi="Arial"/>
          <w:sz w:val="18"/>
          <w:szCs w:val="18"/>
          <w:color w:val="auto"/>
        </w:rPr>
        <w:t>“Currently, Tradeweb Markets has a single woman on its Board of Directors and the racial composition is unclear. A McKinsey study found that companies in the top quartile for gender diversity in corporate leadership had 21% likelihood of outperforming bottom-quartile industry peers on profitability. Similarly, leaders in racial and ethnic diversity are 33% more likely to outperform peers on profitability. (https://www.mckinsey.com/business-functions/organization/our-insights/delivering-through-diversity)</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Adopting a policy that requires the consideration of women and minority candidates for every open director seat enhances the nomination process,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assists the Committee in developing a diverse Board. A 2016 study published by Harvard Business Review found that including more than one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woman or minority in a finalist pool changes the status quo to help combat unconscious bias among interviewers. Researchers found that the odds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hiring a woman were 79 times greater when there were at least two women in the finalist pool, and the odds of hiring a minority were 193 times greater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there were at least two minority candidates in the finalist pool.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(https://hbr.org/2016/04/if-theres-only-one-woman-in-your-candidate-pool-theres-statistically-no-chance-shell-be-hired)</w:t>
      </w:r>
    </w:p>
    <w:p>
      <w:pPr>
        <w:spacing w:after="0" w:line="9" w:lineRule="exact"/>
        <w:rPr>
          <w:sz w:val="20"/>
          <w:szCs w:val="20"/>
          <w:color w:val="auto"/>
        </w:rPr>
      </w:pPr>
    </w:p>
    <w:p>
      <w:pPr>
        <w:ind w:left="120" w:right="100" w:firstLine="440"/>
        <w:spacing w:after="0" w:line="265" w:lineRule="auto"/>
        <w:rPr>
          <w:sz w:val="20"/>
          <w:szCs w:val="20"/>
          <w:color w:val="auto"/>
        </w:rPr>
      </w:pPr>
      <w:r>
        <w:rPr>
          <w:rFonts w:ascii="Arial" w:cs="Arial" w:eastAsia="Arial" w:hAnsi="Arial"/>
          <w:sz w:val="17"/>
          <w:szCs w:val="17"/>
          <w:color w:val="auto"/>
        </w:rPr>
        <w:t>Many companies inadvertently narrow the candidate pool in new director searches by only considering CEOs and C-Suite nominees. Diverse search policies have been adopted by the Nominating and Governance Committees of Amazon, Facebook, Intel, Costco, Home Depot, Oracle, McDonald’s, Marten Transport, Marathon Petroleum, and United Continental. Additionally, key leaders in the business community support this policy direction. In its 2016 Principles of Corporate Governance, the Business Roundtable calls on boards to “develop a framework for identifying appropriately diverse candidates that allows the nominating/governance committee to consider women, minorities, and others with diverse backgrounds as candidates for each open board seat.” (http://businessroundtable.org/corporate-governance)</w:t>
      </w:r>
    </w:p>
    <w:p>
      <w:pPr>
        <w:spacing w:after="0" w:line="1"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color w:val="auto"/>
        </w:rPr>
        <w:t>Stock exchange operator Nasdaq requires listed company to have diverse boards or explain why they lack diversity. Nasdaq defines diversity as two diverse directors, including one who identifies as female and another as an underrepresented minority or LGBTQ+ or explain why they lack that composition. Under the new listing standards, companies also are required to disclose the diversity of their boards. Disclosure is required by the later of August 8, 2022 or the date the company files its next proxy statement.</w:t>
      </w:r>
    </w:p>
    <w:p>
      <w:pPr>
        <w:spacing w:after="0" w:line="2" w:lineRule="exact"/>
        <w:rPr>
          <w:sz w:val="20"/>
          <w:szCs w:val="20"/>
          <w:color w:val="auto"/>
        </w:rPr>
      </w:pPr>
    </w:p>
    <w:p>
      <w:pPr>
        <w:ind w:left="120" w:right="340" w:firstLine="440"/>
        <w:spacing w:after="0" w:line="250" w:lineRule="auto"/>
        <w:rPr>
          <w:sz w:val="20"/>
          <w:szCs w:val="20"/>
          <w:color w:val="auto"/>
        </w:rPr>
      </w:pPr>
      <w:r>
        <w:rPr>
          <w:rFonts w:ascii="Arial" w:cs="Arial" w:eastAsia="Arial" w:hAnsi="Arial"/>
          <w:sz w:val="18"/>
          <w:szCs w:val="18"/>
          <w:color w:val="auto"/>
        </w:rPr>
        <w:t>Additionally, California and Illinois are among the growing number of states that have laws on board diversity for firms headquartered in their states.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urge shareholders to vote in favor of this proposal.”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recommends a vote against this proposal for the following reasons:</w:t>
      </w:r>
    </w:p>
    <w:p>
      <w:pPr>
        <w:spacing w:after="0" w:line="9"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color w:val="auto"/>
        </w:rPr>
        <w:t>After careful consideration, the Board opposes this proposal because the Company already has in place a Board Diversity Policy, which the Board believes achieves the aims intended by the stockholder proposal.</w:t>
      </w:r>
    </w:p>
    <w:p>
      <w:pPr>
        <w:spacing w:after="0" w:line="1" w:lineRule="exact"/>
        <w:rPr>
          <w:sz w:val="20"/>
          <w:szCs w:val="20"/>
          <w:color w:val="auto"/>
        </w:rPr>
      </w:pPr>
    </w:p>
    <w:p>
      <w:pPr>
        <w:ind w:left="120" w:right="40" w:firstLine="440"/>
        <w:spacing w:after="0" w:line="260" w:lineRule="auto"/>
        <w:rPr>
          <w:sz w:val="20"/>
          <w:szCs w:val="20"/>
          <w:color w:val="auto"/>
        </w:rPr>
      </w:pPr>
      <w:r>
        <w:rPr>
          <w:rFonts w:ascii="Arial" w:cs="Arial" w:eastAsia="Arial" w:hAnsi="Arial"/>
          <w:sz w:val="18"/>
          <w:szCs w:val="18"/>
          <w:color w:val="auto"/>
        </w:rPr>
        <w:t>The Board acknowledges the benefits of diversity throughout the Company, a tenet illustrated by the actions and existing policies of the Company. The Company has a deeply ingrained commitment to diversity,</w:t>
      </w:r>
    </w:p>
    <w:p>
      <w:pPr>
        <w:spacing w:after="0" w:line="18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205740</wp:posOffset>
            </wp:positionV>
            <wp:extent cx="1663065"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630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that is clearly exemplified by the Company’s Corporate Governance Guidelines and Code of Business Conduct and Ethics.</w:t>
      </w:r>
    </w:p>
    <w:p>
      <w:pPr>
        <w:spacing w:after="0" w:line="23" w:lineRule="exact"/>
        <w:rPr>
          <w:sz w:val="20"/>
          <w:szCs w:val="20"/>
          <w:color w:val="auto"/>
        </w:rPr>
      </w:pPr>
    </w:p>
    <w:p>
      <w:pPr>
        <w:ind w:left="120" w:right="40" w:firstLine="440"/>
        <w:spacing w:after="0" w:line="265" w:lineRule="auto"/>
        <w:rPr>
          <w:sz w:val="20"/>
          <w:szCs w:val="20"/>
          <w:color w:val="auto"/>
        </w:rPr>
      </w:pPr>
      <w:r>
        <w:rPr>
          <w:rFonts w:ascii="Arial" w:cs="Arial" w:eastAsia="Arial" w:hAnsi="Arial"/>
          <w:sz w:val="17"/>
          <w:szCs w:val="17"/>
          <w:color w:val="auto"/>
        </w:rPr>
        <w:t>The Board Diversity Policy located within the Company’s Corporate Governance Guidelines requires that “Board diversity [be] considered from a number of aspects, including but not limited to gender, age, race, ethnicity, nationality, cultural and educational background[.]”</w:t>
      </w:r>
    </w:p>
    <w:p>
      <w:pPr>
        <w:ind w:left="120" w:right="440" w:firstLine="440"/>
        <w:spacing w:after="0" w:line="250" w:lineRule="auto"/>
        <w:rPr>
          <w:sz w:val="20"/>
          <w:szCs w:val="20"/>
          <w:color w:val="auto"/>
        </w:rPr>
      </w:pPr>
      <w:r>
        <w:rPr>
          <w:rFonts w:ascii="Arial" w:cs="Arial" w:eastAsia="Arial" w:hAnsi="Arial"/>
          <w:sz w:val="18"/>
          <w:szCs w:val="18"/>
          <w:color w:val="auto"/>
        </w:rPr>
        <w:t>The Nominating and Corporate Governance Committee Charter specifically refers to the Board Diversity Policy as a factor to consider when identifying candidates for membership on the Board, when making recommendation for existing members’ reelections and when making recommendations regarding the size and composition of the Board.</w:t>
      </w:r>
    </w:p>
    <w:p>
      <w:pPr>
        <w:spacing w:after="0" w:line="1" w:lineRule="exact"/>
        <w:rPr>
          <w:sz w:val="20"/>
          <w:szCs w:val="20"/>
          <w:color w:val="auto"/>
        </w:rPr>
      </w:pPr>
    </w:p>
    <w:p>
      <w:pPr>
        <w:ind w:left="120" w:right="720" w:firstLine="440"/>
        <w:spacing w:after="0" w:line="250" w:lineRule="auto"/>
        <w:rPr>
          <w:sz w:val="20"/>
          <w:szCs w:val="20"/>
          <w:color w:val="auto"/>
        </w:rPr>
      </w:pPr>
      <w:r>
        <w:rPr>
          <w:rFonts w:ascii="Arial" w:cs="Arial" w:eastAsia="Arial" w:hAnsi="Arial"/>
          <w:sz w:val="18"/>
          <w:szCs w:val="18"/>
          <w:color w:val="auto"/>
        </w:rPr>
        <w:t>The Company has and continues to be in compliance with Nasdaq requirements regarding board diversity, and has included in this Proxy Statement a Board Diversity Matrix in compliance with the updated listing standards.</w:t>
      </w:r>
    </w:p>
    <w:p>
      <w:pPr>
        <w:spacing w:after="0" w:line="1"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6"/>
          <w:szCs w:val="16"/>
          <w:color w:val="auto"/>
        </w:rPr>
        <w:t>The Company is also long committed to providing a diverse and inclusive workplace, with a focus on growing the diversity within its employee base. As a priority, the Company strives to ensure the most diverse set of talent to be considered for its open positions. In order to promote and source diverse talent, the Company partners with a number of organizations in its hiring processes and continues to expand the partners it works with to ensure it has appropriate channels through which to source talent. To that end, the Company currently works with approximately 18 organizations globally with a specific focus on sourcing eligible candidates from diverse backgrounds and with diverse skillsets for open positions. For example, the Company uses Direct Employers to post roles to over 300 diverse job boards globally, to ensure its direct sourcing of candidates is representative of its diversity goals.</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these reason, the Board recommends stockholders to vote against this proposal.</w:t>
      </w:r>
    </w:p>
    <w:p>
      <w:pPr>
        <w:spacing w:after="0" w:line="9" w:lineRule="exact"/>
        <w:rPr>
          <w:sz w:val="20"/>
          <w:szCs w:val="20"/>
          <w:color w:val="auto"/>
        </w:rPr>
      </w:pPr>
    </w:p>
    <w:p>
      <w:pPr>
        <w:ind w:left="120" w:right="220" w:firstLine="440"/>
        <w:spacing w:after="0" w:line="260" w:lineRule="auto"/>
        <w:rPr>
          <w:sz w:val="20"/>
          <w:szCs w:val="20"/>
          <w:color w:val="auto"/>
        </w:rPr>
      </w:pPr>
      <w:r>
        <w:rPr>
          <w:rFonts w:ascii="Arial" w:cs="Arial" w:eastAsia="Arial" w:hAnsi="Arial"/>
          <w:sz w:val="18"/>
          <w:szCs w:val="18"/>
          <w:b w:val="1"/>
          <w:bCs w:val="1"/>
          <w:color w:val="auto"/>
        </w:rPr>
        <w:t>The Board of Directors recommends a vote “against” the stockholder proposal relating to the adoption of an additional policy on board diversity.</w:t>
      </w:r>
    </w:p>
    <w:p>
      <w:pPr>
        <w:spacing w:after="0" w:line="18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2"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color w:val="auto"/>
        </w:rPr>
        <w:t xml:space="preserve">In this context, the Audit Committee reviewed and discussed with management and our independent registered public accounting firm the audited financial statements for the year ended December 31, 2021 (the “Audited Financial Statements”), management’s assessment of the effectiveness of the Company’s internal control over financial reporting. The Audit Committee has discussed with our independent registered public accounting firm the matters required to be discussed by the applicable requirements of the PCAOB and SEC, including PCAOB Auditing Standard No. 1301, </w:t>
      </w:r>
      <w:r>
        <w:rPr>
          <w:rFonts w:ascii="Arial" w:cs="Arial" w:eastAsia="Arial" w:hAnsi="Arial"/>
          <w:sz w:val="18"/>
          <w:szCs w:val="18"/>
          <w:i w:val="1"/>
          <w:iCs w:val="1"/>
          <w:color w:val="auto"/>
        </w:rPr>
        <w:t xml:space="preserve">Communications with Audit Committees. </w:t>
      </w:r>
      <w:r>
        <w:rPr>
          <w:rFonts w:ascii="Arial" w:cs="Arial" w:eastAsia="Arial" w:hAnsi="Arial"/>
          <w:sz w:val="18"/>
          <w:szCs w:val="18"/>
          <w:color w:val="auto"/>
        </w:rPr>
        <w:t>In addition, the Audit Committee has received the written disclosures and the letter from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applicable requirements of the PCAOB regarding our independent registered public accounting firm’s communications with the Audit Committee concerning independence, and has discussed with our independent registered public accounting firm its independence.</w:t>
      </w:r>
    </w:p>
    <w:p>
      <w:pPr>
        <w:spacing w:after="0" w:line="3"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7"/>
          <w:szCs w:val="17"/>
          <w:color w:val="auto"/>
        </w:rPr>
        <w:t>Based upon the reviews and discussions referred to above, the Audit Committee recommended to the Board that the Audited Financial Statements be included in the Company’s Annual Report on Form 10-K for the year ended December 31, 2021, for filing with the SEC.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Steven Berns, Chairperson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Scott Ganeles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Von Hughes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Paula Madoff</w:t>
      </w:r>
    </w:p>
    <w:p>
      <w:pPr>
        <w:spacing w:after="0" w:line="20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051810" cy="4972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518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beneficial ownership of our Class A common stock and our Class B common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14, 2022 for:</w:t>
      </w:r>
    </w:p>
    <w:p>
      <w:pPr>
        <w:spacing w:after="0" w:line="116" w:lineRule="exact"/>
        <w:rPr>
          <w:sz w:val="20"/>
          <w:szCs w:val="20"/>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23" w:lineRule="exact"/>
        <w:rPr>
          <w:rFonts w:ascii="Arial" w:cs="Arial" w:eastAsia="Arial" w:hAnsi="Arial"/>
          <w:sz w:val="18"/>
          <w:szCs w:val="18"/>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107,246,495 shares of Class A common stock, 96,933,192 shares of Class B common stock, 1,654,825 shares of Class C common stock and 28,325,833 shares of Class D common stock outstanding as of March 14, 2022.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14, 2022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Class A</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0"/>
        </w:trPr>
        <w:tc>
          <w:tcPr>
            <w:tcW w:w="1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gridSpan w:val="2"/>
          </w:tcPr>
          <w:p>
            <w:pPr>
              <w:jc w:val="right"/>
              <w:ind w:right="1"/>
              <w:spacing w:after="0" w:line="141" w:lineRule="exact"/>
              <w:rPr>
                <w:sz w:val="20"/>
                <w:szCs w:val="20"/>
                <w:color w:val="auto"/>
              </w:rPr>
            </w:pPr>
            <w:r>
              <w:rPr>
                <w:rFonts w:ascii="Arial" w:cs="Arial" w:eastAsia="Arial" w:hAnsi="Arial"/>
                <w:sz w:val="14"/>
                <w:szCs w:val="14"/>
                <w:color w:val="auto"/>
              </w:rPr>
              <w:t>Common Stock (on a fully</w:t>
            </w:r>
          </w:p>
        </w:tc>
        <w:tc>
          <w:tcPr>
            <w:tcW w:w="10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Class B</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8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exchanged and converted</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Common Stock (on a fully</w:t>
            </w:r>
          </w:p>
        </w:tc>
        <w:tc>
          <w:tcPr>
            <w:tcW w:w="800" w:type="dxa"/>
            <w:vAlign w:val="bottom"/>
          </w:tcPr>
          <w:p>
            <w:pPr>
              <w:jc w:val="right"/>
              <w:ind w:right="41"/>
              <w:spacing w:after="0" w:line="14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basis)</w:t>
            </w:r>
            <w:r>
              <w:rPr>
                <w:rFonts w:ascii="Arial" w:cs="Arial" w:eastAsia="Arial" w:hAnsi="Arial"/>
                <w:sz w:val="12"/>
                <w:szCs w:val="12"/>
                <w:color w:val="auto"/>
              </w:rPr>
              <w:t>(1)</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exchanged basis)</w:t>
            </w:r>
            <w:r>
              <w:rPr>
                <w:rFonts w:ascii="Arial" w:cs="Arial" w:eastAsia="Arial" w:hAnsi="Arial"/>
                <w:sz w:val="12"/>
                <w:szCs w:val="12"/>
                <w:color w:val="auto"/>
              </w:rPr>
              <w:t>(2)</w:t>
            </w:r>
          </w:p>
        </w:tc>
        <w:tc>
          <w:tcPr>
            <w:tcW w:w="800" w:type="dxa"/>
            <w:vAlign w:val="bottom"/>
          </w:tcPr>
          <w:p>
            <w:pPr>
              <w:jc w:val="right"/>
              <w:ind w:right="41"/>
              <w:spacing w:after="0"/>
              <w:rPr>
                <w:sz w:val="20"/>
                <w:szCs w:val="20"/>
                <w:color w:val="auto"/>
              </w:rPr>
            </w:pPr>
            <w:r>
              <w:rPr>
                <w:rFonts w:ascii="Arial" w:cs="Arial" w:eastAsia="Arial" w:hAnsi="Arial"/>
                <w:sz w:val="14"/>
                <w:szCs w:val="14"/>
                <w:color w:val="auto"/>
              </w:rPr>
              <w:t>Power</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53"/>
        </w:trPr>
        <w:tc>
          <w:tcPr>
            <w:tcW w:w="1900" w:type="dxa"/>
            <w:vAlign w:val="bottom"/>
            <w:vMerge w:val="restart"/>
          </w:tcPr>
          <w:p>
            <w:pPr>
              <w:ind w:left="60"/>
              <w:spacing w:after="0"/>
              <w:rPr>
                <w:sz w:val="20"/>
                <w:szCs w:val="20"/>
                <w:color w:val="auto"/>
              </w:rPr>
            </w:pPr>
            <w:r>
              <w:rPr>
                <w:rFonts w:ascii="Arial" w:cs="Arial" w:eastAsia="Arial" w:hAnsi="Arial"/>
                <w:sz w:val="13"/>
                <w:szCs w:val="13"/>
                <w:color w:val="auto"/>
              </w:rPr>
              <w:t>Name of beneficial owner</w:t>
            </w:r>
          </w:p>
        </w:tc>
        <w:tc>
          <w:tcPr>
            <w:tcW w:w="46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900" w:type="dxa"/>
            <w:vAlign w:val="bottom"/>
            <w:vMerge w:val="continue"/>
          </w:tcPr>
          <w:p>
            <w:pPr>
              <w:spacing w:after="0"/>
              <w:rPr>
                <w:sz w:val="10"/>
                <w:szCs w:val="10"/>
                <w:color w:val="auto"/>
              </w:rPr>
            </w:pPr>
          </w:p>
        </w:tc>
        <w:tc>
          <w:tcPr>
            <w:tcW w:w="4620" w:type="dxa"/>
            <w:vAlign w:val="bottom"/>
          </w:tcPr>
          <w:p>
            <w:pPr>
              <w:spacing w:after="0"/>
              <w:rPr>
                <w:sz w:val="10"/>
                <w:szCs w:val="10"/>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3"/>
                <w:szCs w:val="13"/>
                <w:color w:val="auto"/>
              </w:rPr>
              <w:t>Number</w:t>
            </w:r>
          </w:p>
        </w:tc>
        <w:tc>
          <w:tcPr>
            <w:tcW w:w="720" w:type="dxa"/>
            <w:vAlign w:val="bottom"/>
            <w:vMerge w:val="restart"/>
          </w:tcPr>
          <w:p>
            <w:pPr>
              <w:jc w:val="right"/>
              <w:ind w:right="1"/>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21"/>
              <w:spacing w:after="0"/>
              <w:rPr>
                <w:sz w:val="20"/>
                <w:szCs w:val="20"/>
                <w:color w:val="auto"/>
              </w:rPr>
            </w:pPr>
            <w:r>
              <w:rPr>
                <w:rFonts w:ascii="Arial" w:cs="Arial" w:eastAsia="Arial" w:hAnsi="Arial"/>
                <w:sz w:val="13"/>
                <w:szCs w:val="13"/>
                <w:color w:val="auto"/>
              </w:rPr>
              <w:t>Number</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2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90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6520" w:type="dxa"/>
            <w:vAlign w:val="bottom"/>
            <w:gridSpan w:val="2"/>
            <w:shd w:val="clear" w:color="auto" w:fill="CCEEF7"/>
          </w:tcPr>
          <w:p>
            <w:pPr>
              <w:ind w:left="60"/>
              <w:spacing w:after="0" w:line="305" w:lineRule="exact"/>
              <w:rPr>
                <w:sz w:val="20"/>
                <w:szCs w:val="20"/>
                <w:color w:val="auto"/>
              </w:rPr>
            </w:pPr>
            <w:r>
              <w:rPr>
                <w:rFonts w:ascii="Arial" w:cs="Arial" w:eastAsia="Arial" w:hAnsi="Arial"/>
                <w:sz w:val="16"/>
                <w:szCs w:val="16"/>
                <w:color w:val="auto"/>
              </w:rPr>
              <w:t>Entities affiliated with Refinitiv</w:t>
            </w:r>
            <w:r>
              <w:rPr>
                <w:rFonts w:ascii="Arial" w:cs="Arial" w:eastAsia="Arial" w:hAnsi="Arial"/>
                <w:sz w:val="27"/>
                <w:szCs w:val="27"/>
                <w:color w:val="auto"/>
                <w:vertAlign w:val="superscript"/>
              </w:rPr>
              <w:t>(4)</w:t>
            </w: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shd w:val="clear" w:color="auto" w:fill="CCEEF7"/>
              </w:rPr>
              <w:t>119,921,521</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shd w:val="clear" w:color="auto" w:fill="CCEEF7"/>
              </w:rPr>
              <w:t>51.21%</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shd w:val="clear" w:color="auto" w:fill="CCEEF7"/>
              </w:rPr>
              <w:t>119,921,521</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shd w:val="clear" w:color="auto" w:fill="CCEEF7"/>
              </w:rPr>
              <w:t>95.74%</w:t>
            </w:r>
          </w:p>
        </w:tc>
        <w:tc>
          <w:tcPr>
            <w:tcW w:w="800" w:type="dxa"/>
            <w:vAlign w:val="bottom"/>
            <w:shd w:val="clear" w:color="auto" w:fill="CCEEF7"/>
          </w:tcPr>
          <w:p>
            <w:pPr>
              <w:jc w:val="right"/>
              <w:spacing w:after="0"/>
              <w:rPr>
                <w:sz w:val="20"/>
                <w:szCs w:val="20"/>
                <w:color w:val="auto"/>
              </w:rPr>
            </w:pPr>
            <w:r>
              <w:rPr>
                <w:rFonts w:ascii="Arial" w:cs="Arial" w:eastAsia="Arial" w:hAnsi="Arial"/>
                <w:sz w:val="16"/>
                <w:szCs w:val="16"/>
                <w:color w:val="auto"/>
                <w:shd w:val="clear" w:color="auto" w:fill="CCEEF7"/>
              </w:rPr>
              <w:t>88.08%</w:t>
            </w:r>
          </w:p>
        </w:tc>
        <w:tc>
          <w:tcPr>
            <w:tcW w:w="0" w:type="dxa"/>
            <w:vAlign w:val="bottom"/>
          </w:tcPr>
          <w:p>
            <w:pPr>
              <w:spacing w:after="0"/>
              <w:rPr>
                <w:sz w:val="1"/>
                <w:szCs w:val="1"/>
                <w:color w:val="auto"/>
              </w:rPr>
            </w:pPr>
          </w:p>
        </w:tc>
      </w:tr>
      <w:tr>
        <w:trPr>
          <w:trHeight w:val="324"/>
        </w:trPr>
        <w:tc>
          <w:tcPr>
            <w:tcW w:w="6520" w:type="dxa"/>
            <w:vAlign w:val="bottom"/>
            <w:gridSpan w:val="2"/>
          </w:tcPr>
          <w:p>
            <w:pPr>
              <w:ind w:left="60"/>
              <w:spacing w:after="0"/>
              <w:rPr>
                <w:sz w:val="20"/>
                <w:szCs w:val="20"/>
                <w:color w:val="auto"/>
              </w:rPr>
            </w:pPr>
            <w:r>
              <w:rPr>
                <w:rFonts w:ascii="Arial" w:cs="Arial" w:eastAsia="Arial" w:hAnsi="Arial"/>
                <w:sz w:val="16"/>
                <w:szCs w:val="16"/>
                <w:color w:val="auto"/>
              </w:rPr>
              <w:t>T. Rowe Price Associates, Inc.</w:t>
            </w:r>
            <w:r>
              <w:rPr>
                <w:rFonts w:ascii="Arial" w:cs="Arial" w:eastAsia="Arial" w:hAnsi="Arial"/>
                <w:sz w:val="27"/>
                <w:szCs w:val="27"/>
                <w:color w:val="auto"/>
                <w:vertAlign w:val="superscript"/>
              </w:rPr>
              <w:t>(5)</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12,486,962</w:t>
            </w:r>
          </w:p>
        </w:tc>
        <w:tc>
          <w:tcPr>
            <w:tcW w:w="720" w:type="dxa"/>
            <w:vAlign w:val="bottom"/>
          </w:tcPr>
          <w:p>
            <w:pPr>
              <w:jc w:val="right"/>
              <w:ind w:right="101"/>
              <w:spacing w:after="0"/>
              <w:rPr>
                <w:sz w:val="20"/>
                <w:szCs w:val="20"/>
                <w:color w:val="auto"/>
              </w:rPr>
            </w:pPr>
            <w:r>
              <w:rPr>
                <w:rFonts w:ascii="Arial" w:cs="Arial" w:eastAsia="Arial" w:hAnsi="Arial"/>
                <w:sz w:val="16"/>
                <w:szCs w:val="16"/>
                <w:color w:val="auto"/>
              </w:rPr>
              <w:t>10.9%</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(6)</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9,724,581</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8"/>
              </w:rPr>
              <w:t>9.0%</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(7)</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9,082,472</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7.8%</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6520" w:type="dxa"/>
            <w:vAlign w:val="bottom"/>
            <w:gridSpan w:val="2"/>
            <w:shd w:val="clear" w:color="auto" w:fill="CCEEF7"/>
          </w:tcPr>
          <w:p>
            <w:pPr>
              <w:ind w:left="60"/>
              <w:spacing w:after="0"/>
              <w:rPr>
                <w:sz w:val="20"/>
                <w:szCs w:val="20"/>
                <w:color w:val="auto"/>
              </w:rPr>
            </w:pPr>
            <w:r>
              <w:rPr>
                <w:rFonts w:ascii="Arial" w:cs="Arial" w:eastAsia="Arial" w:hAnsi="Arial"/>
                <w:sz w:val="16"/>
                <w:szCs w:val="16"/>
                <w:color w:val="auto"/>
              </w:rPr>
              <w:t>Capital Research Global Investors</w:t>
            </w:r>
            <w:r>
              <w:rPr>
                <w:rFonts w:ascii="Arial" w:cs="Arial" w:eastAsia="Arial" w:hAnsi="Arial"/>
                <w:sz w:val="27"/>
                <w:szCs w:val="27"/>
                <w:color w:val="auto"/>
                <w:vertAlign w:val="superscript"/>
              </w:rPr>
              <w:t>(8)</w:t>
            </w: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7,470,318</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8"/>
              </w:rPr>
              <w:t>7.0%</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w w:val="97"/>
              </w:rPr>
              <w:t>Ownership Capital B.V.</w:t>
            </w:r>
            <w:r>
              <w:rPr>
                <w:rFonts w:ascii="Arial" w:cs="Arial" w:eastAsia="Arial" w:hAnsi="Arial"/>
                <w:sz w:val="27"/>
                <w:szCs w:val="27"/>
                <w:color w:val="auto"/>
                <w:w w:val="97"/>
                <w:vertAlign w:val="superscript"/>
              </w:rPr>
              <w:t>(9)</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5,749,637</w:t>
            </w:r>
          </w:p>
        </w:tc>
        <w:tc>
          <w:tcPr>
            <w:tcW w:w="720" w:type="dxa"/>
            <w:vAlign w:val="bottom"/>
          </w:tcPr>
          <w:p>
            <w:pPr>
              <w:jc w:val="center"/>
              <w:spacing w:after="0"/>
              <w:rPr>
                <w:sz w:val="20"/>
                <w:szCs w:val="20"/>
                <w:color w:val="auto"/>
              </w:rPr>
            </w:pPr>
            <w:r>
              <w:rPr>
                <w:rFonts w:ascii="Arial" w:cs="Arial" w:eastAsia="Arial" w:hAnsi="Arial"/>
                <w:sz w:val="16"/>
                <w:szCs w:val="16"/>
                <w:color w:val="auto"/>
                <w:w w:val="98"/>
              </w:rPr>
              <w:t>5.3%</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r>
              <w:rPr>
                <w:rFonts w:ascii="Arial" w:cs="Arial" w:eastAsia="Arial" w:hAnsi="Arial"/>
                <w:sz w:val="27"/>
                <w:szCs w:val="27"/>
                <w:color w:val="auto"/>
                <w:vertAlign w:val="superscript"/>
              </w:rPr>
              <w:t>(10)</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1,038,672</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Billy Hult</w:t>
            </w:r>
            <w:r>
              <w:rPr>
                <w:rFonts w:ascii="Arial" w:cs="Arial" w:eastAsia="Arial" w:hAnsi="Arial"/>
                <w:sz w:val="27"/>
                <w:szCs w:val="27"/>
                <w:color w:val="auto"/>
                <w:vertAlign w:val="superscript"/>
              </w:rPr>
              <w:t>(11)</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486,230</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Balbir Bakhshi</w:t>
            </w:r>
          </w:p>
        </w:tc>
        <w:tc>
          <w:tcPr>
            <w:tcW w:w="4620" w:type="dxa"/>
            <w:vAlign w:val="bottom"/>
            <w:shd w:val="clear" w:color="auto" w:fill="CCEEF7"/>
          </w:tcPr>
          <w:p>
            <w:pPr>
              <w:spacing w:after="0"/>
              <w:rPr>
                <w:sz w:val="22"/>
                <w:szCs w:val="22"/>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1900" w:type="dxa"/>
            <w:vAlign w:val="bottom"/>
            <w:shd w:val="clear" w:color="auto" w:fill="CCEEF7"/>
          </w:tcPr>
          <w:p>
            <w:pPr>
              <w:spacing w:after="0"/>
              <w:rPr>
                <w:sz w:val="5"/>
                <w:szCs w:val="5"/>
                <w:color w:val="auto"/>
              </w:rPr>
            </w:pPr>
          </w:p>
        </w:tc>
        <w:tc>
          <w:tcPr>
            <w:tcW w:w="4620" w:type="dxa"/>
            <w:vAlign w:val="bottom"/>
            <w:shd w:val="clear" w:color="auto" w:fill="CCEEF7"/>
          </w:tcPr>
          <w:p>
            <w:pPr>
              <w:spacing w:after="0"/>
              <w:rPr>
                <w:sz w:val="5"/>
                <w:szCs w:val="5"/>
                <w:color w:val="auto"/>
              </w:rPr>
            </w:pPr>
          </w:p>
        </w:tc>
        <w:tc>
          <w:tcPr>
            <w:tcW w:w="1160" w:type="dxa"/>
            <w:vAlign w:val="bottom"/>
            <w:shd w:val="clear" w:color="auto" w:fill="CCEEF7"/>
          </w:tcPr>
          <w:p>
            <w:pPr>
              <w:spacing w:after="0"/>
              <w:rPr>
                <w:sz w:val="5"/>
                <w:szCs w:val="5"/>
                <w:color w:val="auto"/>
              </w:rPr>
            </w:pPr>
          </w:p>
        </w:tc>
        <w:tc>
          <w:tcPr>
            <w:tcW w:w="720" w:type="dxa"/>
            <w:vAlign w:val="bottom"/>
            <w:shd w:val="clear" w:color="auto" w:fill="CCEEF7"/>
          </w:tcPr>
          <w:p>
            <w:pPr>
              <w:spacing w:after="0"/>
              <w:rPr>
                <w:sz w:val="5"/>
                <w:szCs w:val="5"/>
                <w:color w:val="auto"/>
              </w:rPr>
            </w:pPr>
          </w:p>
        </w:tc>
        <w:tc>
          <w:tcPr>
            <w:tcW w:w="1080" w:type="dxa"/>
            <w:vAlign w:val="bottom"/>
            <w:shd w:val="clear" w:color="auto" w:fill="CCEEF7"/>
          </w:tcPr>
          <w:p>
            <w:pPr>
              <w:spacing w:after="0"/>
              <w:rPr>
                <w:sz w:val="5"/>
                <w:szCs w:val="5"/>
                <w:color w:val="auto"/>
              </w:rPr>
            </w:pPr>
          </w:p>
        </w:tc>
        <w:tc>
          <w:tcPr>
            <w:tcW w:w="740" w:type="dxa"/>
            <w:vAlign w:val="bottom"/>
            <w:shd w:val="clear" w:color="auto" w:fill="CCEEF7"/>
          </w:tcPr>
          <w:p>
            <w:pPr>
              <w:spacing w:after="0"/>
              <w:rPr>
                <w:sz w:val="5"/>
                <w:szCs w:val="5"/>
                <w:color w:val="auto"/>
              </w:rPr>
            </w:pPr>
          </w:p>
        </w:tc>
        <w:tc>
          <w:tcPr>
            <w:tcW w:w="800" w:type="dxa"/>
            <w:vAlign w:val="bottom"/>
            <w:shd w:val="clear" w:color="auto" w:fill="CCEEF7"/>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Steven Berns</w:t>
            </w:r>
            <w:r>
              <w:rPr>
                <w:rFonts w:ascii="Arial" w:cs="Arial" w:eastAsia="Arial" w:hAnsi="Arial"/>
                <w:sz w:val="27"/>
                <w:szCs w:val="27"/>
                <w:color w:val="auto"/>
                <w:vertAlign w:val="superscript"/>
              </w:rPr>
              <w:t>(12)</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3,503</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Enrico Bruni</w:t>
            </w:r>
            <w:r>
              <w:rPr>
                <w:rFonts w:ascii="Arial" w:cs="Arial" w:eastAsia="Arial" w:hAnsi="Arial"/>
                <w:sz w:val="27"/>
                <w:szCs w:val="27"/>
                <w:color w:val="auto"/>
                <w:vertAlign w:val="superscript"/>
              </w:rPr>
              <w:t>(13)</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199,960</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64"/>
        </w:trPr>
        <w:tc>
          <w:tcPr>
            <w:tcW w:w="1900" w:type="dxa"/>
            <w:vAlign w:val="bottom"/>
          </w:tcPr>
          <w:p>
            <w:pPr>
              <w:ind w:left="60"/>
              <w:spacing w:after="0"/>
              <w:rPr>
                <w:sz w:val="20"/>
                <w:szCs w:val="20"/>
                <w:color w:val="auto"/>
              </w:rPr>
            </w:pPr>
            <w:r>
              <w:rPr>
                <w:rFonts w:ascii="Arial" w:cs="Arial" w:eastAsia="Arial" w:hAnsi="Arial"/>
                <w:sz w:val="16"/>
                <w:szCs w:val="16"/>
                <w:color w:val="auto"/>
              </w:rPr>
              <w:t>John G. Finley</w:t>
            </w:r>
          </w:p>
        </w:tc>
        <w:tc>
          <w:tcPr>
            <w:tcW w:w="4620" w:type="dxa"/>
            <w:vAlign w:val="bottom"/>
          </w:tcPr>
          <w:p>
            <w:pPr>
              <w:spacing w:after="0"/>
              <w:rPr>
                <w:sz w:val="22"/>
                <w:szCs w:val="22"/>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90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Sara Furber</w:t>
            </w:r>
            <w:r>
              <w:rPr>
                <w:rFonts w:ascii="Arial" w:cs="Arial" w:eastAsia="Arial" w:hAnsi="Arial"/>
                <w:sz w:val="27"/>
                <w:szCs w:val="27"/>
                <w:color w:val="auto"/>
                <w:vertAlign w:val="superscript"/>
              </w:rPr>
              <w:t>(14)</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19,350</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Scott C. Ganeles</w:t>
            </w:r>
            <w:r>
              <w:rPr>
                <w:rFonts w:ascii="Arial" w:cs="Arial" w:eastAsia="Arial" w:hAnsi="Arial"/>
                <w:sz w:val="27"/>
                <w:szCs w:val="27"/>
                <w:color w:val="auto"/>
                <w:vertAlign w:val="superscript"/>
              </w:rPr>
              <w:t>(15)</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7,606</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Von Hughes</w:t>
            </w:r>
            <w:r>
              <w:rPr>
                <w:rFonts w:ascii="Arial" w:cs="Arial" w:eastAsia="Arial" w:hAnsi="Arial"/>
                <w:sz w:val="27"/>
                <w:szCs w:val="27"/>
                <w:color w:val="auto"/>
                <w:vertAlign w:val="superscript"/>
              </w:rPr>
              <w:t>(16)</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1,373</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ind w:left="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Paula B. Madoff</w:t>
            </w:r>
            <w:r>
              <w:rPr>
                <w:rFonts w:ascii="Arial" w:cs="Arial" w:eastAsia="Arial" w:hAnsi="Arial"/>
                <w:sz w:val="27"/>
                <w:szCs w:val="27"/>
                <w:color w:val="auto"/>
                <w:vertAlign w:val="superscript"/>
              </w:rPr>
              <w:t>(17)</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7,606</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Justin Peterson</w:t>
            </w:r>
            <w:r>
              <w:rPr>
                <w:rFonts w:ascii="Arial" w:cs="Arial" w:eastAsia="Arial" w:hAnsi="Arial"/>
                <w:sz w:val="27"/>
                <w:szCs w:val="27"/>
                <w:color w:val="auto"/>
                <w:vertAlign w:val="superscript"/>
              </w:rPr>
              <w:t>(18)</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108,209</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Thomas Pluta</w:t>
            </w:r>
            <w:r>
              <w:rPr>
                <w:rFonts w:ascii="Arial" w:cs="Arial" w:eastAsia="Arial" w:hAnsi="Arial"/>
                <w:sz w:val="27"/>
                <w:szCs w:val="27"/>
                <w:color w:val="auto"/>
                <w:vertAlign w:val="superscript"/>
              </w:rPr>
              <w:t>(19)</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7,606</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24"/>
        </w:trPr>
        <w:tc>
          <w:tcPr>
            <w:tcW w:w="1900" w:type="dxa"/>
            <w:vAlign w:val="bottom"/>
            <w:shd w:val="clear" w:color="auto" w:fill="CCEEF7"/>
          </w:tcPr>
          <w:p>
            <w:pPr>
              <w:ind w:left="60"/>
              <w:spacing w:after="0"/>
              <w:rPr>
                <w:sz w:val="20"/>
                <w:szCs w:val="20"/>
                <w:color w:val="auto"/>
              </w:rPr>
            </w:pPr>
            <w:r>
              <w:rPr>
                <w:rFonts w:ascii="Arial" w:cs="Arial" w:eastAsia="Arial" w:hAnsi="Arial"/>
                <w:sz w:val="16"/>
                <w:szCs w:val="16"/>
                <w:color w:val="auto"/>
              </w:rPr>
              <w:t>Murray Roos</w:t>
            </w:r>
            <w:r>
              <w:rPr>
                <w:rFonts w:ascii="Arial" w:cs="Arial" w:eastAsia="Arial" w:hAnsi="Arial"/>
                <w:sz w:val="27"/>
                <w:szCs w:val="27"/>
                <w:color w:val="auto"/>
                <w:vertAlign w:val="superscript"/>
              </w:rPr>
              <w:t>(20)</w:t>
            </w:r>
          </w:p>
        </w:tc>
        <w:tc>
          <w:tcPr>
            <w:tcW w:w="4620" w:type="dxa"/>
            <w:vAlign w:val="bottom"/>
            <w:shd w:val="clear" w:color="auto" w:fill="CCEEF7"/>
          </w:tcPr>
          <w:p>
            <w:pPr>
              <w:spacing w:after="0"/>
              <w:rPr>
                <w:sz w:val="24"/>
                <w:szCs w:val="24"/>
                <w:color w:val="auto"/>
              </w:rPr>
            </w:pPr>
          </w:p>
        </w:tc>
        <w:tc>
          <w:tcPr>
            <w:tcW w:w="11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7"/>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7"/>
          </w:tcPr>
          <w:p>
            <w:pPr>
              <w:jc w:val="center"/>
              <w:ind w:left="1"/>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24"/>
        </w:trPr>
        <w:tc>
          <w:tcPr>
            <w:tcW w:w="1900" w:type="dxa"/>
            <w:vAlign w:val="bottom"/>
          </w:tcPr>
          <w:p>
            <w:pPr>
              <w:ind w:left="60"/>
              <w:spacing w:after="0"/>
              <w:rPr>
                <w:sz w:val="20"/>
                <w:szCs w:val="20"/>
                <w:color w:val="auto"/>
              </w:rPr>
            </w:pPr>
            <w:r>
              <w:rPr>
                <w:rFonts w:ascii="Arial" w:cs="Arial" w:eastAsia="Arial" w:hAnsi="Arial"/>
                <w:sz w:val="16"/>
                <w:szCs w:val="16"/>
                <w:color w:val="auto"/>
              </w:rPr>
              <w:t>Robert Warshaw</w:t>
            </w:r>
            <w:r>
              <w:rPr>
                <w:rFonts w:ascii="Arial" w:cs="Arial" w:eastAsia="Arial" w:hAnsi="Arial"/>
                <w:sz w:val="27"/>
                <w:szCs w:val="27"/>
                <w:color w:val="auto"/>
                <w:vertAlign w:val="superscript"/>
              </w:rPr>
              <w:t>(21)</w:t>
            </w:r>
          </w:p>
        </w:tc>
        <w:tc>
          <w:tcPr>
            <w:tcW w:w="46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79,876</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371"/>
        </w:trPr>
        <w:tc>
          <w:tcPr>
            <w:tcW w:w="6520" w:type="dxa"/>
            <w:vAlign w:val="bottom"/>
            <w:tcBorders>
              <w:bottom w:val="single" w:sz="8" w:color="auto"/>
            </w:tcBorders>
            <w:gridSpan w:val="2"/>
            <w:shd w:val="clear" w:color="auto" w:fill="CCEEF7"/>
          </w:tcPr>
          <w:p>
            <w:pPr>
              <w:ind w:left="60"/>
              <w:spacing w:after="0"/>
              <w:rPr>
                <w:sz w:val="20"/>
                <w:szCs w:val="20"/>
                <w:color w:val="auto"/>
              </w:rPr>
            </w:pPr>
            <w:r>
              <w:rPr>
                <w:rFonts w:ascii="Arial" w:cs="Arial" w:eastAsia="Arial" w:hAnsi="Arial"/>
                <w:sz w:val="16"/>
                <w:szCs w:val="16"/>
                <w:color w:val="auto"/>
              </w:rPr>
              <w:t>All executive officers and directors as a group (16 persons)</w:t>
            </w:r>
            <w:r>
              <w:rPr>
                <w:rFonts w:ascii="Arial" w:cs="Arial" w:eastAsia="Arial" w:hAnsi="Arial"/>
                <w:sz w:val="27"/>
                <w:szCs w:val="27"/>
                <w:color w:val="auto"/>
                <w:vertAlign w:val="superscript"/>
              </w:rPr>
              <w:t>(22)</w:t>
            </w:r>
          </w:p>
        </w:tc>
        <w:tc>
          <w:tcPr>
            <w:tcW w:w="1160" w:type="dxa"/>
            <w:vAlign w:val="bottom"/>
            <w:tcBorders>
              <w:bottom w:val="single" w:sz="8" w:color="auto"/>
            </w:tcBorders>
            <w:shd w:val="clear" w:color="auto" w:fill="CCEEF7"/>
          </w:tcPr>
          <w:p>
            <w:pPr>
              <w:jc w:val="right"/>
              <w:ind w:right="1"/>
              <w:spacing w:after="0"/>
              <w:rPr>
                <w:sz w:val="20"/>
                <w:szCs w:val="20"/>
                <w:color w:val="auto"/>
              </w:rPr>
            </w:pPr>
            <w:r>
              <w:rPr>
                <w:rFonts w:ascii="Arial" w:cs="Arial" w:eastAsia="Arial" w:hAnsi="Arial"/>
                <w:sz w:val="16"/>
                <w:szCs w:val="16"/>
                <w:color w:val="auto"/>
              </w:rPr>
              <w:t>2,118,557</w:t>
            </w:r>
          </w:p>
        </w:tc>
        <w:tc>
          <w:tcPr>
            <w:tcW w:w="720" w:type="dxa"/>
            <w:vAlign w:val="bottom"/>
            <w:tcBorders>
              <w:bottom w:val="single" w:sz="8" w:color="auto"/>
            </w:tcBorders>
            <w:shd w:val="clear" w:color="auto" w:fill="CCEEF7"/>
          </w:tcPr>
          <w:p>
            <w:pPr>
              <w:jc w:val="center"/>
              <w:spacing w:after="0"/>
              <w:rPr>
                <w:sz w:val="20"/>
                <w:szCs w:val="20"/>
                <w:color w:val="auto"/>
              </w:rPr>
            </w:pPr>
            <w:r>
              <w:rPr>
                <w:rFonts w:ascii="Arial" w:cs="Arial" w:eastAsia="Arial" w:hAnsi="Arial"/>
                <w:sz w:val="16"/>
                <w:szCs w:val="16"/>
                <w:color w:val="auto"/>
                <w:w w:val="98"/>
              </w:rPr>
              <w:t>1.9%</w:t>
            </w:r>
          </w:p>
        </w:tc>
        <w:tc>
          <w:tcPr>
            <w:tcW w:w="1080" w:type="dxa"/>
            <w:vAlign w:val="bottom"/>
            <w:tcBorders>
              <w:bottom w:val="single" w:sz="8" w:color="auto"/>
            </w:tcBorders>
            <w:shd w:val="clear" w:color="auto" w:fill="CCEEF7"/>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7"/>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449"/>
        </w:trPr>
        <w:tc>
          <w:tcPr>
            <w:tcW w:w="1900" w:type="dxa"/>
            <w:vAlign w:val="bottom"/>
          </w:tcPr>
          <w:p>
            <w:pPr>
              <w:spacing w:after="0"/>
              <w:rPr>
                <w:sz w:val="20"/>
                <w:szCs w:val="20"/>
                <w:color w:val="auto"/>
              </w:rPr>
            </w:pPr>
            <w:r>
              <w:rPr>
                <w:rFonts w:ascii="Arial" w:cs="Arial" w:eastAsia="Arial" w:hAnsi="Arial"/>
                <w:sz w:val="16"/>
                <w:szCs w:val="16"/>
                <w:color w:val="514F51"/>
              </w:rPr>
              <w:t>2022 Proxy Statement</w:t>
            </w:r>
          </w:p>
        </w:tc>
        <w:tc>
          <w:tcPr>
            <w:tcW w:w="4620" w:type="dxa"/>
            <w:vAlign w:val="bottom"/>
          </w:tcPr>
          <w:p>
            <w:pPr>
              <w:ind w:left="20"/>
              <w:spacing w:after="0"/>
              <w:rPr>
                <w:sz w:val="20"/>
                <w:szCs w:val="20"/>
                <w:color w:val="auto"/>
              </w:rPr>
            </w:pPr>
            <w:r>
              <w:rPr>
                <w:rFonts w:ascii="Arial" w:cs="Arial" w:eastAsia="Arial" w:hAnsi="Arial"/>
                <w:sz w:val="20"/>
                <w:szCs w:val="20"/>
                <w:color w:val="EEEFEF"/>
              </w:rPr>
              <w:t>●  ●</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4F51"/>
              </w:rPr>
              <w:t>25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less than 1.0% of outstanding shares or voting power, as applicable.</w:t>
      </w:r>
    </w:p>
    <w:p>
      <w:pPr>
        <w:spacing w:after="0" w:line="82" w:lineRule="exact"/>
        <w:rPr>
          <w:sz w:val="20"/>
          <w:szCs w:val="20"/>
          <w:color w:val="auto"/>
        </w:rPr>
      </w:pPr>
    </w:p>
    <w:p>
      <w:pPr>
        <w:ind w:left="540" w:right="40" w:hanging="424"/>
        <w:spacing w:after="0" w:line="243"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231" w:lineRule="exact"/>
        <w:rPr>
          <w:rFonts w:ascii="Arial" w:cs="Arial" w:eastAsia="Arial" w:hAnsi="Arial"/>
          <w:sz w:val="14"/>
          <w:szCs w:val="14"/>
          <w:color w:val="auto"/>
        </w:rPr>
      </w:pPr>
    </w:p>
    <w:p>
      <w:pPr>
        <w:ind w:left="540" w:right="120" w:hanging="424"/>
        <w:spacing w:after="0" w:line="244"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69" w:lineRule="exact"/>
        <w:rPr>
          <w:rFonts w:ascii="Arial" w:cs="Arial" w:eastAsia="Arial" w:hAnsi="Arial"/>
          <w:sz w:val="14"/>
          <w:szCs w:val="14"/>
          <w:color w:val="auto"/>
        </w:rPr>
      </w:pPr>
    </w:p>
    <w:p>
      <w:pPr>
        <w:ind w:left="540" w:right="140" w:hanging="424"/>
        <w:spacing w:after="0" w:line="245"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69"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securities held directly by Refinitiv TW Holdings Ltd. and Refinitiv US PME LLC. Refinitiv US LLC is the controlling member of Refinitiv US PME LLC. LSEGA, Inc. is the sole member of Refinitiv US LLC. Refinitiv Parent Limited is the sole shareholder of LSEGA, Inc. IAG US LLC is a member of Refinitiv US PME LLC. Refinitiv International Holdings S.à.r.l. is the sole member of IAG US LLC. Refinitiv Netherlands Holdings BV is the sole shareholder of Refinitiv International Holdings S.à.r.l. Refinitiv UK (Rest of World) Holdings Limited is the sole shareholder of Refinitiv Netherlands Holdings BV. Refinitiv UK Parent Limited is the sole shareholder of Refinitiv UK (Rest of World) Holdings Limited. LSEGA Jersey Limited is the sole shareholder of Refinitiv UK Parent Limited. Refinitiv Parent Limited is the sole shareholder of LSEGA Jersey Limited. London Stock Exchange Group plc is the controlling shareholder of Refinitiv Parent Limited. LSEGA Limited and LSEGA2 Limited are shareholders of Refinitiv Parent Limited and London Stock Exchange Group plc is the sole shareholder of each of LSEGA Limited and LSEGA2 Limited. Each of the entities described in this footnote may be deemed to beneficially own the securities directly or indirectly controlled by such entities, but each (other than to the extent it directly holds securities as described herein) disclaims beneficial ownership of such securities.</w:t>
      </w:r>
    </w:p>
    <w:p>
      <w:pPr>
        <w:spacing w:after="0" w:line="71" w:lineRule="exact"/>
        <w:rPr>
          <w:rFonts w:ascii="Arial" w:cs="Arial" w:eastAsia="Arial" w:hAnsi="Arial"/>
          <w:sz w:val="14"/>
          <w:szCs w:val="14"/>
          <w:color w:val="auto"/>
        </w:rPr>
      </w:pPr>
    </w:p>
    <w:p>
      <w:pPr>
        <w:ind w:left="540" w:right="200" w:hanging="424"/>
        <w:spacing w:after="0" w:line="247"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13G/A filed by T. Rowe Price Associates, Inc. (“T. Rowe”) with the SEC on February 14, 2022, which reported ownership as of December 31, 2021. Of the 12,486,962 shares of our Class A common stock deemed beneficially owned, T. Rowe reported sole voting power as to 5,525,549 shares, shared voting power as to 0 shares and sole dispositive power as to all shares beneficially owned. The address of T. Rowe is 100 E. Pratt Street, Baltimore, MD 21202.</w:t>
      </w:r>
    </w:p>
    <w:p>
      <w:pPr>
        <w:spacing w:after="0" w:line="66" w:lineRule="exact"/>
        <w:rPr>
          <w:rFonts w:ascii="Arial" w:cs="Arial" w:eastAsia="Arial" w:hAnsi="Arial"/>
          <w:sz w:val="14"/>
          <w:szCs w:val="14"/>
          <w:color w:val="auto"/>
        </w:rPr>
      </w:pPr>
    </w:p>
    <w:p>
      <w:pPr>
        <w:ind w:left="540" w:right="300" w:hanging="424"/>
        <w:spacing w:after="0" w:line="247"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BlackRock, Inc. (“BlackRock”) with the SEC on February 3, 2022, which reported ownership as of December 31, 2021. Of the 9,724,581 shares of our Class A common stock deemed beneficially owned, BlackRock reported sole voting power as to 9,097,019 shares, shared voting power as to 0 shares and sole dispositive power as to all shares beneficially owned. The address of BlackRock is 55 East 52nd Street, New York, NY 10055.</w:t>
      </w:r>
    </w:p>
    <w:p>
      <w:pPr>
        <w:spacing w:after="0" w:line="66" w:lineRule="exact"/>
        <w:rPr>
          <w:rFonts w:ascii="Arial" w:cs="Arial" w:eastAsia="Arial" w:hAnsi="Arial"/>
          <w:sz w:val="14"/>
          <w:szCs w:val="14"/>
          <w:color w:val="auto"/>
        </w:rPr>
      </w:pPr>
    </w:p>
    <w:p>
      <w:pPr>
        <w:ind w:left="540" w:right="100" w:hanging="424"/>
        <w:spacing w:after="0" w:line="247"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The Vanguard Group (“Vanguard”) with the SEC on February 10, 2022, which reported ownership as of December 31, 2021. Of the 9,082,472 shares of our Class A common stock deemed beneficially owned, Vanguard reported sole voting power as to 0 shares, shared voting power as to 71,892 shares, sole dispositive power as to 8,940,145 shares and shared dispositive power as to 142,327 shares beneficially owned. The address of Vanguard is 100 Vanguard Blvd., Malvern, PA 19355.</w:t>
      </w:r>
    </w:p>
    <w:p>
      <w:pPr>
        <w:spacing w:after="0" w:line="66" w:lineRule="exact"/>
        <w:rPr>
          <w:rFonts w:ascii="Arial" w:cs="Arial" w:eastAsia="Arial" w:hAnsi="Arial"/>
          <w:sz w:val="14"/>
          <w:szCs w:val="14"/>
          <w:color w:val="auto"/>
        </w:rPr>
      </w:pPr>
    </w:p>
    <w:p>
      <w:pPr>
        <w:ind w:left="540" w:right="540" w:hanging="424"/>
        <w:spacing w:after="0" w:line="249"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Capital Research Global Investors (“CRGI”) with the SEC on February 11, 2022, which reported ownership as of December 31, 2021. CRGI reported sole voting power and sole dispositive power as to all of the 7,470,318 shares our Class A common stock deemed beneficially owned. The address of CRGI is 333 South Hope Street, 55th Fl., Los Angeles, CA 90071.</w:t>
      </w:r>
    </w:p>
    <w:p>
      <w:pPr>
        <w:spacing w:after="0" w:line="65" w:lineRule="exact"/>
        <w:rPr>
          <w:rFonts w:ascii="Arial" w:cs="Arial" w:eastAsia="Arial" w:hAnsi="Arial"/>
          <w:sz w:val="14"/>
          <w:szCs w:val="14"/>
          <w:color w:val="auto"/>
        </w:rPr>
      </w:pPr>
    </w:p>
    <w:p>
      <w:pPr>
        <w:ind w:left="540" w:right="100" w:hanging="424"/>
        <w:spacing w:after="0" w:line="247"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information is based solely on a Schedule 13G filed by Ownership Capital B.V. (“Ownership Capital”) with the SEC on February 2, 2022, which reported ownership as of December 31, 2021. Of the 5,749,637 shares of our Class A common stock deemed beneficially owned, Ownership Capital reported sole voting power as to 4,765,127 shares, shared voting power as to 0 shares and sole dispositive power as to all shares. The address of Ownership Capital is Herengracht 107, Amsterdam, The Netherlands 1015 BE.</w:t>
      </w:r>
    </w:p>
    <w:p>
      <w:pPr>
        <w:spacing w:after="0" w:line="66"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1,010,614 shares of Class A common stock issuable upon exercise of options and restricted stock units, as applicable, that have vested or will vest within 60 days after March 14, 2022, including 138,164 shares of Class A common stock issuable upon exercise of options and restricted stock</w:t>
      </w:r>
    </w:p>
    <w:p>
      <w:pPr>
        <w:spacing w:after="0" w:line="172"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205740</wp:posOffset>
            </wp:positionV>
            <wp:extent cx="1543050" cy="248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right="20"/>
        <w:spacing w:after="0" w:line="249" w:lineRule="auto"/>
        <w:rPr>
          <w:sz w:val="20"/>
          <w:szCs w:val="20"/>
          <w:color w:val="auto"/>
        </w:rPr>
      </w:pPr>
      <w:r>
        <w:rPr>
          <w:rFonts w:ascii="Arial" w:cs="Arial" w:eastAsia="Arial" w:hAnsi="Arial"/>
          <w:sz w:val="14"/>
          <w:szCs w:val="14"/>
          <w:color w:val="auto"/>
        </w:rPr>
        <w:t>units, as applicable, through The Lee Olesky 2019 Family Trust. Mr. Olesky owns 20,000 shares of Class A common stock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66" w:lineRule="exact"/>
        <w:rPr>
          <w:sz w:val="20"/>
          <w:szCs w:val="20"/>
          <w:color w:val="auto"/>
        </w:rPr>
      </w:pPr>
    </w:p>
    <w:p>
      <w:pPr>
        <w:ind w:left="540" w:right="20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475,545 shares of Class A common stock issuable upon exercise of options and restricted stock units, as applicable, that have vested or will vest within 60 days after March 14, 2022.</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1,315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right="20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176,259 shares of Class A common stock issuable upon exercise of options and restricted stock units, as applicable, that have vested or will vest within 60 days after March 14, 2022.</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19,350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1,356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1,373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1,356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right="20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106,208 shares of Class A common stock issuable upon exercise of options and restricted stock units, as applicable, that have vested or will vest within 60 days after March 14, 2022.</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1,356 restricted stock units that have vested or will vest within 60 days after March 14, 2022.</w:t>
      </w:r>
    </w:p>
    <w:p>
      <w:pPr>
        <w:spacing w:after="0" w:line="82" w:lineRule="exact"/>
        <w:rPr>
          <w:rFonts w:ascii="Arial" w:cs="Arial" w:eastAsia="Arial" w:hAnsi="Arial"/>
          <w:sz w:val="14"/>
          <w:szCs w:val="14"/>
          <w:color w:val="auto"/>
        </w:rPr>
      </w:pPr>
    </w:p>
    <w:p>
      <w:pPr>
        <w:ind w:left="540" w:right="4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Roos is the Group Director, Capital Markets of LSEG, and is a member of LSEG’s Executive Committee. Mr. Roos disclaims beneficial ownership of any securities owned directly or indirectly by LSEG.</w:t>
      </w:r>
    </w:p>
    <w:p>
      <w:pPr>
        <w:spacing w:after="0" w:line="58" w:lineRule="exact"/>
        <w:rPr>
          <w:rFonts w:ascii="Arial" w:cs="Arial" w:eastAsia="Arial" w:hAnsi="Arial"/>
          <w:sz w:val="14"/>
          <w:szCs w:val="14"/>
          <w:color w:val="auto"/>
        </w:rPr>
      </w:pPr>
    </w:p>
    <w:p>
      <w:pPr>
        <w:ind w:left="540" w:right="20" w:hanging="424"/>
        <w:spacing w:after="0" w:line="247"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71,876 shares of Class A common stock issuable upon the exercise of options and restricted stock units, as applicable, that have vested or will vest within 60 days after March 14, 2022. On August 30, 2021, the Board of Directors of the Company announced that Robert Warshaw would be leaving the Company following a period of transition and appointed Sara Furber to serve as the Chief Financial Officer of the Company, effective September 7, 2021. Mr. Warshaw remained employed by the Company until his retirement on January 4, 2022.</w:t>
      </w:r>
    </w:p>
    <w:p>
      <w:pPr>
        <w:spacing w:after="0" w:line="66"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2,005,226 shares of Class A common stock issuable upon exercise of options and restricted stock units, as applicable, that have vested or will vest within 60 days after March 14, 2022.</w:t>
      </w:r>
    </w:p>
    <w:p>
      <w:pPr>
        <w:spacing w:after="0" w:line="172"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89750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75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Set forth below is certain information regarding each of our current executive officers, including age as of May 10, 2022, other than for Mr. Olesky and Mr. Hult, whose biographical information is presented under “Item 1 — Election of Directors.”</w:t>
      </w:r>
    </w:p>
    <w:p>
      <w:pPr>
        <w:spacing w:after="0" w:line="1"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b w:val="1"/>
          <w:bCs w:val="1"/>
          <w:i w:val="1"/>
          <w:iCs w:val="1"/>
          <w:color w:val="auto"/>
        </w:rPr>
        <w:t xml:space="preserve">Enrico Bruni, </w:t>
      </w:r>
      <w:r>
        <w:rPr>
          <w:rFonts w:ascii="Arial" w:cs="Arial" w:eastAsia="Arial" w:hAnsi="Arial"/>
          <w:sz w:val="18"/>
          <w:szCs w:val="18"/>
          <w:color w:val="auto"/>
        </w:rPr>
        <w:t>50, has served as Managing Director, Head of Europe and Asia Business of TWM LLC since February 2013 and has served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2" w:lineRule="exact"/>
        <w:rPr>
          <w:sz w:val="20"/>
          <w:szCs w:val="20"/>
          <w:color w:val="auto"/>
        </w:rPr>
      </w:pPr>
    </w:p>
    <w:p>
      <w:pPr>
        <w:ind w:left="120" w:right="60" w:firstLine="440"/>
        <w:spacing w:after="0" w:line="265" w:lineRule="auto"/>
        <w:rPr>
          <w:sz w:val="20"/>
          <w:szCs w:val="20"/>
          <w:color w:val="auto"/>
        </w:rPr>
      </w:pPr>
      <w:r>
        <w:rPr>
          <w:rFonts w:ascii="Arial" w:cs="Arial" w:eastAsia="Arial" w:hAnsi="Arial"/>
          <w:sz w:val="17"/>
          <w:szCs w:val="17"/>
          <w:b w:val="1"/>
          <w:bCs w:val="1"/>
          <w:i w:val="1"/>
          <w:iCs w:val="1"/>
          <w:color w:val="auto"/>
        </w:rPr>
        <w:t xml:space="preserve">Douglas Friedman, </w:t>
      </w:r>
      <w:r>
        <w:rPr>
          <w:rFonts w:ascii="Arial" w:cs="Arial" w:eastAsia="Arial" w:hAnsi="Arial"/>
          <w:sz w:val="17"/>
          <w:szCs w:val="17"/>
          <w:color w:val="auto"/>
        </w:rPr>
        <w:t>51, has served as Tradeweb’s General Counsel and Secretary since its formation and as the General Counsel of TWM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since November 2009, prior to which he served as the Assistant General Counsel of TWM LLC beginning in June 2005. Mr. Friedman is actively involved in regulatory discussions impacting global financial markets and is a member of the Federal Reserve Bank of New York’s </w:t>
      </w:r>
      <w:r>
        <w:rPr>
          <w:rFonts w:ascii="Arial" w:cs="Arial" w:eastAsia="Arial" w:hAnsi="Arial"/>
          <w:sz w:val="17"/>
          <w:szCs w:val="17"/>
          <w:i w:val="1"/>
          <w:iCs w:val="1"/>
          <w:color w:val="auto"/>
        </w:rPr>
        <w:t>Treasury Market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Practices Group </w:t>
      </w:r>
      <w:r>
        <w:rPr>
          <w:rFonts w:ascii="Arial" w:cs="Arial" w:eastAsia="Arial" w:hAnsi="Arial"/>
          <w:sz w:val="17"/>
          <w:szCs w:val="17"/>
          <w:color w:val="auto"/>
        </w:rPr>
        <w:t>and has participated in Commodity Futures Trading Commission (CFTC) and industry discussions on the Dodd-Frank Wall Street</w:t>
      </w:r>
      <w:r>
        <w:rPr>
          <w:rFonts w:ascii="Arial" w:cs="Arial" w:eastAsia="Arial" w:hAnsi="Arial"/>
          <w:sz w:val="17"/>
          <w:szCs w:val="17"/>
          <w:i w:val="1"/>
          <w:iCs w:val="1"/>
          <w:color w:val="auto"/>
        </w:rPr>
        <w:t xml:space="preserve"> </w:t>
      </w:r>
      <w:r>
        <w:rPr>
          <w:rFonts w:ascii="Arial" w:cs="Arial" w:eastAsia="Arial" w:hAnsi="Arial"/>
          <w:sz w:val="17"/>
          <w:szCs w:val="17"/>
          <w:color w:val="auto"/>
        </w:rPr>
        <w:t>Reform and Consumer Protection Act, as well as SEC panels on securities and derivatives reform.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 w:lineRule="exact"/>
        <w:rPr>
          <w:sz w:val="20"/>
          <w:szCs w:val="20"/>
          <w:color w:val="auto"/>
        </w:rPr>
      </w:pPr>
    </w:p>
    <w:p>
      <w:pPr>
        <w:ind w:left="120" w:right="40" w:firstLine="440"/>
        <w:spacing w:after="0" w:line="265" w:lineRule="auto"/>
        <w:rPr>
          <w:sz w:val="20"/>
          <w:szCs w:val="20"/>
          <w:color w:val="auto"/>
        </w:rPr>
      </w:pPr>
      <w:r>
        <w:rPr>
          <w:rFonts w:ascii="Arial" w:cs="Arial" w:eastAsia="Arial" w:hAnsi="Arial"/>
          <w:sz w:val="17"/>
          <w:szCs w:val="17"/>
          <w:b w:val="1"/>
          <w:bCs w:val="1"/>
          <w:i w:val="1"/>
          <w:iCs w:val="1"/>
          <w:color w:val="auto"/>
        </w:rPr>
        <w:t xml:space="preserve">Sara Furber, </w:t>
      </w:r>
      <w:r>
        <w:rPr>
          <w:rFonts w:ascii="Arial" w:cs="Arial" w:eastAsia="Arial" w:hAnsi="Arial"/>
          <w:sz w:val="17"/>
          <w:szCs w:val="17"/>
          <w:color w:val="auto"/>
        </w:rPr>
        <w:t>47, has served as Tradeweb’s Chief Financial Officer since joining the Company in September 2021. Prior to joining Tradeweb,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Furber served as Chief Financial Officer of U.S. equity exchange operator IEX Group from 2018 to 2021. As Chief Financial Officer of IEX Group, Ms. Furber led the company’s finance function and oversaw its new business portfolio, including technology businesses such as data platform IEX Cloud. Prior to joining IEX in 2016, she was a Managing Director and a member of Morgan Stanley’s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 investment banking in 1997. She holds a B.S. in Mechanical Engineering from Duke University.</w:t>
      </w:r>
    </w:p>
    <w:p>
      <w:pPr>
        <w:spacing w:after="0" w:line="1"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b w:val="1"/>
          <w:bCs w:val="1"/>
          <w:i w:val="1"/>
          <w:iCs w:val="1"/>
          <w:color w:val="auto"/>
        </w:rPr>
        <w:t xml:space="preserve">Simon Maisey, </w:t>
      </w:r>
      <w:r>
        <w:rPr>
          <w:rFonts w:ascii="Arial" w:cs="Arial" w:eastAsia="Arial" w:hAnsi="Arial"/>
          <w:sz w:val="18"/>
          <w:szCs w:val="18"/>
          <w:color w:val="auto"/>
        </w:rPr>
        <w:t>50, has served as Managing Director, Global Head of Corporate Development of TWM LLC since May 2016 and has served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2"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b w:val="1"/>
          <w:bCs w:val="1"/>
          <w:i w:val="1"/>
          <w:iCs w:val="1"/>
          <w:color w:val="auto"/>
        </w:rPr>
        <w:t xml:space="preserve">Justin Peterson, </w:t>
      </w:r>
      <w:r>
        <w:rPr>
          <w:rFonts w:ascii="Arial" w:cs="Arial" w:eastAsia="Arial" w:hAnsi="Arial"/>
          <w:sz w:val="18"/>
          <w:szCs w:val="18"/>
          <w:color w:val="auto"/>
        </w:rPr>
        <w:t>59, has served as Chief Technology Officer of Tradeweb since April 1, 2020, and has served on TWM LLC’s Global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since January 2014. Mr. Peterson joined TWM LLC in 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18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28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205740</wp:posOffset>
            </wp:positionV>
            <wp:extent cx="146558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55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Scott Zucker, </w:t>
      </w:r>
      <w:r>
        <w:rPr>
          <w:rFonts w:ascii="Arial" w:cs="Arial" w:eastAsia="Arial" w:hAnsi="Arial"/>
          <w:sz w:val="17"/>
          <w:szCs w:val="17"/>
          <w:color w:val="auto"/>
        </w:rPr>
        <w:t>53, has served as Tradeweb’s Chief Risk and Administrative Officer since February 2020 and served as Chief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since its formation and as the Chief Administrative Officer of TWM LLC since November 2009. He joined TWM LLC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Mr. Zucker serves on the board of directors of Habitat for Humanity NYC and is a member of the audit committee. He received a B.A. from Tufts University and a J.D. from Hofstra University School of Law.</w:t>
      </w:r>
    </w:p>
    <w:p>
      <w:pPr>
        <w:spacing w:after="0" w:line="175"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099945" cy="283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994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Compensation Discussion &amp; Analysis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Purpose</w:t>
      </w:r>
    </w:p>
    <w:p>
      <w:pPr>
        <w:spacing w:after="0" w:line="11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This Compensation Discussion and Analysis (CD&amp;A) presents in detail our executive compensation philosophy and practices, describing each element of compensation and the decision-making process by our Compensation Committee that supports it. We encourage you to read this CD&amp;A in conjunction with the compensation tables that follow for additional context to the Compensation Committee’s decisions with respect to the 2021 compensation of our Named Executive Officers (“NEOs”), as listed below.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300" w:type="dxa"/>
            <w:vAlign w:val="bottom"/>
          </w:tcPr>
          <w:p>
            <w:pPr>
              <w:ind w:left="60"/>
              <w:spacing w:after="0"/>
              <w:rPr>
                <w:sz w:val="20"/>
                <w:szCs w:val="20"/>
                <w:color w:val="auto"/>
              </w:rPr>
            </w:pPr>
            <w:r>
              <w:rPr>
                <w:rFonts w:ascii="Arial" w:cs="Arial" w:eastAsia="Arial" w:hAnsi="Arial"/>
                <w:sz w:val="14"/>
                <w:szCs w:val="14"/>
                <w:color w:val="auto"/>
              </w:rPr>
              <w:t>Executive</w:t>
            </w:r>
          </w:p>
        </w:tc>
        <w:tc>
          <w:tcPr>
            <w:tcW w:w="7720" w:type="dxa"/>
            <w:vAlign w:val="bottom"/>
          </w:tcPr>
          <w:p>
            <w:pPr>
              <w:ind w:left="120"/>
              <w:spacing w:after="0"/>
              <w:rPr>
                <w:sz w:val="20"/>
                <w:szCs w:val="20"/>
                <w:color w:val="auto"/>
              </w:rPr>
            </w:pPr>
            <w:r>
              <w:rPr>
                <w:rFonts w:ascii="Arial" w:cs="Arial" w:eastAsia="Arial" w:hAnsi="Arial"/>
                <w:sz w:val="14"/>
                <w:szCs w:val="14"/>
                <w:color w:val="auto"/>
              </w:rPr>
              <w:t>Title</w:t>
            </w:r>
          </w:p>
        </w:tc>
      </w:tr>
      <w:tr>
        <w:trPr>
          <w:trHeight w:val="53"/>
        </w:trPr>
        <w:tc>
          <w:tcPr>
            <w:tcW w:w="3300" w:type="dxa"/>
            <w:vAlign w:val="bottom"/>
            <w:tcBorders>
              <w:bottom w:val="single" w:sz="8" w:color="auto"/>
            </w:tcBorders>
          </w:tcPr>
          <w:p>
            <w:pPr>
              <w:spacing w:after="0"/>
              <w:rPr>
                <w:sz w:val="4"/>
                <w:szCs w:val="4"/>
                <w:color w:val="auto"/>
              </w:rPr>
            </w:pPr>
          </w:p>
        </w:tc>
        <w:tc>
          <w:tcPr>
            <w:tcW w:w="7720" w:type="dxa"/>
            <w:vAlign w:val="bottom"/>
            <w:tcBorders>
              <w:bottom w:val="single" w:sz="8" w:color="auto"/>
            </w:tcBorders>
          </w:tcPr>
          <w:p>
            <w:pPr>
              <w:spacing w:after="0"/>
              <w:rPr>
                <w:sz w:val="4"/>
                <w:szCs w:val="4"/>
                <w:color w:val="auto"/>
              </w:rPr>
            </w:pPr>
          </w:p>
        </w:tc>
      </w:tr>
      <w:tr>
        <w:trPr>
          <w:trHeight w:val="304"/>
        </w:trPr>
        <w:tc>
          <w:tcPr>
            <w:tcW w:w="330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7720" w:type="dxa"/>
            <w:vAlign w:val="bottom"/>
            <w:shd w:val="clear" w:color="auto" w:fill="CCEEF7"/>
          </w:tcPr>
          <w:p>
            <w:pPr>
              <w:ind w:left="120"/>
              <w:spacing w:after="0" w:line="303"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7"/>
                <w:szCs w:val="27"/>
                <w:color w:val="auto"/>
                <w:vertAlign w:val="superscript"/>
              </w:rPr>
              <w:t>(1)</w:t>
            </w:r>
          </w:p>
        </w:tc>
      </w:tr>
      <w:tr>
        <w:trPr>
          <w:trHeight w:val="324"/>
        </w:trPr>
        <w:tc>
          <w:tcPr>
            <w:tcW w:w="3300" w:type="dxa"/>
            <w:vAlign w:val="bottom"/>
          </w:tcPr>
          <w:p>
            <w:pPr>
              <w:ind w:left="60"/>
              <w:spacing w:after="0"/>
              <w:rPr>
                <w:sz w:val="20"/>
                <w:szCs w:val="20"/>
                <w:color w:val="auto"/>
              </w:rPr>
            </w:pPr>
            <w:r>
              <w:rPr>
                <w:rFonts w:ascii="Arial" w:cs="Arial" w:eastAsia="Arial" w:hAnsi="Arial"/>
                <w:sz w:val="16"/>
                <w:szCs w:val="16"/>
                <w:color w:val="auto"/>
              </w:rPr>
              <w:t>Robert Warshaw</w:t>
            </w:r>
          </w:p>
        </w:tc>
        <w:tc>
          <w:tcPr>
            <w:tcW w:w="7720" w:type="dxa"/>
            <w:vAlign w:val="bottom"/>
          </w:tcPr>
          <w:p>
            <w:pPr>
              <w:ind w:left="120"/>
              <w:spacing w:after="0"/>
              <w:rPr>
                <w:sz w:val="20"/>
                <w:szCs w:val="20"/>
                <w:color w:val="auto"/>
              </w:rPr>
            </w:pPr>
            <w:r>
              <w:rPr>
                <w:rFonts w:ascii="Arial" w:cs="Arial" w:eastAsia="Arial" w:hAnsi="Arial"/>
                <w:sz w:val="16"/>
                <w:szCs w:val="16"/>
                <w:color w:val="auto"/>
              </w:rPr>
              <w:t>Former Chief Financial Officer</w:t>
            </w:r>
            <w:r>
              <w:rPr>
                <w:rFonts w:ascii="Arial" w:cs="Arial" w:eastAsia="Arial" w:hAnsi="Arial"/>
                <w:sz w:val="27"/>
                <w:szCs w:val="27"/>
                <w:color w:val="auto"/>
                <w:vertAlign w:val="superscript"/>
              </w:rPr>
              <w:t>(2)</w:t>
            </w:r>
          </w:p>
        </w:tc>
      </w:tr>
      <w:tr>
        <w:trPr>
          <w:trHeight w:val="324"/>
        </w:trPr>
        <w:tc>
          <w:tcPr>
            <w:tcW w:w="3300" w:type="dxa"/>
            <w:vAlign w:val="bottom"/>
            <w:shd w:val="clear" w:color="auto" w:fill="CCEEF7"/>
          </w:tcPr>
          <w:p>
            <w:pPr>
              <w:ind w:left="60"/>
              <w:spacing w:after="0"/>
              <w:rPr>
                <w:sz w:val="20"/>
                <w:szCs w:val="20"/>
                <w:color w:val="auto"/>
              </w:rPr>
            </w:pPr>
            <w:r>
              <w:rPr>
                <w:rFonts w:ascii="Arial" w:cs="Arial" w:eastAsia="Arial" w:hAnsi="Arial"/>
                <w:sz w:val="16"/>
                <w:szCs w:val="16"/>
                <w:color w:val="auto"/>
              </w:rPr>
              <w:t>Sara Furber</w:t>
            </w:r>
          </w:p>
        </w:tc>
        <w:tc>
          <w:tcPr>
            <w:tcW w:w="7720" w:type="dxa"/>
            <w:vAlign w:val="bottom"/>
            <w:shd w:val="clear" w:color="auto" w:fill="CCEEF7"/>
          </w:tcPr>
          <w:p>
            <w:pPr>
              <w:ind w:left="120"/>
              <w:spacing w:after="0"/>
              <w:rPr>
                <w:sz w:val="20"/>
                <w:szCs w:val="20"/>
                <w:color w:val="auto"/>
              </w:rPr>
            </w:pPr>
            <w:r>
              <w:rPr>
                <w:rFonts w:ascii="Arial" w:cs="Arial" w:eastAsia="Arial" w:hAnsi="Arial"/>
                <w:sz w:val="16"/>
                <w:szCs w:val="16"/>
                <w:color w:val="auto"/>
              </w:rPr>
              <w:t>Chief Financial Officer</w:t>
            </w:r>
            <w:r>
              <w:rPr>
                <w:rFonts w:ascii="Arial" w:cs="Arial" w:eastAsia="Arial" w:hAnsi="Arial"/>
                <w:sz w:val="27"/>
                <w:szCs w:val="27"/>
                <w:color w:val="auto"/>
                <w:vertAlign w:val="superscript"/>
              </w:rPr>
              <w:t>(2)</w:t>
            </w:r>
          </w:p>
        </w:tc>
      </w:tr>
      <w:tr>
        <w:trPr>
          <w:trHeight w:val="264"/>
        </w:trPr>
        <w:tc>
          <w:tcPr>
            <w:tcW w:w="3300" w:type="dxa"/>
            <w:vAlign w:val="bottom"/>
          </w:tcPr>
          <w:p>
            <w:pPr>
              <w:ind w:left="60"/>
              <w:spacing w:after="0"/>
              <w:rPr>
                <w:sz w:val="20"/>
                <w:szCs w:val="20"/>
                <w:color w:val="auto"/>
              </w:rPr>
            </w:pPr>
            <w:r>
              <w:rPr>
                <w:rFonts w:ascii="Arial" w:cs="Arial" w:eastAsia="Arial" w:hAnsi="Arial"/>
                <w:sz w:val="16"/>
                <w:szCs w:val="16"/>
                <w:color w:val="auto"/>
              </w:rPr>
              <w:t>Billy Hult</w:t>
            </w:r>
          </w:p>
        </w:tc>
        <w:tc>
          <w:tcPr>
            <w:tcW w:w="7720" w:type="dxa"/>
            <w:vAlign w:val="bottom"/>
          </w:tcPr>
          <w:p>
            <w:pPr>
              <w:ind w:left="120"/>
              <w:spacing w:after="0"/>
              <w:rPr>
                <w:sz w:val="20"/>
                <w:szCs w:val="20"/>
                <w:color w:val="auto"/>
              </w:rPr>
            </w:pPr>
            <w:r>
              <w:rPr>
                <w:rFonts w:ascii="Arial" w:cs="Arial" w:eastAsia="Arial" w:hAnsi="Arial"/>
                <w:sz w:val="16"/>
                <w:szCs w:val="16"/>
                <w:color w:val="auto"/>
              </w:rPr>
              <w:t>President</w:t>
            </w:r>
          </w:p>
        </w:tc>
      </w:tr>
      <w:tr>
        <w:trPr>
          <w:trHeight w:val="60"/>
        </w:trPr>
        <w:tc>
          <w:tcPr>
            <w:tcW w:w="3300" w:type="dxa"/>
            <w:vAlign w:val="bottom"/>
          </w:tcPr>
          <w:p>
            <w:pPr>
              <w:spacing w:after="0"/>
              <w:rPr>
                <w:sz w:val="5"/>
                <w:szCs w:val="5"/>
                <w:color w:val="auto"/>
              </w:rPr>
            </w:pPr>
          </w:p>
        </w:tc>
        <w:tc>
          <w:tcPr>
            <w:tcW w:w="7720" w:type="dxa"/>
            <w:vAlign w:val="bottom"/>
          </w:tcPr>
          <w:p>
            <w:pPr>
              <w:spacing w:after="0"/>
              <w:rPr>
                <w:sz w:val="5"/>
                <w:szCs w:val="5"/>
                <w:color w:val="auto"/>
              </w:rPr>
            </w:pPr>
          </w:p>
        </w:tc>
      </w:tr>
      <w:tr>
        <w:trPr>
          <w:trHeight w:val="304"/>
        </w:trPr>
        <w:tc>
          <w:tcPr>
            <w:tcW w:w="33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Enrico Bruni</w:t>
            </w:r>
          </w:p>
        </w:tc>
        <w:tc>
          <w:tcPr>
            <w:tcW w:w="7720" w:type="dxa"/>
            <w:vAlign w:val="bottom"/>
            <w:tcBorders>
              <w:bottom w:val="single" w:sz="8" w:color="CCEEF7"/>
            </w:tcBorders>
            <w:shd w:val="clear" w:color="auto" w:fill="CCEEF7"/>
          </w:tcPr>
          <w:p>
            <w:pPr>
              <w:ind w:left="120"/>
              <w:spacing w:after="0"/>
              <w:rPr>
                <w:sz w:val="20"/>
                <w:szCs w:val="20"/>
                <w:color w:val="auto"/>
              </w:rPr>
            </w:pPr>
            <w:r>
              <w:rPr>
                <w:rFonts w:ascii="Arial" w:cs="Arial" w:eastAsia="Arial" w:hAnsi="Arial"/>
                <w:sz w:val="16"/>
                <w:szCs w:val="16"/>
                <w:color w:val="auto"/>
              </w:rPr>
              <w:t>Managing Director, Head of Europe and Asia Business</w:t>
            </w:r>
          </w:p>
        </w:tc>
      </w:tr>
      <w:tr>
        <w:trPr>
          <w:trHeight w:val="264"/>
        </w:trPr>
        <w:tc>
          <w:tcPr>
            <w:tcW w:w="3300" w:type="dxa"/>
            <w:vAlign w:val="bottom"/>
          </w:tcPr>
          <w:p>
            <w:pPr>
              <w:ind w:left="60"/>
              <w:spacing w:after="0"/>
              <w:rPr>
                <w:sz w:val="20"/>
                <w:szCs w:val="20"/>
                <w:color w:val="auto"/>
              </w:rPr>
            </w:pPr>
            <w:r>
              <w:rPr>
                <w:rFonts w:ascii="Arial" w:cs="Arial" w:eastAsia="Arial" w:hAnsi="Arial"/>
                <w:sz w:val="16"/>
                <w:szCs w:val="16"/>
                <w:color w:val="auto"/>
              </w:rPr>
              <w:t>Justin Peterson</w:t>
            </w:r>
          </w:p>
        </w:tc>
        <w:tc>
          <w:tcPr>
            <w:tcW w:w="7720" w:type="dxa"/>
            <w:vAlign w:val="bottom"/>
          </w:tcPr>
          <w:p>
            <w:pPr>
              <w:ind w:left="120"/>
              <w:spacing w:after="0"/>
              <w:rPr>
                <w:sz w:val="20"/>
                <w:szCs w:val="20"/>
                <w:color w:val="auto"/>
              </w:rPr>
            </w:pPr>
            <w:r>
              <w:rPr>
                <w:rFonts w:ascii="Arial" w:cs="Arial" w:eastAsia="Arial" w:hAnsi="Arial"/>
                <w:sz w:val="16"/>
                <w:szCs w:val="16"/>
                <w:color w:val="auto"/>
              </w:rPr>
              <w:t>Chief Technology Officer</w:t>
            </w:r>
          </w:p>
        </w:tc>
      </w:tr>
      <w:tr>
        <w:trPr>
          <w:trHeight w:val="67"/>
        </w:trPr>
        <w:tc>
          <w:tcPr>
            <w:tcW w:w="3300" w:type="dxa"/>
            <w:vAlign w:val="bottom"/>
            <w:tcBorders>
              <w:bottom w:val="single" w:sz="8" w:color="auto"/>
            </w:tcBorders>
          </w:tcPr>
          <w:p>
            <w:pPr>
              <w:spacing w:after="0"/>
              <w:rPr>
                <w:sz w:val="5"/>
                <w:szCs w:val="5"/>
                <w:color w:val="auto"/>
              </w:rPr>
            </w:pPr>
          </w:p>
        </w:tc>
        <w:tc>
          <w:tcPr>
            <w:tcW w:w="772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jc w:val="both"/>
        <w:ind w:left="540" w:right="140" w:hanging="424"/>
        <w:spacing w:after="0" w:line="249"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February 16, 2022, the Company announced that Mr. Olesky will retire as Chief Executive Officer of the Company effective December 31, 2022. On February 11, 2022, the Board elected the Company’s President, Mr. Hult, to succeed Mr. Olesky as Chief Executive Officer of the Company, effective January 1, 2023. Mr. Olesky will stay on with the Company in the position of Chairman of the Board, and accordingly will continue to serve in his capacity as a director of the Company.</w:t>
      </w:r>
    </w:p>
    <w:p>
      <w:pPr>
        <w:spacing w:after="0" w:line="65" w:lineRule="exact"/>
        <w:rPr>
          <w:rFonts w:ascii="Arial" w:cs="Arial" w:eastAsia="Arial" w:hAnsi="Arial"/>
          <w:sz w:val="14"/>
          <w:szCs w:val="14"/>
          <w:color w:val="auto"/>
        </w:rPr>
      </w:pPr>
    </w:p>
    <w:p>
      <w:pPr>
        <w:ind w:left="540" w:right="180" w:hanging="424"/>
        <w:spacing w:after="0" w:line="249"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August 30, 2021, the Board of Directors of the Company announced that Robert Warshaw would be leaving the Company following a period of transition and appointed Sara Furber to serve as the Chief Financial Officer of the Company, effective September 7, 2021. Mr. Warshaw remained employed by the Company until his retirement on January 4, 2022.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Company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Summary of 2021 Performance</w:t>
      </w:r>
    </w:p>
    <w:p>
      <w:pPr>
        <w:spacing w:after="0" w:line="23"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color w:val="auto"/>
        </w:rPr>
        <w:t>Tradeweb is a leader in building and operating electronic marketplaces for its network of clients located in 65+ countries globally. We have a powerful client network that had a daily trading average in 2021 of over $1 trillion across our global electronic marketplaces, which are deeply integrated in, and supported by, our proprietary technology. Since our inception, we have combined the creativity of our employees, power of our technology, and depth of our network to collaboratively innovate with our clients to simplify their workflows across the fixed income and equity markets.</w:t>
      </w:r>
    </w:p>
    <w:p>
      <w:pPr>
        <w:spacing w:after="0" w:line="2"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6"/>
          <w:szCs w:val="16"/>
          <w:color w:val="auto"/>
        </w:rPr>
        <w:t>Beginning in 2020 and continuing through 2021, the COVID-19 pandemic created a global emergency, requiring businesses to reassess their operations and take steps to ensure the safety of their employees and survival of their business. Despite the widespread economic uncertainty caused by COVID-19, Tradeweb, as a virtual marketplace company, was able to quickly and efficiently invoke its business continuity procedures to enable employees to work from home and customers to connect from their business continuity infrastructure to our marketplaces. As such, we have successfully avoided any layoffs, furloughs or salary reductions among our workforce due to COVID-19, while being able to maintain our business operations and keep our employees safe. Beginning in June 2021, Tradeweb transitioned to a hybrid approach for many roles in our return to office plans. Our creative and flexible return to office plans aim to keep driving our business forward and allow safe collaboration and positive team dynamics.</w:t>
      </w:r>
    </w:p>
    <w:p>
      <w:pPr>
        <w:spacing w:after="0" w:line="4" w:lineRule="exact"/>
        <w:rPr>
          <w:sz w:val="20"/>
          <w:szCs w:val="20"/>
          <w:color w:val="auto"/>
        </w:rPr>
      </w:pPr>
    </w:p>
    <w:p>
      <w:pPr>
        <w:ind w:left="120" w:right="140" w:firstLine="440"/>
        <w:spacing w:after="0" w:line="252"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90"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30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Our 2021 results demonstrate that our investments in our network, technology, and people continue to bring value to the Company’s stockholders and achieve our goal of long-term value creation. Highlights of our 2021 financial performance and other matters include:</w:t>
      </w:r>
    </w:p>
    <w:p>
      <w:pPr>
        <w:spacing w:after="0" w:line="82" w:lineRule="exact"/>
        <w:rPr>
          <w:sz w:val="20"/>
          <w:szCs w:val="20"/>
          <w:color w:val="auto"/>
        </w:rPr>
      </w:pPr>
    </w:p>
    <w:p>
      <w:pPr>
        <w:ind w:left="540" w:hanging="208"/>
        <w:spacing w:after="0"/>
        <w:tabs>
          <w:tab w:leader="none" w:pos="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Hiring of a new Chief Financial Officer, Sara Furber.</w:t>
      </w:r>
    </w:p>
    <w:p>
      <w:pPr>
        <w:spacing w:after="0" w:line="23" w:lineRule="exact"/>
        <w:rPr>
          <w:rFonts w:ascii="Arial" w:cs="Arial" w:eastAsia="Arial" w:hAnsi="Arial"/>
          <w:sz w:val="18"/>
          <w:szCs w:val="18"/>
          <w:color w:val="auto"/>
        </w:rPr>
      </w:pPr>
    </w:p>
    <w:p>
      <w:pPr>
        <w:jc w:val="both"/>
        <w:ind w:left="540" w:right="520" w:hanging="208"/>
        <w:spacing w:after="0" w:line="250" w:lineRule="auto"/>
        <w:tabs>
          <w:tab w:leader="none" w:pos="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Gross revenues of $276.9 million during Q4 were up 18.8% year over year on a reported basis and 19.9% on a constant currency basis. The revenue growth and the resulting scale translated into improved profitability year over year as our fourth quarter adjusted EBITDA margin* expanded by 144 basis points to 50.6%.</w:t>
      </w:r>
    </w:p>
    <w:p>
      <w:pPr>
        <w:spacing w:after="0" w:line="1" w:lineRule="exact"/>
        <w:rPr>
          <w:rFonts w:ascii="Arial" w:cs="Arial" w:eastAsia="Arial" w:hAnsi="Arial"/>
          <w:sz w:val="18"/>
          <w:szCs w:val="18"/>
          <w:color w:val="auto"/>
        </w:rPr>
      </w:pPr>
    </w:p>
    <w:p>
      <w:pPr>
        <w:ind w:left="540" w:right="240" w:hanging="208"/>
        <w:spacing w:after="0" w:line="265" w:lineRule="auto"/>
        <w:tabs>
          <w:tab w:leader="none" w:pos="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Record volumes across asset classes translated into 20.6% and 19.3% revenue growth in 2021 on a reported and constant currency basis, respectively. As a result, we recorded our 22</w:t>
      </w:r>
      <w:r>
        <w:rPr>
          <w:rFonts w:ascii="Arial" w:cs="Arial" w:eastAsia="Arial" w:hAnsi="Arial"/>
          <w:sz w:val="14"/>
          <w:szCs w:val="14"/>
          <w:color w:val="auto"/>
        </w:rPr>
        <w:t>nd</w:t>
      </w:r>
      <w:r>
        <w:rPr>
          <w:rFonts w:ascii="Arial" w:cs="Arial" w:eastAsia="Arial" w:hAnsi="Arial"/>
          <w:sz w:val="17"/>
          <w:szCs w:val="17"/>
          <w:color w:val="auto"/>
        </w:rPr>
        <w:t xml:space="preserve"> consecutive year of record revenues. The scale generated by our strong top-line results drove approximately 192 basis points of EBITDA margin expansion and 24.4% adjusted diluted earnings per share* growth. As our growth initiatives continued to scale, we maintained our tradition of consistent and focused organic investment.</w:t>
      </w:r>
    </w:p>
    <w:p>
      <w:pPr>
        <w:ind w:left="540" w:right="400" w:hanging="208"/>
        <w:spacing w:after="0" w:line="250" w:lineRule="auto"/>
        <w:tabs>
          <w:tab w:leader="none" w:pos="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closing price of a share of Company common stock at 2021 fiscal year end was $100.14 versus $62.45 and $46.35 for the 2020 and 2019 fiscal year ends, respectively, reflecting management’s creation of long-term value for stockholders.</w:t>
      </w:r>
    </w:p>
    <w:p>
      <w:pPr>
        <w:ind w:left="540" w:right="80" w:hanging="208"/>
        <w:spacing w:after="0" w:line="260" w:lineRule="auto"/>
        <w:tabs>
          <w:tab w:leader="none" w:pos="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June 2021, we acquired Nasdaq’s U.S. fixed income electronic trading platform. The addition of this fully-electronic CLOB (central limit order book) offers a flexible, efficient approach to trading in the wholesale U.S. Treasury market.</w:t>
      </w:r>
    </w:p>
    <w:p>
      <w:pPr>
        <w:spacing w:after="0" w:line="207" w:lineRule="exact"/>
        <w:rPr>
          <w:rFonts w:ascii="Arial" w:cs="Arial" w:eastAsia="Arial" w:hAnsi="Arial"/>
          <w:sz w:val="18"/>
          <w:szCs w:val="18"/>
          <w:color w:val="auto"/>
        </w:rPr>
      </w:pPr>
    </w:p>
    <w:p>
      <w:pPr>
        <w:ind w:left="540" w:right="160" w:hanging="432"/>
        <w:spacing w:after="0" w:line="245" w:lineRule="auto"/>
        <w:rPr>
          <w:rFonts w:ascii="Arial" w:cs="Arial" w:eastAsia="Arial" w:hAnsi="Arial"/>
          <w:sz w:val="18"/>
          <w:szCs w:val="18"/>
          <w:color w:val="auto"/>
        </w:rPr>
      </w:pPr>
      <w:r>
        <w:rPr>
          <w:rFonts w:ascii="Arial" w:cs="Arial" w:eastAsia="Arial" w:hAnsi="Arial"/>
          <w:sz w:val="18"/>
          <w:szCs w:val="18"/>
          <w:i w:val="1"/>
          <w:iCs w:val="1"/>
          <w:color w:val="auto"/>
        </w:rPr>
        <w:t>*Adjusted EBITDA margin and adjusted diluted earnings per share are non-GAAP financial measures used by the Company to supplement information on our financial results. A reconciliation of these non-GAAP financial measures may be found in our Annual Report on Form 10-K for the year ended December 31, 2021, filed with the SEC on February 24, 2022, under the heading “Use of Non-GAAP Financial Measures” beginning on page 5.</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Compensation Program Highlights for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are some of the highlights of our fiscal 2021 executive compensation program:</w:t>
      </w:r>
    </w:p>
    <w:p>
      <w:pPr>
        <w:spacing w:after="0" w:line="116" w:lineRule="exact"/>
        <w:rPr>
          <w:sz w:val="20"/>
          <w:szCs w:val="20"/>
          <w:color w:val="auto"/>
        </w:rPr>
      </w:pPr>
    </w:p>
    <w:p>
      <w:pPr>
        <w:ind w:left="540" w:right="140" w:hanging="208"/>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Outperformance of annual revenue versus budget allowed for a larger cash bonus pool for annual bonuses to all employees, which was taken into account in awarding bonuses to the NEOs (other than the Chief Executive Officer and President).</w:t>
      </w:r>
    </w:p>
    <w:p>
      <w:pPr>
        <w:spacing w:after="0" w:line="1" w:lineRule="exact"/>
        <w:rPr>
          <w:rFonts w:ascii="Arial" w:cs="Arial" w:eastAsia="Arial" w:hAnsi="Arial"/>
          <w:sz w:val="18"/>
          <w:szCs w:val="18"/>
          <w:color w:val="auto"/>
        </w:rPr>
      </w:pPr>
    </w:p>
    <w:p>
      <w:pPr>
        <w:ind w:left="540" w:right="60" w:hanging="208"/>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Chief Executive Officer and President received their maximum annual bonus payouts at 225% of target based on the Company’s achievement of rigorous, specified financial goals for 2021 tied to EBITDA margin and revenue growth.</w:t>
      </w:r>
    </w:p>
    <w:p>
      <w:pPr>
        <w:ind w:left="540" w:right="720" w:hanging="208"/>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EBITDA growth and revenue growth targets for 2021 performance were achieved with respect to outstanding pre-IPO option grants with performance-based vesting features.</w:t>
      </w:r>
    </w:p>
    <w:p>
      <w:pPr>
        <w:ind w:left="540" w:right="420" w:hanging="208"/>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February 2022, the Company confirmed the achievement of the maximum “performance modifier” (described further below) applicable to performance-based restricted stock units granted in 2021 based on Company performance during fiscal year 2021, which will result in the maximum payouts under those awards at the time of settlement.</w:t>
      </w:r>
    </w:p>
    <w:p>
      <w:pPr>
        <w:spacing w:after="0" w:line="1" w:lineRule="exact"/>
        <w:rPr>
          <w:rFonts w:ascii="Arial" w:cs="Arial" w:eastAsia="Arial" w:hAnsi="Arial"/>
          <w:sz w:val="18"/>
          <w:szCs w:val="18"/>
          <w:color w:val="auto"/>
        </w:rPr>
      </w:pPr>
    </w:p>
    <w:p>
      <w:pPr>
        <w:ind w:left="540" w:right="160" w:hanging="208"/>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granted a combination of performance-based and service-based restricted stock units to our executives, (excluding our newly hired CFO who received special equity grants in connection with her hire, described further below).</w:t>
      </w:r>
    </w:p>
    <w:p>
      <w:pPr>
        <w:spacing w:after="0" w:line="18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“Say-on-Pay” Vote</w:t>
      </w:r>
    </w:p>
    <w:p>
      <w:pPr>
        <w:spacing w:after="0" w:line="27" w:lineRule="exact"/>
        <w:rPr>
          <w:sz w:val="20"/>
          <w:szCs w:val="20"/>
          <w:color w:val="auto"/>
        </w:rPr>
      </w:pPr>
    </w:p>
    <w:p>
      <w:pPr>
        <w:ind w:left="120" w:right="320"/>
        <w:spacing w:after="0" w:line="281" w:lineRule="auto"/>
        <w:rPr>
          <w:sz w:val="20"/>
          <w:szCs w:val="20"/>
          <w:color w:val="auto"/>
        </w:rPr>
      </w:pPr>
      <w:r>
        <w:rPr>
          <w:rFonts w:ascii="Arial" w:cs="Arial" w:eastAsia="Arial" w:hAnsi="Arial"/>
          <w:sz w:val="16"/>
          <w:szCs w:val="16"/>
          <w:color w:val="auto"/>
        </w:rPr>
        <w:t>Prior to 2020, Tradeweb was considered an “emerging growth company” and therefore not required to undertake a say-on-pay vote for executive compensation. Last year was the first year Tradeweb conducted a say-on-pay and a say-on-frequency vote. Our say-on-pay proposal for 2021 was approved by approximately 98.89% of the eligible votes, indicating strong support for our executive compensation program. In furtherance of the Company’s interest in stockholder engagement and our pay-for-performance philosophy, the Company, including our Compensation Committee, has continued to examine our executive compensation program to ensure alignment between the interests of our executives and our stockholders. No significant changes were made to our executive compensation program in 2021 as a direct result of the 2021 say-on-pay vote.</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stockholders also approved our say-on-frequency vote proposal in 2021. As such, our advisory say-on-pay vote will be held every three years.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Determining Executive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Executive Compensation Practices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324"/>
        </w:trPr>
        <w:tc>
          <w:tcPr>
            <w:tcW w:w="5560" w:type="dxa"/>
            <w:vAlign w:val="bottom"/>
            <w:shd w:val="clear" w:color="auto" w:fill="00ADD8"/>
          </w:tcPr>
          <w:p>
            <w:pPr>
              <w:ind w:left="2260"/>
              <w:spacing w:after="0"/>
              <w:rPr>
                <w:sz w:val="20"/>
                <w:szCs w:val="20"/>
                <w:color w:val="auto"/>
              </w:rPr>
            </w:pPr>
            <w:r>
              <w:rPr>
                <w:rFonts w:ascii="Arial" w:cs="Arial" w:eastAsia="Arial" w:hAnsi="Arial"/>
                <w:sz w:val="18"/>
                <w:szCs w:val="18"/>
                <w:color w:val="FFFFFF"/>
              </w:rPr>
              <w:t>What We Do</w:t>
            </w:r>
          </w:p>
        </w:tc>
        <w:tc>
          <w:tcPr>
            <w:tcW w:w="5460" w:type="dxa"/>
            <w:vAlign w:val="bottom"/>
            <w:shd w:val="clear" w:color="auto" w:fill="514F51"/>
          </w:tcPr>
          <w:p>
            <w:pPr>
              <w:ind w:left="2140"/>
              <w:spacing w:after="0"/>
              <w:rPr>
                <w:sz w:val="20"/>
                <w:szCs w:val="20"/>
                <w:color w:val="auto"/>
              </w:rPr>
            </w:pPr>
            <w:r>
              <w:rPr>
                <w:rFonts w:ascii="Arial" w:cs="Arial" w:eastAsia="Arial" w:hAnsi="Arial"/>
                <w:sz w:val="18"/>
                <w:szCs w:val="18"/>
                <w:color w:val="FFFFFF"/>
              </w:rPr>
              <w:t>What We Don’t Do</w:t>
            </w:r>
          </w:p>
        </w:tc>
      </w:tr>
      <w:tr>
        <w:trPr>
          <w:trHeight w:val="95"/>
        </w:trPr>
        <w:tc>
          <w:tcPr>
            <w:tcW w:w="5560" w:type="dxa"/>
            <w:vAlign w:val="bottom"/>
            <w:shd w:val="clear" w:color="auto" w:fill="00ADD8"/>
          </w:tcPr>
          <w:p>
            <w:pPr>
              <w:spacing w:after="0"/>
              <w:rPr>
                <w:sz w:val="8"/>
                <w:szCs w:val="8"/>
                <w:color w:val="auto"/>
              </w:rPr>
            </w:pPr>
          </w:p>
        </w:tc>
        <w:tc>
          <w:tcPr>
            <w:tcW w:w="5460" w:type="dxa"/>
            <w:vAlign w:val="bottom"/>
            <w:shd w:val="clear" w:color="auto" w:fill="514F51"/>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737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3737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06" w:lineRule="exact"/>
        <w:rPr>
          <w:sz w:val="20"/>
          <w:szCs w:val="20"/>
          <w:color w:val="auto"/>
        </w:rPr>
      </w:pPr>
    </w:p>
    <w:p>
      <w:pPr>
        <w:ind w:left="340" w:right="400"/>
        <w:spacing w:after="0" w:line="266" w:lineRule="auto"/>
        <w:rPr>
          <w:sz w:val="20"/>
          <w:szCs w:val="20"/>
          <w:color w:val="auto"/>
        </w:rPr>
      </w:pPr>
      <w:r>
        <w:rPr>
          <w:rFonts w:ascii="Arial" w:cs="Arial" w:eastAsia="Arial" w:hAnsi="Arial"/>
          <w:sz w:val="16"/>
          <w:szCs w:val="16"/>
          <w:b w:val="1"/>
          <w:bCs w:val="1"/>
          <w:color w:val="auto"/>
        </w:rPr>
        <w:t>Pay for performance</w:t>
      </w:r>
      <w:r>
        <w:rPr>
          <w:rFonts w:ascii="Arial" w:cs="Arial" w:eastAsia="Arial" w:hAnsi="Arial"/>
          <w:sz w:val="16"/>
          <w:szCs w:val="16"/>
          <w:color w:val="auto"/>
        </w:rPr>
        <w:t>. Approximately 90%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at-risk, variable compensation, and 68% of our executive compensation is tied directly to performance.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b w:val="1"/>
          <w:bCs w:val="1"/>
          <w:color w:val="auto"/>
        </w:rPr>
        <w:t xml:space="preserve">Hedging/pledging of Company stock. </w:t>
      </w:r>
      <w:r>
        <w:rPr>
          <w:rFonts w:ascii="Arial" w:cs="Arial" w:eastAsia="Arial" w:hAnsi="Arial"/>
          <w:sz w:val="16"/>
          <w:szCs w:val="16"/>
          <w:color w:val="auto"/>
        </w:rPr>
        <w:t>We prohibit our officers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from hedging, margining, pledging, short-selling or publicly trading options in our stock.</w:t>
      </w:r>
    </w:p>
    <w:p>
      <w:pPr>
        <w:spacing w:after="0" w:line="200"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b w:val="1"/>
          <w:bCs w:val="1"/>
          <w:color w:val="auto"/>
        </w:rPr>
        <w:t>Encourage long-term outlook</w:t>
      </w:r>
      <w:r>
        <w:rPr>
          <w:rFonts w:ascii="Arial" w:cs="Arial" w:eastAsia="Arial" w:hAnsi="Arial"/>
          <w:sz w:val="16"/>
          <w:szCs w:val="16"/>
          <w:color w:val="auto"/>
        </w:rPr>
        <w:t>. Long-term equity awards have a three-year vesting period.</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 xml:space="preserve">Excise tax gross-ups. </w:t>
      </w:r>
      <w:r>
        <w:rPr>
          <w:rFonts w:ascii="Arial" w:cs="Arial" w:eastAsia="Arial" w:hAnsi="Arial"/>
          <w:sz w:val="16"/>
          <w:szCs w:val="16"/>
          <w:color w:val="auto"/>
        </w:rPr>
        <w:t>We do not pay excise tax gross-ups on</w:t>
      </w:r>
      <w:r>
        <w:rPr>
          <w:rFonts w:ascii="Arial" w:cs="Arial" w:eastAsia="Arial" w:hAnsi="Arial"/>
          <w:sz w:val="16"/>
          <w:szCs w:val="16"/>
          <w:b w:val="1"/>
          <w:bCs w:val="1"/>
          <w:color w:val="auto"/>
        </w:rPr>
        <w:t xml:space="preserve"> </w:t>
      </w:r>
      <w:r>
        <w:rPr>
          <w:rFonts w:ascii="Arial" w:cs="Arial" w:eastAsia="Arial" w:hAnsi="Arial"/>
          <w:sz w:val="16"/>
          <w:szCs w:val="16"/>
          <w:color w:val="auto"/>
        </w:rPr>
        <w:t>change-in-control payments.</w:t>
      </w:r>
    </w:p>
    <w:p>
      <w:pPr>
        <w:spacing w:after="0" w:line="200" w:lineRule="exact"/>
        <w:rPr>
          <w:sz w:val="20"/>
          <w:szCs w:val="20"/>
          <w:color w:val="auto"/>
        </w:rPr>
      </w:pPr>
    </w:p>
    <w:p>
      <w:pPr>
        <w:sectPr>
          <w:pgSz w:w="11900" w:h="16838" w:orient="portrait"/>
          <w:cols w:equalWidth="0" w:num="2">
            <w:col w:w="5460" w:space="540"/>
            <w:col w:w="5140"/>
          </w:cols>
          <w:pgMar w:left="320" w:top="459" w:right="439" w:bottom="1440" w:gutter="0" w:footer="0" w:header="0"/>
          <w:type w:val="continuous"/>
        </w:sectPr>
      </w:pPr>
    </w:p>
    <w:p>
      <w:pPr>
        <w:spacing w:after="0" w:line="388" w:lineRule="exact"/>
        <w:rPr>
          <w:sz w:val="20"/>
          <w:szCs w:val="20"/>
          <w:color w:val="auto"/>
        </w:rPr>
      </w:pPr>
    </w:p>
    <w:p>
      <w:pPr>
        <w:ind w:left="340" w:right="180"/>
        <w:spacing w:after="0" w:line="266" w:lineRule="auto"/>
        <w:rPr>
          <w:sz w:val="20"/>
          <w:szCs w:val="20"/>
          <w:color w:val="auto"/>
        </w:rPr>
      </w:pPr>
      <w:r>
        <w:rPr>
          <w:rFonts w:ascii="Arial" w:cs="Arial" w:eastAsia="Arial" w:hAnsi="Arial"/>
          <w:sz w:val="16"/>
          <w:szCs w:val="16"/>
          <w:b w:val="1"/>
          <w:bCs w:val="1"/>
          <w:color w:val="auto"/>
        </w:rPr>
        <w:t>Limited employment agreements</w:t>
      </w:r>
      <w:r>
        <w:rPr>
          <w:rFonts w:ascii="Arial" w:cs="Arial" w:eastAsia="Arial" w:hAnsi="Arial"/>
          <w:sz w:val="16"/>
          <w:szCs w:val="16"/>
          <w:color w:val="auto"/>
        </w:rPr>
        <w:t>. We maintain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with only a limited number of executives, including the Chief Executive Officer and President.</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b w:val="1"/>
          <w:bCs w:val="1"/>
          <w:color w:val="auto"/>
        </w:rPr>
        <w:t>Repricing or exchange of underwater options</w:t>
      </w:r>
      <w:r>
        <w:rPr>
          <w:rFonts w:ascii="Arial" w:cs="Arial" w:eastAsia="Arial" w:hAnsi="Arial"/>
          <w:sz w:val="16"/>
          <w:szCs w:val="16"/>
          <w:color w:val="auto"/>
        </w:rPr>
        <w:t>.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omnibus equity plan, we specifically prohibit share repricing without stockholder approval.</w:t>
      </w:r>
    </w:p>
    <w:p>
      <w:pPr>
        <w:spacing w:after="0" w:line="200"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340"/>
        <w:spacing w:after="0" w:line="259" w:lineRule="auto"/>
        <w:rPr>
          <w:sz w:val="20"/>
          <w:szCs w:val="20"/>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We maintain a robust clawback policy that allows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recoup incentive compensation earned by executive officers or other employees in the event of a material restatement of the Company’s financial statements.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Dividends and dividend equivalents on unearned equity awards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 rights accrued on equity awards are not paid until the underlying award itself vests and becomes payable.</w:t>
      </w:r>
    </w:p>
    <w:p>
      <w:pPr>
        <w:spacing w:after="0" w:line="382" w:lineRule="exact"/>
        <w:rPr>
          <w:sz w:val="20"/>
          <w:szCs w:val="20"/>
          <w:color w:val="auto"/>
        </w:rPr>
      </w:pPr>
    </w:p>
    <w:p>
      <w:pPr>
        <w:sectPr>
          <w:pgSz w:w="11900" w:h="16838" w:orient="portrait"/>
          <w:cols w:equalWidth="0" w:num="2">
            <w:col w:w="5460" w:space="540"/>
            <w:col w:w="5140"/>
          </w:cols>
          <w:pgMar w:left="320" w:top="459"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Rigorous performance goals. </w:t>
      </w:r>
      <w:r>
        <w:rPr>
          <w:rFonts w:ascii="Arial" w:cs="Arial" w:eastAsia="Arial" w:hAnsi="Arial"/>
          <w:sz w:val="16"/>
          <w:szCs w:val="16"/>
          <w:color w:val="auto"/>
        </w:rPr>
        <w:t>The Company establishes rigorous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goals related to its incentive-based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32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Executive Compensation Philosophy and Objectives</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Our executive compensation program is designed to attract and retain the leadership needed for the success of our business. We believe that investing in our talent through a market-based and flexible total compensation program has been critical to the success of Tradeweb, enabling us to promote both short- and long-term profitable growth of the Company and achieve our ultimate goal of bringing value to our customers and stockholders. Our compensation philosophy emphasizes creating an “ownership mentality” to align our executives’ interests with those of our stockholders. To this end, our total compensation program is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Maintain a pay-for-performance culture</w:t>
            </w:r>
          </w:p>
        </w:tc>
        <w:tc>
          <w:tcPr>
            <w:tcW w:w="7780" w:type="dxa"/>
            <w:vAlign w:val="bottom"/>
          </w:tcPr>
          <w:p>
            <w:pPr>
              <w:ind w:left="180"/>
              <w:spacing w:after="0"/>
              <w:rPr>
                <w:sz w:val="20"/>
                <w:szCs w:val="20"/>
                <w:color w:val="auto"/>
              </w:rPr>
            </w:pPr>
            <w:r>
              <w:rPr>
                <w:rFonts w:ascii="Arial" w:cs="Arial" w:eastAsia="Arial" w:hAnsi="Arial"/>
                <w:sz w:val="16"/>
                <w:szCs w:val="16"/>
                <w:color w:val="auto"/>
              </w:rPr>
              <w:t>Annual pay opportunities emphasize variable performance-based compensation, with metrics aligned to</w:t>
            </w:r>
          </w:p>
        </w:tc>
      </w:tr>
      <w:tr>
        <w:trPr>
          <w:trHeight w:val="189"/>
        </w:trPr>
        <w:tc>
          <w:tcPr>
            <w:tcW w:w="3240" w:type="dxa"/>
            <w:vAlign w:val="bottom"/>
          </w:tcPr>
          <w:p>
            <w:pPr>
              <w:spacing w:after="0"/>
              <w:rPr>
                <w:sz w:val="16"/>
                <w:szCs w:val="16"/>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the Company’s financial results and business strategy, ensuring a high degree of performance orientation</w:t>
            </w:r>
          </w:p>
        </w:tc>
      </w:tr>
      <w:tr>
        <w:trPr>
          <w:trHeight w:val="195"/>
        </w:trPr>
        <w:tc>
          <w:tcPr>
            <w:tcW w:w="3240" w:type="dxa"/>
            <w:vAlign w:val="bottom"/>
          </w:tcPr>
          <w:p>
            <w:pPr>
              <w:spacing w:after="0"/>
              <w:rPr>
                <w:sz w:val="16"/>
                <w:szCs w:val="16"/>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in our executive compensation program.</w:t>
            </w:r>
          </w:p>
        </w:tc>
      </w:tr>
      <w:tr>
        <w:trPr>
          <w:trHeight w:val="60"/>
        </w:trPr>
        <w:tc>
          <w:tcPr>
            <w:tcW w:w="32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r>
      <w:tr>
        <w:trPr>
          <w:trHeight w:val="218"/>
        </w:trPr>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Foster long-term alignment with</w:t>
            </w:r>
          </w:p>
        </w:tc>
        <w:tc>
          <w:tcPr>
            <w:tcW w:w="7780" w:type="dxa"/>
            <w:vAlign w:val="bottom"/>
          </w:tcPr>
          <w:p>
            <w:pPr>
              <w:ind w:left="180"/>
              <w:spacing w:after="0"/>
              <w:rPr>
                <w:sz w:val="20"/>
                <w:szCs w:val="20"/>
                <w:color w:val="auto"/>
              </w:rPr>
            </w:pPr>
            <w:r>
              <w:rPr>
                <w:rFonts w:ascii="Arial" w:cs="Arial" w:eastAsia="Arial" w:hAnsi="Arial"/>
                <w:sz w:val="16"/>
                <w:szCs w:val="16"/>
                <w:color w:val="auto"/>
              </w:rPr>
              <w:t>Outstanding equity awards in the form of pre-IPO option and performance-based restricted stock unit</w:t>
            </w:r>
          </w:p>
        </w:tc>
      </w:tr>
      <w:tr>
        <w:trPr>
          <w:trHeight w:val="209"/>
        </w:trPr>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stockholders</w:t>
            </w:r>
          </w:p>
        </w:tc>
        <w:tc>
          <w:tcPr>
            <w:tcW w:w="7780" w:type="dxa"/>
            <w:vAlign w:val="bottom"/>
          </w:tcPr>
          <w:p>
            <w:pPr>
              <w:ind w:left="180"/>
              <w:spacing w:after="0"/>
              <w:rPr>
                <w:sz w:val="20"/>
                <w:szCs w:val="20"/>
                <w:color w:val="auto"/>
              </w:rPr>
            </w:pPr>
            <w:r>
              <w:rPr>
                <w:rFonts w:ascii="Arial" w:cs="Arial" w:eastAsia="Arial" w:hAnsi="Arial"/>
                <w:sz w:val="16"/>
                <w:szCs w:val="16"/>
                <w:color w:val="auto"/>
              </w:rPr>
              <w:t>grants, as well as annual performance-based restricted stock unit grants and annual restricted stock unit</w:t>
            </w:r>
          </w:p>
        </w:tc>
      </w:tr>
      <w:tr>
        <w:trPr>
          <w:trHeight w:val="195"/>
        </w:trPr>
        <w:tc>
          <w:tcPr>
            <w:tcW w:w="3240" w:type="dxa"/>
            <w:vAlign w:val="bottom"/>
          </w:tcPr>
          <w:p>
            <w:pPr>
              <w:spacing w:after="0"/>
              <w:rPr>
                <w:sz w:val="16"/>
                <w:szCs w:val="16"/>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grants directly tie pay outcomes to value creation.</w:t>
            </w:r>
          </w:p>
        </w:tc>
      </w:tr>
      <w:tr>
        <w:trPr>
          <w:trHeight w:val="60"/>
        </w:trPr>
        <w:tc>
          <w:tcPr>
            <w:tcW w:w="32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r>
      <w:tr>
        <w:trPr>
          <w:trHeight w:val="238"/>
        </w:trPr>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Attraction and retention</w:t>
            </w:r>
          </w:p>
        </w:tc>
        <w:tc>
          <w:tcPr>
            <w:tcW w:w="7780" w:type="dxa"/>
            <w:vAlign w:val="bottom"/>
          </w:tcPr>
          <w:p>
            <w:pPr>
              <w:ind w:left="180"/>
              <w:spacing w:after="0"/>
              <w:rPr>
                <w:sz w:val="20"/>
                <w:szCs w:val="20"/>
                <w:color w:val="auto"/>
              </w:rPr>
            </w:pPr>
            <w:r>
              <w:rPr>
                <w:rFonts w:ascii="Arial" w:cs="Arial" w:eastAsia="Arial" w:hAnsi="Arial"/>
                <w:sz w:val="16"/>
                <w:szCs w:val="16"/>
                <w:color w:val="auto"/>
              </w:rPr>
              <w:t>Our executive compensation program provides overall target compensation that is intended to attract and</w:t>
            </w:r>
          </w:p>
        </w:tc>
      </w:tr>
      <w:tr>
        <w:trPr>
          <w:trHeight w:val="195"/>
        </w:trPr>
        <w:tc>
          <w:tcPr>
            <w:tcW w:w="3240" w:type="dxa"/>
            <w:vAlign w:val="bottom"/>
          </w:tcPr>
          <w:p>
            <w:pPr>
              <w:spacing w:after="0"/>
              <w:rPr>
                <w:sz w:val="16"/>
                <w:szCs w:val="16"/>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retain high-caliber talent.</w:t>
            </w:r>
          </w:p>
        </w:tc>
      </w:tr>
      <w:tr>
        <w:trPr>
          <w:trHeight w:val="60"/>
        </w:trPr>
        <w:tc>
          <w:tcPr>
            <w:tcW w:w="32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r>
      <w:tr>
        <w:trPr>
          <w:trHeight w:val="238"/>
        </w:trPr>
        <w:tc>
          <w:tcPr>
            <w:tcW w:w="3240" w:type="dxa"/>
            <w:vAlign w:val="bottom"/>
          </w:tcPr>
          <w:p>
            <w:pPr>
              <w:ind w:left="60"/>
              <w:spacing w:after="0"/>
              <w:rPr>
                <w:sz w:val="20"/>
                <w:szCs w:val="20"/>
                <w:color w:val="auto"/>
              </w:rPr>
            </w:pPr>
            <w:r>
              <w:rPr>
                <w:rFonts w:ascii="Arial" w:cs="Arial" w:eastAsia="Arial" w:hAnsi="Arial"/>
                <w:sz w:val="16"/>
                <w:szCs w:val="16"/>
                <w:b w:val="1"/>
                <w:bCs w:val="1"/>
                <w:color w:val="auto"/>
              </w:rPr>
              <w:t>Reflect internal equity considerations</w:t>
            </w:r>
          </w:p>
        </w:tc>
        <w:tc>
          <w:tcPr>
            <w:tcW w:w="7780" w:type="dxa"/>
            <w:vAlign w:val="bottom"/>
          </w:tcPr>
          <w:p>
            <w:pPr>
              <w:ind w:left="180"/>
              <w:spacing w:after="0"/>
              <w:rPr>
                <w:sz w:val="20"/>
                <w:szCs w:val="20"/>
                <w:color w:val="auto"/>
              </w:rPr>
            </w:pPr>
            <w:r>
              <w:rPr>
                <w:rFonts w:ascii="Arial" w:cs="Arial" w:eastAsia="Arial" w:hAnsi="Arial"/>
                <w:sz w:val="16"/>
                <w:szCs w:val="16"/>
                <w:color w:val="auto"/>
              </w:rPr>
              <w:t>Compensation decisions are made in the context of individual factors, fostering growth and motivation</w:t>
            </w:r>
          </w:p>
        </w:tc>
      </w:tr>
      <w:tr>
        <w:trPr>
          <w:trHeight w:val="195"/>
        </w:trPr>
        <w:tc>
          <w:tcPr>
            <w:tcW w:w="3240" w:type="dxa"/>
            <w:vAlign w:val="bottom"/>
          </w:tcPr>
          <w:p>
            <w:pPr>
              <w:spacing w:after="0"/>
              <w:rPr>
                <w:sz w:val="16"/>
                <w:szCs w:val="16"/>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through a flexible compensation design.</w:t>
            </w:r>
          </w:p>
        </w:tc>
      </w:tr>
      <w:tr>
        <w:trPr>
          <w:trHeight w:val="67"/>
        </w:trPr>
        <w:tc>
          <w:tcPr>
            <w:tcW w:w="3240" w:type="dxa"/>
            <w:vAlign w:val="bottom"/>
            <w:tcBorders>
              <w:bottom w:val="single" w:sz="8" w:color="auto"/>
            </w:tcBorders>
          </w:tcPr>
          <w:p>
            <w:pPr>
              <w:spacing w:after="0"/>
              <w:rPr>
                <w:sz w:val="5"/>
                <w:szCs w:val="5"/>
                <w:color w:val="auto"/>
              </w:rPr>
            </w:pPr>
          </w:p>
        </w:tc>
        <w:tc>
          <w:tcPr>
            <w:tcW w:w="7780" w:type="dxa"/>
            <w:vAlign w:val="bottom"/>
            <w:tcBorders>
              <w:bottom w:val="single" w:sz="8" w:color="auto"/>
            </w:tcBorders>
          </w:tcPr>
          <w:p>
            <w:pPr>
              <w:spacing w:after="0"/>
              <w:rPr>
                <w:sz w:val="5"/>
                <w:szCs w:val="5"/>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Compensation Determination Process</w:t>
      </w:r>
    </w:p>
    <w:p>
      <w:pPr>
        <w:spacing w:after="0" w:line="23" w:lineRule="exact"/>
        <w:rPr>
          <w:sz w:val="20"/>
          <w:szCs w:val="20"/>
          <w:color w:val="auto"/>
        </w:rPr>
      </w:pPr>
    </w:p>
    <w:p>
      <w:pPr>
        <w:jc w:val="both"/>
        <w:ind w:left="120" w:right="760"/>
        <w:spacing w:after="0" w:line="265" w:lineRule="auto"/>
        <w:rPr>
          <w:sz w:val="20"/>
          <w:szCs w:val="20"/>
          <w:color w:val="auto"/>
        </w:rPr>
      </w:pPr>
      <w:r>
        <w:rPr>
          <w:rFonts w:ascii="Arial" w:cs="Arial" w:eastAsia="Arial" w:hAnsi="Arial"/>
          <w:sz w:val="17"/>
          <w:szCs w:val="17"/>
          <w:i w:val="1"/>
          <w:iCs w:val="1"/>
          <w:color w:val="auto"/>
        </w:rPr>
        <w:t xml:space="preserve">Role of the Compensation Committee. </w:t>
      </w:r>
      <w:r>
        <w:rPr>
          <w:rFonts w:ascii="Arial" w:cs="Arial" w:eastAsia="Arial" w:hAnsi="Arial"/>
          <w:sz w:val="17"/>
          <w:szCs w:val="17"/>
          <w:color w:val="auto"/>
        </w:rPr>
        <w:t>The Compensation Committee of our Board is responsible for establishing and overseeing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arrangements for our executive officers, including our NEOs, as described above in the section titled “Corporate Governance — Compensation Committee.” The formal written Compensation Committee charter is available on our website.</w:t>
      </w:r>
    </w:p>
    <w:p>
      <w:pPr>
        <w:ind w:left="560"/>
        <w:spacing w:after="0"/>
        <w:rPr>
          <w:sz w:val="20"/>
          <w:szCs w:val="20"/>
          <w:color w:val="auto"/>
        </w:rPr>
      </w:pPr>
      <w:r>
        <w:rPr>
          <w:rFonts w:ascii="Arial" w:cs="Arial" w:eastAsia="Arial" w:hAnsi="Arial"/>
          <w:sz w:val="17"/>
          <w:szCs w:val="17"/>
          <w:color w:val="auto"/>
        </w:rPr>
        <w:t>The Compensation Committee meets annually, along with, at the request of the Compensation Committee, the Chief Executive Officer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Counsel. As part of the annual review process, the Compensation Committee will specifically:</w:t>
      </w:r>
    </w:p>
    <w:p>
      <w:pPr>
        <w:spacing w:after="0" w:line="116" w:lineRule="exact"/>
        <w:rPr>
          <w:sz w:val="20"/>
          <w:szCs w:val="20"/>
          <w:color w:val="auto"/>
        </w:rPr>
      </w:pPr>
    </w:p>
    <w:p>
      <w:pPr>
        <w:ind w:left="540" w:right="20" w:hanging="208"/>
        <w:spacing w:after="0" w:line="25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Confirm achievement of performance goals in respect of the annual bonus for the Chief Executive Officer and President for the prior calendar year and set performance goals for the upcoming calendar year.</w:t>
      </w:r>
    </w:p>
    <w:p>
      <w:pPr>
        <w:spacing w:after="0" w:line="1" w:lineRule="exact"/>
        <w:rPr>
          <w:rFonts w:ascii="Arial" w:cs="Arial" w:eastAsia="Arial" w:hAnsi="Arial"/>
          <w:sz w:val="18"/>
          <w:szCs w:val="18"/>
          <w:color w:val="auto"/>
        </w:rPr>
      </w:pPr>
    </w:p>
    <w:p>
      <w:pPr>
        <w:ind w:left="540" w:right="220" w:hanging="208"/>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Approve the methodology for determining the Company’s annual cash incentive program payout pool (for NEOs other than the Chief Executive Officer and President) for the upcoming calendar year.</w:t>
      </w:r>
    </w:p>
    <w:p>
      <w:pPr>
        <w:ind w:left="540" w:hanging="20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bonus allocations with respect to prior calendar year as recommended by the Chief Executive Officer.</w:t>
      </w:r>
    </w:p>
    <w:p>
      <w:pPr>
        <w:spacing w:after="0" w:line="9" w:lineRule="exact"/>
        <w:rPr>
          <w:rFonts w:ascii="Arial" w:cs="Arial" w:eastAsia="Arial" w:hAnsi="Arial"/>
          <w:sz w:val="18"/>
          <w:szCs w:val="18"/>
          <w:color w:val="auto"/>
        </w:rPr>
      </w:pPr>
    </w:p>
    <w:p>
      <w:pPr>
        <w:ind w:left="540" w:right="40" w:hanging="208"/>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Confirm achievement of performance goals in respect of equity awards, including the performance-based restricted stock units granted in the prior calendar year and option grants.</w:t>
      </w:r>
    </w:p>
    <w:p>
      <w:pPr>
        <w:ind w:left="540" w:hanging="20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 pool for annual equity grants for the upcoming calendar year.</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 equity grants from the pool to the Chief Executive Officer and President.</w:t>
      </w:r>
    </w:p>
    <w:p>
      <w:pPr>
        <w:spacing w:after="0" w:line="9" w:lineRule="exact"/>
        <w:rPr>
          <w:rFonts w:ascii="Arial" w:cs="Arial" w:eastAsia="Arial" w:hAnsi="Arial"/>
          <w:sz w:val="18"/>
          <w:szCs w:val="18"/>
          <w:color w:val="auto"/>
        </w:rPr>
      </w:pPr>
    </w:p>
    <w:p>
      <w:pPr>
        <w:ind w:left="540" w:right="120" w:hanging="208"/>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performance goals for (i) performance-based restricted stock unit grants and (ii) performance-based multipliers for annual cash bonuses for the CEO and President.</w:t>
      </w:r>
    </w:p>
    <w:p>
      <w:pPr>
        <w:spacing w:after="0" w:line="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Compensation Committee has delegated certain responsibilities to its Chief Executive Officer, and generally relies on recommendations of the Chief Executive Officer for decisions concerning compensation for NEOs other than the Chief Executive Officer and President, as described further below.</w:t>
      </w:r>
    </w:p>
    <w:p>
      <w:pPr>
        <w:spacing w:after="0" w:line="3"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i w:val="1"/>
          <w:iCs w:val="1"/>
          <w:color w:val="auto"/>
        </w:rPr>
        <w:t xml:space="preserve">Role of our CEO. </w:t>
      </w:r>
      <w:r>
        <w:rPr>
          <w:rFonts w:ascii="Arial" w:cs="Arial" w:eastAsia="Arial" w:hAnsi="Arial"/>
          <w:sz w:val="18"/>
          <w:szCs w:val="18"/>
          <w:color w:val="auto"/>
        </w:rPr>
        <w:t>Our Chief Executive Officer informs our Compensation Committee on the individual performance and contributions of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NEOs (other than the Chief Executive Officer and President), and annually reviews, with the Compensation Committee, base salary, non-equity incentive plan compensation and equity awards for the NEOs (other than the Chief Executive Officer and President). The Compensation Committee reviews and takes into account such recommendations. While the Compensation Committee has approval over the final compensation decisions for the NEOs, it generally provides the Chief</w:t>
      </w:r>
    </w:p>
    <w:p>
      <w:pPr>
        <w:spacing w:after="0" w:line="188"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Executive Officer with discretion to make reasonable adjustments that he deems prudent (other than with respect to the Chief Executive Officer and President).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Principal Elements of Executive Compensation</w:t>
      </w:r>
    </w:p>
    <w:p>
      <w:pPr>
        <w:spacing w:after="0" w:line="23" w:lineRule="exact"/>
        <w:rPr>
          <w:sz w:val="20"/>
          <w:szCs w:val="20"/>
          <w:color w:val="auto"/>
        </w:rPr>
      </w:pPr>
    </w:p>
    <w:p>
      <w:pPr>
        <w:jc w:val="both"/>
        <w:ind w:left="120" w:right="340"/>
        <w:spacing w:after="0" w:line="255" w:lineRule="auto"/>
        <w:rPr>
          <w:sz w:val="20"/>
          <w:szCs w:val="20"/>
          <w:color w:val="auto"/>
        </w:rPr>
      </w:pPr>
      <w:r>
        <w:rPr>
          <w:rFonts w:ascii="Arial" w:cs="Arial" w:eastAsia="Arial" w:hAnsi="Arial"/>
          <w:sz w:val="18"/>
          <w:szCs w:val="18"/>
          <w:color w:val="auto"/>
        </w:rPr>
        <w:t>Our executive compensation program consists of a mix of fixed and variable pay elements, with the latter tied to both short- and long-term company success. Performance-based pay elements are linked to goals that we believe will deliver both year-over-year and long-term increases in stockholder value. The elements of total direct executive compensation for our NEOs include: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2340" w:type="dxa"/>
            <w:vAlign w:val="bottom"/>
          </w:tcPr>
          <w:p>
            <w:pPr>
              <w:ind w:left="60"/>
              <w:spacing w:after="0"/>
              <w:rPr>
                <w:sz w:val="20"/>
                <w:szCs w:val="20"/>
                <w:color w:val="auto"/>
              </w:rPr>
            </w:pPr>
            <w:r>
              <w:rPr>
                <w:rFonts w:ascii="Arial" w:cs="Arial" w:eastAsia="Arial" w:hAnsi="Arial"/>
                <w:sz w:val="14"/>
                <w:szCs w:val="14"/>
                <w:color w:val="auto"/>
              </w:rPr>
              <w:t>Element</w:t>
            </w:r>
          </w:p>
        </w:tc>
        <w:tc>
          <w:tcPr>
            <w:tcW w:w="1040" w:type="dxa"/>
            <w:vAlign w:val="bottom"/>
          </w:tcPr>
          <w:p>
            <w:pPr>
              <w:ind w:left="200"/>
              <w:spacing w:after="0"/>
              <w:rPr>
                <w:sz w:val="20"/>
                <w:szCs w:val="20"/>
                <w:color w:val="auto"/>
              </w:rPr>
            </w:pPr>
            <w:r>
              <w:rPr>
                <w:rFonts w:ascii="Arial" w:cs="Arial" w:eastAsia="Arial" w:hAnsi="Arial"/>
                <w:sz w:val="14"/>
                <w:szCs w:val="14"/>
                <w:color w:val="auto"/>
              </w:rPr>
              <w:t>Form</w:t>
            </w:r>
          </w:p>
        </w:tc>
        <w:tc>
          <w:tcPr>
            <w:tcW w:w="4000" w:type="dxa"/>
            <w:vAlign w:val="bottom"/>
          </w:tcPr>
          <w:p>
            <w:pPr>
              <w:ind w:left="160"/>
              <w:spacing w:after="0"/>
              <w:rPr>
                <w:sz w:val="20"/>
                <w:szCs w:val="20"/>
                <w:color w:val="auto"/>
              </w:rPr>
            </w:pPr>
            <w:r>
              <w:rPr>
                <w:rFonts w:ascii="Arial" w:cs="Arial" w:eastAsia="Arial" w:hAnsi="Arial"/>
                <w:sz w:val="14"/>
                <w:szCs w:val="14"/>
                <w:color w:val="auto"/>
              </w:rPr>
              <w:t>Pay Philosophy/Objectives</w:t>
            </w:r>
          </w:p>
        </w:tc>
        <w:tc>
          <w:tcPr>
            <w:tcW w:w="3640" w:type="dxa"/>
            <w:vAlign w:val="bottom"/>
            <w:gridSpan w:val="2"/>
          </w:tcPr>
          <w:p>
            <w:pPr>
              <w:ind w:left="60"/>
              <w:spacing w:after="0"/>
              <w:rPr>
                <w:sz w:val="20"/>
                <w:szCs w:val="20"/>
                <w:color w:val="auto"/>
              </w:rPr>
            </w:pPr>
            <w:r>
              <w:rPr>
                <w:rFonts w:ascii="Arial" w:cs="Arial" w:eastAsia="Arial" w:hAnsi="Arial"/>
                <w:sz w:val="14"/>
                <w:szCs w:val="14"/>
                <w:color w:val="auto"/>
              </w:rPr>
              <w:t>Key Features</w:t>
            </w:r>
          </w:p>
        </w:tc>
        <w:tc>
          <w:tcPr>
            <w:tcW w:w="0" w:type="dxa"/>
            <w:vAlign w:val="bottom"/>
          </w:tcPr>
          <w:p>
            <w:pPr>
              <w:spacing w:after="0"/>
              <w:rPr>
                <w:sz w:val="1"/>
                <w:szCs w:val="1"/>
                <w:color w:val="auto"/>
              </w:rPr>
            </w:pPr>
          </w:p>
        </w:tc>
      </w:tr>
      <w:tr>
        <w:trPr>
          <w:trHeight w:val="53"/>
        </w:trPr>
        <w:tc>
          <w:tcPr>
            <w:tcW w:w="2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Base Salary</w:t>
            </w:r>
          </w:p>
        </w:tc>
        <w:tc>
          <w:tcPr>
            <w:tcW w:w="1040" w:type="dxa"/>
            <w:vAlign w:val="bottom"/>
            <w:vMerge w:val="restart"/>
          </w:tcPr>
          <w:p>
            <w:pPr>
              <w:ind w:left="200"/>
              <w:spacing w:after="0"/>
              <w:rPr>
                <w:sz w:val="20"/>
                <w:szCs w:val="20"/>
                <w:color w:val="auto"/>
              </w:rPr>
            </w:pPr>
            <w:r>
              <w:rPr>
                <w:rFonts w:ascii="Arial" w:cs="Arial" w:eastAsia="Arial" w:hAnsi="Arial"/>
                <w:sz w:val="16"/>
                <w:szCs w:val="16"/>
                <w:color w:val="auto"/>
              </w:rPr>
              <w:t>Cash</w:t>
            </w:r>
          </w:p>
        </w:tc>
        <w:tc>
          <w:tcPr>
            <w:tcW w:w="4000" w:type="dxa"/>
            <w:vAlign w:val="bottom"/>
            <w:vMerge w:val="restart"/>
          </w:tcPr>
          <w:p>
            <w:pPr>
              <w:ind w:left="160"/>
              <w:spacing w:after="0"/>
              <w:rPr>
                <w:sz w:val="20"/>
                <w:szCs w:val="20"/>
                <w:color w:val="auto"/>
              </w:rPr>
            </w:pPr>
            <w:r>
              <w:rPr>
                <w:rFonts w:ascii="Arial" w:cs="Arial" w:eastAsia="Arial" w:hAnsi="Arial"/>
                <w:sz w:val="16"/>
                <w:szCs w:val="16"/>
                <w:color w:val="auto"/>
              </w:rPr>
              <w:t>Attract and retain top talent.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Fixed cash amount.</w:t>
            </w:r>
          </w:p>
        </w:tc>
        <w:tc>
          <w:tcPr>
            <w:tcW w:w="0" w:type="dxa"/>
            <w:vAlign w:val="bottom"/>
          </w:tcPr>
          <w:p>
            <w:pPr>
              <w:spacing w:after="0"/>
              <w:rPr>
                <w:sz w:val="1"/>
                <w:szCs w:val="1"/>
                <w:color w:val="auto"/>
              </w:rPr>
            </w:pPr>
          </w:p>
        </w:tc>
      </w:tr>
      <w:tr>
        <w:trPr>
          <w:trHeight w:val="100"/>
        </w:trPr>
        <w:tc>
          <w:tcPr>
            <w:tcW w:w="23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000" w:type="dxa"/>
            <w:vAlign w:val="bottom"/>
            <w:vMerge w:val="continue"/>
          </w:tcPr>
          <w:p>
            <w:pPr>
              <w:spacing w:after="0"/>
              <w:rPr>
                <w:sz w:val="8"/>
                <w:szCs w:val="8"/>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16"/>
                <w:szCs w:val="16"/>
                <w:color w:val="auto"/>
              </w:rPr>
              <w:t>•  Limited increases in 2021.</w:t>
            </w: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At-risk variable compensation.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color w:val="auto"/>
              </w:rPr>
              <w:t>•  For the Chief Executive Officer and President,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based on achievement of specified annual</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Company financial performance goals, which</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are pre-determined by the Compensation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41"/>
        </w:trPr>
        <w:tc>
          <w:tcPr>
            <w:tcW w:w="23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Annual Cash Bonus</w:t>
            </w:r>
          </w:p>
        </w:tc>
        <w:tc>
          <w:tcPr>
            <w:tcW w:w="1040" w:type="dxa"/>
            <w:vAlign w:val="bottom"/>
            <w:vMerge w:val="restart"/>
          </w:tcPr>
          <w:p>
            <w:pPr>
              <w:ind w:left="200"/>
              <w:spacing w:after="0"/>
              <w:rPr>
                <w:sz w:val="20"/>
                <w:szCs w:val="20"/>
                <w:color w:val="auto"/>
              </w:rPr>
            </w:pPr>
            <w:r>
              <w:rPr>
                <w:rFonts w:ascii="Arial" w:cs="Arial" w:eastAsia="Arial" w:hAnsi="Arial"/>
                <w:sz w:val="16"/>
                <w:szCs w:val="16"/>
                <w:color w:val="auto"/>
              </w:rPr>
              <w:t>Cash</w:t>
            </w:r>
          </w:p>
        </w:tc>
        <w:tc>
          <w:tcPr>
            <w:tcW w:w="4000" w:type="dxa"/>
            <w:vAlign w:val="bottom"/>
          </w:tcPr>
          <w:p>
            <w:pPr>
              <w:ind w:left="160"/>
              <w:spacing w:after="0"/>
              <w:rPr>
                <w:sz w:val="20"/>
                <w:szCs w:val="20"/>
                <w:color w:val="auto"/>
              </w:rPr>
            </w:pPr>
            <w:r>
              <w:rPr>
                <w:rFonts w:ascii="Arial" w:cs="Arial" w:eastAsia="Arial" w:hAnsi="Arial"/>
                <w:sz w:val="16"/>
                <w:szCs w:val="16"/>
                <w:color w:val="auto"/>
              </w:rPr>
              <w:t>Reward strong Company and individual performance</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For NEOs other than the Chief Executive</w:t>
            </w:r>
          </w:p>
        </w:tc>
        <w:tc>
          <w:tcPr>
            <w:tcW w:w="0" w:type="dxa"/>
            <w:vAlign w:val="bottom"/>
          </w:tcPr>
          <w:p>
            <w:pPr>
              <w:spacing w:after="0"/>
              <w:rPr>
                <w:sz w:val="1"/>
                <w:szCs w:val="1"/>
                <w:color w:val="auto"/>
              </w:rPr>
            </w:pPr>
          </w:p>
        </w:tc>
      </w:tr>
      <w:tr>
        <w:trPr>
          <w:trHeight w:val="137"/>
        </w:trPr>
        <w:tc>
          <w:tcPr>
            <w:tcW w:w="23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4000" w:type="dxa"/>
            <w:vAlign w:val="bottom"/>
            <w:vMerge w:val="restart"/>
          </w:tcPr>
          <w:p>
            <w:pPr>
              <w:ind w:left="160"/>
              <w:spacing w:after="0"/>
              <w:rPr>
                <w:sz w:val="20"/>
                <w:szCs w:val="20"/>
                <w:color w:val="auto"/>
              </w:rPr>
            </w:pPr>
            <w:r>
              <w:rPr>
                <w:rFonts w:ascii="Arial" w:cs="Arial" w:eastAsia="Arial" w:hAnsi="Arial"/>
                <w:sz w:val="16"/>
                <w:szCs w:val="16"/>
                <w:color w:val="auto"/>
              </w:rPr>
              <w:t>against important short-term goals.</w:t>
            </w:r>
          </w:p>
        </w:tc>
        <w:tc>
          <w:tcPr>
            <w:tcW w:w="160" w:type="dxa"/>
            <w:vAlign w:val="bottom"/>
          </w:tcPr>
          <w:p>
            <w:pPr>
              <w:spacing w:after="0"/>
              <w:rPr>
                <w:sz w:val="11"/>
                <w:szCs w:val="11"/>
                <w:color w:val="auto"/>
              </w:rPr>
            </w:pPr>
          </w:p>
        </w:tc>
        <w:tc>
          <w:tcPr>
            <w:tcW w:w="3480" w:type="dxa"/>
            <w:vAlign w:val="bottom"/>
          </w:tcPr>
          <w:p>
            <w:pPr>
              <w:ind w:left="60"/>
              <w:spacing w:after="0" w:line="137" w:lineRule="exact"/>
              <w:rPr>
                <w:sz w:val="20"/>
                <w:szCs w:val="20"/>
                <w:color w:val="auto"/>
              </w:rPr>
            </w:pPr>
            <w:r>
              <w:rPr>
                <w:rFonts w:ascii="Arial" w:cs="Arial" w:eastAsia="Arial" w:hAnsi="Arial"/>
                <w:sz w:val="15"/>
                <w:szCs w:val="15"/>
                <w:color w:val="auto"/>
              </w:rPr>
              <w:t>Officer and President, based on a set bonus</w:t>
            </w:r>
          </w:p>
        </w:tc>
        <w:tc>
          <w:tcPr>
            <w:tcW w:w="0" w:type="dxa"/>
            <w:vAlign w:val="bottom"/>
          </w:tcPr>
          <w:p>
            <w:pPr>
              <w:spacing w:after="0"/>
              <w:rPr>
                <w:sz w:val="1"/>
                <w:szCs w:val="1"/>
                <w:color w:val="auto"/>
              </w:rPr>
            </w:pPr>
          </w:p>
        </w:tc>
      </w:tr>
      <w:tr>
        <w:trPr>
          <w:trHeight w:val="100"/>
        </w:trPr>
        <w:tc>
          <w:tcPr>
            <w:tcW w:w="2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pool, which is determined based on</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achievement of annual Company financial</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Allocations from the pool are determined based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on individual and Company performance by</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recommendation to the Compensation</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Committee from the Chief Executive Officer.</w:t>
            </w:r>
          </w:p>
        </w:tc>
        <w:tc>
          <w:tcPr>
            <w:tcW w:w="0" w:type="dxa"/>
            <w:vAlign w:val="bottom"/>
          </w:tcPr>
          <w:p>
            <w:pPr>
              <w:spacing w:after="0"/>
              <w:rPr>
                <w:sz w:val="1"/>
                <w:szCs w:val="1"/>
                <w:color w:val="auto"/>
              </w:rPr>
            </w:pPr>
          </w:p>
        </w:tc>
      </w:tr>
      <w:tr>
        <w:trPr>
          <w:trHeight w:val="73"/>
        </w:trPr>
        <w:tc>
          <w:tcPr>
            <w:tcW w:w="2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At-risk variable compensation.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Annual grant of restricted stock units which</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vests based on continuous service through the</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third calendar year following the year of grant.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vMerge w:val="restart"/>
          </w:tcPr>
          <w:p>
            <w:pPr>
              <w:ind w:left="200"/>
              <w:spacing w:after="0"/>
              <w:rPr>
                <w:sz w:val="20"/>
                <w:szCs w:val="20"/>
                <w:color w:val="auto"/>
              </w:rPr>
            </w:pPr>
            <w:r>
              <w:rPr>
                <w:rFonts w:ascii="Arial" w:cs="Arial" w:eastAsia="Arial" w:hAnsi="Arial"/>
                <w:sz w:val="16"/>
                <w:szCs w:val="16"/>
                <w:color w:val="auto"/>
              </w:rPr>
              <w:t>Equity</w:t>
            </w:r>
          </w:p>
        </w:tc>
        <w:tc>
          <w:tcPr>
            <w:tcW w:w="4000" w:type="dxa"/>
            <w:vAlign w:val="bottom"/>
          </w:tcPr>
          <w:p>
            <w:pPr>
              <w:ind w:left="160"/>
              <w:spacing w:after="0"/>
              <w:rPr>
                <w:sz w:val="20"/>
                <w:szCs w:val="20"/>
                <w:color w:val="auto"/>
              </w:rPr>
            </w:pPr>
            <w:r>
              <w:rPr>
                <w:rFonts w:ascii="Arial" w:cs="Arial" w:eastAsia="Arial" w:hAnsi="Arial"/>
                <w:sz w:val="16"/>
                <w:szCs w:val="16"/>
                <w:color w:val="auto"/>
              </w:rPr>
              <w:t>Promotes performance, supports retention and</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Award may be modified, on a range of 0% to</w:t>
            </w: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6"/>
                <w:szCs w:val="16"/>
                <w:color w:val="auto"/>
              </w:rPr>
              <w:t>creates long-term stockholder value and stockholder</w:t>
            </w:r>
          </w:p>
        </w:tc>
        <w:tc>
          <w:tcPr>
            <w:tcW w:w="160" w:type="dxa"/>
            <w:vAlign w:val="bottom"/>
          </w:tcPr>
          <w:p>
            <w:pPr>
              <w:spacing w:after="0"/>
              <w:rPr>
                <w:sz w:val="8"/>
                <w:szCs w:val="8"/>
                <w:color w:val="auto"/>
              </w:rPr>
            </w:pP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200%, based on achievement of set goals</w:t>
            </w:r>
          </w:p>
        </w:tc>
        <w:tc>
          <w:tcPr>
            <w:tcW w:w="0" w:type="dxa"/>
            <w:vAlign w:val="bottom"/>
          </w:tcPr>
          <w:p>
            <w:pPr>
              <w:spacing w:after="0"/>
              <w:rPr>
                <w:sz w:val="1"/>
                <w:szCs w:val="1"/>
                <w:color w:val="auto"/>
              </w:rPr>
            </w:pPr>
          </w:p>
        </w:tc>
      </w:tr>
      <w:tr>
        <w:trPr>
          <w:trHeight w:val="94"/>
        </w:trPr>
        <w:tc>
          <w:tcPr>
            <w:tcW w:w="2340" w:type="dxa"/>
            <w:vAlign w:val="bottom"/>
          </w:tcPr>
          <w:p>
            <w:pPr>
              <w:spacing w:after="0"/>
              <w:rPr>
                <w:sz w:val="8"/>
                <w:szCs w:val="8"/>
                <w:color w:val="auto"/>
              </w:rPr>
            </w:pPr>
          </w:p>
        </w:tc>
        <w:tc>
          <w:tcPr>
            <w:tcW w:w="1040" w:type="dxa"/>
            <w:vAlign w:val="bottom"/>
            <w:vMerge w:val="restart"/>
          </w:tcPr>
          <w:p>
            <w:pPr>
              <w:ind w:left="200"/>
              <w:spacing w:after="0"/>
              <w:rPr>
                <w:sz w:val="20"/>
                <w:szCs w:val="20"/>
                <w:color w:val="auto"/>
              </w:rPr>
            </w:pPr>
            <w:r>
              <w:rPr>
                <w:rFonts w:ascii="Arial" w:cs="Arial" w:eastAsia="Arial" w:hAnsi="Arial"/>
                <w:sz w:val="16"/>
                <w:szCs w:val="16"/>
                <w:color w:val="auto"/>
              </w:rPr>
              <w:t>(PRSUs)</w:t>
            </w:r>
          </w:p>
        </w:tc>
        <w:tc>
          <w:tcPr>
            <w:tcW w:w="40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4000" w:type="dxa"/>
            <w:vAlign w:val="bottom"/>
            <w:vMerge w:val="restart"/>
          </w:tcPr>
          <w:p>
            <w:pPr>
              <w:ind w:left="160"/>
              <w:spacing w:after="0"/>
              <w:rPr>
                <w:sz w:val="20"/>
                <w:szCs w:val="20"/>
                <w:color w:val="auto"/>
              </w:rPr>
            </w:pPr>
            <w:r>
              <w:rPr>
                <w:rFonts w:ascii="Arial" w:cs="Arial" w:eastAsia="Arial" w:hAnsi="Arial"/>
                <w:sz w:val="16"/>
                <w:szCs w:val="16"/>
                <w:color w:val="auto"/>
              </w:rPr>
              <w:t>alignment by creating an “ownership mentality.”</w:t>
            </w:r>
          </w:p>
        </w:tc>
        <w:tc>
          <w:tcPr>
            <w:tcW w:w="160" w:type="dxa"/>
            <w:vAlign w:val="bottom"/>
          </w:tcPr>
          <w:p>
            <w:pPr>
              <w:spacing w:after="0"/>
              <w:rPr>
                <w:sz w:val="8"/>
                <w:szCs w:val="8"/>
                <w:color w:val="auto"/>
              </w:rPr>
            </w:pP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related to Company financial performance</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during the year of grant.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color w:val="auto"/>
              </w:rPr>
              <w:t>•  Company financial goals include target</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EBITDA margin and revenue growth</w:t>
            </w:r>
          </w:p>
        </w:tc>
        <w:tc>
          <w:tcPr>
            <w:tcW w:w="0" w:type="dxa"/>
            <w:vAlign w:val="bottom"/>
          </w:tcPr>
          <w:p>
            <w:pPr>
              <w:spacing w:after="0"/>
              <w:rPr>
                <w:sz w:val="1"/>
                <w:szCs w:val="1"/>
                <w:color w:val="auto"/>
              </w:rPr>
            </w:pPr>
          </w:p>
        </w:tc>
      </w:tr>
      <w:tr>
        <w:trPr>
          <w:trHeight w:val="195"/>
        </w:trPr>
        <w:tc>
          <w:tcPr>
            <w:tcW w:w="23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Long-Term Incentive</w:t>
            </w: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achievement.</w:t>
            </w: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3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At-risk variable compensation.</w:t>
            </w:r>
          </w:p>
        </w:tc>
        <w:tc>
          <w:tcPr>
            <w:tcW w:w="0" w:type="dxa"/>
            <w:vAlign w:val="bottom"/>
          </w:tcPr>
          <w:p>
            <w:pPr>
              <w:spacing w:after="0"/>
              <w:rPr>
                <w:sz w:val="1"/>
                <w:szCs w:val="1"/>
                <w:color w:val="auto"/>
              </w:rPr>
            </w:pPr>
          </w:p>
        </w:tc>
      </w:tr>
      <w:tr>
        <w:trPr>
          <w:trHeight w:val="115"/>
        </w:trPr>
        <w:tc>
          <w:tcPr>
            <w:tcW w:w="23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Awards</w:t>
            </w:r>
          </w:p>
        </w:tc>
        <w:tc>
          <w:tcPr>
            <w:tcW w:w="10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340" w:type="dxa"/>
            <w:vAlign w:val="bottom"/>
            <w:vMerge w:val="continue"/>
          </w:tcPr>
          <w:p>
            <w:pPr>
              <w:spacing w:after="0"/>
              <w:rPr>
                <w:sz w:val="8"/>
                <w:szCs w:val="8"/>
                <w:color w:val="auto"/>
              </w:rPr>
            </w:pPr>
          </w:p>
        </w:tc>
        <w:tc>
          <w:tcPr>
            <w:tcW w:w="1040" w:type="dxa"/>
            <w:vAlign w:val="bottom"/>
            <w:vMerge w:val="restart"/>
          </w:tcPr>
          <w:p>
            <w:pPr>
              <w:ind w:left="200"/>
              <w:spacing w:after="0"/>
              <w:rPr>
                <w:sz w:val="20"/>
                <w:szCs w:val="20"/>
                <w:color w:val="auto"/>
              </w:rPr>
            </w:pPr>
            <w:r>
              <w:rPr>
                <w:rFonts w:ascii="Arial" w:cs="Arial" w:eastAsia="Arial" w:hAnsi="Arial"/>
                <w:sz w:val="16"/>
                <w:szCs w:val="16"/>
                <w:color w:val="auto"/>
              </w:rPr>
              <w:t>Equity</w:t>
            </w:r>
          </w:p>
        </w:tc>
        <w:tc>
          <w:tcPr>
            <w:tcW w:w="4000" w:type="dxa"/>
            <w:vAlign w:val="bottom"/>
            <w:vMerge w:val="restart"/>
          </w:tcPr>
          <w:p>
            <w:pPr>
              <w:ind w:left="160"/>
              <w:spacing w:after="0"/>
              <w:rPr>
                <w:sz w:val="20"/>
                <w:szCs w:val="20"/>
                <w:color w:val="auto"/>
              </w:rPr>
            </w:pPr>
            <w:r>
              <w:rPr>
                <w:rFonts w:ascii="Arial" w:cs="Arial" w:eastAsia="Arial" w:hAnsi="Arial"/>
                <w:sz w:val="16"/>
                <w:szCs w:val="16"/>
                <w:color w:val="auto"/>
              </w:rPr>
              <w:t>Encourages retention and rewards the creation of</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480" w:type="dxa"/>
            <w:vAlign w:val="bottom"/>
            <w:vMerge w:val="restart"/>
          </w:tcPr>
          <w:p>
            <w:pPr>
              <w:ind w:left="60"/>
              <w:spacing w:after="0"/>
              <w:rPr>
                <w:sz w:val="20"/>
                <w:szCs w:val="20"/>
                <w:color w:val="auto"/>
              </w:rPr>
            </w:pPr>
            <w:r>
              <w:rPr>
                <w:rFonts w:ascii="Arial" w:cs="Arial" w:eastAsia="Arial" w:hAnsi="Arial"/>
                <w:sz w:val="16"/>
                <w:szCs w:val="16"/>
                <w:color w:val="auto"/>
              </w:rPr>
              <w:t>Annual grant of restricted stock units which</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(RSUs)</w:t>
            </w:r>
          </w:p>
        </w:tc>
        <w:tc>
          <w:tcPr>
            <w:tcW w:w="4000" w:type="dxa"/>
            <w:vAlign w:val="bottom"/>
          </w:tcPr>
          <w:p>
            <w:pPr>
              <w:ind w:left="160"/>
              <w:spacing w:after="0"/>
              <w:rPr>
                <w:sz w:val="20"/>
                <w:szCs w:val="20"/>
                <w:color w:val="auto"/>
              </w:rPr>
            </w:pPr>
            <w:r>
              <w:rPr>
                <w:rFonts w:ascii="Arial" w:cs="Arial" w:eastAsia="Arial" w:hAnsi="Arial"/>
                <w:sz w:val="16"/>
                <w:szCs w:val="16"/>
                <w:color w:val="auto"/>
              </w:rPr>
              <w:t>stockholder value over time.</w:t>
            </w: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vests annually over a three year period (1/3 per</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year), subject to continuous service.</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At-risk variable compensation.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color w:val="auto"/>
              </w:rPr>
              <w:t>•  Pre-IPO option grant which vested based 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Promotes performance, supports retention, and</w:t>
            </w: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continued service as well as achievement of</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Equity</w:t>
            </w:r>
          </w:p>
        </w:tc>
        <w:tc>
          <w:tcPr>
            <w:tcW w:w="4000" w:type="dxa"/>
            <w:vAlign w:val="bottom"/>
          </w:tcPr>
          <w:p>
            <w:pPr>
              <w:ind w:left="160"/>
              <w:spacing w:after="0"/>
              <w:rPr>
                <w:sz w:val="20"/>
                <w:szCs w:val="20"/>
                <w:color w:val="auto"/>
              </w:rPr>
            </w:pPr>
            <w:r>
              <w:rPr>
                <w:rFonts w:ascii="Arial" w:cs="Arial" w:eastAsia="Arial" w:hAnsi="Arial"/>
                <w:sz w:val="16"/>
                <w:szCs w:val="16"/>
                <w:color w:val="auto"/>
              </w:rPr>
              <w:t>directly rewards creation of long-term stockholder</w:t>
            </w: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Company financial goals.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Arial" w:cs="Arial" w:eastAsia="Arial" w:hAnsi="Arial"/>
                <w:sz w:val="16"/>
                <w:szCs w:val="16"/>
                <w:color w:val="auto"/>
              </w:rPr>
              <w:t>(Options)</w:t>
            </w:r>
          </w:p>
        </w:tc>
        <w:tc>
          <w:tcPr>
            <w:tcW w:w="4000" w:type="dxa"/>
            <w:vAlign w:val="bottom"/>
          </w:tcPr>
          <w:p>
            <w:pPr>
              <w:ind w:left="160"/>
              <w:spacing w:after="0"/>
              <w:rPr>
                <w:sz w:val="20"/>
                <w:szCs w:val="20"/>
                <w:color w:val="auto"/>
              </w:rPr>
            </w:pPr>
            <w:r>
              <w:rPr>
                <w:rFonts w:ascii="Arial" w:cs="Arial" w:eastAsia="Arial" w:hAnsi="Arial"/>
                <w:sz w:val="16"/>
                <w:szCs w:val="16"/>
                <w:color w:val="auto"/>
              </w:rPr>
              <w:t>value after the grant date, aligning the interests of</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3480" w:type="dxa"/>
            <w:vAlign w:val="bottom"/>
          </w:tcPr>
          <w:p>
            <w:pPr>
              <w:ind w:left="60"/>
              <w:spacing w:after="0"/>
              <w:rPr>
                <w:sz w:val="20"/>
                <w:szCs w:val="20"/>
                <w:color w:val="auto"/>
              </w:rPr>
            </w:pPr>
            <w:r>
              <w:rPr>
                <w:rFonts w:ascii="Arial" w:cs="Arial" w:eastAsia="Arial" w:hAnsi="Arial"/>
                <w:sz w:val="16"/>
                <w:szCs w:val="16"/>
                <w:color w:val="auto"/>
              </w:rPr>
              <w:t>Have value only to the extent our stock price</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our executives and stockholders.</w:t>
            </w: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increases in comparison to the stock price 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Arial" w:cs="Arial" w:eastAsia="Arial" w:hAnsi="Arial"/>
                <w:sz w:val="16"/>
                <w:szCs w:val="16"/>
                <w:color w:val="auto"/>
              </w:rPr>
              <w:t>the date of the grant.</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color w:val="auto"/>
              </w:rPr>
              <w:t>•  No options were granted to our NEOs in 2021.</w:t>
            </w:r>
          </w:p>
        </w:tc>
        <w:tc>
          <w:tcPr>
            <w:tcW w:w="0" w:type="dxa"/>
            <w:vAlign w:val="bottom"/>
          </w:tcPr>
          <w:p>
            <w:pPr>
              <w:spacing w:after="0"/>
              <w:rPr>
                <w:sz w:val="1"/>
                <w:szCs w:val="1"/>
                <w:color w:val="auto"/>
              </w:rPr>
            </w:pPr>
          </w:p>
        </w:tc>
      </w:tr>
      <w:tr>
        <w:trPr>
          <w:trHeight w:val="80"/>
        </w:trPr>
        <w:tc>
          <w:tcPr>
            <w:tcW w:w="2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Compensation Committee does not maintain any formal policy or formula for allocating the mix of compensation as it believes it is more important to remain flexible to respond to business needs and shifts in</w:t>
      </w:r>
    </w:p>
    <w:p>
      <w:pPr>
        <w:spacing w:after="0" w:line="16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34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marketplace in which the Company must compete to recruit and retain executive talent, and also to take into consideration individual performance and responsibilities of the NEOs each year. Therefore, the Compensation Committee retains the authority to review our NEOs’ compensation periodically and to use its discretion to adjust the mix of compensation and the amount of any element of compensation as it deems appropriate for each NEO.</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charts below illustrate the allocation of the principal compensation components discussed above for our NEOs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160020</wp:posOffset>
            </wp:positionV>
            <wp:extent cx="4037330" cy="1800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3733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i w:val="1"/>
          <w:iCs w:val="1"/>
          <w:color w:val="auto"/>
        </w:rPr>
        <w:t>The amounts included in the above charts are based on (1) grant-date fair values for long-term incentive equity awards, as disclosed in the Summary Compensation Table below, (2) target bonus compensation for the Chief Executive Officer and President, and (3) actual bonuses earned in 2021 for all other NEOs. For purposes of this graphic, we have excluded Mr. Warshaw and Ms. Furber given their compensation for 2021 was not representative of an executive’s typical annual compensation given Mr. Warshaw’s departure and Ms. Furber’s commencement of employment.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Fiscal 2021 Compensation Program in Detail</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Base Salaries</w:t>
      </w:r>
    </w:p>
    <w:p>
      <w:pPr>
        <w:spacing w:after="0" w:line="2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believe that base salary plays an important role in attracting and retaining top executive talent. We set base salaries that reflect each individual’s duties, responsibilities, experience and performance. Base salaries are reviewed annually by (A) the Compensation Committee for the Chief Executive Officer and President and (B) the Chief Executive Officer for all other NEOs; however we generally do not provide for merit salary increases for the NEOs other than in connection with an executive’s promotion. As such, the Compensation Committee determined to keep base salaries for the NEOs in fiscal 2021 consistent with the base salaries provided for fiscal 2020, as set forth on the table below, other than Mr. Peterson whose salary was increased from $300,000 to $400,000 in connection with his promotion to Chief Technology Officer in 2020.</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20" w:type="dxa"/>
            <w:vAlign w:val="bottom"/>
          </w:tcPr>
          <w:p>
            <w:pPr>
              <w:jc w:val="right"/>
              <w:ind w:right="121"/>
              <w:spacing w:after="0"/>
              <w:rPr>
                <w:sz w:val="20"/>
                <w:szCs w:val="20"/>
                <w:color w:val="auto"/>
              </w:rPr>
            </w:pPr>
            <w:r>
              <w:rPr>
                <w:rFonts w:ascii="Arial" w:cs="Arial" w:eastAsia="Arial" w:hAnsi="Arial"/>
                <w:sz w:val="14"/>
                <w:szCs w:val="14"/>
                <w:color w:val="auto"/>
              </w:rPr>
              <w:t>Base Salary at</w:t>
            </w:r>
          </w:p>
        </w:tc>
        <w:tc>
          <w:tcPr>
            <w:tcW w:w="32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Arial" w:cs="Arial" w:eastAsia="Arial" w:hAnsi="Arial"/>
                <w:sz w:val="14"/>
                <w:szCs w:val="14"/>
                <w:color w:val="auto"/>
              </w:rPr>
              <w:t>Base Salary at</w:t>
            </w:r>
          </w:p>
        </w:tc>
        <w:tc>
          <w:tcPr>
            <w:tcW w:w="800" w:type="dxa"/>
            <w:vAlign w:val="bottom"/>
          </w:tcPr>
          <w:p>
            <w:pPr>
              <w:jc w:val="right"/>
              <w:ind w:right="121"/>
              <w:spacing w:after="0"/>
              <w:rPr>
                <w:sz w:val="20"/>
                <w:szCs w:val="20"/>
                <w:color w:val="auto"/>
              </w:rPr>
            </w:pPr>
            <w:r>
              <w:rPr>
                <w:rFonts w:ascii="Arial" w:cs="Arial" w:eastAsia="Arial" w:hAnsi="Arial"/>
                <w:sz w:val="14"/>
                <w:szCs w:val="14"/>
                <w:color w:val="auto"/>
              </w:rPr>
              <w:t>Percent</w:t>
            </w:r>
          </w:p>
        </w:tc>
      </w:tr>
      <w:tr>
        <w:trPr>
          <w:trHeight w:val="182"/>
        </w:trPr>
        <w:tc>
          <w:tcPr>
            <w:tcW w:w="1760" w:type="dxa"/>
            <w:vAlign w:val="bottom"/>
          </w:tcPr>
          <w:p>
            <w:pPr>
              <w:ind w:left="60"/>
              <w:spacing w:after="0"/>
              <w:rPr>
                <w:sz w:val="20"/>
                <w:szCs w:val="20"/>
                <w:color w:val="auto"/>
              </w:rPr>
            </w:pPr>
            <w:r>
              <w:rPr>
                <w:rFonts w:ascii="Arial" w:cs="Arial" w:eastAsia="Arial" w:hAnsi="Arial"/>
                <w:sz w:val="14"/>
                <w:szCs w:val="14"/>
                <w:color w:val="auto"/>
              </w:rPr>
              <w:t>Executive</w:t>
            </w:r>
          </w:p>
        </w:tc>
        <w:tc>
          <w:tcPr>
            <w:tcW w:w="7000" w:type="dxa"/>
            <w:vAlign w:val="bottom"/>
            <w:gridSpan w:val="2"/>
          </w:tcPr>
          <w:p>
            <w:pPr>
              <w:ind w:left="5660"/>
              <w:spacing w:after="0"/>
              <w:rPr>
                <w:sz w:val="20"/>
                <w:szCs w:val="20"/>
                <w:color w:val="auto"/>
              </w:rPr>
            </w:pPr>
            <w:r>
              <w:rPr>
                <w:rFonts w:ascii="Arial" w:cs="Arial" w:eastAsia="Arial" w:hAnsi="Arial"/>
                <w:sz w:val="14"/>
                <w:szCs w:val="14"/>
                <w:color w:val="auto"/>
              </w:rPr>
              <w:t>December 31, 2020</w:t>
            </w: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December 31, 2021</w:t>
            </w:r>
          </w:p>
        </w:tc>
        <w:tc>
          <w:tcPr>
            <w:tcW w:w="800" w:type="dxa"/>
            <w:vAlign w:val="bottom"/>
          </w:tcPr>
          <w:p>
            <w:pPr>
              <w:jc w:val="right"/>
              <w:ind w:right="121"/>
              <w:spacing w:after="0"/>
              <w:rPr>
                <w:sz w:val="20"/>
                <w:szCs w:val="20"/>
                <w:color w:val="auto"/>
              </w:rPr>
            </w:pPr>
            <w:r>
              <w:rPr>
                <w:rFonts w:ascii="Arial" w:cs="Arial" w:eastAsia="Arial" w:hAnsi="Arial"/>
                <w:sz w:val="14"/>
                <w:szCs w:val="14"/>
                <w:color w:val="auto"/>
              </w:rPr>
              <w:t>Increase</w:t>
            </w:r>
          </w:p>
        </w:tc>
      </w:tr>
      <w:tr>
        <w:trPr>
          <w:trHeight w:val="53"/>
        </w:trPr>
        <w:tc>
          <w:tcPr>
            <w:tcW w:w="176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84"/>
        </w:trPr>
        <w:tc>
          <w:tcPr>
            <w:tcW w:w="17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5780" w:type="dxa"/>
            <w:vAlign w:val="bottom"/>
            <w:tcBorders>
              <w:bottom w:val="single" w:sz="8" w:color="CCEEF7"/>
            </w:tcBorders>
            <w:shd w:val="clear" w:color="auto" w:fill="CCEEF7"/>
          </w:tcPr>
          <w:p>
            <w:pPr>
              <w:ind w:left="56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770,000</w:t>
            </w:r>
          </w:p>
        </w:tc>
        <w:tc>
          <w:tcPr>
            <w:tcW w:w="320" w:type="dxa"/>
            <w:vAlign w:val="bottom"/>
            <w:tcBorders>
              <w:bottom w:val="single" w:sz="8" w:color="CCEEF7"/>
            </w:tcBorders>
            <w:shd w:val="clear" w:color="auto" w:fill="CCEEF7"/>
          </w:tcPr>
          <w:p>
            <w:pPr>
              <w:ind w:lef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7"/>
            </w:tcBorders>
            <w:shd w:val="clear" w:color="auto" w:fill="CCEEF7"/>
          </w:tcPr>
          <w:p>
            <w:pPr>
              <w:jc w:val="right"/>
              <w:ind w:right="41"/>
              <w:spacing w:after="0"/>
              <w:rPr>
                <w:sz w:val="20"/>
                <w:szCs w:val="20"/>
                <w:color w:val="auto"/>
              </w:rPr>
            </w:pPr>
            <w:r>
              <w:rPr>
                <w:rFonts w:ascii="Arial" w:cs="Arial" w:eastAsia="Arial" w:hAnsi="Arial"/>
                <w:sz w:val="16"/>
                <w:szCs w:val="16"/>
                <w:color w:val="auto"/>
              </w:rPr>
              <w:t>770,000</w:t>
            </w:r>
          </w:p>
        </w:tc>
        <w:tc>
          <w:tcPr>
            <w:tcW w:w="80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0%</w:t>
            </w:r>
          </w:p>
        </w:tc>
      </w:tr>
      <w:tr>
        <w:trPr>
          <w:trHeight w:val="264"/>
        </w:trPr>
        <w:tc>
          <w:tcPr>
            <w:tcW w:w="176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578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N/A</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500,000</w:t>
            </w:r>
          </w:p>
        </w:tc>
        <w:tc>
          <w:tcPr>
            <w:tcW w:w="800" w:type="dxa"/>
            <w:vAlign w:val="bottom"/>
          </w:tcPr>
          <w:p>
            <w:pPr>
              <w:jc w:val="right"/>
              <w:ind w:right="121"/>
              <w:spacing w:after="0"/>
              <w:rPr>
                <w:sz w:val="20"/>
                <w:szCs w:val="20"/>
                <w:color w:val="auto"/>
              </w:rPr>
            </w:pPr>
            <w:r>
              <w:rPr>
                <w:rFonts w:ascii="Arial" w:cs="Arial" w:eastAsia="Arial" w:hAnsi="Arial"/>
                <w:sz w:val="16"/>
                <w:szCs w:val="16"/>
                <w:color w:val="auto"/>
              </w:rPr>
              <w:t>N/A</w:t>
            </w:r>
          </w:p>
        </w:tc>
      </w:tr>
      <w:tr>
        <w:trPr>
          <w:trHeight w:val="60"/>
        </w:trPr>
        <w:tc>
          <w:tcPr>
            <w:tcW w:w="176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304"/>
        </w:trPr>
        <w:tc>
          <w:tcPr>
            <w:tcW w:w="17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Billy Hult</w:t>
            </w:r>
          </w:p>
        </w:tc>
        <w:tc>
          <w:tcPr>
            <w:tcW w:w="5780" w:type="dxa"/>
            <w:vAlign w:val="bottom"/>
            <w:tcBorders>
              <w:bottom w:val="single" w:sz="8" w:color="CCEEF7"/>
            </w:tcBorders>
            <w:shd w:val="clear" w:color="auto" w:fill="CCEEF7"/>
          </w:tcPr>
          <w:p>
            <w:pPr>
              <w:ind w:left="56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660,000</w:t>
            </w:r>
          </w:p>
        </w:tc>
        <w:tc>
          <w:tcPr>
            <w:tcW w:w="320" w:type="dxa"/>
            <w:vAlign w:val="bottom"/>
            <w:tcBorders>
              <w:bottom w:val="single" w:sz="8" w:color="CCEEF7"/>
            </w:tcBorders>
            <w:shd w:val="clear" w:color="auto" w:fill="CCEEF7"/>
          </w:tcPr>
          <w:p>
            <w:pPr>
              <w:ind w:lef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7"/>
            </w:tcBorders>
            <w:shd w:val="clear" w:color="auto" w:fill="CCEEF7"/>
          </w:tcPr>
          <w:p>
            <w:pPr>
              <w:jc w:val="right"/>
              <w:ind w:right="41"/>
              <w:spacing w:after="0"/>
              <w:rPr>
                <w:sz w:val="20"/>
                <w:szCs w:val="20"/>
                <w:color w:val="auto"/>
              </w:rPr>
            </w:pPr>
            <w:r>
              <w:rPr>
                <w:rFonts w:ascii="Arial" w:cs="Arial" w:eastAsia="Arial" w:hAnsi="Arial"/>
                <w:sz w:val="16"/>
                <w:szCs w:val="16"/>
                <w:color w:val="auto"/>
              </w:rPr>
              <w:t>660,000</w:t>
            </w:r>
          </w:p>
        </w:tc>
        <w:tc>
          <w:tcPr>
            <w:tcW w:w="80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0%</w:t>
            </w:r>
          </w:p>
        </w:tc>
      </w:tr>
      <w:tr>
        <w:trPr>
          <w:trHeight w:val="264"/>
        </w:trPr>
        <w:tc>
          <w:tcPr>
            <w:tcW w:w="176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5780" w:type="dxa"/>
            <w:vAlign w:val="bottom"/>
          </w:tcPr>
          <w:p>
            <w:pPr>
              <w:spacing w:after="0"/>
              <w:rPr>
                <w:sz w:val="22"/>
                <w:szCs w:val="22"/>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300,000 GBP</w:t>
            </w:r>
          </w:p>
        </w:tc>
        <w:tc>
          <w:tcPr>
            <w:tcW w:w="3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300,000 GBP</w:t>
            </w:r>
          </w:p>
        </w:tc>
        <w:tc>
          <w:tcPr>
            <w:tcW w:w="800" w:type="dxa"/>
            <w:vAlign w:val="bottom"/>
          </w:tcPr>
          <w:p>
            <w:pPr>
              <w:jc w:val="right"/>
              <w:ind w:right="121"/>
              <w:spacing w:after="0"/>
              <w:rPr>
                <w:sz w:val="20"/>
                <w:szCs w:val="20"/>
                <w:color w:val="auto"/>
              </w:rPr>
            </w:pPr>
            <w:r>
              <w:rPr>
                <w:rFonts w:ascii="Arial" w:cs="Arial" w:eastAsia="Arial" w:hAnsi="Arial"/>
                <w:sz w:val="16"/>
                <w:szCs w:val="16"/>
                <w:color w:val="auto"/>
              </w:rPr>
              <w:t>0%</w:t>
            </w:r>
          </w:p>
        </w:tc>
      </w:tr>
      <w:tr>
        <w:trPr>
          <w:trHeight w:val="60"/>
        </w:trPr>
        <w:tc>
          <w:tcPr>
            <w:tcW w:w="176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336"/>
        </w:trPr>
        <w:tc>
          <w:tcPr>
            <w:tcW w:w="17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5780" w:type="dxa"/>
            <w:vAlign w:val="bottom"/>
            <w:tcBorders>
              <w:bottom w:val="single" w:sz="8" w:color="CCEEF7"/>
            </w:tcBorders>
            <w:shd w:val="clear" w:color="auto" w:fill="CCEEF7"/>
          </w:tcPr>
          <w:p>
            <w:pPr>
              <w:ind w:left="56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300,000</w:t>
            </w:r>
          </w:p>
        </w:tc>
        <w:tc>
          <w:tcPr>
            <w:tcW w:w="320" w:type="dxa"/>
            <w:vAlign w:val="bottom"/>
            <w:tcBorders>
              <w:bottom w:val="single" w:sz="8" w:color="CCEEF7"/>
            </w:tcBorders>
            <w:shd w:val="clear" w:color="auto" w:fill="CCEEF7"/>
          </w:tcPr>
          <w:p>
            <w:pPr>
              <w:ind w:left="2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7"/>
            </w:tcBorders>
            <w:shd w:val="clear" w:color="auto" w:fill="CCEEF7"/>
          </w:tcPr>
          <w:p>
            <w:pPr>
              <w:jc w:val="right"/>
              <w:ind w:right="41"/>
              <w:spacing w:after="0"/>
              <w:rPr>
                <w:sz w:val="20"/>
                <w:szCs w:val="20"/>
                <w:color w:val="auto"/>
              </w:rPr>
            </w:pPr>
            <w:r>
              <w:rPr>
                <w:rFonts w:ascii="Arial" w:cs="Arial" w:eastAsia="Arial" w:hAnsi="Arial"/>
                <w:sz w:val="16"/>
                <w:szCs w:val="16"/>
                <w:color w:val="auto"/>
              </w:rPr>
              <w:t>400,000</w:t>
            </w:r>
          </w:p>
        </w:tc>
        <w:tc>
          <w:tcPr>
            <w:tcW w:w="80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33%</w:t>
            </w:r>
          </w:p>
        </w:tc>
      </w:tr>
      <w:tr>
        <w:trPr>
          <w:trHeight w:val="449"/>
        </w:trPr>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color w:val="514F51"/>
              </w:rPr>
              <w:t>2022 Proxy Statement</w:t>
            </w:r>
          </w:p>
        </w:tc>
        <w:tc>
          <w:tcPr>
            <w:tcW w:w="578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EEEFEF"/>
              </w:rPr>
              <w:t>●  ●</w:t>
            </w: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514F51"/>
              </w:rPr>
              <w:t>35</w:t>
            </w: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Annual Cash Bonuses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2856"/>
        </w:rPr>
        <w:t>CEO and President</w:t>
      </w:r>
    </w:p>
    <w:p>
      <w:pPr>
        <w:spacing w:after="0" w:line="16"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Messrs. Olesky and Hult are each party to an employment agreement with TWM LLC (described further below in the section titled “Narrative Disclosure to Summary Compensation Table and Grants of Plan-Based Awards Table — Employment Agreements with our Named Executive Officers”) pursuant to which the executive is entitled to an annual cash bonus based on Company performance. For calendar year 2021, Messrs. Olesky and Hult had a target bonus opportunity of $4.25 million and $3.75 million, respectively. Achievement of the annual bonus is based on TWM LLC’s attainment of certain performance goals set annually by the Compensation Committee. The Compensation Committee sets the target performance goals each year based on the budget approved by the Board the preceding quarter, reflecting a rigorous goal for the Company set to motivate the executives and drive performance. The maximum performance goals were set at a level that represented significant outperformance verses target, while thresholds were set at a level that still represented meaningful year-over-year growth. The actual amount paid to the executive can be greater or less than the target bonus depending on the extent to which these goals are achieved (or exceeded) using straight-line interpolation between target and achievement above or below, as applicable, target amounts. The total payout can range from 0% to 225% of target. For 2021, achievement of the annual bonus was based 50% on attainment of annual revenue growth targets and 50% on attainment of minimum EBITDA margin thresholds. The table below sets forth the relevant revenue growth and EBITDA margin pay-for-performance scales for calendar year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color w:val="auto"/>
              </w:rPr>
              <w:t>Level of Performance</w:t>
            </w:r>
          </w:p>
        </w:tc>
        <w:tc>
          <w:tcPr>
            <w:tcW w:w="2560" w:type="dxa"/>
            <w:vAlign w:val="bottom"/>
          </w:tcPr>
          <w:p>
            <w:pPr>
              <w:jc w:val="right"/>
              <w:ind w:right="503"/>
              <w:spacing w:after="0"/>
              <w:rPr>
                <w:sz w:val="20"/>
                <w:szCs w:val="20"/>
                <w:color w:val="auto"/>
              </w:rPr>
            </w:pPr>
            <w:r>
              <w:rPr>
                <w:rFonts w:ascii="Arial" w:cs="Arial" w:eastAsia="Arial" w:hAnsi="Arial"/>
                <w:sz w:val="14"/>
                <w:szCs w:val="14"/>
                <w:color w:val="auto"/>
              </w:rPr>
              <w:t>Revenue Growth</w:t>
            </w:r>
          </w:p>
        </w:tc>
        <w:tc>
          <w:tcPr>
            <w:tcW w:w="2260" w:type="dxa"/>
            <w:vAlign w:val="bottom"/>
          </w:tcPr>
          <w:p>
            <w:pPr>
              <w:jc w:val="right"/>
              <w:ind w:right="543"/>
              <w:spacing w:after="0"/>
              <w:rPr>
                <w:sz w:val="20"/>
                <w:szCs w:val="20"/>
                <w:color w:val="auto"/>
              </w:rPr>
            </w:pPr>
            <w:r>
              <w:rPr>
                <w:rFonts w:ascii="Arial" w:cs="Arial" w:eastAsia="Arial" w:hAnsi="Arial"/>
                <w:sz w:val="14"/>
                <w:szCs w:val="14"/>
                <w:color w:val="auto"/>
              </w:rPr>
              <w:t>Percentage of</w:t>
            </w:r>
          </w:p>
        </w:tc>
        <w:tc>
          <w:tcPr>
            <w:tcW w:w="2100" w:type="dxa"/>
            <w:vAlign w:val="bottom"/>
          </w:tcPr>
          <w:p>
            <w:pPr>
              <w:jc w:val="right"/>
              <w:ind w:right="403"/>
              <w:spacing w:after="0"/>
              <w:rPr>
                <w:sz w:val="20"/>
                <w:szCs w:val="20"/>
                <w:color w:val="auto"/>
              </w:rPr>
            </w:pPr>
            <w:r>
              <w:rPr>
                <w:rFonts w:ascii="Arial" w:cs="Arial" w:eastAsia="Arial" w:hAnsi="Arial"/>
                <w:sz w:val="14"/>
                <w:szCs w:val="14"/>
                <w:color w:val="auto"/>
              </w:rPr>
              <w:t>EBITDA Margin</w:t>
            </w:r>
          </w:p>
        </w:tc>
        <w:tc>
          <w:tcPr>
            <w:tcW w:w="1760" w:type="dxa"/>
            <w:vAlign w:val="bottom"/>
          </w:tcPr>
          <w:p>
            <w:pPr>
              <w:jc w:val="right"/>
              <w:ind w:right="103"/>
              <w:spacing w:after="0"/>
              <w:rPr>
                <w:sz w:val="20"/>
                <w:szCs w:val="20"/>
                <w:color w:val="auto"/>
              </w:rPr>
            </w:pPr>
            <w:r>
              <w:rPr>
                <w:rFonts w:ascii="Arial" w:cs="Arial" w:eastAsia="Arial" w:hAnsi="Arial"/>
                <w:sz w:val="14"/>
                <w:szCs w:val="14"/>
                <w:color w:val="auto"/>
              </w:rPr>
              <w:t>Percentage of</w:t>
            </w:r>
          </w:p>
        </w:tc>
      </w:tr>
      <w:tr>
        <w:trPr>
          <w:trHeight w:val="190"/>
        </w:trPr>
        <w:tc>
          <w:tcPr>
            <w:tcW w:w="2340" w:type="dxa"/>
            <w:vAlign w:val="bottom"/>
          </w:tcPr>
          <w:p>
            <w:pPr>
              <w:ind w:left="60"/>
              <w:spacing w:after="0"/>
              <w:rPr>
                <w:sz w:val="20"/>
                <w:szCs w:val="20"/>
                <w:color w:val="auto"/>
              </w:rPr>
            </w:pPr>
            <w:r>
              <w:rPr>
                <w:rFonts w:ascii="Arial" w:cs="Arial" w:eastAsia="Arial" w:hAnsi="Arial"/>
                <w:sz w:val="14"/>
                <w:szCs w:val="14"/>
                <w:color w:val="auto"/>
              </w:rPr>
              <w:t>Achieved</w:t>
            </w:r>
          </w:p>
        </w:tc>
        <w:tc>
          <w:tcPr>
            <w:tcW w:w="2560" w:type="dxa"/>
            <w:vAlign w:val="bottom"/>
          </w:tcPr>
          <w:p>
            <w:pPr>
              <w:jc w:val="right"/>
              <w:ind w:right="50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50% of Bonus</w:t>
            </w:r>
            <w:r>
              <w:rPr>
                <w:rFonts w:ascii="Arial" w:cs="Arial" w:eastAsia="Arial" w:hAnsi="Arial"/>
                <w:sz w:val="14"/>
                <w:szCs w:val="14"/>
                <w:color w:val="auto"/>
              </w:rPr>
              <w:t>)</w:t>
            </w:r>
          </w:p>
        </w:tc>
        <w:tc>
          <w:tcPr>
            <w:tcW w:w="2260" w:type="dxa"/>
            <w:vAlign w:val="bottom"/>
          </w:tcPr>
          <w:p>
            <w:pPr>
              <w:jc w:val="right"/>
              <w:ind w:right="543"/>
              <w:spacing w:after="0"/>
              <w:rPr>
                <w:sz w:val="20"/>
                <w:szCs w:val="20"/>
                <w:color w:val="auto"/>
              </w:rPr>
            </w:pPr>
            <w:r>
              <w:rPr>
                <w:rFonts w:ascii="Arial" w:cs="Arial" w:eastAsia="Arial" w:hAnsi="Arial"/>
                <w:sz w:val="14"/>
                <w:szCs w:val="14"/>
                <w:color w:val="auto"/>
              </w:rPr>
              <w:t>Target Achieved</w:t>
            </w:r>
            <w:r>
              <w:rPr>
                <w:rFonts w:ascii="Arial" w:cs="Arial" w:eastAsia="Arial" w:hAnsi="Arial"/>
                <w:sz w:val="12"/>
                <w:szCs w:val="12"/>
                <w:color w:val="auto"/>
              </w:rPr>
              <w:t>(1)</w:t>
            </w:r>
          </w:p>
        </w:tc>
        <w:tc>
          <w:tcPr>
            <w:tcW w:w="2100" w:type="dxa"/>
            <w:vAlign w:val="bottom"/>
          </w:tcPr>
          <w:p>
            <w:pPr>
              <w:jc w:val="right"/>
              <w:ind w:right="40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50% of Bonus</w:t>
            </w:r>
            <w:r>
              <w:rPr>
                <w:rFonts w:ascii="Arial" w:cs="Arial" w:eastAsia="Arial" w:hAnsi="Arial"/>
                <w:sz w:val="14"/>
                <w:szCs w:val="14"/>
                <w:color w:val="auto"/>
              </w:rPr>
              <w:t>)</w:t>
            </w:r>
          </w:p>
        </w:tc>
        <w:tc>
          <w:tcPr>
            <w:tcW w:w="1760" w:type="dxa"/>
            <w:vAlign w:val="bottom"/>
          </w:tcPr>
          <w:p>
            <w:pPr>
              <w:jc w:val="right"/>
              <w:ind w:right="103"/>
              <w:spacing w:after="0"/>
              <w:rPr>
                <w:sz w:val="20"/>
                <w:szCs w:val="20"/>
                <w:color w:val="auto"/>
              </w:rPr>
            </w:pPr>
            <w:r>
              <w:rPr>
                <w:rFonts w:ascii="Arial" w:cs="Arial" w:eastAsia="Arial" w:hAnsi="Arial"/>
                <w:sz w:val="14"/>
                <w:szCs w:val="14"/>
                <w:color w:val="auto"/>
              </w:rPr>
              <w:t>Target Achieved</w:t>
            </w:r>
            <w:r>
              <w:rPr>
                <w:rFonts w:ascii="Arial" w:cs="Arial" w:eastAsia="Arial" w:hAnsi="Arial"/>
                <w:sz w:val="12"/>
                <w:szCs w:val="12"/>
                <w:color w:val="auto"/>
              </w:rPr>
              <w:t>(1)</w:t>
            </w:r>
          </w:p>
        </w:tc>
      </w:tr>
      <w:tr>
        <w:trPr>
          <w:trHeight w:val="53"/>
        </w:trPr>
        <w:tc>
          <w:tcPr>
            <w:tcW w:w="23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84"/>
        </w:trPr>
        <w:tc>
          <w:tcPr>
            <w:tcW w:w="23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Threshold</w:t>
            </w:r>
          </w:p>
        </w:tc>
        <w:tc>
          <w:tcPr>
            <w:tcW w:w="2560" w:type="dxa"/>
            <w:vAlign w:val="bottom"/>
            <w:tcBorders>
              <w:bottom w:val="single" w:sz="8" w:color="CCEEF7"/>
            </w:tcBorders>
            <w:shd w:val="clear" w:color="auto" w:fill="CCEEF7"/>
          </w:tcPr>
          <w:p>
            <w:pPr>
              <w:jc w:val="right"/>
              <w:ind w:right="503"/>
              <w:spacing w:after="0"/>
              <w:rPr>
                <w:sz w:val="20"/>
                <w:szCs w:val="20"/>
                <w:color w:val="auto"/>
              </w:rPr>
            </w:pPr>
            <w:r>
              <w:rPr>
                <w:rFonts w:ascii="Arial" w:cs="Arial" w:eastAsia="Arial" w:hAnsi="Arial"/>
                <w:sz w:val="16"/>
                <w:szCs w:val="16"/>
                <w:color w:val="auto"/>
              </w:rPr>
              <w:t>5%</w:t>
            </w:r>
          </w:p>
        </w:tc>
        <w:tc>
          <w:tcPr>
            <w:tcW w:w="2260" w:type="dxa"/>
            <w:vAlign w:val="bottom"/>
            <w:tcBorders>
              <w:bottom w:val="single" w:sz="8" w:color="CCEEF7"/>
            </w:tcBorders>
            <w:shd w:val="clear" w:color="auto" w:fill="CCEEF7"/>
          </w:tcPr>
          <w:p>
            <w:pPr>
              <w:jc w:val="right"/>
              <w:ind w:right="543"/>
              <w:spacing w:after="0"/>
              <w:rPr>
                <w:sz w:val="20"/>
                <w:szCs w:val="20"/>
                <w:color w:val="auto"/>
              </w:rPr>
            </w:pPr>
            <w:r>
              <w:rPr>
                <w:rFonts w:ascii="Arial" w:cs="Arial" w:eastAsia="Arial" w:hAnsi="Arial"/>
                <w:sz w:val="16"/>
                <w:szCs w:val="16"/>
                <w:color w:val="auto"/>
              </w:rPr>
              <w:t>0%</w:t>
            </w:r>
          </w:p>
        </w:tc>
        <w:tc>
          <w:tcPr>
            <w:tcW w:w="2100" w:type="dxa"/>
            <w:vAlign w:val="bottom"/>
            <w:tcBorders>
              <w:bottom w:val="single" w:sz="8" w:color="CCEEF7"/>
            </w:tcBorders>
            <w:shd w:val="clear" w:color="auto" w:fill="CCEEF7"/>
          </w:tcPr>
          <w:p>
            <w:pPr>
              <w:jc w:val="right"/>
              <w:ind w:right="403"/>
              <w:spacing w:after="0"/>
              <w:rPr>
                <w:sz w:val="20"/>
                <w:szCs w:val="20"/>
                <w:color w:val="auto"/>
              </w:rPr>
            </w:pPr>
            <w:r>
              <w:rPr>
                <w:rFonts w:ascii="Arial" w:cs="Arial" w:eastAsia="Arial" w:hAnsi="Arial"/>
                <w:sz w:val="16"/>
                <w:szCs w:val="16"/>
                <w:color w:val="auto"/>
              </w:rPr>
              <w:t>46.1%</w:t>
            </w:r>
          </w:p>
        </w:tc>
        <w:tc>
          <w:tcPr>
            <w:tcW w:w="1760" w:type="dxa"/>
            <w:vAlign w:val="bottom"/>
            <w:tcBorders>
              <w:bottom w:val="single" w:sz="8" w:color="CCEEF7"/>
            </w:tcBorders>
            <w:shd w:val="clear" w:color="auto" w:fill="CCEEF7"/>
          </w:tcPr>
          <w:p>
            <w:pPr>
              <w:jc w:val="right"/>
              <w:ind w:right="103"/>
              <w:spacing w:after="0"/>
              <w:rPr>
                <w:sz w:val="20"/>
                <w:szCs w:val="20"/>
                <w:color w:val="auto"/>
              </w:rPr>
            </w:pPr>
            <w:r>
              <w:rPr>
                <w:rFonts w:ascii="Arial" w:cs="Arial" w:eastAsia="Arial" w:hAnsi="Arial"/>
                <w:sz w:val="16"/>
                <w:szCs w:val="16"/>
                <w:color w:val="auto"/>
              </w:rPr>
              <w:t>0%</w:t>
            </w:r>
          </w:p>
        </w:tc>
      </w:tr>
      <w:tr>
        <w:trPr>
          <w:trHeight w:val="264"/>
        </w:trPr>
        <w:tc>
          <w:tcPr>
            <w:tcW w:w="2340" w:type="dxa"/>
            <w:vAlign w:val="bottom"/>
          </w:tcPr>
          <w:p>
            <w:pPr>
              <w:ind w:left="60"/>
              <w:spacing w:after="0"/>
              <w:rPr>
                <w:sz w:val="20"/>
                <w:szCs w:val="20"/>
                <w:color w:val="auto"/>
              </w:rPr>
            </w:pPr>
            <w:r>
              <w:rPr>
                <w:rFonts w:ascii="Arial" w:cs="Arial" w:eastAsia="Arial" w:hAnsi="Arial"/>
                <w:sz w:val="16"/>
                <w:szCs w:val="16"/>
                <w:b w:val="1"/>
                <w:bCs w:val="1"/>
                <w:color w:val="auto"/>
              </w:rPr>
              <w:t>Target</w:t>
            </w:r>
          </w:p>
        </w:tc>
        <w:tc>
          <w:tcPr>
            <w:tcW w:w="2560" w:type="dxa"/>
            <w:vAlign w:val="bottom"/>
          </w:tcPr>
          <w:p>
            <w:pPr>
              <w:jc w:val="right"/>
              <w:ind w:right="503"/>
              <w:spacing w:after="0"/>
              <w:rPr>
                <w:sz w:val="20"/>
                <w:szCs w:val="20"/>
                <w:color w:val="auto"/>
              </w:rPr>
            </w:pPr>
            <w:r>
              <w:rPr>
                <w:rFonts w:ascii="Arial" w:cs="Arial" w:eastAsia="Arial" w:hAnsi="Arial"/>
                <w:sz w:val="16"/>
                <w:szCs w:val="16"/>
                <w:color w:val="auto"/>
              </w:rPr>
              <w:t>10.1%</w:t>
            </w:r>
          </w:p>
        </w:tc>
        <w:tc>
          <w:tcPr>
            <w:tcW w:w="2260" w:type="dxa"/>
            <w:vAlign w:val="bottom"/>
          </w:tcPr>
          <w:p>
            <w:pPr>
              <w:jc w:val="right"/>
              <w:ind w:right="543"/>
              <w:spacing w:after="0"/>
              <w:rPr>
                <w:sz w:val="20"/>
                <w:szCs w:val="20"/>
                <w:color w:val="auto"/>
              </w:rPr>
            </w:pPr>
            <w:r>
              <w:rPr>
                <w:rFonts w:ascii="Arial" w:cs="Arial" w:eastAsia="Arial" w:hAnsi="Arial"/>
                <w:sz w:val="16"/>
                <w:szCs w:val="16"/>
                <w:color w:val="auto"/>
              </w:rPr>
              <w:t>100%</w:t>
            </w:r>
          </w:p>
        </w:tc>
        <w:tc>
          <w:tcPr>
            <w:tcW w:w="2100" w:type="dxa"/>
            <w:vAlign w:val="bottom"/>
          </w:tcPr>
          <w:p>
            <w:pPr>
              <w:jc w:val="right"/>
              <w:ind w:right="403"/>
              <w:spacing w:after="0"/>
              <w:rPr>
                <w:sz w:val="20"/>
                <w:szCs w:val="20"/>
                <w:color w:val="auto"/>
              </w:rPr>
            </w:pPr>
            <w:r>
              <w:rPr>
                <w:rFonts w:ascii="Arial" w:cs="Arial" w:eastAsia="Arial" w:hAnsi="Arial"/>
                <w:sz w:val="16"/>
                <w:szCs w:val="16"/>
                <w:color w:val="auto"/>
              </w:rPr>
              <w:t>49.6%</w:t>
            </w:r>
          </w:p>
        </w:tc>
        <w:tc>
          <w:tcPr>
            <w:tcW w:w="1760" w:type="dxa"/>
            <w:vAlign w:val="bottom"/>
          </w:tcPr>
          <w:p>
            <w:pPr>
              <w:jc w:val="right"/>
              <w:ind w:right="103"/>
              <w:spacing w:after="0"/>
              <w:rPr>
                <w:sz w:val="20"/>
                <w:szCs w:val="20"/>
                <w:color w:val="auto"/>
              </w:rPr>
            </w:pPr>
            <w:r>
              <w:rPr>
                <w:rFonts w:ascii="Arial" w:cs="Arial" w:eastAsia="Arial" w:hAnsi="Arial"/>
                <w:sz w:val="16"/>
                <w:szCs w:val="16"/>
                <w:color w:val="auto"/>
              </w:rPr>
              <w:t>100%</w:t>
            </w:r>
          </w:p>
        </w:tc>
      </w:tr>
      <w:tr>
        <w:trPr>
          <w:trHeight w:val="60"/>
        </w:trPr>
        <w:tc>
          <w:tcPr>
            <w:tcW w:w="23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760" w:type="dxa"/>
            <w:vAlign w:val="bottom"/>
          </w:tcPr>
          <w:p>
            <w:pPr>
              <w:spacing w:after="0"/>
              <w:rPr>
                <w:sz w:val="5"/>
                <w:szCs w:val="5"/>
                <w:color w:val="auto"/>
              </w:rPr>
            </w:pPr>
          </w:p>
        </w:tc>
      </w:tr>
      <w:tr>
        <w:trPr>
          <w:trHeight w:val="304"/>
        </w:trPr>
        <w:tc>
          <w:tcPr>
            <w:tcW w:w="23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Maximum</w:t>
            </w:r>
          </w:p>
        </w:tc>
        <w:tc>
          <w:tcPr>
            <w:tcW w:w="2560" w:type="dxa"/>
            <w:vAlign w:val="bottom"/>
            <w:tcBorders>
              <w:bottom w:val="single" w:sz="8" w:color="CCEEF7"/>
            </w:tcBorders>
            <w:shd w:val="clear" w:color="auto" w:fill="CCEEF7"/>
          </w:tcPr>
          <w:p>
            <w:pPr>
              <w:jc w:val="right"/>
              <w:ind w:right="503"/>
              <w:spacing w:after="0"/>
              <w:rPr>
                <w:sz w:val="20"/>
                <w:szCs w:val="20"/>
                <w:color w:val="auto"/>
              </w:rPr>
            </w:pPr>
            <w:r>
              <w:rPr>
                <w:rFonts w:ascii="Arial" w:cs="Arial" w:eastAsia="Arial" w:hAnsi="Arial"/>
                <w:sz w:val="16"/>
                <w:szCs w:val="16"/>
                <w:color w:val="auto"/>
              </w:rPr>
              <w:t>14.6%</w:t>
            </w:r>
          </w:p>
        </w:tc>
        <w:tc>
          <w:tcPr>
            <w:tcW w:w="2260" w:type="dxa"/>
            <w:vAlign w:val="bottom"/>
            <w:tcBorders>
              <w:bottom w:val="single" w:sz="8" w:color="CCEEF7"/>
            </w:tcBorders>
            <w:shd w:val="clear" w:color="auto" w:fill="CCEEF7"/>
          </w:tcPr>
          <w:p>
            <w:pPr>
              <w:jc w:val="right"/>
              <w:ind w:right="543"/>
              <w:spacing w:after="0"/>
              <w:rPr>
                <w:sz w:val="20"/>
                <w:szCs w:val="20"/>
                <w:color w:val="auto"/>
              </w:rPr>
            </w:pPr>
            <w:r>
              <w:rPr>
                <w:rFonts w:ascii="Arial" w:cs="Arial" w:eastAsia="Arial" w:hAnsi="Arial"/>
                <w:sz w:val="16"/>
                <w:szCs w:val="16"/>
                <w:color w:val="auto"/>
              </w:rPr>
              <w:t>250%</w:t>
            </w:r>
          </w:p>
        </w:tc>
        <w:tc>
          <w:tcPr>
            <w:tcW w:w="2100" w:type="dxa"/>
            <w:vAlign w:val="bottom"/>
            <w:tcBorders>
              <w:bottom w:val="single" w:sz="8" w:color="CCEEF7"/>
            </w:tcBorders>
            <w:shd w:val="clear" w:color="auto" w:fill="CCEEF7"/>
          </w:tcPr>
          <w:p>
            <w:pPr>
              <w:jc w:val="right"/>
              <w:ind w:right="403"/>
              <w:spacing w:after="0"/>
              <w:rPr>
                <w:sz w:val="20"/>
                <w:szCs w:val="20"/>
                <w:color w:val="auto"/>
              </w:rPr>
            </w:pPr>
            <w:r>
              <w:rPr>
                <w:rFonts w:ascii="Arial" w:cs="Arial" w:eastAsia="Arial" w:hAnsi="Arial"/>
                <w:sz w:val="16"/>
                <w:szCs w:val="16"/>
                <w:color w:val="auto"/>
              </w:rPr>
              <w:t>50.6%</w:t>
            </w:r>
          </w:p>
        </w:tc>
        <w:tc>
          <w:tcPr>
            <w:tcW w:w="1760" w:type="dxa"/>
            <w:vAlign w:val="bottom"/>
            <w:tcBorders>
              <w:bottom w:val="single" w:sz="8" w:color="CCEEF7"/>
            </w:tcBorders>
            <w:shd w:val="clear" w:color="auto" w:fill="CCEEF7"/>
          </w:tcPr>
          <w:p>
            <w:pPr>
              <w:jc w:val="right"/>
              <w:ind w:right="103"/>
              <w:spacing w:after="0"/>
              <w:rPr>
                <w:sz w:val="20"/>
                <w:szCs w:val="20"/>
                <w:color w:val="auto"/>
              </w:rPr>
            </w:pPr>
            <w:r>
              <w:rPr>
                <w:rFonts w:ascii="Arial" w:cs="Arial" w:eastAsia="Arial" w:hAnsi="Arial"/>
                <w:sz w:val="16"/>
                <w:szCs w:val="16"/>
                <w:color w:val="auto"/>
              </w:rPr>
              <w:t>200%</w:t>
            </w:r>
          </w:p>
        </w:tc>
      </w:tr>
      <w:tr>
        <w:trPr>
          <w:trHeight w:val="27"/>
        </w:trPr>
        <w:tc>
          <w:tcPr>
            <w:tcW w:w="2340" w:type="dxa"/>
            <w:vAlign w:val="bottom"/>
            <w:shd w:val="clear" w:color="auto" w:fill="000000"/>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ind w:left="540" w:right="260" w:hanging="424"/>
        <w:spacing w:after="0" w:line="258"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actual performance achieved between goals, percentage of target bonus achieved is calculated on a straight-line interpolation basis between threshold, target, and maximum performance, as applicable.</w:t>
      </w:r>
    </w:p>
    <w:p>
      <w:pPr>
        <w:spacing w:after="0" w:line="17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Based on 2021 performance, as confirmed by the Compensation Committee, the Company achieved revenue growth of 19.3% and EBITDA margin of 50.9%, resulting in 250% achievement with respect to the revenue growth portion of the annual bonus target and 200% achievement with respect to the EBITDA portion of the annual bonus target. As such, Messrs. Olesky and Hult were each entitled to a bonus at 225% of their respective target bonus amounts, as summarized in the table below.</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40" w:type="dxa"/>
            <w:vAlign w:val="bottom"/>
          </w:tcPr>
          <w:p>
            <w:pPr>
              <w:jc w:val="right"/>
              <w:ind w:right="124"/>
              <w:spacing w:after="0"/>
              <w:rPr>
                <w:sz w:val="20"/>
                <w:szCs w:val="20"/>
                <w:color w:val="auto"/>
              </w:rPr>
            </w:pPr>
            <w:r>
              <w:rPr>
                <w:rFonts w:ascii="Arial" w:cs="Arial" w:eastAsia="Arial" w:hAnsi="Arial"/>
                <w:sz w:val="14"/>
                <w:szCs w:val="14"/>
                <w:color w:val="auto"/>
              </w:rPr>
              <w:t>Target Bonus</w:t>
            </w:r>
          </w:p>
        </w:tc>
        <w:tc>
          <w:tcPr>
            <w:tcW w:w="1680" w:type="dxa"/>
            <w:vAlign w:val="bottom"/>
          </w:tcPr>
          <w:p>
            <w:pPr>
              <w:jc w:val="right"/>
              <w:ind w:right="64"/>
              <w:spacing w:after="0"/>
              <w:rPr>
                <w:sz w:val="20"/>
                <w:szCs w:val="20"/>
                <w:color w:val="auto"/>
              </w:rPr>
            </w:pPr>
            <w:r>
              <w:rPr>
                <w:rFonts w:ascii="Arial" w:cs="Arial" w:eastAsia="Arial" w:hAnsi="Arial"/>
                <w:sz w:val="14"/>
                <w:szCs w:val="14"/>
                <w:color w:val="auto"/>
              </w:rPr>
              <w:t>Weighted Achievement</w:t>
            </w:r>
          </w:p>
        </w:tc>
        <w:tc>
          <w:tcPr>
            <w:tcW w:w="1320" w:type="dxa"/>
            <w:vAlign w:val="bottom"/>
          </w:tcPr>
          <w:p>
            <w:pPr>
              <w:spacing w:after="0"/>
              <w:rPr>
                <w:sz w:val="14"/>
                <w:szCs w:val="14"/>
                <w:color w:val="auto"/>
              </w:rPr>
            </w:pPr>
          </w:p>
        </w:tc>
      </w:tr>
      <w:tr>
        <w:trPr>
          <w:trHeight w:val="182"/>
        </w:trPr>
        <w:tc>
          <w:tcPr>
            <w:tcW w:w="6580" w:type="dxa"/>
            <w:vAlign w:val="bottom"/>
          </w:tcPr>
          <w:p>
            <w:pPr>
              <w:ind w:left="60"/>
              <w:spacing w:after="0"/>
              <w:rPr>
                <w:sz w:val="20"/>
                <w:szCs w:val="20"/>
                <w:color w:val="auto"/>
              </w:rPr>
            </w:pPr>
            <w:r>
              <w:rPr>
                <w:rFonts w:ascii="Arial" w:cs="Arial" w:eastAsia="Arial" w:hAnsi="Arial"/>
                <w:sz w:val="14"/>
                <w:szCs w:val="14"/>
                <w:color w:val="auto"/>
              </w:rPr>
              <w:t>Executive</w:t>
            </w:r>
          </w:p>
        </w:tc>
        <w:tc>
          <w:tcPr>
            <w:tcW w:w="1440" w:type="dxa"/>
            <w:vAlign w:val="bottom"/>
          </w:tcPr>
          <w:p>
            <w:pPr>
              <w:jc w:val="right"/>
              <w:ind w:right="124"/>
              <w:spacing w:after="0"/>
              <w:rPr>
                <w:sz w:val="20"/>
                <w:szCs w:val="20"/>
                <w:color w:val="auto"/>
              </w:rPr>
            </w:pPr>
            <w:r>
              <w:rPr>
                <w:rFonts w:ascii="Arial" w:cs="Arial" w:eastAsia="Arial" w:hAnsi="Arial"/>
                <w:sz w:val="14"/>
                <w:szCs w:val="14"/>
                <w:color w:val="auto"/>
              </w:rPr>
              <w:t>Opportunity ($)</w:t>
            </w:r>
          </w:p>
        </w:tc>
        <w:tc>
          <w:tcPr>
            <w:tcW w:w="1680" w:type="dxa"/>
            <w:vAlign w:val="bottom"/>
          </w:tcPr>
          <w:p>
            <w:pPr>
              <w:jc w:val="right"/>
              <w:ind w:right="64"/>
              <w:spacing w:after="0"/>
              <w:rPr>
                <w:sz w:val="20"/>
                <w:szCs w:val="20"/>
                <w:color w:val="auto"/>
              </w:rPr>
            </w:pPr>
            <w:r>
              <w:rPr>
                <w:rFonts w:ascii="Arial" w:cs="Arial" w:eastAsia="Arial" w:hAnsi="Arial"/>
                <w:sz w:val="14"/>
                <w:szCs w:val="14"/>
                <w:color w:val="auto"/>
              </w:rPr>
              <w:t>Level (% of Target)</w:t>
            </w:r>
          </w:p>
        </w:tc>
        <w:tc>
          <w:tcPr>
            <w:tcW w:w="1320" w:type="dxa"/>
            <w:vAlign w:val="bottom"/>
          </w:tcPr>
          <w:p>
            <w:pPr>
              <w:jc w:val="right"/>
              <w:ind w:right="102"/>
              <w:spacing w:after="0"/>
              <w:rPr>
                <w:sz w:val="20"/>
                <w:szCs w:val="20"/>
                <w:color w:val="auto"/>
              </w:rPr>
            </w:pPr>
            <w:r>
              <w:rPr>
                <w:rFonts w:ascii="Arial" w:cs="Arial" w:eastAsia="Arial" w:hAnsi="Arial"/>
                <w:sz w:val="14"/>
                <w:szCs w:val="14"/>
                <w:color w:val="auto"/>
              </w:rPr>
              <w:t>Bonus Earned ($)</w:t>
            </w:r>
          </w:p>
        </w:tc>
      </w:tr>
      <w:tr>
        <w:trPr>
          <w:trHeight w:val="53"/>
        </w:trPr>
        <w:tc>
          <w:tcPr>
            <w:tcW w:w="65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4"/>
        </w:trPr>
        <w:tc>
          <w:tcPr>
            <w:tcW w:w="658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440" w:type="dxa"/>
            <w:vAlign w:val="bottom"/>
            <w:shd w:val="clear" w:color="auto" w:fill="CCEEF7"/>
          </w:tcPr>
          <w:p>
            <w:pPr>
              <w:jc w:val="right"/>
              <w:ind w:right="124"/>
              <w:spacing w:after="0"/>
              <w:rPr>
                <w:sz w:val="20"/>
                <w:szCs w:val="20"/>
                <w:color w:val="auto"/>
              </w:rPr>
            </w:pPr>
            <w:r>
              <w:rPr>
                <w:rFonts w:ascii="Arial" w:cs="Arial" w:eastAsia="Arial" w:hAnsi="Arial"/>
                <w:sz w:val="16"/>
                <w:szCs w:val="16"/>
                <w:color w:val="auto"/>
              </w:rPr>
              <w:t>$4,250,000</w:t>
            </w:r>
          </w:p>
        </w:tc>
        <w:tc>
          <w:tcPr>
            <w:tcW w:w="1680" w:type="dxa"/>
            <w:vAlign w:val="bottom"/>
            <w:shd w:val="clear" w:color="auto" w:fill="CCEEF7"/>
          </w:tcPr>
          <w:p>
            <w:pPr>
              <w:jc w:val="right"/>
              <w:ind w:right="64"/>
              <w:spacing w:after="0"/>
              <w:rPr>
                <w:sz w:val="20"/>
                <w:szCs w:val="20"/>
                <w:color w:val="auto"/>
              </w:rPr>
            </w:pPr>
            <w:r>
              <w:rPr>
                <w:rFonts w:ascii="Arial" w:cs="Arial" w:eastAsia="Arial" w:hAnsi="Arial"/>
                <w:sz w:val="16"/>
                <w:szCs w:val="16"/>
                <w:color w:val="auto"/>
              </w:rPr>
              <w:t>225%</w:t>
            </w:r>
          </w:p>
        </w:tc>
        <w:tc>
          <w:tcPr>
            <w:tcW w:w="132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$9,562,500</w:t>
            </w:r>
          </w:p>
        </w:tc>
      </w:tr>
      <w:tr>
        <w:trPr>
          <w:trHeight w:val="60"/>
        </w:trPr>
        <w:tc>
          <w:tcPr>
            <w:tcW w:w="6580" w:type="dxa"/>
            <w:vAlign w:val="bottom"/>
            <w:shd w:val="clear" w:color="auto" w:fill="CCEEF7"/>
          </w:tcPr>
          <w:p>
            <w:pPr>
              <w:spacing w:after="0"/>
              <w:rPr>
                <w:sz w:val="5"/>
                <w:szCs w:val="5"/>
                <w:color w:val="auto"/>
              </w:rPr>
            </w:pPr>
          </w:p>
        </w:tc>
        <w:tc>
          <w:tcPr>
            <w:tcW w:w="1440" w:type="dxa"/>
            <w:vAlign w:val="bottom"/>
            <w:shd w:val="clear" w:color="auto" w:fill="CCEEF7"/>
          </w:tcPr>
          <w:p>
            <w:pPr>
              <w:spacing w:after="0"/>
              <w:rPr>
                <w:sz w:val="5"/>
                <w:szCs w:val="5"/>
                <w:color w:val="auto"/>
              </w:rPr>
            </w:pPr>
          </w:p>
        </w:tc>
        <w:tc>
          <w:tcPr>
            <w:tcW w:w="1680" w:type="dxa"/>
            <w:vAlign w:val="bottom"/>
            <w:shd w:val="clear" w:color="auto" w:fill="CCEEF7"/>
          </w:tcPr>
          <w:p>
            <w:pPr>
              <w:spacing w:after="0"/>
              <w:rPr>
                <w:sz w:val="5"/>
                <w:szCs w:val="5"/>
                <w:color w:val="auto"/>
              </w:rPr>
            </w:pPr>
          </w:p>
        </w:tc>
        <w:tc>
          <w:tcPr>
            <w:tcW w:w="1320" w:type="dxa"/>
            <w:vAlign w:val="bottom"/>
            <w:shd w:val="clear" w:color="auto" w:fill="CCEEF7"/>
          </w:tcPr>
          <w:p>
            <w:pPr>
              <w:spacing w:after="0"/>
              <w:rPr>
                <w:sz w:val="5"/>
                <w:szCs w:val="5"/>
                <w:color w:val="auto"/>
              </w:rPr>
            </w:pPr>
          </w:p>
        </w:tc>
      </w:tr>
      <w:tr>
        <w:trPr>
          <w:trHeight w:val="264"/>
        </w:trPr>
        <w:tc>
          <w:tcPr>
            <w:tcW w:w="6580" w:type="dxa"/>
            <w:vAlign w:val="bottom"/>
          </w:tcPr>
          <w:p>
            <w:pPr>
              <w:ind w:left="60"/>
              <w:spacing w:after="0"/>
              <w:rPr>
                <w:sz w:val="20"/>
                <w:szCs w:val="20"/>
                <w:color w:val="auto"/>
              </w:rPr>
            </w:pPr>
            <w:r>
              <w:rPr>
                <w:rFonts w:ascii="Arial" w:cs="Arial" w:eastAsia="Arial" w:hAnsi="Arial"/>
                <w:sz w:val="16"/>
                <w:szCs w:val="16"/>
                <w:color w:val="auto"/>
              </w:rPr>
              <w:t>Billy Hult</w:t>
            </w:r>
          </w:p>
        </w:tc>
        <w:tc>
          <w:tcPr>
            <w:tcW w:w="1440" w:type="dxa"/>
            <w:vAlign w:val="bottom"/>
          </w:tcPr>
          <w:p>
            <w:pPr>
              <w:jc w:val="right"/>
              <w:ind w:right="124"/>
              <w:spacing w:after="0"/>
              <w:rPr>
                <w:sz w:val="20"/>
                <w:szCs w:val="20"/>
                <w:color w:val="auto"/>
              </w:rPr>
            </w:pPr>
            <w:r>
              <w:rPr>
                <w:rFonts w:ascii="Arial" w:cs="Arial" w:eastAsia="Arial" w:hAnsi="Arial"/>
                <w:sz w:val="16"/>
                <w:szCs w:val="16"/>
                <w:color w:val="auto"/>
              </w:rPr>
              <w:t>$3,750,000</w:t>
            </w:r>
          </w:p>
        </w:tc>
        <w:tc>
          <w:tcPr>
            <w:tcW w:w="1680" w:type="dxa"/>
            <w:vAlign w:val="bottom"/>
          </w:tcPr>
          <w:p>
            <w:pPr>
              <w:jc w:val="right"/>
              <w:ind w:right="64"/>
              <w:spacing w:after="0"/>
              <w:rPr>
                <w:sz w:val="20"/>
                <w:szCs w:val="20"/>
                <w:color w:val="auto"/>
              </w:rPr>
            </w:pPr>
            <w:r>
              <w:rPr>
                <w:rFonts w:ascii="Arial" w:cs="Arial" w:eastAsia="Arial" w:hAnsi="Arial"/>
                <w:sz w:val="16"/>
                <w:szCs w:val="16"/>
                <w:color w:val="auto"/>
              </w:rPr>
              <w:t>225%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$8,437,500</w:t>
            </w:r>
          </w:p>
        </w:tc>
      </w:tr>
      <w:tr>
        <w:trPr>
          <w:trHeight w:val="67"/>
        </w:trPr>
        <w:tc>
          <w:tcPr>
            <w:tcW w:w="65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2856"/>
        </w:rPr>
        <w:t>NEOs other than the CEO and President</w:t>
      </w:r>
    </w:p>
    <w:p>
      <w:pPr>
        <w:spacing w:after="0" w:line="1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For calendar year 2021 performance, Ms. Furber was entitled to a guaranteed cash bonus of $700,000 pursuant to the offer letter entered into at the time of her hire, which amount was subject to increase based on her performance, as described further below in the section titled “Narrative Disclosure to Summary Compensation Table and Grants of Plan-Based Awards Table — Employment Agreements with our Named Executive Officers.” The Committee authorized the Chief Executive Officer to increase Ms. Furber’s bonus in his discretion based on Ms. Furber’s performance and availability of cash from the general employee cash bonus pool (described further below).</w:t>
      </w:r>
    </w:p>
    <w:p>
      <w:pPr>
        <w:spacing w:after="0" w:line="17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36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7"/>
          <w:szCs w:val="17"/>
          <w:color w:val="auto"/>
        </w:rPr>
        <w:t>Messrs. Bruni and Peterson were each entitled to a cash bonus pursuant to the Company’s general employee cash bonus program for 2021. Each year the Compensation Committee approves the methodology for determining the cash bonus pool for the upcoming year for annual bonus grants to employees, including the NEOs (other than the Chief Executive Officer and President). The bonus pool is increased or decreased based on achievement of specified Company performance goals. For 2021, Company performance was based on revenue growth versus prior year achievement. For achievement above target (set at 10.1% revenue growth for 2021), the bonus pool can increase up to $0.25 per $1.00 of revenue growth. For achievement below budget, the bonus pool is targeted to decrease a minimum of $0.15 per $1.00 of revenue missed. For revenue growth above or below budget, a straight-line interpolation between target and achievement above or below, as applicable, target amounts is used to calculate the bonus amount based on full year revenue growth. The bonus pool does not have a “cap” or “floor” for achievement above or below target. Based on the 2021 performance, the Company exceeded its target with revenue growth of 19.3%.</w:t>
      </w:r>
    </w:p>
    <w:p>
      <w:pPr>
        <w:spacing w:after="0" w:line="1"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6"/>
          <w:szCs w:val="16"/>
          <w:color w:val="auto"/>
        </w:rPr>
        <w:t>Each of Messrs. Bruni and Peterson was eligible to receive an annual cash bonus, and Ms. Furber was eligible for an increase in her guaranteed 2021 bonus, from the bonus pool as approved by the Compensation Committee, which authorized Mr. Olesky to make adjustments to such amounts based on his reasonable assessment of the executive’s performance. The allocations of the awards from the bonus pool are based on individual considerations, including individual performance as well as Company performance as a whole. The Company does not allocate bonuses based on set metrics in order to provide for a flexible bonus program designed to reward individual accomplishments. Individual considerations may include, but are not limited to, the executive’s ability to manage expenses, operate his or her business segment within its forecasted budget and, as applicable, achieve forecasted revenue projections. Mr. Olesky recommends an initial proposed bonus allocation for each executive officer which amount is approved by the Compensation Committee, and the Compensation Committee authorizes Mr. Olesky to make such adjustments to those amounts for executive officers as he deems appropriate based on an executive officer’s performance and the remainder of cash left in the general bonus pool. The Company’s overall performance in fiscal 2021 has continued to be strong and exceeded target goals. As noted above, the Company achieved excellent financial performance outcomes, which we believe are strongly linked to the skills and dedication of our executive leadership team, including the NEOs. This resulted in a bonus pool above the target pool. In addition to the Company’s strong financial performance, individual considerations when allocating bonuses for 2021 included, but were not limited to, (i) for Mr. Peterson, his increased responsibilities as a result of his promotion to Chief Technology Officer, (ii) for Mr. Bruni, his management of the Company’s international business, which continues to be an increasingly significant portion of the Company’s overall revenue, and (iii) for Ms. Furber, her strong performance and ability to deliver immediate results following her hire.</w:t>
      </w:r>
    </w:p>
    <w:p>
      <w:pPr>
        <w:spacing w:after="0" w:line="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7"/>
          <w:szCs w:val="17"/>
          <w:color w:val="auto"/>
        </w:rPr>
        <w:t>In light of their individual performance, each of Messrs. Bruni and Peterson and Ms. Furber received final bonus amounts as reflected in the table below with respect to performance for calendar year 2021. The final bonuses for each individual were approved by the Compensation Committee, or, for Ms. Furber, as set forth in her offer letter, and adjusted by the Chief Executive Officer as described above.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9140" w:type="dxa"/>
            <w:vAlign w:val="bottom"/>
          </w:tcPr>
          <w:p>
            <w:pPr>
              <w:ind w:left="60"/>
              <w:spacing w:after="0"/>
              <w:rPr>
                <w:sz w:val="20"/>
                <w:szCs w:val="20"/>
                <w:color w:val="auto"/>
              </w:rPr>
            </w:pPr>
            <w:r>
              <w:rPr>
                <w:rFonts w:ascii="Arial" w:cs="Arial" w:eastAsia="Arial" w:hAnsi="Arial"/>
                <w:sz w:val="14"/>
                <w:szCs w:val="14"/>
                <w:color w:val="auto"/>
              </w:rPr>
              <w:t>Executive</w:t>
            </w:r>
          </w:p>
        </w:tc>
        <w:tc>
          <w:tcPr>
            <w:tcW w:w="1880" w:type="dxa"/>
            <w:vAlign w:val="bottom"/>
            <w:gridSpan w:val="2"/>
          </w:tcPr>
          <w:p>
            <w:pPr>
              <w:jc w:val="right"/>
              <w:ind w:right="39"/>
              <w:spacing w:after="0"/>
              <w:rPr>
                <w:sz w:val="20"/>
                <w:szCs w:val="20"/>
                <w:color w:val="auto"/>
              </w:rPr>
            </w:pPr>
            <w:r>
              <w:rPr>
                <w:rFonts w:ascii="Arial" w:cs="Arial" w:eastAsia="Arial" w:hAnsi="Arial"/>
                <w:sz w:val="14"/>
                <w:szCs w:val="14"/>
                <w:color w:val="auto"/>
              </w:rPr>
              <w:t>Final Bonus Earned</w:t>
            </w:r>
          </w:p>
        </w:tc>
      </w:tr>
      <w:tr>
        <w:trPr>
          <w:trHeight w:val="53"/>
        </w:trPr>
        <w:tc>
          <w:tcPr>
            <w:tcW w:w="9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84"/>
        </w:trPr>
        <w:tc>
          <w:tcPr>
            <w:tcW w:w="91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Sara Furber</w:t>
            </w:r>
          </w:p>
        </w:tc>
        <w:tc>
          <w:tcPr>
            <w:tcW w:w="106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7"/>
            </w:tcBorders>
            <w:shd w:val="clear" w:color="auto" w:fill="CCEEF7"/>
          </w:tcPr>
          <w:p>
            <w:pPr>
              <w:jc w:val="right"/>
              <w:ind w:right="19"/>
              <w:spacing w:after="0"/>
              <w:rPr>
                <w:sz w:val="20"/>
                <w:szCs w:val="20"/>
                <w:color w:val="auto"/>
              </w:rPr>
            </w:pPr>
            <w:r>
              <w:rPr>
                <w:rFonts w:ascii="Arial" w:cs="Arial" w:eastAsia="Arial" w:hAnsi="Arial"/>
                <w:sz w:val="16"/>
                <w:szCs w:val="16"/>
                <w:color w:val="auto"/>
              </w:rPr>
              <w:t>800,000</w:t>
            </w:r>
          </w:p>
        </w:tc>
      </w:tr>
      <w:tr>
        <w:trPr>
          <w:trHeight w:val="264"/>
        </w:trPr>
        <w:tc>
          <w:tcPr>
            <w:tcW w:w="914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1,946,427</w:t>
            </w:r>
          </w:p>
        </w:tc>
      </w:tr>
      <w:tr>
        <w:trPr>
          <w:trHeight w:val="60"/>
        </w:trPr>
        <w:tc>
          <w:tcPr>
            <w:tcW w:w="9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64"/>
        </w:trPr>
        <w:tc>
          <w:tcPr>
            <w:tcW w:w="9140" w:type="dxa"/>
            <w:vAlign w:val="bottom"/>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10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w w:val="98"/>
              </w:rPr>
              <w:t>1,350,000</w:t>
            </w:r>
          </w:p>
        </w:tc>
      </w:tr>
      <w:tr>
        <w:trPr>
          <w:trHeight w:val="67"/>
        </w:trPr>
        <w:tc>
          <w:tcPr>
            <w:tcW w:w="9140" w:type="dxa"/>
            <w:vAlign w:val="bottom"/>
            <w:tcBorders>
              <w:bottom w:val="single" w:sz="8" w:color="auto"/>
            </w:tcBorders>
            <w:shd w:val="clear" w:color="auto" w:fill="CCEEF7"/>
          </w:tcPr>
          <w:p>
            <w:pPr>
              <w:spacing w:after="0"/>
              <w:rPr>
                <w:sz w:val="5"/>
                <w:szCs w:val="5"/>
                <w:color w:val="auto"/>
              </w:rPr>
            </w:pPr>
          </w:p>
        </w:tc>
        <w:tc>
          <w:tcPr>
            <w:tcW w:w="1060" w:type="dxa"/>
            <w:vAlign w:val="bottom"/>
            <w:tcBorders>
              <w:bottom w:val="single" w:sz="8" w:color="auto"/>
            </w:tcBorders>
            <w:shd w:val="clear" w:color="auto" w:fill="CCEEF7"/>
          </w:tcPr>
          <w:p>
            <w:pPr>
              <w:spacing w:after="0"/>
              <w:rPr>
                <w:sz w:val="5"/>
                <w:szCs w:val="5"/>
                <w:color w:val="auto"/>
              </w:rPr>
            </w:pPr>
          </w:p>
        </w:tc>
        <w:tc>
          <w:tcPr>
            <w:tcW w:w="820" w:type="dxa"/>
            <w:vAlign w:val="bottom"/>
            <w:tcBorders>
              <w:bottom w:val="single" w:sz="8" w:color="auto"/>
            </w:tcBorders>
            <w:shd w:val="clear" w:color="auto" w:fill="CCEEF7"/>
          </w:tcPr>
          <w:p>
            <w:pPr>
              <w:spacing w:after="0"/>
              <w:rPr>
                <w:sz w:val="5"/>
                <w:szCs w:val="5"/>
                <w:color w:val="auto"/>
              </w:rPr>
            </w:pPr>
          </w:p>
        </w:tc>
      </w:tr>
    </w:tbl>
    <w:p>
      <w:pPr>
        <w:spacing w:after="0" w:line="202" w:lineRule="exact"/>
        <w:rPr>
          <w:sz w:val="20"/>
          <w:szCs w:val="20"/>
          <w:color w:val="auto"/>
        </w:rPr>
      </w:pPr>
    </w:p>
    <w:p>
      <w:pPr>
        <w:jc w:val="both"/>
        <w:ind w:left="120" w:right="320" w:firstLine="440"/>
        <w:spacing w:after="0" w:line="255" w:lineRule="auto"/>
        <w:rPr>
          <w:sz w:val="20"/>
          <w:szCs w:val="20"/>
          <w:color w:val="auto"/>
        </w:rPr>
      </w:pPr>
      <w:r>
        <w:rPr>
          <w:rFonts w:ascii="Arial" w:cs="Arial" w:eastAsia="Arial" w:hAnsi="Arial"/>
          <w:sz w:val="18"/>
          <w:szCs w:val="18"/>
          <w:color w:val="auto"/>
        </w:rPr>
        <w:t>Mr. Warshaw remained entitled to an annual bonus following his transition from the Chief Financial Officer position, with a minimum agreed annual bonus of $1,000,000 for the 2021 fiscal year (which amount is commensurate with amounts paid to Mr. Warshaw in prior years), which is the amount ultimately received by Mr. Warshaw for 2021.</w:t>
      </w:r>
    </w:p>
    <w:p>
      <w:pPr>
        <w:spacing w:after="0" w:line="3"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believe that the above annual cash bonus programs are important incentive tools for motivating achievement of the Company’s goals for the forthcoming fiscal year. We do not provide for guaranteed bonus payouts (with the exception of the cash bonus paid with respect to 2021 service for Ms. Furber for her first year of employment, a portion of which was guaranteed).</w:t>
      </w:r>
    </w:p>
    <w:p>
      <w:pPr>
        <w:spacing w:after="0" w:line="187"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Long-Term Equity Incentives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2856"/>
        </w:rPr>
        <w:t>Omnibus Equity Incentive Plan</w:t>
      </w:r>
    </w:p>
    <w:p>
      <w:pPr>
        <w:spacing w:after="0" w:line="16"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The main objectives of our long-term equity incentive program are to: (1) incentivize our executives to work toward the achievement of both our short-and long-term performance goals, (2) provide competitive compensation opportunities in order to attract and retain key individuals, (3) promote retention of executives through multi-year vesting periods, and (4) create strong alignment with stockholders’ interests by fostering an “ownership mentality” among our executives. We believe these objectives are accomplished through the equity compensation program described below.</w:t>
      </w:r>
    </w:p>
    <w:p>
      <w:pPr>
        <w:spacing w:after="0" w:line="1"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6"/>
          <w:szCs w:val="16"/>
          <w:color w:val="auto"/>
        </w:rPr>
        <w:t>Each year the Compensation Committee establishes an aggregate pool for equity awards to be granted to employees for that year. The Compensation Committee then allocates awards under that pool to the Chief Executive Officer and President based on the executive’s performance for the prior year. For all other NEOs, allocations are made based on the recommendation of the Chief Executive Officer based on the executive’s performance for the prior year, and in consideration of their annual bonus amounts for such year, but are subject to Compensation Committee approval in all cases. For 2021, these awards included performance-based restricted stock units (“PRSUs”) and time-vesting restricted stock units (“RSUs”) under the Tradeweb Markets Inc. 2019 Omnibus Equity Incentive Plan (the “Equity Plan”), the material terms of which are described below.</w:t>
      </w:r>
    </w:p>
    <w:p>
      <w:pPr>
        <w:spacing w:after="0" w:line="4"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6"/>
          <w:szCs w:val="16"/>
          <w:color w:val="auto"/>
        </w:rPr>
        <w:t>With respect to the PRSUs, each year the Compensation Committee establishes performance goals for the applicable plan year and the number of PRSUs earned is based on the extent to which the performance goals are achieved (the “Performance Modifier”). The Performance Modifier is based on Company performance for that initial year of grant. Once the Performance Modifier is set and the award is earned, there is a two year additional vesting period, with the final vesting date being on January 1 following the third calendar year in which the award is first outstanding. The Performance Modifier is applied to all vested PRSUs at the time of settlement, which occurs on the first trading day following vesting of the award.</w:t>
      </w:r>
    </w:p>
    <w:p>
      <w:pPr>
        <w:spacing w:after="0" w:line="3"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The Performance Modifier for PRSU grants made in calendar year 2021 was based 50% on revenue growth and 50% on EBITDA margin. The table below displays the relevant EBITDA margin and revenue growth goals for calendar year 2021, and potential achievement of a Performance Modifier ranging from 0% to 200%. We believe that EBITDA margin and revenue growth are the most precise and reliable indicators of Company performance, and therefore consider them the most relevant for purposes of establishing performance goals for executive compensation. Our intention is to establish rigorous performance goals for the Company set to motivate the executives and drive performance above budget. The maximum performance goals for PRSUs were set at a level that represented significant outperformance versus budget, while thresholds were set at a level that still represented meaningful year-over-year growth. These performance goals are set based on a one-year period to ensure executives are motivated on a year-to-year basis. The Compensation Committee has determined that it would be difficult to set effective goals more than one year out due to the nature of the Company’s growth and expansion of the business into other markets (including internationally). Setting performance goals each year provides the Company flexibility to alter thresholds each year based on outperformance of budget, to reflect changing needs and growth of the Company, and to ensure executives remain engaged and motivated. While financial performance is measured on a one-year period, awards still continue to vest for a two-year period after financial performance is determined and remain tied to our stock performance over that time period, ensuring that executives’ interests are still aligned with those of our stockholders over the long-term.</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400" w:type="dxa"/>
            <w:vAlign w:val="bottom"/>
          </w:tcPr>
          <w:p>
            <w:pPr>
              <w:jc w:val="right"/>
              <w:ind w:right="443"/>
              <w:spacing w:after="0"/>
              <w:rPr>
                <w:sz w:val="20"/>
                <w:szCs w:val="20"/>
                <w:color w:val="auto"/>
              </w:rPr>
            </w:pPr>
            <w:r>
              <w:rPr>
                <w:rFonts w:ascii="Arial" w:cs="Arial" w:eastAsia="Arial" w:hAnsi="Arial"/>
                <w:sz w:val="14"/>
                <w:szCs w:val="14"/>
                <w:color w:val="auto"/>
              </w:rPr>
              <w:t>Revenue Growth</w:t>
            </w:r>
          </w:p>
        </w:tc>
        <w:tc>
          <w:tcPr>
            <w:tcW w:w="2920" w:type="dxa"/>
            <w:vAlign w:val="bottom"/>
          </w:tcPr>
          <w:p>
            <w:pPr>
              <w:jc w:val="right"/>
              <w:ind w:right="503"/>
              <w:spacing w:after="0"/>
              <w:rPr>
                <w:sz w:val="20"/>
                <w:szCs w:val="20"/>
                <w:color w:val="auto"/>
              </w:rPr>
            </w:pPr>
            <w:r>
              <w:rPr>
                <w:rFonts w:ascii="Arial" w:cs="Arial" w:eastAsia="Arial" w:hAnsi="Arial"/>
                <w:sz w:val="14"/>
                <w:szCs w:val="14"/>
                <w:color w:val="auto"/>
              </w:rPr>
              <w:t>EBITDA Margin</w:t>
            </w:r>
          </w:p>
        </w:tc>
        <w:tc>
          <w:tcPr>
            <w:tcW w:w="1960" w:type="dxa"/>
            <w:vAlign w:val="bottom"/>
          </w:tcPr>
          <w:p>
            <w:pPr>
              <w:jc w:val="right"/>
              <w:ind w:right="103"/>
              <w:spacing w:after="0"/>
              <w:rPr>
                <w:sz w:val="20"/>
                <w:szCs w:val="20"/>
                <w:color w:val="auto"/>
              </w:rPr>
            </w:pPr>
            <w:r>
              <w:rPr>
                <w:rFonts w:ascii="Arial" w:cs="Arial" w:eastAsia="Arial" w:hAnsi="Arial"/>
                <w:sz w:val="14"/>
                <w:szCs w:val="14"/>
                <w:color w:val="auto"/>
              </w:rPr>
              <w:t>Percentage of Target</w:t>
            </w:r>
          </w:p>
        </w:tc>
      </w:tr>
      <w:tr>
        <w:trPr>
          <w:trHeight w:val="196"/>
        </w:trPr>
        <w:tc>
          <w:tcPr>
            <w:tcW w:w="2740" w:type="dxa"/>
            <w:vAlign w:val="bottom"/>
          </w:tcPr>
          <w:p>
            <w:pPr>
              <w:ind w:left="60"/>
              <w:spacing w:after="0"/>
              <w:rPr>
                <w:sz w:val="20"/>
                <w:szCs w:val="20"/>
                <w:color w:val="auto"/>
              </w:rPr>
            </w:pPr>
            <w:r>
              <w:rPr>
                <w:rFonts w:ascii="Arial" w:cs="Arial" w:eastAsia="Arial" w:hAnsi="Arial"/>
                <w:sz w:val="14"/>
                <w:szCs w:val="14"/>
                <w:color w:val="auto"/>
              </w:rPr>
              <w:t>Level of Performance Achieved</w:t>
            </w:r>
          </w:p>
        </w:tc>
        <w:tc>
          <w:tcPr>
            <w:tcW w:w="3400" w:type="dxa"/>
            <w:vAlign w:val="bottom"/>
          </w:tcPr>
          <w:p>
            <w:pPr>
              <w:jc w:val="right"/>
              <w:ind w:right="44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50% of Performance Modifier)</w:t>
            </w:r>
          </w:p>
        </w:tc>
        <w:tc>
          <w:tcPr>
            <w:tcW w:w="2920" w:type="dxa"/>
            <w:vAlign w:val="bottom"/>
          </w:tcPr>
          <w:p>
            <w:pPr>
              <w:jc w:val="right"/>
              <w:ind w:right="50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50% of Performance Modifier</w:t>
            </w:r>
            <w:r>
              <w:rPr>
                <w:rFonts w:ascii="Arial" w:cs="Arial" w:eastAsia="Arial" w:hAnsi="Arial"/>
                <w:sz w:val="14"/>
                <w:szCs w:val="14"/>
                <w:color w:val="auto"/>
              </w:rPr>
              <w:t>)</w:t>
            </w:r>
          </w:p>
        </w:tc>
        <w:tc>
          <w:tcPr>
            <w:tcW w:w="1960" w:type="dxa"/>
            <w:vAlign w:val="bottom"/>
          </w:tcPr>
          <w:p>
            <w:pPr>
              <w:jc w:val="right"/>
              <w:ind w:right="103"/>
              <w:spacing w:after="0"/>
              <w:rPr>
                <w:sz w:val="20"/>
                <w:szCs w:val="20"/>
                <w:color w:val="auto"/>
              </w:rPr>
            </w:pPr>
            <w:r>
              <w:rPr>
                <w:rFonts w:ascii="Arial" w:cs="Arial" w:eastAsia="Arial" w:hAnsi="Arial"/>
                <w:sz w:val="14"/>
                <w:szCs w:val="14"/>
                <w:color w:val="auto"/>
              </w:rPr>
              <w:t>PRSUs Earned</w:t>
            </w:r>
            <w:r>
              <w:rPr>
                <w:rFonts w:ascii="Arial" w:cs="Arial" w:eastAsia="Arial" w:hAnsi="Arial"/>
                <w:sz w:val="12"/>
                <w:szCs w:val="12"/>
                <w:color w:val="auto"/>
              </w:rPr>
              <w:t>(1)</w:t>
            </w:r>
          </w:p>
        </w:tc>
      </w:tr>
      <w:tr>
        <w:trPr>
          <w:trHeight w:val="53"/>
        </w:trPr>
        <w:tc>
          <w:tcPr>
            <w:tcW w:w="274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84"/>
        </w:trPr>
        <w:tc>
          <w:tcPr>
            <w:tcW w:w="27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Threshold</w:t>
            </w:r>
          </w:p>
        </w:tc>
        <w:tc>
          <w:tcPr>
            <w:tcW w:w="3400" w:type="dxa"/>
            <w:vAlign w:val="bottom"/>
            <w:tcBorders>
              <w:bottom w:val="single" w:sz="8" w:color="CCEEF7"/>
            </w:tcBorders>
            <w:shd w:val="clear" w:color="auto" w:fill="CCEEF7"/>
          </w:tcPr>
          <w:p>
            <w:pPr>
              <w:jc w:val="right"/>
              <w:ind w:right="443"/>
              <w:spacing w:after="0"/>
              <w:rPr>
                <w:sz w:val="20"/>
                <w:szCs w:val="20"/>
                <w:color w:val="auto"/>
              </w:rPr>
            </w:pPr>
            <w:r>
              <w:rPr>
                <w:rFonts w:ascii="Arial" w:cs="Arial" w:eastAsia="Arial" w:hAnsi="Arial"/>
                <w:sz w:val="16"/>
                <w:szCs w:val="16"/>
                <w:color w:val="auto"/>
              </w:rPr>
              <w:t>5%</w:t>
            </w:r>
          </w:p>
        </w:tc>
        <w:tc>
          <w:tcPr>
            <w:tcW w:w="2920" w:type="dxa"/>
            <w:vAlign w:val="bottom"/>
            <w:tcBorders>
              <w:bottom w:val="single" w:sz="8" w:color="CCEEF7"/>
            </w:tcBorders>
            <w:shd w:val="clear" w:color="auto" w:fill="CCEEF7"/>
          </w:tcPr>
          <w:p>
            <w:pPr>
              <w:jc w:val="right"/>
              <w:ind w:right="503"/>
              <w:spacing w:after="0"/>
              <w:rPr>
                <w:sz w:val="20"/>
                <w:szCs w:val="20"/>
                <w:color w:val="auto"/>
              </w:rPr>
            </w:pPr>
            <w:r>
              <w:rPr>
                <w:rFonts w:ascii="Arial" w:cs="Arial" w:eastAsia="Arial" w:hAnsi="Arial"/>
                <w:sz w:val="16"/>
                <w:szCs w:val="16"/>
                <w:color w:val="auto"/>
              </w:rPr>
              <w:t>46.1%</w:t>
            </w:r>
          </w:p>
        </w:tc>
        <w:tc>
          <w:tcPr>
            <w:tcW w:w="1960" w:type="dxa"/>
            <w:vAlign w:val="bottom"/>
            <w:tcBorders>
              <w:bottom w:val="single" w:sz="8" w:color="CCEEF7"/>
            </w:tcBorders>
            <w:shd w:val="clear" w:color="auto" w:fill="CCEEF7"/>
          </w:tcPr>
          <w:p>
            <w:pPr>
              <w:jc w:val="right"/>
              <w:ind w:right="103"/>
              <w:spacing w:after="0"/>
              <w:rPr>
                <w:sz w:val="20"/>
                <w:szCs w:val="20"/>
                <w:color w:val="auto"/>
              </w:rPr>
            </w:pPr>
            <w:r>
              <w:rPr>
                <w:rFonts w:ascii="Arial" w:cs="Arial" w:eastAsia="Arial" w:hAnsi="Arial"/>
                <w:sz w:val="16"/>
                <w:szCs w:val="16"/>
                <w:color w:val="auto"/>
              </w:rPr>
              <w:t>0%</w:t>
            </w:r>
          </w:p>
        </w:tc>
      </w:tr>
      <w:tr>
        <w:trPr>
          <w:trHeight w:val="264"/>
        </w:trPr>
        <w:tc>
          <w:tcPr>
            <w:tcW w:w="2740" w:type="dxa"/>
            <w:vAlign w:val="bottom"/>
          </w:tcPr>
          <w:p>
            <w:pPr>
              <w:ind w:left="60"/>
              <w:spacing w:after="0"/>
              <w:rPr>
                <w:sz w:val="20"/>
                <w:szCs w:val="20"/>
                <w:color w:val="auto"/>
              </w:rPr>
            </w:pPr>
            <w:r>
              <w:rPr>
                <w:rFonts w:ascii="Arial" w:cs="Arial" w:eastAsia="Arial" w:hAnsi="Arial"/>
                <w:sz w:val="16"/>
                <w:szCs w:val="16"/>
                <w:b w:val="1"/>
                <w:bCs w:val="1"/>
                <w:color w:val="auto"/>
              </w:rPr>
              <w:t>Target</w:t>
            </w:r>
          </w:p>
        </w:tc>
        <w:tc>
          <w:tcPr>
            <w:tcW w:w="3400" w:type="dxa"/>
            <w:vAlign w:val="bottom"/>
          </w:tcPr>
          <w:p>
            <w:pPr>
              <w:jc w:val="right"/>
              <w:ind w:right="443"/>
              <w:spacing w:after="0"/>
              <w:rPr>
                <w:sz w:val="20"/>
                <w:szCs w:val="20"/>
                <w:color w:val="auto"/>
              </w:rPr>
            </w:pPr>
            <w:r>
              <w:rPr>
                <w:rFonts w:ascii="Arial" w:cs="Arial" w:eastAsia="Arial" w:hAnsi="Arial"/>
                <w:sz w:val="16"/>
                <w:szCs w:val="16"/>
                <w:color w:val="auto"/>
              </w:rPr>
              <w:t>10.1%</w:t>
            </w:r>
          </w:p>
        </w:tc>
        <w:tc>
          <w:tcPr>
            <w:tcW w:w="2920" w:type="dxa"/>
            <w:vAlign w:val="bottom"/>
          </w:tcPr>
          <w:p>
            <w:pPr>
              <w:jc w:val="right"/>
              <w:ind w:right="503"/>
              <w:spacing w:after="0"/>
              <w:rPr>
                <w:sz w:val="20"/>
                <w:szCs w:val="20"/>
                <w:color w:val="auto"/>
              </w:rPr>
            </w:pPr>
            <w:r>
              <w:rPr>
                <w:rFonts w:ascii="Arial" w:cs="Arial" w:eastAsia="Arial" w:hAnsi="Arial"/>
                <w:sz w:val="16"/>
                <w:szCs w:val="16"/>
                <w:color w:val="auto"/>
              </w:rPr>
              <w:t>49.6%</w:t>
            </w:r>
          </w:p>
        </w:tc>
        <w:tc>
          <w:tcPr>
            <w:tcW w:w="1960" w:type="dxa"/>
            <w:vAlign w:val="bottom"/>
          </w:tcPr>
          <w:p>
            <w:pPr>
              <w:jc w:val="right"/>
              <w:ind w:right="103"/>
              <w:spacing w:after="0"/>
              <w:rPr>
                <w:sz w:val="20"/>
                <w:szCs w:val="20"/>
                <w:color w:val="auto"/>
              </w:rPr>
            </w:pPr>
            <w:r>
              <w:rPr>
                <w:rFonts w:ascii="Arial" w:cs="Arial" w:eastAsia="Arial" w:hAnsi="Arial"/>
                <w:sz w:val="16"/>
                <w:szCs w:val="16"/>
                <w:color w:val="auto"/>
              </w:rPr>
              <w:t>100%</w:t>
            </w:r>
          </w:p>
        </w:tc>
      </w:tr>
      <w:tr>
        <w:trPr>
          <w:trHeight w:val="60"/>
        </w:trPr>
        <w:tc>
          <w:tcPr>
            <w:tcW w:w="27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304"/>
        </w:trPr>
        <w:tc>
          <w:tcPr>
            <w:tcW w:w="27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Maximum</w:t>
            </w:r>
          </w:p>
        </w:tc>
        <w:tc>
          <w:tcPr>
            <w:tcW w:w="3400" w:type="dxa"/>
            <w:vAlign w:val="bottom"/>
            <w:tcBorders>
              <w:bottom w:val="single" w:sz="8" w:color="CCEEF7"/>
            </w:tcBorders>
            <w:shd w:val="clear" w:color="auto" w:fill="CCEEF7"/>
          </w:tcPr>
          <w:p>
            <w:pPr>
              <w:jc w:val="right"/>
              <w:ind w:right="443"/>
              <w:spacing w:after="0"/>
              <w:rPr>
                <w:sz w:val="20"/>
                <w:szCs w:val="20"/>
                <w:color w:val="auto"/>
              </w:rPr>
            </w:pPr>
            <w:r>
              <w:rPr>
                <w:rFonts w:ascii="Arial" w:cs="Arial" w:eastAsia="Arial" w:hAnsi="Arial"/>
                <w:sz w:val="16"/>
                <w:szCs w:val="16"/>
                <w:color w:val="auto"/>
              </w:rPr>
              <w:t>13.1%</w:t>
            </w:r>
          </w:p>
        </w:tc>
        <w:tc>
          <w:tcPr>
            <w:tcW w:w="2920" w:type="dxa"/>
            <w:vAlign w:val="bottom"/>
            <w:tcBorders>
              <w:bottom w:val="single" w:sz="8" w:color="CCEEF7"/>
            </w:tcBorders>
            <w:shd w:val="clear" w:color="auto" w:fill="CCEEF7"/>
          </w:tcPr>
          <w:p>
            <w:pPr>
              <w:jc w:val="right"/>
              <w:ind w:right="503"/>
              <w:spacing w:after="0"/>
              <w:rPr>
                <w:sz w:val="20"/>
                <w:szCs w:val="20"/>
                <w:color w:val="auto"/>
              </w:rPr>
            </w:pPr>
            <w:r>
              <w:rPr>
                <w:rFonts w:ascii="Arial" w:cs="Arial" w:eastAsia="Arial" w:hAnsi="Arial"/>
                <w:sz w:val="16"/>
                <w:szCs w:val="16"/>
                <w:color w:val="auto"/>
              </w:rPr>
              <w:t>50.6%</w:t>
            </w:r>
          </w:p>
        </w:tc>
        <w:tc>
          <w:tcPr>
            <w:tcW w:w="1960" w:type="dxa"/>
            <w:vAlign w:val="bottom"/>
            <w:tcBorders>
              <w:bottom w:val="single" w:sz="8" w:color="CCEEF7"/>
            </w:tcBorders>
            <w:shd w:val="clear" w:color="auto" w:fill="CCEEF7"/>
          </w:tcPr>
          <w:p>
            <w:pPr>
              <w:jc w:val="right"/>
              <w:ind w:right="103"/>
              <w:spacing w:after="0"/>
              <w:rPr>
                <w:sz w:val="20"/>
                <w:szCs w:val="20"/>
                <w:color w:val="auto"/>
              </w:rPr>
            </w:pPr>
            <w:r>
              <w:rPr>
                <w:rFonts w:ascii="Arial" w:cs="Arial" w:eastAsia="Arial" w:hAnsi="Arial"/>
                <w:sz w:val="16"/>
                <w:szCs w:val="16"/>
                <w:color w:val="auto"/>
              </w:rPr>
              <w:t>200%</w:t>
            </w:r>
          </w:p>
        </w:tc>
      </w:tr>
      <w:tr>
        <w:trPr>
          <w:trHeight w:val="27"/>
        </w:trPr>
        <w:tc>
          <w:tcPr>
            <w:tcW w:w="2740" w:type="dxa"/>
            <w:vAlign w:val="bottom"/>
            <w:shd w:val="clear" w:color="auto" w:fill="000000"/>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ind w:left="540" w:right="40" w:hanging="424"/>
        <w:spacing w:after="0" w:line="258"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actual performance achieved between goals, percentage of target PRSUs earned is calculated on a straight-line interpolation basis between threshold, target, and maximum performance, as applicable.</w:t>
      </w:r>
    </w:p>
    <w:p>
      <w:pPr>
        <w:spacing w:after="0" w:line="172"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38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205740</wp:posOffset>
            </wp:positionV>
            <wp:extent cx="10718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500" w:firstLine="440"/>
        <w:spacing w:after="0" w:line="258" w:lineRule="auto"/>
        <w:rPr>
          <w:sz w:val="20"/>
          <w:szCs w:val="20"/>
          <w:color w:val="auto"/>
        </w:rPr>
      </w:pPr>
      <w:r>
        <w:rPr>
          <w:rFonts w:ascii="Arial" w:cs="Arial" w:eastAsia="Arial" w:hAnsi="Arial"/>
          <w:sz w:val="18"/>
          <w:szCs w:val="18"/>
          <w:color w:val="auto"/>
        </w:rPr>
        <w:t>Based on 2021 performance, as confirmed by the Compensation Committee, the Company achieved revenue growth of 19.3% and EBITDA margin of 50.9%, resulting in the maximum Performance Modifier of 200% for the 2021 PRSUs.</w:t>
      </w:r>
    </w:p>
    <w:p>
      <w:pPr>
        <w:spacing w:after="0" w:line="1"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color w:val="auto"/>
        </w:rPr>
        <w:t>PRSUs granted to the NEOs are settled exclusively in Shares, less any withholding and employment taxes associated with the settlement of the PRSUs. In addition, the PRSUs accumulate dividend equivalent rights in respect of any dividends 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are added to, and are paid at the same time and in the same form as, payments in respect of the related PRSUs as set forth above.</w:t>
      </w:r>
    </w:p>
    <w:p>
      <w:pPr>
        <w:spacing w:after="0" w:line="2" w:lineRule="exact"/>
        <w:rPr>
          <w:sz w:val="20"/>
          <w:szCs w:val="20"/>
          <w:color w:val="auto"/>
        </w:rPr>
      </w:pPr>
    </w:p>
    <w:p>
      <w:pPr>
        <w:ind w:left="120" w:right="140" w:firstLine="440"/>
        <w:spacing w:after="0" w:line="250" w:lineRule="auto"/>
        <w:rPr>
          <w:sz w:val="20"/>
          <w:szCs w:val="20"/>
          <w:color w:val="auto"/>
        </w:rPr>
      </w:pPr>
      <w:r>
        <w:rPr>
          <w:rFonts w:ascii="Arial" w:cs="Arial" w:eastAsia="Arial" w:hAnsi="Arial"/>
          <w:sz w:val="18"/>
          <w:szCs w:val="18"/>
          <w:color w:val="auto"/>
        </w:rPr>
        <w:t>The RSUs vest annually over three years (1/3 per year) from the date of grant contingent on the executive’s continued employment on the applicable vesting date. The RSUs also settle in Shares on the first trading date following the date of vesting and accumulate dividend equivalent rights from the date of grant.</w:t>
      </w:r>
    </w:p>
    <w:p>
      <w:pPr>
        <w:spacing w:after="0" w:line="1" w:lineRule="exact"/>
        <w:rPr>
          <w:sz w:val="20"/>
          <w:szCs w:val="20"/>
          <w:color w:val="auto"/>
        </w:rPr>
      </w:pPr>
    </w:p>
    <w:p>
      <w:pPr>
        <w:jc w:val="both"/>
        <w:ind w:left="120" w:right="460" w:firstLine="440"/>
        <w:spacing w:after="0" w:line="255" w:lineRule="auto"/>
        <w:rPr>
          <w:sz w:val="20"/>
          <w:szCs w:val="20"/>
          <w:color w:val="auto"/>
        </w:rPr>
      </w:pPr>
      <w:r>
        <w:rPr>
          <w:rFonts w:ascii="Arial" w:cs="Arial" w:eastAsia="Arial" w:hAnsi="Arial"/>
          <w:sz w:val="18"/>
          <w:szCs w:val="18"/>
          <w:color w:val="auto"/>
        </w:rPr>
        <w:t>The table below sets forth the PRSUs and RSUs granted to the NEOs in 2021. Executives were awarded a grant value by the Compensation Committee, as described above, which was based on the closing price on the date prior to the date of grant. The PRSUs listed below are based on a 100% Performance Modifier, which was the target achievement at the time of grant.</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2"/>
          </w:tcPr>
          <w:p>
            <w:pPr>
              <w:jc w:val="right"/>
              <w:ind w:right="81"/>
              <w:spacing w:after="0"/>
              <w:rPr>
                <w:sz w:val="20"/>
                <w:szCs w:val="20"/>
                <w:color w:val="auto"/>
              </w:rPr>
            </w:pPr>
            <w:r>
              <w:rPr>
                <w:rFonts w:ascii="Arial" w:cs="Arial" w:eastAsia="Arial" w:hAnsi="Arial"/>
                <w:sz w:val="14"/>
                <w:szCs w:val="14"/>
                <w:color w:val="auto"/>
              </w:rPr>
              <w:t>Aggregate Value of</w:t>
            </w:r>
          </w:p>
        </w:tc>
      </w:tr>
      <w:tr>
        <w:trPr>
          <w:trHeight w:val="154"/>
        </w:trPr>
        <w:tc>
          <w:tcPr>
            <w:tcW w:w="5000" w:type="dxa"/>
            <w:vAlign w:val="bottom"/>
          </w:tcPr>
          <w:p>
            <w:pPr>
              <w:spacing w:after="0"/>
              <w:rPr>
                <w:sz w:val="13"/>
                <w:szCs w:val="13"/>
                <w:color w:val="auto"/>
              </w:rPr>
            </w:pPr>
          </w:p>
        </w:tc>
        <w:tc>
          <w:tcPr>
            <w:tcW w:w="940" w:type="dxa"/>
            <w:vAlign w:val="bottom"/>
          </w:tcPr>
          <w:p>
            <w:pPr>
              <w:jc w:val="right"/>
              <w:ind w:right="62"/>
              <w:spacing w:after="0" w:line="154" w:lineRule="exact"/>
              <w:rPr>
                <w:sz w:val="20"/>
                <w:szCs w:val="20"/>
                <w:color w:val="auto"/>
              </w:rPr>
            </w:pPr>
            <w:r>
              <w:rPr>
                <w:rFonts w:ascii="Arial" w:cs="Arial" w:eastAsia="Arial" w:hAnsi="Arial"/>
                <w:sz w:val="14"/>
                <w:szCs w:val="14"/>
                <w:color w:val="auto"/>
              </w:rPr>
              <w:t>2021</w:t>
            </w:r>
          </w:p>
        </w:tc>
        <w:tc>
          <w:tcPr>
            <w:tcW w:w="1400" w:type="dxa"/>
            <w:vAlign w:val="bottom"/>
            <w:gridSpan w:val="2"/>
          </w:tcPr>
          <w:p>
            <w:pPr>
              <w:jc w:val="right"/>
              <w:ind w:right="99"/>
              <w:spacing w:after="0" w:line="154" w:lineRule="exact"/>
              <w:rPr>
                <w:sz w:val="20"/>
                <w:szCs w:val="20"/>
                <w:color w:val="auto"/>
              </w:rPr>
            </w:pPr>
            <w:r>
              <w:rPr>
                <w:rFonts w:ascii="Arial" w:cs="Arial" w:eastAsia="Arial" w:hAnsi="Arial"/>
                <w:sz w:val="14"/>
                <w:szCs w:val="14"/>
                <w:color w:val="auto"/>
              </w:rPr>
              <w:t>Value of PRSUs at</w:t>
            </w:r>
          </w:p>
        </w:tc>
        <w:tc>
          <w:tcPr>
            <w:tcW w:w="800" w:type="dxa"/>
            <w:vAlign w:val="bottom"/>
          </w:tcPr>
          <w:p>
            <w:pPr>
              <w:jc w:val="right"/>
              <w:ind w:right="62"/>
              <w:spacing w:after="0" w:line="154" w:lineRule="exact"/>
              <w:rPr>
                <w:sz w:val="20"/>
                <w:szCs w:val="20"/>
                <w:color w:val="auto"/>
              </w:rPr>
            </w:pPr>
            <w:r>
              <w:rPr>
                <w:rFonts w:ascii="Arial" w:cs="Arial" w:eastAsia="Arial" w:hAnsi="Arial"/>
                <w:sz w:val="14"/>
                <w:szCs w:val="14"/>
                <w:color w:val="auto"/>
              </w:rPr>
              <w:t>2021</w:t>
            </w:r>
          </w:p>
        </w:tc>
        <w:tc>
          <w:tcPr>
            <w:tcW w:w="1240" w:type="dxa"/>
            <w:vAlign w:val="bottom"/>
            <w:gridSpan w:val="2"/>
          </w:tcPr>
          <w:p>
            <w:pPr>
              <w:jc w:val="right"/>
              <w:ind w:right="19"/>
              <w:spacing w:after="0" w:line="154" w:lineRule="exact"/>
              <w:rPr>
                <w:sz w:val="20"/>
                <w:szCs w:val="20"/>
                <w:color w:val="auto"/>
              </w:rPr>
            </w:pPr>
            <w:r>
              <w:rPr>
                <w:rFonts w:ascii="Arial" w:cs="Arial" w:eastAsia="Arial" w:hAnsi="Arial"/>
                <w:sz w:val="14"/>
                <w:szCs w:val="14"/>
                <w:color w:val="auto"/>
              </w:rPr>
              <w:t>Value of RSUs at</w:t>
            </w:r>
          </w:p>
        </w:tc>
        <w:tc>
          <w:tcPr>
            <w:tcW w:w="1640" w:type="dxa"/>
            <w:vAlign w:val="bottom"/>
            <w:gridSpan w:val="2"/>
          </w:tcPr>
          <w:p>
            <w:pPr>
              <w:jc w:val="right"/>
              <w:ind w:right="81"/>
              <w:spacing w:after="0" w:line="154" w:lineRule="exact"/>
              <w:rPr>
                <w:sz w:val="20"/>
                <w:szCs w:val="20"/>
                <w:color w:val="auto"/>
              </w:rPr>
            </w:pPr>
            <w:r>
              <w:rPr>
                <w:rFonts w:ascii="Arial" w:cs="Arial" w:eastAsia="Arial" w:hAnsi="Arial"/>
                <w:sz w:val="14"/>
                <w:szCs w:val="14"/>
                <w:color w:val="auto"/>
                <w:w w:val="97"/>
              </w:rPr>
              <w:t>PRSUs &amp; RSUs at Time</w:t>
            </w:r>
          </w:p>
        </w:tc>
      </w:tr>
      <w:tr>
        <w:trPr>
          <w:trHeight w:val="191"/>
        </w:trPr>
        <w:tc>
          <w:tcPr>
            <w:tcW w:w="5000" w:type="dxa"/>
            <w:vAlign w:val="bottom"/>
          </w:tcPr>
          <w:p>
            <w:pPr>
              <w:ind w:left="60"/>
              <w:spacing w:after="0"/>
              <w:rPr>
                <w:sz w:val="20"/>
                <w:szCs w:val="20"/>
                <w:color w:val="auto"/>
              </w:rPr>
            </w:pPr>
            <w:r>
              <w:rPr>
                <w:rFonts w:ascii="Arial" w:cs="Arial" w:eastAsia="Arial" w:hAnsi="Arial"/>
                <w:sz w:val="14"/>
                <w:szCs w:val="14"/>
                <w:color w:val="auto"/>
              </w:rPr>
              <w:t>Executive</w:t>
            </w:r>
          </w:p>
        </w:tc>
        <w:tc>
          <w:tcPr>
            <w:tcW w:w="940" w:type="dxa"/>
            <w:vAlign w:val="bottom"/>
          </w:tcPr>
          <w:p>
            <w:pPr>
              <w:jc w:val="right"/>
              <w:ind w:right="62"/>
              <w:spacing w:after="0"/>
              <w:rPr>
                <w:sz w:val="20"/>
                <w:szCs w:val="20"/>
                <w:color w:val="auto"/>
              </w:rPr>
            </w:pPr>
            <w:r>
              <w:rPr>
                <w:rFonts w:ascii="Arial" w:cs="Arial" w:eastAsia="Arial" w:hAnsi="Arial"/>
                <w:sz w:val="14"/>
                <w:szCs w:val="14"/>
                <w:color w:val="auto"/>
              </w:rPr>
              <w:t>PRSUs</w:t>
            </w:r>
            <w:r>
              <w:rPr>
                <w:rFonts w:ascii="Arial" w:cs="Arial" w:eastAsia="Arial" w:hAnsi="Arial"/>
                <w:sz w:val="12"/>
                <w:szCs w:val="12"/>
                <w:color w:val="auto"/>
              </w:rPr>
              <w:t>(1)</w:t>
            </w:r>
          </w:p>
        </w:tc>
        <w:tc>
          <w:tcPr>
            <w:tcW w:w="1400" w:type="dxa"/>
            <w:vAlign w:val="bottom"/>
            <w:gridSpan w:val="2"/>
          </w:tcPr>
          <w:p>
            <w:pPr>
              <w:jc w:val="right"/>
              <w:ind w:right="99"/>
              <w:spacing w:after="0"/>
              <w:rPr>
                <w:sz w:val="20"/>
                <w:szCs w:val="20"/>
                <w:color w:val="auto"/>
              </w:rPr>
            </w:pPr>
            <w:r>
              <w:rPr>
                <w:rFonts w:ascii="Arial" w:cs="Arial" w:eastAsia="Arial" w:hAnsi="Arial"/>
                <w:sz w:val="14"/>
                <w:szCs w:val="14"/>
                <w:color w:val="auto"/>
              </w:rPr>
              <w:t>Time of Grant</w:t>
            </w:r>
            <w:r>
              <w:rPr>
                <w:rFonts w:ascii="Arial" w:cs="Arial" w:eastAsia="Arial" w:hAnsi="Arial"/>
                <w:sz w:val="12"/>
                <w:szCs w:val="12"/>
                <w:color w:val="auto"/>
              </w:rPr>
              <w:t>(2)</w:t>
            </w:r>
          </w:p>
        </w:tc>
        <w:tc>
          <w:tcPr>
            <w:tcW w:w="800" w:type="dxa"/>
            <w:vAlign w:val="bottom"/>
          </w:tcPr>
          <w:p>
            <w:pPr>
              <w:jc w:val="right"/>
              <w:ind w:right="62"/>
              <w:spacing w:after="0"/>
              <w:rPr>
                <w:sz w:val="20"/>
                <w:szCs w:val="20"/>
                <w:color w:val="auto"/>
              </w:rPr>
            </w:pPr>
            <w:r>
              <w:rPr>
                <w:rFonts w:ascii="Arial" w:cs="Arial" w:eastAsia="Arial" w:hAnsi="Arial"/>
                <w:sz w:val="14"/>
                <w:szCs w:val="14"/>
                <w:color w:val="auto"/>
              </w:rPr>
              <w:t>RSUs</w:t>
            </w:r>
            <w:r>
              <w:rPr>
                <w:rFonts w:ascii="Arial" w:cs="Arial" w:eastAsia="Arial" w:hAnsi="Arial"/>
                <w:sz w:val="12"/>
                <w:szCs w:val="12"/>
                <w:color w:val="auto"/>
              </w:rPr>
              <w:t>(1)</w:t>
            </w:r>
          </w:p>
        </w:tc>
        <w:tc>
          <w:tcPr>
            <w:tcW w:w="1240" w:type="dxa"/>
            <w:vAlign w:val="bottom"/>
            <w:gridSpan w:val="2"/>
          </w:tcPr>
          <w:p>
            <w:pPr>
              <w:jc w:val="right"/>
              <w:ind w:right="19"/>
              <w:spacing w:after="0"/>
              <w:rPr>
                <w:sz w:val="20"/>
                <w:szCs w:val="20"/>
                <w:color w:val="auto"/>
              </w:rPr>
            </w:pPr>
            <w:r>
              <w:rPr>
                <w:rFonts w:ascii="Arial" w:cs="Arial" w:eastAsia="Arial" w:hAnsi="Arial"/>
                <w:sz w:val="14"/>
                <w:szCs w:val="14"/>
                <w:color w:val="auto"/>
              </w:rPr>
              <w:t>Time of Grant</w:t>
            </w:r>
            <w:r>
              <w:rPr>
                <w:rFonts w:ascii="Arial" w:cs="Arial" w:eastAsia="Arial" w:hAnsi="Arial"/>
                <w:sz w:val="12"/>
                <w:szCs w:val="12"/>
                <w:color w:val="auto"/>
              </w:rPr>
              <w:t>(2)</w:t>
            </w:r>
          </w:p>
        </w:tc>
        <w:tc>
          <w:tcPr>
            <w:tcW w:w="76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Arial" w:cs="Arial" w:eastAsia="Arial" w:hAnsi="Arial"/>
                <w:sz w:val="14"/>
                <w:szCs w:val="14"/>
                <w:color w:val="auto"/>
              </w:rPr>
              <w:t>of Grant</w:t>
            </w:r>
            <w:r>
              <w:rPr>
                <w:rFonts w:ascii="Arial" w:cs="Arial" w:eastAsia="Arial" w:hAnsi="Arial"/>
                <w:sz w:val="12"/>
                <w:szCs w:val="12"/>
                <w:color w:val="auto"/>
              </w:rPr>
              <w:t>(2)</w:t>
            </w:r>
          </w:p>
        </w:tc>
      </w:tr>
      <w:tr>
        <w:trPr>
          <w:trHeight w:val="53"/>
        </w:trPr>
        <w:tc>
          <w:tcPr>
            <w:tcW w:w="50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84"/>
        </w:trPr>
        <w:tc>
          <w:tcPr>
            <w:tcW w:w="50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940" w:type="dxa"/>
            <w:vAlign w:val="bottom"/>
            <w:tcBorders>
              <w:bottom w:val="single" w:sz="8" w:color="CCEEF7"/>
            </w:tcBorders>
            <w:shd w:val="clear" w:color="auto" w:fill="CCEEF7"/>
          </w:tcPr>
          <w:p>
            <w:pPr>
              <w:jc w:val="right"/>
              <w:ind w:right="62"/>
              <w:spacing w:after="0"/>
              <w:rPr>
                <w:sz w:val="20"/>
                <w:szCs w:val="20"/>
                <w:color w:val="auto"/>
              </w:rPr>
            </w:pPr>
            <w:r>
              <w:rPr>
                <w:rFonts w:ascii="Arial" w:cs="Arial" w:eastAsia="Arial" w:hAnsi="Arial"/>
                <w:sz w:val="16"/>
                <w:szCs w:val="16"/>
                <w:color w:val="auto"/>
              </w:rPr>
              <w:t>29,665</w:t>
            </w:r>
          </w:p>
        </w:tc>
        <w:tc>
          <w:tcPr>
            <w:tcW w:w="50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w w:val="98"/>
              </w:rPr>
              <w:t>2,200,000</w:t>
            </w:r>
          </w:p>
        </w:tc>
        <w:tc>
          <w:tcPr>
            <w:tcW w:w="800" w:type="dxa"/>
            <w:vAlign w:val="bottom"/>
            <w:tcBorders>
              <w:bottom w:val="single" w:sz="8" w:color="CCEEF7"/>
            </w:tcBorders>
            <w:shd w:val="clear" w:color="auto" w:fill="CCEEF7"/>
          </w:tcPr>
          <w:p>
            <w:pPr>
              <w:jc w:val="right"/>
              <w:ind w:right="62"/>
              <w:spacing w:after="0"/>
              <w:rPr>
                <w:sz w:val="20"/>
                <w:szCs w:val="20"/>
                <w:color w:val="auto"/>
              </w:rPr>
            </w:pPr>
            <w:r>
              <w:rPr>
                <w:rFonts w:ascii="Arial" w:cs="Arial" w:eastAsia="Arial" w:hAnsi="Arial"/>
                <w:sz w:val="16"/>
                <w:szCs w:val="16"/>
                <w:color w:val="auto"/>
              </w:rPr>
              <w:t>29,665</w:t>
            </w:r>
          </w:p>
        </w:tc>
        <w:tc>
          <w:tcPr>
            <w:tcW w:w="42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7"/>
            </w:tcBorders>
            <w:shd w:val="clear" w:color="auto" w:fill="CCEEF7"/>
          </w:tcPr>
          <w:p>
            <w:pPr>
              <w:jc w:val="right"/>
              <w:ind w:right="19"/>
              <w:spacing w:after="0"/>
              <w:rPr>
                <w:sz w:val="20"/>
                <w:szCs w:val="20"/>
                <w:color w:val="auto"/>
              </w:rPr>
            </w:pPr>
            <w:r>
              <w:rPr>
                <w:rFonts w:ascii="Arial" w:cs="Arial" w:eastAsia="Arial" w:hAnsi="Arial"/>
                <w:sz w:val="16"/>
                <w:szCs w:val="16"/>
                <w:color w:val="auto"/>
                <w:w w:val="98"/>
              </w:rPr>
              <w:t>2,200,000</w:t>
            </w:r>
          </w:p>
        </w:tc>
        <w:tc>
          <w:tcPr>
            <w:tcW w:w="76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7"/>
            </w:tcBorders>
            <w:shd w:val="clear" w:color="auto" w:fill="CCEEF7"/>
          </w:tcPr>
          <w:p>
            <w:pPr>
              <w:jc w:val="right"/>
              <w:ind w:right="81"/>
              <w:spacing w:after="0"/>
              <w:rPr>
                <w:sz w:val="20"/>
                <w:szCs w:val="20"/>
                <w:color w:val="auto"/>
              </w:rPr>
            </w:pPr>
            <w:r>
              <w:rPr>
                <w:rFonts w:ascii="Arial" w:cs="Arial" w:eastAsia="Arial" w:hAnsi="Arial"/>
                <w:sz w:val="16"/>
                <w:szCs w:val="16"/>
                <w:color w:val="auto"/>
                <w:w w:val="98"/>
              </w:rPr>
              <w:t>4,400,000</w:t>
            </w:r>
          </w:p>
        </w:tc>
      </w:tr>
      <w:tr>
        <w:trPr>
          <w:trHeight w:val="324"/>
        </w:trPr>
        <w:tc>
          <w:tcPr>
            <w:tcW w:w="5000" w:type="dxa"/>
            <w:vAlign w:val="bottom"/>
          </w:tcPr>
          <w:p>
            <w:pPr>
              <w:ind w:left="60"/>
              <w:spacing w:after="0"/>
              <w:rPr>
                <w:sz w:val="20"/>
                <w:szCs w:val="20"/>
                <w:color w:val="auto"/>
              </w:rPr>
            </w:pPr>
            <w:r>
              <w:rPr>
                <w:rFonts w:ascii="Arial" w:cs="Arial" w:eastAsia="Arial" w:hAnsi="Arial"/>
                <w:sz w:val="16"/>
                <w:szCs w:val="16"/>
                <w:color w:val="auto"/>
              </w:rPr>
              <w:t>Robert Warshaw</w:t>
            </w:r>
            <w:r>
              <w:rPr>
                <w:rFonts w:ascii="Arial" w:cs="Arial" w:eastAsia="Arial" w:hAnsi="Arial"/>
                <w:sz w:val="27"/>
                <w:szCs w:val="27"/>
                <w:color w:val="auto"/>
                <w:vertAlign w:val="superscript"/>
              </w:rPr>
              <w:t>(3)</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5,865</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435,000</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5,865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435,000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870,000</w:t>
            </w:r>
          </w:p>
        </w:tc>
      </w:tr>
      <w:tr>
        <w:trPr>
          <w:trHeight w:val="264"/>
        </w:trPr>
        <w:tc>
          <w:tcPr>
            <w:tcW w:w="5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Billy Hult</w:t>
            </w:r>
          </w:p>
        </w:tc>
        <w:tc>
          <w:tcPr>
            <w:tcW w:w="94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24,844</w:t>
            </w:r>
          </w:p>
        </w:tc>
        <w:tc>
          <w:tcPr>
            <w:tcW w:w="5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w w:val="98"/>
              </w:rPr>
              <w:t>1,842,500</w:t>
            </w:r>
          </w:p>
        </w:tc>
        <w:tc>
          <w:tcPr>
            <w:tcW w:w="80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24,844</w:t>
            </w:r>
          </w:p>
        </w:tc>
        <w:tc>
          <w:tcPr>
            <w:tcW w:w="4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w w:val="98"/>
              </w:rPr>
              <w:t>1,842,500</w:t>
            </w:r>
          </w:p>
        </w:tc>
        <w:tc>
          <w:tcPr>
            <w:tcW w:w="7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w w:val="98"/>
              </w:rPr>
              <w:t>3,685,000</w:t>
            </w:r>
          </w:p>
        </w:tc>
      </w:tr>
      <w:tr>
        <w:trPr>
          <w:trHeight w:val="60"/>
        </w:trPr>
        <w:tc>
          <w:tcPr>
            <w:tcW w:w="5000" w:type="dxa"/>
            <w:vAlign w:val="bottom"/>
            <w:shd w:val="clear" w:color="auto" w:fill="CCEEF7"/>
          </w:tcPr>
          <w:p>
            <w:pPr>
              <w:spacing w:after="0"/>
              <w:rPr>
                <w:sz w:val="5"/>
                <w:szCs w:val="5"/>
                <w:color w:val="auto"/>
              </w:rPr>
            </w:pPr>
          </w:p>
        </w:tc>
        <w:tc>
          <w:tcPr>
            <w:tcW w:w="940" w:type="dxa"/>
            <w:vAlign w:val="bottom"/>
            <w:shd w:val="clear" w:color="auto" w:fill="CCEEF7"/>
          </w:tcPr>
          <w:p>
            <w:pPr>
              <w:spacing w:after="0"/>
              <w:rPr>
                <w:sz w:val="5"/>
                <w:szCs w:val="5"/>
                <w:color w:val="auto"/>
              </w:rPr>
            </w:pPr>
          </w:p>
        </w:tc>
        <w:tc>
          <w:tcPr>
            <w:tcW w:w="500" w:type="dxa"/>
            <w:vAlign w:val="bottom"/>
            <w:shd w:val="clear" w:color="auto" w:fill="CCEEF7"/>
          </w:tcPr>
          <w:p>
            <w:pPr>
              <w:spacing w:after="0"/>
              <w:rPr>
                <w:sz w:val="5"/>
                <w:szCs w:val="5"/>
                <w:color w:val="auto"/>
              </w:rPr>
            </w:pPr>
          </w:p>
        </w:tc>
        <w:tc>
          <w:tcPr>
            <w:tcW w:w="900" w:type="dxa"/>
            <w:vAlign w:val="bottom"/>
            <w:shd w:val="clear" w:color="auto" w:fill="CCEEF7"/>
          </w:tcPr>
          <w:p>
            <w:pPr>
              <w:spacing w:after="0"/>
              <w:rPr>
                <w:sz w:val="5"/>
                <w:szCs w:val="5"/>
                <w:color w:val="auto"/>
              </w:rPr>
            </w:pPr>
          </w:p>
        </w:tc>
        <w:tc>
          <w:tcPr>
            <w:tcW w:w="800" w:type="dxa"/>
            <w:vAlign w:val="bottom"/>
            <w:shd w:val="clear" w:color="auto" w:fill="CCEEF7"/>
          </w:tcPr>
          <w:p>
            <w:pPr>
              <w:spacing w:after="0"/>
              <w:rPr>
                <w:sz w:val="5"/>
                <w:szCs w:val="5"/>
                <w:color w:val="auto"/>
              </w:rPr>
            </w:pPr>
          </w:p>
        </w:tc>
        <w:tc>
          <w:tcPr>
            <w:tcW w:w="420" w:type="dxa"/>
            <w:vAlign w:val="bottom"/>
            <w:shd w:val="clear" w:color="auto" w:fill="CCEEF7"/>
          </w:tcPr>
          <w:p>
            <w:pPr>
              <w:spacing w:after="0"/>
              <w:rPr>
                <w:sz w:val="5"/>
                <w:szCs w:val="5"/>
                <w:color w:val="auto"/>
              </w:rPr>
            </w:pPr>
          </w:p>
        </w:tc>
        <w:tc>
          <w:tcPr>
            <w:tcW w:w="820" w:type="dxa"/>
            <w:vAlign w:val="bottom"/>
            <w:shd w:val="clear" w:color="auto" w:fill="CCEEF7"/>
          </w:tcPr>
          <w:p>
            <w:pPr>
              <w:spacing w:after="0"/>
              <w:rPr>
                <w:sz w:val="5"/>
                <w:szCs w:val="5"/>
                <w:color w:val="auto"/>
              </w:rPr>
            </w:pPr>
          </w:p>
        </w:tc>
        <w:tc>
          <w:tcPr>
            <w:tcW w:w="760" w:type="dxa"/>
            <w:vAlign w:val="bottom"/>
            <w:shd w:val="clear" w:color="auto" w:fill="CCEEF7"/>
          </w:tcPr>
          <w:p>
            <w:pPr>
              <w:spacing w:after="0"/>
              <w:rPr>
                <w:sz w:val="5"/>
                <w:szCs w:val="5"/>
                <w:color w:val="auto"/>
              </w:rPr>
            </w:pPr>
          </w:p>
        </w:tc>
        <w:tc>
          <w:tcPr>
            <w:tcW w:w="880" w:type="dxa"/>
            <w:vAlign w:val="bottom"/>
            <w:shd w:val="clear" w:color="auto" w:fill="CCEEF7"/>
          </w:tcPr>
          <w:p>
            <w:pPr>
              <w:spacing w:after="0"/>
              <w:rPr>
                <w:sz w:val="5"/>
                <w:szCs w:val="5"/>
                <w:color w:val="auto"/>
              </w:rPr>
            </w:pPr>
          </w:p>
        </w:tc>
      </w:tr>
      <w:tr>
        <w:trPr>
          <w:trHeight w:val="264"/>
        </w:trPr>
        <w:tc>
          <w:tcPr>
            <w:tcW w:w="5000" w:type="dxa"/>
            <w:vAlign w:val="bottom"/>
          </w:tcPr>
          <w:p>
            <w:pPr>
              <w:ind w:left="60"/>
              <w:spacing w:after="0"/>
              <w:rPr>
                <w:sz w:val="20"/>
                <w:szCs w:val="20"/>
                <w:color w:val="auto"/>
              </w:rPr>
            </w:pPr>
            <w:r>
              <w:rPr>
                <w:rFonts w:ascii="Arial" w:cs="Arial" w:eastAsia="Arial" w:hAnsi="Arial"/>
                <w:sz w:val="16"/>
                <w:szCs w:val="16"/>
                <w:color w:val="auto"/>
              </w:rPr>
              <w:t>Enrico Bruni</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9,439</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700,000</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9,439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700,000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w w:val="98"/>
              </w:rPr>
              <w:t>1,400,000</w:t>
            </w:r>
          </w:p>
        </w:tc>
      </w:tr>
      <w:tr>
        <w:trPr>
          <w:trHeight w:val="60"/>
        </w:trPr>
        <w:tc>
          <w:tcPr>
            <w:tcW w:w="5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64"/>
        </w:trPr>
        <w:tc>
          <w:tcPr>
            <w:tcW w:w="5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Justin Peterson</w:t>
            </w:r>
          </w:p>
        </w:tc>
        <w:tc>
          <w:tcPr>
            <w:tcW w:w="94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7,416</w:t>
            </w:r>
          </w:p>
        </w:tc>
        <w:tc>
          <w:tcPr>
            <w:tcW w:w="5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550,000</w:t>
            </w:r>
          </w:p>
        </w:tc>
        <w:tc>
          <w:tcPr>
            <w:tcW w:w="800" w:type="dxa"/>
            <w:vAlign w:val="bottom"/>
            <w:shd w:val="clear" w:color="auto" w:fill="CCEEF7"/>
          </w:tcPr>
          <w:p>
            <w:pPr>
              <w:jc w:val="right"/>
              <w:ind w:right="62"/>
              <w:spacing w:after="0"/>
              <w:rPr>
                <w:sz w:val="20"/>
                <w:szCs w:val="20"/>
                <w:color w:val="auto"/>
              </w:rPr>
            </w:pPr>
            <w:r>
              <w:rPr>
                <w:rFonts w:ascii="Arial" w:cs="Arial" w:eastAsia="Arial" w:hAnsi="Arial"/>
                <w:sz w:val="16"/>
                <w:szCs w:val="16"/>
                <w:color w:val="auto"/>
              </w:rPr>
              <w:t>10,113</w:t>
            </w:r>
          </w:p>
        </w:tc>
        <w:tc>
          <w:tcPr>
            <w:tcW w:w="4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7"/>
          </w:tcPr>
          <w:p>
            <w:pPr>
              <w:jc w:val="right"/>
              <w:ind w:right="19"/>
              <w:spacing w:after="0"/>
              <w:rPr>
                <w:sz w:val="20"/>
                <w:szCs w:val="20"/>
                <w:color w:val="auto"/>
              </w:rPr>
            </w:pPr>
            <w:r>
              <w:rPr>
                <w:rFonts w:ascii="Arial" w:cs="Arial" w:eastAsia="Arial" w:hAnsi="Arial"/>
                <w:sz w:val="16"/>
                <w:szCs w:val="16"/>
                <w:color w:val="auto"/>
              </w:rPr>
              <w:t>750,000</w:t>
            </w:r>
          </w:p>
        </w:tc>
        <w:tc>
          <w:tcPr>
            <w:tcW w:w="7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w w:val="98"/>
              </w:rPr>
              <w:t>1,300,000</w:t>
            </w:r>
          </w:p>
        </w:tc>
      </w:tr>
      <w:tr>
        <w:trPr>
          <w:trHeight w:val="67"/>
        </w:trPr>
        <w:tc>
          <w:tcPr>
            <w:tcW w:w="5000" w:type="dxa"/>
            <w:vAlign w:val="bottom"/>
            <w:tcBorders>
              <w:bottom w:val="single" w:sz="8" w:color="auto"/>
            </w:tcBorders>
            <w:shd w:val="clear" w:color="auto" w:fill="CCEEF7"/>
          </w:tcPr>
          <w:p>
            <w:pPr>
              <w:spacing w:after="0"/>
              <w:rPr>
                <w:sz w:val="5"/>
                <w:szCs w:val="5"/>
                <w:color w:val="auto"/>
              </w:rPr>
            </w:pPr>
          </w:p>
        </w:tc>
        <w:tc>
          <w:tcPr>
            <w:tcW w:w="940" w:type="dxa"/>
            <w:vAlign w:val="bottom"/>
            <w:tcBorders>
              <w:bottom w:val="single" w:sz="8" w:color="auto"/>
            </w:tcBorders>
            <w:shd w:val="clear" w:color="auto" w:fill="CCEEF7"/>
          </w:tcPr>
          <w:p>
            <w:pPr>
              <w:spacing w:after="0"/>
              <w:rPr>
                <w:sz w:val="5"/>
                <w:szCs w:val="5"/>
                <w:color w:val="auto"/>
              </w:rPr>
            </w:pPr>
          </w:p>
        </w:tc>
        <w:tc>
          <w:tcPr>
            <w:tcW w:w="500" w:type="dxa"/>
            <w:vAlign w:val="bottom"/>
            <w:tcBorders>
              <w:bottom w:val="single" w:sz="8" w:color="auto"/>
            </w:tcBorders>
            <w:shd w:val="clear" w:color="auto" w:fill="CCEEF7"/>
          </w:tcPr>
          <w:p>
            <w:pPr>
              <w:spacing w:after="0"/>
              <w:rPr>
                <w:sz w:val="5"/>
                <w:szCs w:val="5"/>
                <w:color w:val="auto"/>
              </w:rPr>
            </w:pPr>
          </w:p>
        </w:tc>
        <w:tc>
          <w:tcPr>
            <w:tcW w:w="900" w:type="dxa"/>
            <w:vAlign w:val="bottom"/>
            <w:tcBorders>
              <w:bottom w:val="single" w:sz="8" w:color="auto"/>
            </w:tcBorders>
            <w:shd w:val="clear" w:color="auto" w:fill="CCEEF7"/>
          </w:tcPr>
          <w:p>
            <w:pPr>
              <w:spacing w:after="0"/>
              <w:rPr>
                <w:sz w:val="5"/>
                <w:szCs w:val="5"/>
                <w:color w:val="auto"/>
              </w:rPr>
            </w:pPr>
          </w:p>
        </w:tc>
        <w:tc>
          <w:tcPr>
            <w:tcW w:w="800" w:type="dxa"/>
            <w:vAlign w:val="bottom"/>
            <w:tcBorders>
              <w:bottom w:val="single" w:sz="8" w:color="auto"/>
            </w:tcBorders>
            <w:shd w:val="clear" w:color="auto" w:fill="CCEEF7"/>
          </w:tcPr>
          <w:p>
            <w:pPr>
              <w:spacing w:after="0"/>
              <w:rPr>
                <w:sz w:val="5"/>
                <w:szCs w:val="5"/>
                <w:color w:val="auto"/>
              </w:rPr>
            </w:pPr>
          </w:p>
        </w:tc>
        <w:tc>
          <w:tcPr>
            <w:tcW w:w="420" w:type="dxa"/>
            <w:vAlign w:val="bottom"/>
            <w:tcBorders>
              <w:bottom w:val="single" w:sz="8" w:color="auto"/>
            </w:tcBorders>
            <w:shd w:val="clear" w:color="auto" w:fill="CCEEF7"/>
          </w:tcPr>
          <w:p>
            <w:pPr>
              <w:spacing w:after="0"/>
              <w:rPr>
                <w:sz w:val="5"/>
                <w:szCs w:val="5"/>
                <w:color w:val="auto"/>
              </w:rPr>
            </w:pPr>
          </w:p>
        </w:tc>
        <w:tc>
          <w:tcPr>
            <w:tcW w:w="820" w:type="dxa"/>
            <w:vAlign w:val="bottom"/>
            <w:tcBorders>
              <w:bottom w:val="single" w:sz="8" w:color="auto"/>
            </w:tcBorders>
            <w:shd w:val="clear" w:color="auto" w:fill="CCEEF7"/>
          </w:tcPr>
          <w:p>
            <w:pPr>
              <w:spacing w:after="0"/>
              <w:rPr>
                <w:sz w:val="5"/>
                <w:szCs w:val="5"/>
                <w:color w:val="auto"/>
              </w:rPr>
            </w:pPr>
          </w:p>
        </w:tc>
        <w:tc>
          <w:tcPr>
            <w:tcW w:w="760" w:type="dxa"/>
            <w:vAlign w:val="bottom"/>
            <w:tcBorders>
              <w:bottom w:val="single" w:sz="8" w:color="auto"/>
            </w:tcBorders>
            <w:shd w:val="clear" w:color="auto" w:fill="CCEEF7"/>
          </w:tcPr>
          <w:p>
            <w:pPr>
              <w:spacing w:after="0"/>
              <w:rPr>
                <w:sz w:val="5"/>
                <w:szCs w:val="5"/>
                <w:color w:val="auto"/>
              </w:rPr>
            </w:pPr>
          </w:p>
        </w:tc>
        <w:tc>
          <w:tcPr>
            <w:tcW w:w="880" w:type="dxa"/>
            <w:vAlign w:val="bottom"/>
            <w:tcBorders>
              <w:bottom w:val="single" w:sz="8" w:color="auto"/>
            </w:tcBorders>
            <w:shd w:val="clear" w:color="auto" w:fill="CCEEF7"/>
          </w:tcPr>
          <w:p>
            <w:pPr>
              <w:spacing w:after="0"/>
              <w:rPr>
                <w:sz w:val="5"/>
                <w:szCs w:val="5"/>
                <w:color w:val="auto"/>
              </w:rPr>
            </w:pPr>
          </w:p>
        </w:tc>
      </w:tr>
    </w:tbl>
    <w:p>
      <w:pPr>
        <w:spacing w:after="0" w:line="24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2021 PRSUs and RSUs were granted based on a closing price of $74.16 on the trading day prior to the date of grant.</w:t>
      </w:r>
    </w:p>
    <w:p>
      <w:pPr>
        <w:spacing w:after="0" w:line="82" w:lineRule="exact"/>
        <w:rPr>
          <w:rFonts w:ascii="Arial" w:cs="Arial" w:eastAsia="Arial" w:hAnsi="Arial"/>
          <w:sz w:val="14"/>
          <w:szCs w:val="14"/>
          <w:color w:val="auto"/>
        </w:rPr>
      </w:pPr>
    </w:p>
    <w:p>
      <w:pPr>
        <w:ind w:left="540" w:right="260" w:hanging="424"/>
        <w:spacing w:after="0" w:line="258" w:lineRule="auto"/>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Grant values shown above will be different from the values shown in the Summary Compensation Table and Grants of Plan-Based Awards tables based on the fair value on grant date in accordance with FASB ASC Topic 718.</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Robert Warshaw received a grant of PRSUs and RSUs prior to the announcement of his departure in August.</w:t>
      </w:r>
    </w:p>
    <w:p>
      <w:pPr>
        <w:spacing w:after="0" w:line="198" w:lineRule="exact"/>
        <w:rPr>
          <w:sz w:val="20"/>
          <w:szCs w:val="20"/>
          <w:color w:val="auto"/>
        </w:rPr>
      </w:pPr>
    </w:p>
    <w:p>
      <w:pPr>
        <w:ind w:left="120" w:right="80" w:firstLine="440"/>
        <w:spacing w:after="0" w:line="252" w:lineRule="auto"/>
        <w:rPr>
          <w:sz w:val="20"/>
          <w:szCs w:val="20"/>
          <w:color w:val="auto"/>
        </w:rPr>
      </w:pPr>
      <w:r>
        <w:rPr>
          <w:rFonts w:ascii="Arial" w:cs="Arial" w:eastAsia="Arial" w:hAnsi="Arial"/>
          <w:sz w:val="18"/>
          <w:szCs w:val="18"/>
          <w:color w:val="auto"/>
        </w:rPr>
        <w:t>Sara Furber did not commence employment with the Company until September 2021 and thus did not receive equity incentive awards at the same time as the other NEOs. Rather, pursuant to the offer letter entered into in connection with the commencement of her employment, in consideration of Ms. Furber’s forfeiture of certain deferred long-term incentive compensation provided by her previous employer (“Existing Awards”), the Company agreed to provide Ms. Furber with a special equity grant that was intended to be comparable to her Existing Awards. As such, Ms. Furber received additional equity awards shortly following her commencement of employment with the Company, including a mix of PRSUs and RSUs, as described further below in the section titled “Narrative Disclosure to Summary Compensation Table and Grants of Plan-Based Awards Table — Employment Agreements with our Named Executive Officers.”</w:t>
      </w:r>
    </w:p>
    <w:p>
      <w:pPr>
        <w:spacing w:after="0" w:line="5"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color w:val="auto"/>
        </w:rPr>
        <w:t>All of the PRSUs and RSUs awarded to our NEOs provide for accelerated vesting upon the occurrence of certain events, such as certain terminations of employment or a change in control, as described below in the section titled “Potential Payments upon Termination or Change in Control.” For a description of PRSUs and RSUs that are currently outstanding under the Equity Plan, see the table titled “Outstanding Equity Awards at Fiscal Year-End.”</w:t>
      </w:r>
    </w:p>
    <w:p>
      <w:pPr>
        <w:spacing w:after="0" w:line="2"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We believe that the mix of PRSUs and RSUs granted to our NEOs directly correlates to our compensation objectives and philosophy. The PRSUs encourage strong alignment with stockholders’ interest in growth given that they are directly tied to EBITDA margin and revenue growth, and both the PRSUs and RSUs support retention and stock price alignment by allowing award recipients the opportunity to receive Company stock if they are still employed by us on the date the award vests.</w:t>
      </w:r>
    </w:p>
    <w:p>
      <w:pPr>
        <w:spacing w:after="0" w:line="190"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2856"/>
        </w:rPr>
        <w:t>Legacy Equity Plans — Options and PRSUs</w:t>
      </w:r>
    </w:p>
    <w:p>
      <w:pPr>
        <w:spacing w:after="0" w:line="16" w:lineRule="exact"/>
        <w:rPr>
          <w:sz w:val="20"/>
          <w:szCs w:val="20"/>
          <w:color w:val="auto"/>
        </w:rPr>
      </w:pPr>
    </w:p>
    <w:p>
      <w:pPr>
        <w:jc w:val="both"/>
        <w:ind w:left="120" w:right="220"/>
        <w:spacing w:after="0" w:line="281" w:lineRule="auto"/>
        <w:rPr>
          <w:sz w:val="20"/>
          <w:szCs w:val="20"/>
          <w:color w:val="auto"/>
        </w:rPr>
      </w:pPr>
      <w:r>
        <w:rPr>
          <w:rFonts w:ascii="Arial" w:cs="Arial" w:eastAsia="Arial" w:hAnsi="Arial"/>
          <w:sz w:val="16"/>
          <w:szCs w:val="16"/>
          <w:color w:val="auto"/>
        </w:rPr>
        <w:t>Each NEO, other than Ms. Furber, continues to hold outstanding awards under our pre-IPO plans (which were amended and restated at the time of our IPO), including the Amended and Restated Tradeweb Markets Inc. 2018 Share Option Plan (previously the TWM LLC 2018 Share Option Plan) (the “Option Plan”) and the Amended &amp; Restated Tradeweb Markets Inc. PRSU Plan (previously the TWM LLC PRSU Plan) (the “PRSU Plan”).</w:t>
      </w:r>
    </w:p>
    <w:p>
      <w:pPr>
        <w:ind w:left="120" w:right="20" w:firstLine="440"/>
        <w:spacing w:after="0" w:line="265" w:lineRule="auto"/>
        <w:rPr>
          <w:sz w:val="20"/>
          <w:szCs w:val="20"/>
          <w:color w:val="auto"/>
        </w:rPr>
      </w:pPr>
      <w:r>
        <w:rPr>
          <w:rFonts w:ascii="Arial" w:cs="Arial" w:eastAsia="Arial" w:hAnsi="Arial"/>
          <w:sz w:val="17"/>
          <w:szCs w:val="17"/>
          <w:color w:val="auto"/>
        </w:rPr>
        <w:t>Each NEO (other than Ms. Furber) was granted options to purchase Shares (the “Options”) under the Option Plan on October 26, 2018. Each Option was granted with the following vesting provisions: (i) 50% of the Option vests ratably over a four-year vesting period based on continued employment (the “Time-Based Portion”), and (ii) 50% of the Option vests based on satisfying certain performance conditions (the “Performance-Based Portion”), as further described below. The Time-Based Portion is currently fully vested for each NEO as a result of accelerated vesting upon the Company’s IPO. For the Performance-Based Portion, (i) 50% is eligible to vest in four equal annual installments based on achievement of Company EBITDA growth targets for 2018, 2019, 2020 and 2021, and (ii) 50% is eligible to vest in four equal annual installments based on the Company’s achievement of certain revenue growth targets for each of 2018, 2019, 2020 and 2021 (the “Revenue-Based Portion”). If at least 80% of the applicable revenue growth target is achieved for a given year, the Revenue-Based Portion will vest as to 0%, based on 80% achievement of target, and 100%, based on full achievement of target. For performance achievement between 80% and 100% of target, the Revenue-Based Portion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Vesting of the Performance-Based Portion in respect of calendar year 2021 was based on achievement of a: (A) gross revenue target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$837.786 million (representing 6.6% growth over the 2020 gross revenue target of $785.916) and (B) EBITDA target of $318.545 million (representing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8.2% growth over the 2020 EBITDA target of $294.404). The Company exceeded each of its performance goals for 2021 with an actual gross revenue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$1,076.477 million and $495.666 million EBITDA achievement. The Performance-Based Portion is therefore 100% vested following 2021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performance.</w:t>
      </w:r>
    </w:p>
    <w:p>
      <w:pPr>
        <w:spacing w:after="0" w:line="9" w:lineRule="exact"/>
        <w:rPr>
          <w:sz w:val="20"/>
          <w:szCs w:val="20"/>
          <w:color w:val="auto"/>
        </w:rPr>
      </w:pPr>
    </w:p>
    <w:p>
      <w:pPr>
        <w:jc w:val="both"/>
        <w:ind w:left="120" w:right="340" w:firstLine="440"/>
        <w:spacing w:after="0" w:line="265" w:lineRule="auto"/>
        <w:rPr>
          <w:sz w:val="20"/>
          <w:szCs w:val="20"/>
          <w:color w:val="auto"/>
        </w:rPr>
      </w:pPr>
      <w:r>
        <w:rPr>
          <w:rFonts w:ascii="Arial" w:cs="Arial" w:eastAsia="Arial" w:hAnsi="Arial"/>
          <w:sz w:val="17"/>
          <w:szCs w:val="17"/>
          <w:color w:val="auto"/>
        </w:rPr>
        <w:t>In addition, each NEO (other than Ms. Furber) was granted PRSUs in 2019 under the PRSU Plan which remained outstanding as of the end of fiscal year 2021. The PRSUs granted under the PRSU Plan were subject to terms similar to those granted under the Equity Plan, as described above. Outstanding PRSUs granted under the PRSU Plan vested on January 1, 2022 and are fully settled as of the date hereof.</w:t>
      </w:r>
    </w:p>
    <w:p>
      <w:pPr>
        <w:ind w:left="120" w:right="900" w:firstLine="440"/>
        <w:spacing w:after="0" w:line="260" w:lineRule="auto"/>
        <w:rPr>
          <w:sz w:val="20"/>
          <w:szCs w:val="20"/>
          <w:color w:val="auto"/>
        </w:rPr>
      </w:pPr>
      <w:r>
        <w:rPr>
          <w:rFonts w:ascii="Arial" w:cs="Arial" w:eastAsia="Arial" w:hAnsi="Arial"/>
          <w:sz w:val="18"/>
          <w:szCs w:val="18"/>
          <w:color w:val="auto"/>
        </w:rPr>
        <w:t>For more information on the outstanding Options and PRSUs granted under the Option Plan and PRSU Plan, please see the table titled “Outstanding Equity Awards at Fiscal Year-End.”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Retirement Plans</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Each of Messrs. Olesky, Furber, Warshaw, Hult and Peterson were eligible to participate in the 401(k) Plan on the same terms as other participating employees in 2021. Mr. Bruni is eligible to participate in the Company’s contributory pension scheme for employees located in Europe on the same terms as other participating employees.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Perquisites and Other Personal Benefits</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Company provides the NEOs with perquisites and other personal benefits, or an allowance for certain perquisites, that it believes are reasonable and consistent with its overall compensation program to better enable the Company to attract and retain key individuals. Such perquisites and benefits include (i) financial planning services, (ii) executive life insurance, (iii) group life insurance, (iv) executive long-term disability insurance, (v) excess liability insurance, and (vi) reimbursement for annual club membership dues.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Clawbacks</w:t>
      </w:r>
    </w:p>
    <w:p>
      <w:pPr>
        <w:spacing w:after="0" w:line="2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The Company maintains a clawback policy which applies to all executive officers (including the NEOs), certain senior managers, and other designated employees of the Company and its subsidiaries. The purpose</w:t>
      </w:r>
    </w:p>
    <w:p>
      <w:pPr>
        <w:spacing w:after="0" w:line="18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205740</wp:posOffset>
            </wp:positionV>
            <wp:extent cx="107188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of the policy is to create and maintain a culture that emphasizes integrity and accountability and that reinforces the Company’s pay-for-performance compensation philosophy. The policy provides that, in the event the Company is required to prepare an accounting restatement of its financial statements, the Company will make a reasonable attempt to recover the portion of the incentive compensation that was improperly paid to the officer or other employee during the three most recently completed fiscal years based on the erroneous data. Separately, if it is determined that an officer or other employee covered by the policy has intentionally engaged in misconduct, fraud or other illegal conduct, which contributed to the circumstances requiring an accounting restatement, and the Compensation Committee determines it would be appropriate to seek recovery under the policy, the Company will make a reasonable attempt to recover part or all of the incentive compensation (as described in the policy) that was paid to the relevant officer or other employee during the three most recently completed fiscal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Securities Trading Policy</w:t>
      </w:r>
    </w:p>
    <w:p>
      <w:pPr>
        <w:spacing w:after="0" w:line="23"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To ensure alignment of the interests of our stockholders and executive officers, including our NEOs, as well as compliance with applicable securities laws, the Company’s Securities Trading Policy (i) prohibits all employees from engaging in transactions involving the Company’s stock based on material non-public information or communicating material non-public information to any person who uses that information to purchase or sell Company securities, and (ii) requires directors, executive officers (including the NEOs) and certain other designated employees (as identified in the Securities Trading Policy) to preclear any trading in Company securities, whether or not during an open trade window (except that such policies shall not apply to the exercise of options not involving a market sale to generate cash to pay the exercise price, the vesting of restricted stock or restricted stock unit awards or transactions in accordance with a previously established trading plan that meets SEC requirements). In addition, as part of our Securities Trading Policy, (i) directors, officers or employees and certain other covered persons (as identified in the Securities Trading Policy), whether or not he or she possesses material non-public information, may not trade in options, warrants, puts, calls or similar instruments on the Company’s securities or engage in short shares, (ii) no directors, officers or employees may engage in any transactions (including variable forward contracts, equity swaps, collars and exchange funds) that are designed to hedge or offset any decrease in the market value of the Company’s equity securities, and (iii) no directors, officers or employees, whether or not in possession of material non-public information, may purchase the Company’s securities on margin, or borrow against any account in which the Company’s securities are held, or pledge the Company’s securities as collateral for a loan, without first obtaining pre-clearance.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Tax and Accounting Considerations</w:t>
      </w:r>
    </w:p>
    <w:p>
      <w:pPr>
        <w:spacing w:after="0" w:line="23"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color w:val="auto"/>
        </w:rPr>
        <w:t>The Compensation Committee considers tax and accounting implications in its executive compensation determinations, although in some cases, other important considerations may outweigh tax or accounting considerations, and the Compensation Committee maintains the flexibility to compensate its officers in accordance with the Company’s compensation philosophy.</w:t>
      </w:r>
    </w:p>
    <w:p>
      <w:pPr>
        <w:spacing w:after="0" w:line="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Under Section 162(m) of the Internal Revenue Code, as amended by the Tax Cuts and Jobs Act of 2017 (“Section 162(m)”), a publicly held corporation generally is limited to a $1 million annual tax deduction for compensation paid to each of its “covered employees.” The Company has historically taken the position that, as a result of its corporate structure, the deduction limitation imposed by Section 162(m) does not apply to its employees who are employed by TWM LLC or its subsidiaries. However, on December 18, 2020, the Treasury Department released final regulations under Section 162(m) (the “Final Regulations”) that provide that, generally, subject to certain exceptions, when a publicly held corporation (such as the Company) holds a partnership interest (such as our interest in TWM LLC), the corporation must take into account its distributive share of the partnership’s deduction for compensation paid to covered employees of the corporation. These new rules do not apply to compensation that is “grandfathered” under special transition rules for compensation paid in 2020 or that is paid pursuant to a written binding contract that was in effect on December 20, 2019, which is not materially modified or renewed or cancelable by the company after that date. Separately, companies that had an IPO prior to December 2019 can rely on an exception to Section 162(m) for newly public companies (the “Transition Rule”).</w:t>
      </w:r>
    </w:p>
    <w:p>
      <w:pPr>
        <w:spacing w:after="0" w:line="167"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300" w:firstLine="440"/>
        <w:spacing w:after="0" w:line="254" w:lineRule="auto"/>
        <w:rPr>
          <w:sz w:val="20"/>
          <w:szCs w:val="20"/>
          <w:color w:val="auto"/>
        </w:rPr>
      </w:pPr>
      <w:r>
        <w:rPr>
          <w:rFonts w:ascii="Arial" w:cs="Arial" w:eastAsia="Arial" w:hAnsi="Arial"/>
          <w:sz w:val="18"/>
          <w:szCs w:val="18"/>
          <w:color w:val="auto"/>
        </w:rPr>
        <w:t>By virtue of the Final Regulations, our equity awards granted through 2019 will qualify as grandfathered awards, but compensation related to equity awards granted after 2019 and related to future equity awards, along with cash compensation starting in December 2022 (as a result of the Transition Rule), paid to those of our employees considered “covered employees” will be subject to the compensation deduction limitations under Section 162(m). Going forward, while it is only one of many factors, the Compensation Committee will consider the impact of Section 162(m) on its compensation arrangements, and it is anticipated that the Compensation Committee will, in its discretion and when it deems appropriate, enter into compensation arrangements with those employees considered “covered employees” under which payments may not be fully deductible under Section 162(m).</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Compensation Committee Report</w:t>
      </w:r>
    </w:p>
    <w:p>
      <w:pPr>
        <w:spacing w:after="0" w:line="10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the Compensation Committee of the Board of Directors, reviewed and had the opportunity to discuss with management the Compensation Discussion and Analysis set forth above and, based upon our review, we recommended to the Board that the Compensation Discussion and Analysis be included in this report.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Finley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Scott Ganeles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Paula Madoff</w:t>
      </w:r>
    </w:p>
    <w:p>
      <w:pPr>
        <w:spacing w:after="0" w:line="222"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Summary Compensation Table</w:t>
      </w:r>
    </w:p>
    <w:p>
      <w:pPr>
        <w:spacing w:after="0" w:line="10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 sets forth the compensation paid to the NEOs that is attributable to services performed during fiscal years 2019, 2020, and 2021, as required.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Non-Equity</w:t>
            </w: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ind w:left="60"/>
              <w:spacing w:after="0"/>
              <w:rPr>
                <w:sz w:val="20"/>
                <w:szCs w:val="20"/>
                <w:color w:val="auto"/>
              </w:rPr>
            </w:pPr>
            <w:r>
              <w:rPr>
                <w:rFonts w:ascii="Arial" w:cs="Arial" w:eastAsia="Arial" w:hAnsi="Arial"/>
                <w:sz w:val="14"/>
                <w:szCs w:val="14"/>
                <w:color w:val="auto"/>
              </w:rPr>
              <w:t>Name and</w:t>
            </w:r>
          </w:p>
        </w:tc>
        <w:tc>
          <w:tcPr>
            <w:tcW w:w="90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color w:val="auto"/>
              </w:rPr>
              <w:t>Salary</w:t>
            </w: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rPr>
              <w:t>Bonus</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Stock</w:t>
            </w: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Incentive Plan</w:t>
            </w:r>
          </w:p>
        </w:tc>
        <w:tc>
          <w:tcPr>
            <w:tcW w:w="134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All Other</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0"/>
        </w:trPr>
        <w:tc>
          <w:tcPr>
            <w:tcW w:w="40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right"/>
              <w:ind w:right="48"/>
              <w:spacing w:after="0" w:line="141" w:lineRule="exact"/>
              <w:rPr>
                <w:sz w:val="20"/>
                <w:szCs w:val="20"/>
                <w:color w:val="auto"/>
              </w:rPr>
            </w:pPr>
            <w:r>
              <w:rPr>
                <w:rFonts w:ascii="Arial" w:cs="Arial" w:eastAsia="Arial" w:hAnsi="Arial"/>
                <w:sz w:val="14"/>
                <w:szCs w:val="14"/>
                <w:color w:val="auto"/>
              </w:rPr>
              <w:t>Awards</w:t>
            </w:r>
          </w:p>
        </w:tc>
        <w:tc>
          <w:tcPr>
            <w:tcW w:w="1120" w:type="dxa"/>
            <w:vAlign w:val="bottom"/>
          </w:tcPr>
          <w:p>
            <w:pPr>
              <w:jc w:val="right"/>
              <w:ind w:right="68"/>
              <w:spacing w:after="0" w:line="141" w:lineRule="exact"/>
              <w:rPr>
                <w:sz w:val="20"/>
                <w:szCs w:val="20"/>
                <w:color w:val="auto"/>
              </w:rPr>
            </w:pPr>
            <w:r>
              <w:rPr>
                <w:rFonts w:ascii="Arial" w:cs="Arial" w:eastAsia="Arial" w:hAnsi="Arial"/>
                <w:sz w:val="14"/>
                <w:szCs w:val="14"/>
                <w:color w:val="auto"/>
              </w:rPr>
              <w:t>Compensation</w:t>
            </w:r>
          </w:p>
        </w:tc>
        <w:tc>
          <w:tcPr>
            <w:tcW w:w="1340" w:type="dxa"/>
            <w:vAlign w:val="bottom"/>
          </w:tcPr>
          <w:p>
            <w:pPr>
              <w:jc w:val="right"/>
              <w:ind w:right="308"/>
              <w:spacing w:after="0" w:line="141" w:lineRule="exact"/>
              <w:rPr>
                <w:sz w:val="20"/>
                <w:szCs w:val="20"/>
                <w:color w:val="auto"/>
              </w:rPr>
            </w:pPr>
            <w:r>
              <w:rPr>
                <w:rFonts w:ascii="Arial" w:cs="Arial" w:eastAsia="Arial" w:hAnsi="Arial"/>
                <w:sz w:val="14"/>
                <w:szCs w:val="14"/>
                <w:color w:val="auto"/>
              </w:rPr>
              <w:t>Compensation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Principal Position</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Year</w:t>
            </w: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(1)</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(2)</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(4)</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shd w:val="clear" w:color="auto" w:fill="CCEEF7"/>
          </w:tcPr>
          <w:p>
            <w:pPr>
              <w:spacing w:after="0"/>
              <w:rPr>
                <w:sz w:val="4"/>
                <w:szCs w:val="4"/>
                <w:color w:val="auto"/>
              </w:rPr>
            </w:pPr>
          </w:p>
        </w:tc>
        <w:tc>
          <w:tcPr>
            <w:tcW w:w="980" w:type="dxa"/>
            <w:vAlign w:val="bottom"/>
            <w:shd w:val="clear" w:color="auto" w:fill="CCEEF7"/>
          </w:tcPr>
          <w:p>
            <w:pPr>
              <w:spacing w:after="0"/>
              <w:rPr>
                <w:sz w:val="4"/>
                <w:szCs w:val="4"/>
                <w:color w:val="auto"/>
              </w:rPr>
            </w:pPr>
          </w:p>
        </w:tc>
        <w:tc>
          <w:tcPr>
            <w:tcW w:w="1020" w:type="dxa"/>
            <w:vAlign w:val="bottom"/>
            <w:shd w:val="clear" w:color="auto" w:fill="CCEEF7"/>
          </w:tcPr>
          <w:p>
            <w:pPr>
              <w:spacing w:after="0"/>
              <w:rPr>
                <w:sz w:val="4"/>
                <w:szCs w:val="4"/>
                <w:color w:val="auto"/>
              </w:rPr>
            </w:pPr>
          </w:p>
        </w:tc>
        <w:tc>
          <w:tcPr>
            <w:tcW w:w="880" w:type="dxa"/>
            <w:vAlign w:val="bottom"/>
            <w:shd w:val="clear" w:color="auto" w:fill="CCEEF7"/>
          </w:tcPr>
          <w:p>
            <w:pPr>
              <w:spacing w:after="0"/>
              <w:rPr>
                <w:sz w:val="4"/>
                <w:szCs w:val="4"/>
                <w:color w:val="auto"/>
              </w:rPr>
            </w:pPr>
          </w:p>
        </w:tc>
        <w:tc>
          <w:tcPr>
            <w:tcW w:w="1120" w:type="dxa"/>
            <w:vAlign w:val="bottom"/>
            <w:shd w:val="clear" w:color="auto" w:fill="CCEEF7"/>
          </w:tcPr>
          <w:p>
            <w:pPr>
              <w:spacing w:after="0"/>
              <w:rPr>
                <w:sz w:val="4"/>
                <w:szCs w:val="4"/>
                <w:color w:val="auto"/>
              </w:rPr>
            </w:pPr>
          </w:p>
        </w:tc>
        <w:tc>
          <w:tcPr>
            <w:tcW w:w="1340" w:type="dxa"/>
            <w:vAlign w:val="bottom"/>
            <w:shd w:val="clear" w:color="auto" w:fill="CCEEF7"/>
          </w:tcPr>
          <w:p>
            <w:pPr>
              <w:spacing w:after="0"/>
              <w:rPr>
                <w:sz w:val="4"/>
                <w:szCs w:val="4"/>
                <w:color w:val="auto"/>
              </w:rPr>
            </w:pPr>
          </w:p>
        </w:tc>
        <w:tc>
          <w:tcPr>
            <w:tcW w:w="780" w:type="dxa"/>
            <w:vAlign w:val="bottom"/>
            <w:shd w:val="clear" w:color="auto" w:fill="CCEEF7"/>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2537460" cy="531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37460" cy="53149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15"/>
        </w:trPr>
        <w:tc>
          <w:tcPr>
            <w:tcW w:w="4000" w:type="dxa"/>
            <w:vAlign w:val="bottom"/>
            <w:vMerge w:val="restart"/>
          </w:tcPr>
          <w:p>
            <w:pPr>
              <w:ind w:left="60"/>
              <w:spacing w:after="0"/>
              <w:rPr>
                <w:sz w:val="20"/>
                <w:szCs w:val="20"/>
                <w:color w:val="auto"/>
              </w:rPr>
            </w:pPr>
            <w:r>
              <w:rPr>
                <w:rFonts w:ascii="Arial" w:cs="Arial" w:eastAsia="Arial" w:hAnsi="Arial"/>
                <w:sz w:val="16"/>
                <w:szCs w:val="16"/>
                <w:color w:val="auto"/>
              </w:rPr>
              <w:t>Lee Olesky</w:t>
            </w:r>
          </w:p>
        </w:tc>
        <w:tc>
          <w:tcPr>
            <w:tcW w:w="800" w:type="dxa"/>
            <w:vAlign w:val="bottom"/>
            <w:gridSpan w:val="2"/>
            <w:shd w:val="clear" w:color="auto" w:fill="CCEEF7"/>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770,000</w:t>
            </w:r>
          </w:p>
        </w:tc>
        <w:tc>
          <w:tcPr>
            <w:tcW w:w="1040" w:type="dxa"/>
            <w:vAlign w:val="bottom"/>
            <w:shd w:val="clear" w:color="auto" w:fill="CCEEF7"/>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4,399,913</w:t>
            </w:r>
          </w:p>
        </w:tc>
        <w:tc>
          <w:tcPr>
            <w:tcW w:w="1220" w:type="dxa"/>
            <w:vAlign w:val="bottom"/>
            <w:shd w:val="clear" w:color="auto" w:fill="CCEEF7"/>
          </w:tcPr>
          <w:p>
            <w:pPr>
              <w:jc w:val="right"/>
              <w:ind w:right="219"/>
              <w:spacing w:after="0"/>
              <w:rPr>
                <w:sz w:val="20"/>
                <w:szCs w:val="20"/>
                <w:color w:val="auto"/>
              </w:rPr>
            </w:pPr>
            <w:r>
              <w:rPr>
                <w:rFonts w:ascii="Arial" w:cs="Arial" w:eastAsia="Arial" w:hAnsi="Arial"/>
                <w:sz w:val="16"/>
                <w:szCs w:val="16"/>
                <w:color w:val="auto"/>
              </w:rPr>
              <w:t>9,562,500</w:t>
            </w:r>
          </w:p>
        </w:tc>
        <w:tc>
          <w:tcPr>
            <w:tcW w:w="92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39,154</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14,771,567</w:t>
            </w:r>
          </w:p>
        </w:tc>
        <w:tc>
          <w:tcPr>
            <w:tcW w:w="0" w:type="dxa"/>
            <w:vAlign w:val="bottom"/>
          </w:tcPr>
          <w:p>
            <w:pPr>
              <w:spacing w:after="0"/>
              <w:rPr>
                <w:sz w:val="1"/>
                <w:szCs w:val="1"/>
                <w:color w:val="auto"/>
              </w:rPr>
            </w:pPr>
          </w:p>
        </w:tc>
      </w:tr>
      <w:tr>
        <w:trPr>
          <w:trHeight w:val="112"/>
        </w:trPr>
        <w:tc>
          <w:tcPr>
            <w:tcW w:w="4000" w:type="dxa"/>
            <w:vAlign w:val="bottom"/>
            <w:vMerge w:val="continue"/>
          </w:tcPr>
          <w:p>
            <w:pPr>
              <w:spacing w:after="0"/>
              <w:rPr>
                <w:sz w:val="9"/>
                <w:szCs w:val="9"/>
                <w:color w:val="auto"/>
              </w:rPr>
            </w:pPr>
          </w:p>
        </w:tc>
        <w:tc>
          <w:tcPr>
            <w:tcW w:w="260" w:type="dxa"/>
            <w:vAlign w:val="bottom"/>
            <w:shd w:val="clear" w:color="auto" w:fill="CCEEF7"/>
          </w:tcPr>
          <w:p>
            <w:pPr>
              <w:spacing w:after="0"/>
              <w:rPr>
                <w:sz w:val="9"/>
                <w:szCs w:val="9"/>
                <w:color w:val="auto"/>
              </w:rPr>
            </w:pPr>
          </w:p>
        </w:tc>
        <w:tc>
          <w:tcPr>
            <w:tcW w:w="54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w w:val="95"/>
              </w:rPr>
              <w:t>2020</w:t>
            </w:r>
          </w:p>
        </w:tc>
        <w:tc>
          <w:tcPr>
            <w:tcW w:w="92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770,000</w:t>
            </w:r>
          </w:p>
        </w:tc>
        <w:tc>
          <w:tcPr>
            <w:tcW w:w="1040" w:type="dxa"/>
            <w:vAlign w:val="bottom"/>
            <w:vMerge w:val="restart"/>
            <w:shd w:val="clear" w:color="auto" w:fill="CCEEF7"/>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3,999,956</w:t>
            </w:r>
          </w:p>
        </w:tc>
        <w:tc>
          <w:tcPr>
            <w:tcW w:w="1220" w:type="dxa"/>
            <w:vAlign w:val="bottom"/>
            <w:vMerge w:val="restart"/>
            <w:shd w:val="clear" w:color="auto" w:fill="CCEEF7"/>
          </w:tcPr>
          <w:p>
            <w:pPr>
              <w:jc w:val="right"/>
              <w:ind w:right="219"/>
              <w:spacing w:after="0"/>
              <w:rPr>
                <w:sz w:val="20"/>
                <w:szCs w:val="20"/>
                <w:color w:val="auto"/>
              </w:rPr>
            </w:pPr>
            <w:r>
              <w:rPr>
                <w:rFonts w:ascii="Arial" w:cs="Arial" w:eastAsia="Arial" w:hAnsi="Arial"/>
                <w:sz w:val="16"/>
                <w:szCs w:val="16"/>
                <w:color w:val="auto"/>
              </w:rPr>
              <w:t>7,500,000</w:t>
            </w:r>
          </w:p>
        </w:tc>
        <w:tc>
          <w:tcPr>
            <w:tcW w:w="92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43,038</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12,312,994</w:t>
            </w:r>
          </w:p>
        </w:tc>
        <w:tc>
          <w:tcPr>
            <w:tcW w:w="0" w:type="dxa"/>
            <w:vAlign w:val="bottom"/>
          </w:tcPr>
          <w:p>
            <w:pPr>
              <w:spacing w:after="0"/>
              <w:rPr>
                <w:sz w:val="1"/>
                <w:szCs w:val="1"/>
                <w:color w:val="auto"/>
              </w:rPr>
            </w:pPr>
          </w:p>
        </w:tc>
      </w:tr>
      <w:tr>
        <w:trPr>
          <w:trHeight w:val="106"/>
        </w:trPr>
        <w:tc>
          <w:tcPr>
            <w:tcW w:w="4000" w:type="dxa"/>
            <w:vAlign w:val="bottom"/>
            <w:vMerge w:val="restart"/>
          </w:tcPr>
          <w:p>
            <w:pPr>
              <w:ind w:left="60"/>
              <w:spacing w:after="0"/>
              <w:rPr>
                <w:sz w:val="20"/>
                <w:szCs w:val="20"/>
                <w:color w:val="auto"/>
              </w:rPr>
            </w:pPr>
            <w:r>
              <w:rPr>
                <w:rFonts w:ascii="Arial" w:cs="Arial" w:eastAsia="Arial" w:hAnsi="Arial"/>
                <w:sz w:val="13"/>
                <w:szCs w:val="13"/>
                <w:i w:val="1"/>
                <w:iCs w:val="1"/>
                <w:color w:val="auto"/>
              </w:rPr>
              <w:t>Chief Executive Officer</w:t>
            </w:r>
          </w:p>
        </w:tc>
        <w:tc>
          <w:tcPr>
            <w:tcW w:w="260" w:type="dxa"/>
            <w:vAlign w:val="bottom"/>
            <w:shd w:val="clear" w:color="auto" w:fill="CCEEF7"/>
          </w:tcPr>
          <w:p>
            <w:pPr>
              <w:spacing w:after="0"/>
              <w:rPr>
                <w:sz w:val="9"/>
                <w:szCs w:val="9"/>
                <w:color w:val="auto"/>
              </w:rPr>
            </w:pPr>
          </w:p>
        </w:tc>
        <w:tc>
          <w:tcPr>
            <w:tcW w:w="540" w:type="dxa"/>
            <w:vAlign w:val="bottom"/>
            <w:vMerge w:val="continue"/>
            <w:shd w:val="clear" w:color="auto" w:fill="CCEEF7"/>
          </w:tcPr>
          <w:p>
            <w:pPr>
              <w:spacing w:after="0"/>
              <w:rPr>
                <w:sz w:val="9"/>
                <w:szCs w:val="9"/>
                <w:color w:val="auto"/>
              </w:rPr>
            </w:pPr>
          </w:p>
        </w:tc>
        <w:tc>
          <w:tcPr>
            <w:tcW w:w="920" w:type="dxa"/>
            <w:vAlign w:val="bottom"/>
            <w:vMerge w:val="continue"/>
            <w:shd w:val="clear" w:color="auto" w:fill="CCEEF7"/>
          </w:tcPr>
          <w:p>
            <w:pPr>
              <w:spacing w:after="0"/>
              <w:rPr>
                <w:sz w:val="9"/>
                <w:szCs w:val="9"/>
                <w:color w:val="auto"/>
              </w:rPr>
            </w:pPr>
          </w:p>
        </w:tc>
        <w:tc>
          <w:tcPr>
            <w:tcW w:w="1040" w:type="dxa"/>
            <w:vAlign w:val="bottom"/>
            <w:vMerge w:val="continue"/>
            <w:shd w:val="clear" w:color="auto" w:fill="CCEEF7"/>
          </w:tcPr>
          <w:p>
            <w:pPr>
              <w:spacing w:after="0"/>
              <w:rPr>
                <w:sz w:val="9"/>
                <w:szCs w:val="9"/>
                <w:color w:val="auto"/>
              </w:rPr>
            </w:pPr>
          </w:p>
        </w:tc>
        <w:tc>
          <w:tcPr>
            <w:tcW w:w="1080" w:type="dxa"/>
            <w:vAlign w:val="bottom"/>
            <w:vMerge w:val="continue"/>
            <w:shd w:val="clear" w:color="auto" w:fill="CCEEF7"/>
          </w:tcPr>
          <w:p>
            <w:pPr>
              <w:spacing w:after="0"/>
              <w:rPr>
                <w:sz w:val="9"/>
                <w:szCs w:val="9"/>
                <w:color w:val="auto"/>
              </w:rPr>
            </w:pPr>
          </w:p>
        </w:tc>
        <w:tc>
          <w:tcPr>
            <w:tcW w:w="1220" w:type="dxa"/>
            <w:vAlign w:val="bottom"/>
            <w:vMerge w:val="continue"/>
            <w:shd w:val="clear" w:color="auto" w:fill="CCEEF7"/>
          </w:tcPr>
          <w:p>
            <w:pPr>
              <w:spacing w:after="0"/>
              <w:rPr>
                <w:sz w:val="9"/>
                <w:szCs w:val="9"/>
                <w:color w:val="auto"/>
              </w:rPr>
            </w:pPr>
          </w:p>
        </w:tc>
        <w:tc>
          <w:tcPr>
            <w:tcW w:w="920" w:type="dxa"/>
            <w:vAlign w:val="bottom"/>
            <w:vMerge w:val="continue"/>
            <w:shd w:val="clear" w:color="auto" w:fill="CCEEF7"/>
          </w:tcPr>
          <w:p>
            <w:pPr>
              <w:spacing w:after="0"/>
              <w:rPr>
                <w:sz w:val="9"/>
                <w:szCs w:val="9"/>
                <w:color w:val="auto"/>
              </w:rPr>
            </w:pPr>
          </w:p>
        </w:tc>
        <w:tc>
          <w:tcPr>
            <w:tcW w:w="1040" w:type="dxa"/>
            <w:vAlign w:val="bottom"/>
            <w:vMerge w:val="continue"/>
            <w:shd w:val="clear" w:color="auto" w:fill="CCEEF7"/>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000" w:type="dxa"/>
            <w:vAlign w:val="bottom"/>
            <w:vMerge w:val="continue"/>
          </w:tcPr>
          <w:p>
            <w:pPr>
              <w:spacing w:after="0"/>
              <w:rPr>
                <w:sz w:val="5"/>
                <w:szCs w:val="5"/>
                <w:color w:val="auto"/>
              </w:rPr>
            </w:pPr>
          </w:p>
        </w:tc>
        <w:tc>
          <w:tcPr>
            <w:tcW w:w="260" w:type="dxa"/>
            <w:vAlign w:val="bottom"/>
            <w:shd w:val="clear" w:color="auto" w:fill="CCEEF7"/>
          </w:tcPr>
          <w:p>
            <w:pPr>
              <w:spacing w:after="0"/>
              <w:rPr>
                <w:sz w:val="5"/>
                <w:szCs w:val="5"/>
                <w:color w:val="auto"/>
              </w:rPr>
            </w:pPr>
          </w:p>
        </w:tc>
        <w:tc>
          <w:tcPr>
            <w:tcW w:w="54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c>
          <w:tcPr>
            <w:tcW w:w="1040" w:type="dxa"/>
            <w:vAlign w:val="bottom"/>
            <w:shd w:val="clear" w:color="auto" w:fill="CCEEF7"/>
          </w:tcPr>
          <w:p>
            <w:pPr>
              <w:spacing w:after="0"/>
              <w:rPr>
                <w:sz w:val="5"/>
                <w:szCs w:val="5"/>
                <w:color w:val="auto"/>
              </w:rPr>
            </w:pPr>
          </w:p>
        </w:tc>
        <w:tc>
          <w:tcPr>
            <w:tcW w:w="1080" w:type="dxa"/>
            <w:vAlign w:val="bottom"/>
            <w:shd w:val="clear" w:color="auto" w:fill="CCEEF7"/>
          </w:tcPr>
          <w:p>
            <w:pPr>
              <w:spacing w:after="0"/>
              <w:rPr>
                <w:sz w:val="5"/>
                <w:szCs w:val="5"/>
                <w:color w:val="auto"/>
              </w:rPr>
            </w:pPr>
          </w:p>
        </w:tc>
        <w:tc>
          <w:tcPr>
            <w:tcW w:w="1220" w:type="dxa"/>
            <w:vAlign w:val="bottom"/>
            <w:shd w:val="clear" w:color="auto" w:fill="CCEEF7"/>
          </w:tcPr>
          <w:p>
            <w:pPr>
              <w:spacing w:after="0"/>
              <w:rPr>
                <w:sz w:val="5"/>
                <w:szCs w:val="5"/>
                <w:color w:val="auto"/>
              </w:rPr>
            </w:pPr>
          </w:p>
        </w:tc>
        <w:tc>
          <w:tcPr>
            <w:tcW w:w="920" w:type="dxa"/>
            <w:vAlign w:val="bottom"/>
            <w:shd w:val="clear" w:color="auto" w:fill="CCEEF7"/>
          </w:tcPr>
          <w:p>
            <w:pPr>
              <w:spacing w:after="0"/>
              <w:rPr>
                <w:sz w:val="5"/>
                <w:szCs w:val="5"/>
                <w:color w:val="auto"/>
              </w:rPr>
            </w:pPr>
          </w:p>
        </w:tc>
        <w:tc>
          <w:tcPr>
            <w:tcW w:w="1040" w:type="dxa"/>
            <w:vAlign w:val="bottom"/>
            <w:shd w:val="clear" w:color="auto" w:fill="CCEEF7"/>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p>
        </w:tc>
        <w:tc>
          <w:tcPr>
            <w:tcW w:w="260" w:type="dxa"/>
            <w:vAlign w:val="bottom"/>
            <w:tcBorders>
              <w:bottom w:val="single" w:sz="8" w:color="CCEEF7"/>
            </w:tcBorders>
            <w:shd w:val="clear" w:color="auto" w:fill="CCEEF7"/>
          </w:tcPr>
          <w:p>
            <w:pPr>
              <w:spacing w:after="0"/>
              <w:rPr>
                <w:sz w:val="20"/>
                <w:szCs w:val="20"/>
                <w:color w:val="auto"/>
              </w:rPr>
            </w:pPr>
          </w:p>
        </w:tc>
        <w:tc>
          <w:tcPr>
            <w:tcW w:w="54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w w:val="95"/>
              </w:rPr>
              <w:t>2019</w:t>
            </w:r>
          </w:p>
        </w:tc>
        <w:tc>
          <w:tcPr>
            <w:tcW w:w="92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rPr>
              <w:t>770,000</w:t>
            </w:r>
          </w:p>
        </w:tc>
        <w:tc>
          <w:tcPr>
            <w:tcW w:w="1040" w:type="dxa"/>
            <w:vAlign w:val="bottom"/>
            <w:tcBorders>
              <w:bottom w:val="single" w:sz="8" w:color="CCEEF7"/>
            </w:tcBorders>
            <w:shd w:val="clear" w:color="auto" w:fill="CCEEF7"/>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rPr>
              <w:t>3,392,000</w:t>
            </w:r>
          </w:p>
        </w:tc>
        <w:tc>
          <w:tcPr>
            <w:tcW w:w="1220" w:type="dxa"/>
            <w:vAlign w:val="bottom"/>
            <w:tcBorders>
              <w:bottom w:val="single" w:sz="8" w:color="CCEEF7"/>
            </w:tcBorders>
            <w:shd w:val="clear" w:color="auto" w:fill="CCEEF7"/>
          </w:tcPr>
          <w:p>
            <w:pPr>
              <w:jc w:val="right"/>
              <w:ind w:right="219"/>
              <w:spacing w:after="0"/>
              <w:rPr>
                <w:sz w:val="20"/>
                <w:szCs w:val="20"/>
                <w:color w:val="auto"/>
              </w:rPr>
            </w:pPr>
            <w:r>
              <w:rPr>
                <w:rFonts w:ascii="Arial" w:cs="Arial" w:eastAsia="Arial" w:hAnsi="Arial"/>
                <w:sz w:val="16"/>
                <w:szCs w:val="16"/>
                <w:color w:val="auto"/>
              </w:rPr>
              <w:t>7,000,000</w:t>
            </w:r>
          </w:p>
        </w:tc>
        <w:tc>
          <w:tcPr>
            <w:tcW w:w="92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48,498</w:t>
            </w:r>
          </w:p>
        </w:tc>
        <w:tc>
          <w:tcPr>
            <w:tcW w:w="10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11,210,498</w:t>
            </w:r>
          </w:p>
        </w:tc>
        <w:tc>
          <w:tcPr>
            <w:tcW w:w="0" w:type="dxa"/>
            <w:vAlign w:val="bottom"/>
          </w:tcPr>
          <w:p>
            <w:pPr>
              <w:spacing w:after="0"/>
              <w:rPr>
                <w:sz w:val="1"/>
                <w:szCs w:val="1"/>
                <w:color w:val="auto"/>
              </w:rPr>
            </w:pPr>
          </w:p>
        </w:tc>
      </w:tr>
      <w:tr>
        <w:trPr>
          <w:trHeight w:val="239"/>
        </w:trPr>
        <w:tc>
          <w:tcPr>
            <w:tcW w:w="400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8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159,295</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800,000</w:t>
            </w:r>
          </w:p>
        </w:tc>
        <w:tc>
          <w:tcPr>
            <w:tcW w:w="1080" w:type="dxa"/>
            <w:vAlign w:val="bottom"/>
            <w:vMerge w:val="restart"/>
          </w:tcPr>
          <w:p>
            <w:pPr>
              <w:jc w:val="right"/>
              <w:ind w:right="99"/>
              <w:spacing w:after="0"/>
              <w:rPr>
                <w:sz w:val="20"/>
                <w:szCs w:val="20"/>
                <w:color w:val="auto"/>
              </w:rPr>
            </w:pPr>
            <w:r>
              <w:rPr>
                <w:rFonts w:ascii="Arial" w:cs="Arial" w:eastAsia="Arial" w:hAnsi="Arial"/>
                <w:sz w:val="16"/>
                <w:szCs w:val="16"/>
                <w:color w:val="auto"/>
              </w:rPr>
              <w:t>3,946,830</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210</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4,906,335</w:t>
            </w:r>
          </w:p>
        </w:tc>
        <w:tc>
          <w:tcPr>
            <w:tcW w:w="0" w:type="dxa"/>
            <w:vAlign w:val="bottom"/>
          </w:tcPr>
          <w:p>
            <w:pPr>
              <w:spacing w:after="0"/>
              <w:rPr>
                <w:sz w:val="1"/>
                <w:szCs w:val="1"/>
                <w:color w:val="auto"/>
              </w:rPr>
            </w:pPr>
          </w:p>
        </w:tc>
      </w:tr>
      <w:tr>
        <w:trPr>
          <w:trHeight w:val="164"/>
        </w:trPr>
        <w:tc>
          <w:tcPr>
            <w:tcW w:w="4000" w:type="dxa"/>
            <w:vAlign w:val="bottom"/>
          </w:tcPr>
          <w:p>
            <w:pPr>
              <w:ind w:left="60"/>
              <w:spacing w:after="0"/>
              <w:rPr>
                <w:sz w:val="20"/>
                <w:szCs w:val="20"/>
                <w:color w:val="auto"/>
              </w:rPr>
            </w:pPr>
            <w:r>
              <w:rPr>
                <w:rFonts w:ascii="Arial" w:cs="Arial" w:eastAsia="Arial" w:hAnsi="Arial"/>
                <w:sz w:val="13"/>
                <w:szCs w:val="13"/>
                <w:i w:val="1"/>
                <w:iCs w:val="1"/>
                <w:color w:val="auto"/>
              </w:rPr>
              <w:t>Chief Financial Officer</w:t>
            </w:r>
          </w:p>
        </w:tc>
        <w:tc>
          <w:tcPr>
            <w:tcW w:w="8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400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4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Robert Warshaw</w:t>
            </w:r>
          </w:p>
        </w:tc>
        <w:tc>
          <w:tcPr>
            <w:tcW w:w="800" w:type="dxa"/>
            <w:vAlign w:val="bottom"/>
            <w:gridSpan w:val="2"/>
            <w:shd w:val="clear" w:color="auto" w:fill="CCEEF7"/>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400,000</w:t>
            </w:r>
          </w:p>
        </w:tc>
        <w:tc>
          <w:tcPr>
            <w:tcW w:w="1040" w:type="dxa"/>
            <w:vAlign w:val="bottom"/>
            <w:shd w:val="clear" w:color="auto" w:fill="CCEEF7"/>
          </w:tcPr>
          <w:p>
            <w:pPr>
              <w:jc w:val="right"/>
              <w:ind w:right="79"/>
              <w:spacing w:after="0"/>
              <w:rPr>
                <w:sz w:val="20"/>
                <w:szCs w:val="20"/>
                <w:color w:val="auto"/>
              </w:rPr>
            </w:pPr>
            <w:r>
              <w:rPr>
                <w:rFonts w:ascii="Arial" w:cs="Arial" w:eastAsia="Arial" w:hAnsi="Arial"/>
                <w:sz w:val="16"/>
                <w:szCs w:val="16"/>
                <w:color w:val="auto"/>
              </w:rPr>
              <w:t>1,000,000</w:t>
            </w:r>
          </w:p>
        </w:tc>
        <w:tc>
          <w:tcPr>
            <w:tcW w:w="108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869,897</w:t>
            </w:r>
          </w:p>
        </w:tc>
        <w:tc>
          <w:tcPr>
            <w:tcW w:w="1220" w:type="dxa"/>
            <w:vAlign w:val="bottom"/>
            <w:shd w:val="clear" w:color="auto" w:fill="CCEEF7"/>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38,108</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2,308,005</w:t>
            </w: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3"/>
                <w:szCs w:val="13"/>
                <w:i w:val="1"/>
                <w:iCs w:val="1"/>
                <w:color w:val="auto"/>
              </w:rPr>
              <w:t>Former Chief Financial Officer</w:t>
            </w:r>
          </w:p>
        </w:tc>
        <w:tc>
          <w:tcPr>
            <w:tcW w:w="800" w:type="dxa"/>
            <w:vAlign w:val="bottom"/>
            <w:tcBorders>
              <w:bottom w:val="single" w:sz="8" w:color="CCEEF7"/>
            </w:tcBorders>
            <w:gridSpan w:val="2"/>
            <w:shd w:val="clear" w:color="auto" w:fill="CCEEF7"/>
          </w:tcPr>
          <w:p>
            <w:pPr>
              <w:jc w:val="right"/>
              <w:ind w:right="9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rPr>
              <w:t>400,000</w:t>
            </w:r>
          </w:p>
        </w:tc>
        <w:tc>
          <w:tcPr>
            <w:tcW w:w="1040" w:type="dxa"/>
            <w:vAlign w:val="bottom"/>
            <w:tcBorders>
              <w:bottom w:val="single" w:sz="8" w:color="CCEEF7"/>
            </w:tcBorders>
            <w:shd w:val="clear" w:color="auto" w:fill="CCEEF7"/>
          </w:tcPr>
          <w:p>
            <w:pPr>
              <w:jc w:val="right"/>
              <w:ind w:right="79"/>
              <w:spacing w:after="0"/>
              <w:rPr>
                <w:sz w:val="20"/>
                <w:szCs w:val="20"/>
                <w:color w:val="auto"/>
              </w:rPr>
            </w:pPr>
            <w:r>
              <w:rPr>
                <w:rFonts w:ascii="Arial" w:cs="Arial" w:eastAsia="Arial" w:hAnsi="Arial"/>
                <w:sz w:val="16"/>
                <w:szCs w:val="16"/>
                <w:color w:val="auto"/>
              </w:rPr>
              <w:t>980,000</w:t>
            </w:r>
          </w:p>
        </w:tc>
        <w:tc>
          <w:tcPr>
            <w:tcW w:w="1080" w:type="dxa"/>
            <w:vAlign w:val="bottom"/>
            <w:tcBorders>
              <w:bottom w:val="single" w:sz="8" w:color="CCEEF7"/>
            </w:tcBorders>
            <w:shd w:val="clear" w:color="auto" w:fill="CCEEF7"/>
          </w:tcPr>
          <w:p>
            <w:pPr>
              <w:jc w:val="right"/>
              <w:ind w:right="99"/>
              <w:spacing w:after="0"/>
              <w:rPr>
                <w:sz w:val="20"/>
                <w:szCs w:val="20"/>
                <w:color w:val="auto"/>
              </w:rPr>
            </w:pPr>
            <w:r>
              <w:rPr>
                <w:rFonts w:ascii="Arial" w:cs="Arial" w:eastAsia="Arial" w:hAnsi="Arial"/>
                <w:sz w:val="16"/>
                <w:szCs w:val="16"/>
                <w:color w:val="auto"/>
              </w:rPr>
              <w:t>814,948</w:t>
            </w:r>
          </w:p>
        </w:tc>
        <w:tc>
          <w:tcPr>
            <w:tcW w:w="1220" w:type="dxa"/>
            <w:vAlign w:val="bottom"/>
            <w:tcBorders>
              <w:bottom w:val="single" w:sz="8" w:color="CCEEF7"/>
            </w:tcBorders>
            <w:shd w:val="clear" w:color="auto" w:fill="CCEEF7"/>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26,242</w:t>
            </w:r>
          </w:p>
        </w:tc>
        <w:tc>
          <w:tcPr>
            <w:tcW w:w="1040" w:type="dxa"/>
            <w:vAlign w:val="bottom"/>
            <w:tcBorders>
              <w:bottom w:val="single" w:sz="8" w:color="CCEEF7"/>
            </w:tcBorders>
            <w:shd w:val="clear" w:color="auto" w:fill="CCEEF7"/>
          </w:tcPr>
          <w:p>
            <w:pPr>
              <w:jc w:val="right"/>
              <w:ind w:right="39"/>
              <w:spacing w:after="0"/>
              <w:rPr>
                <w:sz w:val="20"/>
                <w:szCs w:val="20"/>
                <w:color w:val="auto"/>
              </w:rPr>
            </w:pPr>
            <w:r>
              <w:rPr>
                <w:rFonts w:ascii="Arial" w:cs="Arial" w:eastAsia="Arial" w:hAnsi="Arial"/>
                <w:sz w:val="16"/>
                <w:szCs w:val="16"/>
                <w:color w:val="auto"/>
              </w:rPr>
              <w:t>2,221,190</w:t>
            </w:r>
          </w:p>
        </w:tc>
        <w:tc>
          <w:tcPr>
            <w:tcW w:w="0" w:type="dxa"/>
            <w:vAlign w:val="bottom"/>
          </w:tcPr>
          <w:p>
            <w:pPr>
              <w:spacing w:after="0"/>
              <w:rPr>
                <w:sz w:val="1"/>
                <w:szCs w:val="1"/>
                <w:color w:val="auto"/>
              </w:rPr>
            </w:pPr>
          </w:p>
        </w:tc>
      </w:tr>
      <w:tr>
        <w:trPr>
          <w:trHeight w:val="264"/>
        </w:trPr>
        <w:tc>
          <w:tcPr>
            <w:tcW w:w="4000" w:type="dxa"/>
            <w:vAlign w:val="bottom"/>
            <w:vMerge w:val="restart"/>
          </w:tcPr>
          <w:p>
            <w:pPr>
              <w:ind w:left="60"/>
              <w:spacing w:after="0"/>
              <w:rPr>
                <w:sz w:val="20"/>
                <w:szCs w:val="20"/>
                <w:color w:val="auto"/>
              </w:rPr>
            </w:pPr>
            <w:r>
              <w:rPr>
                <w:rFonts w:ascii="Arial" w:cs="Arial" w:eastAsia="Arial" w:hAnsi="Arial"/>
                <w:sz w:val="16"/>
                <w:szCs w:val="16"/>
                <w:color w:val="auto"/>
              </w:rPr>
              <w:t>Billy Hult</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660,000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3,684,862</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8,437,500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43,417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12,825,779</w:t>
            </w:r>
          </w:p>
        </w:tc>
        <w:tc>
          <w:tcPr>
            <w:tcW w:w="0" w:type="dxa"/>
            <w:vAlign w:val="bottom"/>
          </w:tcPr>
          <w:p>
            <w:pPr>
              <w:spacing w:after="0"/>
              <w:rPr>
                <w:sz w:val="1"/>
                <w:szCs w:val="1"/>
                <w:color w:val="auto"/>
              </w:rPr>
            </w:pPr>
          </w:p>
        </w:tc>
      </w:tr>
      <w:tr>
        <w:trPr>
          <w:trHeight w:val="150"/>
        </w:trPr>
        <w:tc>
          <w:tcPr>
            <w:tcW w:w="4000" w:type="dxa"/>
            <w:vAlign w:val="bottom"/>
            <w:vMerge w:val="continue"/>
          </w:tcPr>
          <w:p>
            <w:pPr>
              <w:spacing w:after="0"/>
              <w:rPr>
                <w:sz w:val="13"/>
                <w:szCs w:val="13"/>
                <w:color w:val="auto"/>
              </w:rPr>
            </w:pPr>
          </w:p>
        </w:tc>
        <w:tc>
          <w:tcPr>
            <w:tcW w:w="8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2020</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660,000</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99"/>
              <w:spacing w:after="0"/>
              <w:rPr>
                <w:sz w:val="20"/>
                <w:szCs w:val="20"/>
                <w:color w:val="auto"/>
              </w:rPr>
            </w:pPr>
            <w:r>
              <w:rPr>
                <w:rFonts w:ascii="Arial" w:cs="Arial" w:eastAsia="Arial" w:hAnsi="Arial"/>
                <w:sz w:val="16"/>
                <w:szCs w:val="16"/>
                <w:color w:val="auto"/>
              </w:rPr>
              <w:t>3,349,972</w:t>
            </w: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color w:val="auto"/>
              </w:rPr>
              <w:t>6,700,000</w:t>
            </w: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44,700</w:t>
            </w: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10,754,672</w:t>
            </w:r>
          </w:p>
        </w:tc>
        <w:tc>
          <w:tcPr>
            <w:tcW w:w="0" w:type="dxa"/>
            <w:vAlign w:val="bottom"/>
          </w:tcPr>
          <w:p>
            <w:pPr>
              <w:spacing w:after="0"/>
              <w:rPr>
                <w:sz w:val="1"/>
                <w:szCs w:val="1"/>
                <w:color w:val="auto"/>
              </w:rPr>
            </w:pPr>
          </w:p>
        </w:tc>
      </w:tr>
      <w:tr>
        <w:trPr>
          <w:trHeight w:val="106"/>
        </w:trPr>
        <w:tc>
          <w:tcPr>
            <w:tcW w:w="4000" w:type="dxa"/>
            <w:vAlign w:val="bottom"/>
            <w:vMerge w:val="restart"/>
          </w:tcPr>
          <w:p>
            <w:pPr>
              <w:ind w:left="60"/>
              <w:spacing w:after="0"/>
              <w:rPr>
                <w:sz w:val="20"/>
                <w:szCs w:val="20"/>
                <w:color w:val="auto"/>
              </w:rPr>
            </w:pPr>
            <w:r>
              <w:rPr>
                <w:rFonts w:ascii="Arial" w:cs="Arial" w:eastAsia="Arial" w:hAnsi="Arial"/>
                <w:sz w:val="13"/>
                <w:szCs w:val="13"/>
                <w:i w:val="1"/>
                <w:iCs w:val="1"/>
                <w:color w:val="auto"/>
              </w:rPr>
              <w:t>President</w:t>
            </w:r>
          </w:p>
        </w:tc>
        <w:tc>
          <w:tcPr>
            <w:tcW w:w="8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4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660,000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2,830,000</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6,234,000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45,301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9,769,301</w:t>
            </w:r>
          </w:p>
        </w:tc>
        <w:tc>
          <w:tcPr>
            <w:tcW w:w="0" w:type="dxa"/>
            <w:vAlign w:val="bottom"/>
          </w:tcPr>
          <w:p>
            <w:pPr>
              <w:spacing w:after="0"/>
              <w:rPr>
                <w:sz w:val="1"/>
                <w:szCs w:val="1"/>
                <w:color w:val="auto"/>
              </w:rPr>
            </w:pPr>
          </w:p>
        </w:tc>
      </w:tr>
      <w:tr>
        <w:trPr>
          <w:trHeight w:val="60"/>
        </w:trPr>
        <w:tc>
          <w:tcPr>
            <w:tcW w:w="400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CEEF7"/>
          </w:tcPr>
          <w:p>
            <w:pPr>
              <w:ind w:left="60"/>
              <w:spacing w:after="0"/>
              <w:rPr>
                <w:sz w:val="20"/>
                <w:szCs w:val="20"/>
                <w:color w:val="auto"/>
              </w:rPr>
            </w:pPr>
            <w:r>
              <w:rPr>
                <w:rFonts w:ascii="Arial" w:cs="Arial" w:eastAsia="Arial" w:hAnsi="Arial"/>
                <w:sz w:val="16"/>
                <w:szCs w:val="16"/>
                <w:color w:val="auto"/>
              </w:rPr>
              <w:t>Enrico Bruni</w:t>
            </w:r>
          </w:p>
        </w:tc>
        <w:tc>
          <w:tcPr>
            <w:tcW w:w="800" w:type="dxa"/>
            <w:vAlign w:val="bottom"/>
            <w:gridSpan w:val="2"/>
            <w:shd w:val="clear" w:color="auto" w:fill="CCEEF7"/>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384,750</w:t>
            </w:r>
          </w:p>
        </w:tc>
        <w:tc>
          <w:tcPr>
            <w:tcW w:w="1040" w:type="dxa"/>
            <w:vAlign w:val="bottom"/>
            <w:shd w:val="clear" w:color="auto" w:fill="CCEEF7"/>
          </w:tcPr>
          <w:p>
            <w:pPr>
              <w:jc w:val="right"/>
              <w:ind w:right="79"/>
              <w:spacing w:after="0"/>
              <w:rPr>
                <w:sz w:val="20"/>
                <w:szCs w:val="20"/>
                <w:color w:val="auto"/>
              </w:rPr>
            </w:pPr>
            <w:r>
              <w:rPr>
                <w:rFonts w:ascii="Arial" w:cs="Arial" w:eastAsia="Arial" w:hAnsi="Arial"/>
                <w:sz w:val="16"/>
                <w:szCs w:val="16"/>
                <w:color w:val="auto"/>
              </w:rPr>
              <w:t>1,946,427</w:t>
            </w:r>
          </w:p>
        </w:tc>
        <w:tc>
          <w:tcPr>
            <w:tcW w:w="1080" w:type="dxa"/>
            <w:vAlign w:val="bottom"/>
            <w:shd w:val="clear" w:color="auto" w:fill="CCEEF7"/>
          </w:tcPr>
          <w:p>
            <w:pPr>
              <w:jc w:val="right"/>
              <w:ind w:right="99"/>
              <w:spacing w:after="0"/>
              <w:rPr>
                <w:sz w:val="20"/>
                <w:szCs w:val="20"/>
                <w:color w:val="auto"/>
              </w:rPr>
            </w:pPr>
            <w:r>
              <w:rPr>
                <w:rFonts w:ascii="Arial" w:cs="Arial" w:eastAsia="Arial" w:hAnsi="Arial"/>
                <w:sz w:val="16"/>
                <w:szCs w:val="16"/>
                <w:color w:val="auto"/>
              </w:rPr>
              <w:t>1,399,992</w:t>
            </w:r>
          </w:p>
        </w:tc>
        <w:tc>
          <w:tcPr>
            <w:tcW w:w="1220" w:type="dxa"/>
            <w:vAlign w:val="bottom"/>
            <w:shd w:val="clear" w:color="auto" w:fill="CCEEF7"/>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45,201</w:t>
            </w:r>
          </w:p>
        </w:tc>
        <w:tc>
          <w:tcPr>
            <w:tcW w:w="1040" w:type="dxa"/>
            <w:vAlign w:val="bottom"/>
            <w:shd w:val="clear" w:color="auto" w:fill="CCEEF7"/>
          </w:tcPr>
          <w:p>
            <w:pPr>
              <w:jc w:val="right"/>
              <w:ind w:right="39"/>
              <w:spacing w:after="0"/>
              <w:rPr>
                <w:sz w:val="20"/>
                <w:szCs w:val="20"/>
                <w:color w:val="auto"/>
              </w:rPr>
            </w:pPr>
            <w:r>
              <w:rPr>
                <w:rFonts w:ascii="Arial" w:cs="Arial" w:eastAsia="Arial" w:hAnsi="Arial"/>
                <w:sz w:val="16"/>
                <w:szCs w:val="16"/>
                <w:color w:val="auto"/>
              </w:rPr>
              <w:t>3,776,370</w:t>
            </w:r>
          </w:p>
        </w:tc>
        <w:tc>
          <w:tcPr>
            <w:tcW w:w="0" w:type="dxa"/>
            <w:vAlign w:val="bottom"/>
          </w:tcPr>
          <w:p>
            <w:pPr>
              <w:spacing w:after="0"/>
              <w:rPr>
                <w:sz w:val="1"/>
                <w:szCs w:val="1"/>
                <w:color w:val="auto"/>
              </w:rPr>
            </w:pPr>
          </w:p>
        </w:tc>
      </w:tr>
      <w:tr>
        <w:trPr>
          <w:trHeight w:val="135"/>
        </w:trPr>
        <w:tc>
          <w:tcPr>
            <w:tcW w:w="4000" w:type="dxa"/>
            <w:vAlign w:val="bottom"/>
            <w:shd w:val="clear" w:color="auto" w:fill="CCEEF7"/>
          </w:tcPr>
          <w:p>
            <w:pPr>
              <w:ind w:left="60"/>
              <w:spacing w:after="0" w:line="135" w:lineRule="exact"/>
              <w:rPr>
                <w:sz w:val="20"/>
                <w:szCs w:val="20"/>
                <w:color w:val="auto"/>
              </w:rPr>
            </w:pPr>
            <w:r>
              <w:rPr>
                <w:rFonts w:ascii="Arial" w:cs="Arial" w:eastAsia="Arial" w:hAnsi="Arial"/>
                <w:sz w:val="13"/>
                <w:szCs w:val="13"/>
                <w:i w:val="1"/>
                <w:iCs w:val="1"/>
                <w:color w:val="auto"/>
              </w:rPr>
              <w:t>Managing Director,</w:t>
            </w:r>
          </w:p>
        </w:tc>
        <w:tc>
          <w:tcPr>
            <w:tcW w:w="260" w:type="dxa"/>
            <w:vAlign w:val="bottom"/>
            <w:shd w:val="clear" w:color="auto" w:fill="CCEEF7"/>
          </w:tcPr>
          <w:p>
            <w:pPr>
              <w:spacing w:after="0"/>
              <w:rPr>
                <w:sz w:val="11"/>
                <w:szCs w:val="11"/>
                <w:color w:val="auto"/>
              </w:rPr>
            </w:pPr>
          </w:p>
        </w:tc>
        <w:tc>
          <w:tcPr>
            <w:tcW w:w="54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w w:val="95"/>
              </w:rPr>
              <w:t>2020</w:t>
            </w:r>
          </w:p>
        </w:tc>
        <w:tc>
          <w:tcPr>
            <w:tcW w:w="92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382,890</w:t>
            </w:r>
          </w:p>
        </w:tc>
        <w:tc>
          <w:tcPr>
            <w:tcW w:w="1040" w:type="dxa"/>
            <w:vAlign w:val="bottom"/>
            <w:vMerge w:val="restart"/>
            <w:shd w:val="clear" w:color="auto" w:fill="CCEEF7"/>
          </w:tcPr>
          <w:p>
            <w:pPr>
              <w:jc w:val="right"/>
              <w:ind w:right="79"/>
              <w:spacing w:after="0"/>
              <w:rPr>
                <w:sz w:val="20"/>
                <w:szCs w:val="20"/>
                <w:color w:val="auto"/>
              </w:rPr>
            </w:pPr>
            <w:r>
              <w:rPr>
                <w:rFonts w:ascii="Arial" w:cs="Arial" w:eastAsia="Arial" w:hAnsi="Arial"/>
                <w:sz w:val="16"/>
                <w:szCs w:val="16"/>
                <w:color w:val="auto"/>
              </w:rPr>
              <w:t>1,837,500</w:t>
            </w:r>
          </w:p>
        </w:tc>
        <w:tc>
          <w:tcPr>
            <w:tcW w:w="108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1,249,982</w:t>
            </w:r>
          </w:p>
        </w:tc>
        <w:tc>
          <w:tcPr>
            <w:tcW w:w="1220" w:type="dxa"/>
            <w:vAlign w:val="bottom"/>
            <w:vMerge w:val="restart"/>
            <w:shd w:val="clear" w:color="auto" w:fill="CCEEF7"/>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44,277</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3,514,649</w:t>
            </w:r>
          </w:p>
        </w:tc>
        <w:tc>
          <w:tcPr>
            <w:tcW w:w="0" w:type="dxa"/>
            <w:vAlign w:val="bottom"/>
          </w:tcPr>
          <w:p>
            <w:pPr>
              <w:spacing w:after="0"/>
              <w:rPr>
                <w:sz w:val="1"/>
                <w:szCs w:val="1"/>
                <w:color w:val="auto"/>
              </w:rPr>
            </w:pPr>
          </w:p>
        </w:tc>
      </w:tr>
      <w:tr>
        <w:trPr>
          <w:trHeight w:val="135"/>
        </w:trPr>
        <w:tc>
          <w:tcPr>
            <w:tcW w:w="4000" w:type="dxa"/>
            <w:vAlign w:val="bottom"/>
            <w:shd w:val="clear" w:color="auto" w:fill="CCEEF7"/>
          </w:tcPr>
          <w:p>
            <w:pPr>
              <w:ind w:left="60"/>
              <w:spacing w:after="0" w:line="135" w:lineRule="exact"/>
              <w:rPr>
                <w:sz w:val="20"/>
                <w:szCs w:val="20"/>
                <w:color w:val="auto"/>
              </w:rPr>
            </w:pPr>
            <w:r>
              <w:rPr>
                <w:rFonts w:ascii="Arial" w:cs="Arial" w:eastAsia="Arial" w:hAnsi="Arial"/>
                <w:sz w:val="13"/>
                <w:szCs w:val="13"/>
                <w:i w:val="1"/>
                <w:iCs w:val="1"/>
                <w:color w:val="auto"/>
              </w:rPr>
              <w:t>Head of Europe</w:t>
            </w:r>
          </w:p>
        </w:tc>
        <w:tc>
          <w:tcPr>
            <w:tcW w:w="260" w:type="dxa"/>
            <w:vAlign w:val="bottom"/>
            <w:shd w:val="clear" w:color="auto" w:fill="CCEEF7"/>
          </w:tcPr>
          <w:p>
            <w:pPr>
              <w:spacing w:after="0"/>
              <w:rPr>
                <w:sz w:val="11"/>
                <w:szCs w:val="11"/>
                <w:color w:val="auto"/>
              </w:rPr>
            </w:pPr>
          </w:p>
        </w:tc>
        <w:tc>
          <w:tcPr>
            <w:tcW w:w="540" w:type="dxa"/>
            <w:vAlign w:val="bottom"/>
            <w:vMerge w:val="continue"/>
            <w:shd w:val="clear" w:color="auto" w:fill="CCEEF7"/>
          </w:tcPr>
          <w:p>
            <w:pPr>
              <w:spacing w:after="0"/>
              <w:rPr>
                <w:sz w:val="11"/>
                <w:szCs w:val="11"/>
                <w:color w:val="auto"/>
              </w:rPr>
            </w:pPr>
          </w:p>
        </w:tc>
        <w:tc>
          <w:tcPr>
            <w:tcW w:w="920" w:type="dxa"/>
            <w:vAlign w:val="bottom"/>
            <w:vMerge w:val="continue"/>
            <w:shd w:val="clear" w:color="auto" w:fill="CCEEF7"/>
          </w:tcPr>
          <w:p>
            <w:pPr>
              <w:spacing w:after="0"/>
              <w:rPr>
                <w:sz w:val="11"/>
                <w:szCs w:val="11"/>
                <w:color w:val="auto"/>
              </w:rPr>
            </w:pPr>
          </w:p>
        </w:tc>
        <w:tc>
          <w:tcPr>
            <w:tcW w:w="1040" w:type="dxa"/>
            <w:vAlign w:val="bottom"/>
            <w:vMerge w:val="continue"/>
            <w:shd w:val="clear" w:color="auto" w:fill="CCEEF7"/>
          </w:tcPr>
          <w:p>
            <w:pPr>
              <w:spacing w:after="0"/>
              <w:rPr>
                <w:sz w:val="11"/>
                <w:szCs w:val="11"/>
                <w:color w:val="auto"/>
              </w:rPr>
            </w:pPr>
          </w:p>
        </w:tc>
        <w:tc>
          <w:tcPr>
            <w:tcW w:w="1080" w:type="dxa"/>
            <w:vAlign w:val="bottom"/>
            <w:vMerge w:val="continue"/>
            <w:shd w:val="clear" w:color="auto" w:fill="CCEEF7"/>
          </w:tcPr>
          <w:p>
            <w:pPr>
              <w:spacing w:after="0"/>
              <w:rPr>
                <w:sz w:val="11"/>
                <w:szCs w:val="11"/>
                <w:color w:val="auto"/>
              </w:rPr>
            </w:pPr>
          </w:p>
        </w:tc>
        <w:tc>
          <w:tcPr>
            <w:tcW w:w="1220" w:type="dxa"/>
            <w:vAlign w:val="bottom"/>
            <w:vMerge w:val="continue"/>
            <w:shd w:val="clear" w:color="auto" w:fill="CCEEF7"/>
          </w:tcPr>
          <w:p>
            <w:pPr>
              <w:spacing w:after="0"/>
              <w:rPr>
                <w:sz w:val="11"/>
                <w:szCs w:val="11"/>
                <w:color w:val="auto"/>
              </w:rPr>
            </w:pPr>
          </w:p>
        </w:tc>
        <w:tc>
          <w:tcPr>
            <w:tcW w:w="920" w:type="dxa"/>
            <w:vAlign w:val="bottom"/>
            <w:vMerge w:val="continue"/>
            <w:shd w:val="clear" w:color="auto" w:fill="CCEEF7"/>
          </w:tcPr>
          <w:p>
            <w:pPr>
              <w:spacing w:after="0"/>
              <w:rPr>
                <w:sz w:val="11"/>
                <w:szCs w:val="11"/>
                <w:color w:val="auto"/>
              </w:rPr>
            </w:pPr>
          </w:p>
        </w:tc>
        <w:tc>
          <w:tcPr>
            <w:tcW w:w="1040" w:type="dxa"/>
            <w:vAlign w:val="bottom"/>
            <w:vMerge w:val="continue"/>
            <w:shd w:val="clear" w:color="auto" w:fill="CCEEF7"/>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00" w:type="dxa"/>
            <w:vAlign w:val="bottom"/>
            <w:shd w:val="clear" w:color="auto" w:fill="CCEEF7"/>
          </w:tcPr>
          <w:p>
            <w:pPr>
              <w:ind w:left="60"/>
              <w:spacing w:after="0"/>
              <w:rPr>
                <w:sz w:val="20"/>
                <w:szCs w:val="20"/>
                <w:color w:val="auto"/>
              </w:rPr>
            </w:pPr>
            <w:r>
              <w:rPr>
                <w:rFonts w:ascii="Arial" w:cs="Arial" w:eastAsia="Arial" w:hAnsi="Arial"/>
                <w:sz w:val="13"/>
                <w:szCs w:val="13"/>
                <w:i w:val="1"/>
                <w:iCs w:val="1"/>
                <w:color w:val="auto"/>
              </w:rPr>
              <w:t>and Asia Business</w:t>
            </w:r>
            <w:r>
              <w:rPr>
                <w:rFonts w:ascii="Arial" w:cs="Arial" w:eastAsia="Arial" w:hAnsi="Arial"/>
                <w:sz w:val="10"/>
                <w:szCs w:val="10"/>
                <w:i w:val="1"/>
                <w:iCs w:val="1"/>
                <w:color w:val="auto"/>
              </w:rPr>
              <w:t>(5)</w:t>
            </w:r>
          </w:p>
        </w:tc>
        <w:tc>
          <w:tcPr>
            <w:tcW w:w="260" w:type="dxa"/>
            <w:vAlign w:val="bottom"/>
            <w:shd w:val="clear" w:color="auto" w:fill="CCEEF7"/>
          </w:tcPr>
          <w:p>
            <w:pPr>
              <w:spacing w:after="0"/>
              <w:rPr>
                <w:sz w:val="14"/>
                <w:szCs w:val="14"/>
                <w:color w:val="auto"/>
              </w:rPr>
            </w:pPr>
          </w:p>
        </w:tc>
        <w:tc>
          <w:tcPr>
            <w:tcW w:w="54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w w:val="95"/>
              </w:rPr>
              <w:t>2019</w:t>
            </w:r>
          </w:p>
        </w:tc>
        <w:tc>
          <w:tcPr>
            <w:tcW w:w="92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392,123</w:t>
            </w:r>
          </w:p>
        </w:tc>
        <w:tc>
          <w:tcPr>
            <w:tcW w:w="1040" w:type="dxa"/>
            <w:vAlign w:val="bottom"/>
            <w:vMerge w:val="restart"/>
            <w:shd w:val="clear" w:color="auto" w:fill="CCEEF7"/>
          </w:tcPr>
          <w:p>
            <w:pPr>
              <w:jc w:val="right"/>
              <w:ind w:right="79"/>
              <w:spacing w:after="0"/>
              <w:rPr>
                <w:sz w:val="20"/>
                <w:szCs w:val="20"/>
                <w:color w:val="auto"/>
              </w:rPr>
            </w:pPr>
            <w:r>
              <w:rPr>
                <w:rFonts w:ascii="Arial" w:cs="Arial" w:eastAsia="Arial" w:hAnsi="Arial"/>
                <w:sz w:val="16"/>
                <w:szCs w:val="16"/>
                <w:color w:val="auto"/>
              </w:rPr>
              <w:t>1,719,182</w:t>
            </w:r>
          </w:p>
        </w:tc>
        <w:tc>
          <w:tcPr>
            <w:tcW w:w="1080" w:type="dxa"/>
            <w:vAlign w:val="bottom"/>
            <w:vMerge w:val="restart"/>
            <w:shd w:val="clear" w:color="auto" w:fill="CCEEF7"/>
          </w:tcPr>
          <w:p>
            <w:pPr>
              <w:jc w:val="right"/>
              <w:ind w:right="99"/>
              <w:spacing w:after="0"/>
              <w:rPr>
                <w:sz w:val="20"/>
                <w:szCs w:val="20"/>
                <w:color w:val="auto"/>
              </w:rPr>
            </w:pPr>
            <w:r>
              <w:rPr>
                <w:rFonts w:ascii="Arial" w:cs="Arial" w:eastAsia="Arial" w:hAnsi="Arial"/>
                <w:sz w:val="16"/>
                <w:szCs w:val="16"/>
                <w:color w:val="auto"/>
              </w:rPr>
              <w:t>500,000</w:t>
            </w:r>
          </w:p>
        </w:tc>
        <w:tc>
          <w:tcPr>
            <w:tcW w:w="1220" w:type="dxa"/>
            <w:vAlign w:val="bottom"/>
            <w:vMerge w:val="restart"/>
            <w:shd w:val="clear" w:color="auto" w:fill="CCEEF7"/>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35,976</w:t>
            </w:r>
          </w:p>
        </w:tc>
        <w:tc>
          <w:tcPr>
            <w:tcW w:w="1040" w:type="dxa"/>
            <w:vAlign w:val="bottom"/>
            <w:vMerge w:val="restart"/>
            <w:shd w:val="clear" w:color="auto" w:fill="CCEEF7"/>
          </w:tcPr>
          <w:p>
            <w:pPr>
              <w:jc w:val="right"/>
              <w:ind w:right="39"/>
              <w:spacing w:after="0"/>
              <w:rPr>
                <w:sz w:val="20"/>
                <w:szCs w:val="20"/>
                <w:color w:val="auto"/>
              </w:rPr>
            </w:pPr>
            <w:r>
              <w:rPr>
                <w:rFonts w:ascii="Arial" w:cs="Arial" w:eastAsia="Arial" w:hAnsi="Arial"/>
                <w:sz w:val="16"/>
                <w:szCs w:val="16"/>
                <w:color w:val="auto"/>
              </w:rPr>
              <w:t>2,647,281</w:t>
            </w:r>
          </w:p>
        </w:tc>
        <w:tc>
          <w:tcPr>
            <w:tcW w:w="0" w:type="dxa"/>
            <w:vAlign w:val="bottom"/>
          </w:tcPr>
          <w:p>
            <w:pPr>
              <w:spacing w:after="0"/>
              <w:rPr>
                <w:sz w:val="1"/>
                <w:szCs w:val="1"/>
                <w:color w:val="auto"/>
              </w:rPr>
            </w:pPr>
          </w:p>
        </w:tc>
      </w:tr>
      <w:tr>
        <w:trPr>
          <w:trHeight w:val="145"/>
        </w:trPr>
        <w:tc>
          <w:tcPr>
            <w:tcW w:w="4000" w:type="dxa"/>
            <w:vAlign w:val="bottom"/>
            <w:tcBorders>
              <w:bottom w:val="single" w:sz="8" w:color="CCEEF7"/>
            </w:tcBorders>
            <w:shd w:val="clear" w:color="auto" w:fill="CCEEF7"/>
          </w:tcPr>
          <w:p>
            <w:pPr>
              <w:spacing w:after="0"/>
              <w:rPr>
                <w:sz w:val="12"/>
                <w:szCs w:val="12"/>
                <w:color w:val="auto"/>
              </w:rPr>
            </w:pPr>
          </w:p>
        </w:tc>
        <w:tc>
          <w:tcPr>
            <w:tcW w:w="260" w:type="dxa"/>
            <w:vAlign w:val="bottom"/>
            <w:tcBorders>
              <w:bottom w:val="single" w:sz="8" w:color="CCEEF7"/>
            </w:tcBorders>
            <w:shd w:val="clear" w:color="auto" w:fill="CCEEF7"/>
          </w:tcPr>
          <w:p>
            <w:pPr>
              <w:spacing w:after="0"/>
              <w:rPr>
                <w:sz w:val="12"/>
                <w:szCs w:val="12"/>
                <w:color w:val="auto"/>
              </w:rPr>
            </w:pPr>
          </w:p>
        </w:tc>
        <w:tc>
          <w:tcPr>
            <w:tcW w:w="540" w:type="dxa"/>
            <w:vAlign w:val="bottom"/>
            <w:tcBorders>
              <w:bottom w:val="single" w:sz="8" w:color="CCEEF7"/>
            </w:tcBorders>
            <w:vMerge w:val="continue"/>
            <w:shd w:val="clear" w:color="auto" w:fill="CCEEF7"/>
          </w:tcPr>
          <w:p>
            <w:pPr>
              <w:spacing w:after="0"/>
              <w:rPr>
                <w:sz w:val="12"/>
                <w:szCs w:val="12"/>
                <w:color w:val="auto"/>
              </w:rPr>
            </w:pPr>
          </w:p>
        </w:tc>
        <w:tc>
          <w:tcPr>
            <w:tcW w:w="920" w:type="dxa"/>
            <w:vAlign w:val="bottom"/>
            <w:tcBorders>
              <w:bottom w:val="single" w:sz="8" w:color="CCEEF7"/>
            </w:tcBorders>
            <w:vMerge w:val="continue"/>
            <w:shd w:val="clear" w:color="auto" w:fill="CCEEF7"/>
          </w:tcPr>
          <w:p>
            <w:pPr>
              <w:spacing w:after="0"/>
              <w:rPr>
                <w:sz w:val="12"/>
                <w:szCs w:val="12"/>
                <w:color w:val="auto"/>
              </w:rPr>
            </w:pPr>
          </w:p>
        </w:tc>
        <w:tc>
          <w:tcPr>
            <w:tcW w:w="1040" w:type="dxa"/>
            <w:vAlign w:val="bottom"/>
            <w:tcBorders>
              <w:bottom w:val="single" w:sz="8" w:color="CCEEF7"/>
            </w:tcBorders>
            <w:vMerge w:val="continue"/>
            <w:shd w:val="clear" w:color="auto" w:fill="CCEEF7"/>
          </w:tcPr>
          <w:p>
            <w:pPr>
              <w:spacing w:after="0"/>
              <w:rPr>
                <w:sz w:val="12"/>
                <w:szCs w:val="12"/>
                <w:color w:val="auto"/>
              </w:rPr>
            </w:pPr>
          </w:p>
        </w:tc>
        <w:tc>
          <w:tcPr>
            <w:tcW w:w="1080" w:type="dxa"/>
            <w:vAlign w:val="bottom"/>
            <w:tcBorders>
              <w:bottom w:val="single" w:sz="8" w:color="CCEEF7"/>
            </w:tcBorders>
            <w:vMerge w:val="continue"/>
            <w:shd w:val="clear" w:color="auto" w:fill="CCEEF7"/>
          </w:tcPr>
          <w:p>
            <w:pPr>
              <w:spacing w:after="0"/>
              <w:rPr>
                <w:sz w:val="12"/>
                <w:szCs w:val="12"/>
                <w:color w:val="auto"/>
              </w:rPr>
            </w:pPr>
          </w:p>
        </w:tc>
        <w:tc>
          <w:tcPr>
            <w:tcW w:w="1220" w:type="dxa"/>
            <w:vAlign w:val="bottom"/>
            <w:tcBorders>
              <w:bottom w:val="single" w:sz="8" w:color="CCEEF7"/>
            </w:tcBorders>
            <w:vMerge w:val="continue"/>
            <w:shd w:val="clear" w:color="auto" w:fill="CCEEF7"/>
          </w:tcPr>
          <w:p>
            <w:pPr>
              <w:spacing w:after="0"/>
              <w:rPr>
                <w:sz w:val="12"/>
                <w:szCs w:val="12"/>
                <w:color w:val="auto"/>
              </w:rPr>
            </w:pPr>
          </w:p>
        </w:tc>
        <w:tc>
          <w:tcPr>
            <w:tcW w:w="920" w:type="dxa"/>
            <w:vAlign w:val="bottom"/>
            <w:tcBorders>
              <w:bottom w:val="single" w:sz="8" w:color="CCEEF7"/>
            </w:tcBorders>
            <w:vMerge w:val="continue"/>
            <w:shd w:val="clear" w:color="auto" w:fill="CCEEF7"/>
          </w:tcPr>
          <w:p>
            <w:pPr>
              <w:spacing w:after="0"/>
              <w:rPr>
                <w:sz w:val="12"/>
                <w:szCs w:val="12"/>
                <w:color w:val="auto"/>
              </w:rPr>
            </w:pPr>
          </w:p>
        </w:tc>
        <w:tc>
          <w:tcPr>
            <w:tcW w:w="1040" w:type="dxa"/>
            <w:vAlign w:val="bottom"/>
            <w:tcBorders>
              <w:bottom w:val="single" w:sz="8" w:color="CCEEF7"/>
            </w:tcBorders>
            <w:vMerge w:val="continue"/>
            <w:shd w:val="clear" w:color="auto" w:fill="CCEEF7"/>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000" w:type="dxa"/>
            <w:vAlign w:val="bottom"/>
          </w:tcPr>
          <w:p>
            <w:pPr>
              <w:ind w:left="60"/>
              <w:spacing w:after="0"/>
              <w:rPr>
                <w:sz w:val="20"/>
                <w:szCs w:val="20"/>
                <w:color w:val="auto"/>
              </w:rPr>
            </w:pPr>
            <w:r>
              <w:rPr>
                <w:rFonts w:ascii="Arial" w:cs="Arial" w:eastAsia="Arial" w:hAnsi="Arial"/>
                <w:sz w:val="16"/>
                <w:szCs w:val="16"/>
                <w:color w:val="auto"/>
              </w:rPr>
              <w:t>Justin Peterson</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2021</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375,000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1,350,000</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1,299,951</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37,333</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3,062,284</w:t>
            </w:r>
          </w:p>
        </w:tc>
        <w:tc>
          <w:tcPr>
            <w:tcW w:w="0" w:type="dxa"/>
            <w:vAlign w:val="bottom"/>
          </w:tcPr>
          <w:p>
            <w:pPr>
              <w:spacing w:after="0"/>
              <w:rPr>
                <w:sz w:val="1"/>
                <w:szCs w:val="1"/>
                <w:color w:val="auto"/>
              </w:rPr>
            </w:pPr>
          </w:p>
        </w:tc>
      </w:tr>
      <w:tr>
        <w:trPr>
          <w:trHeight w:val="195"/>
        </w:trPr>
        <w:tc>
          <w:tcPr>
            <w:tcW w:w="4000" w:type="dxa"/>
            <w:vAlign w:val="bottom"/>
          </w:tcPr>
          <w:p>
            <w:pPr>
              <w:ind w:left="60"/>
              <w:spacing w:after="0"/>
              <w:rPr>
                <w:sz w:val="20"/>
                <w:szCs w:val="20"/>
                <w:color w:val="auto"/>
              </w:rPr>
            </w:pPr>
            <w:r>
              <w:rPr>
                <w:rFonts w:ascii="Arial" w:cs="Arial" w:eastAsia="Arial" w:hAnsi="Arial"/>
                <w:sz w:val="13"/>
                <w:szCs w:val="13"/>
                <w:i w:val="1"/>
                <w:iCs w:val="1"/>
                <w:color w:val="auto"/>
              </w:rPr>
              <w:t>Chief Technology Officer</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2020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300,000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1,210,000</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999,970</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37,423</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2,547,393</w:t>
            </w:r>
          </w:p>
        </w:tc>
        <w:tc>
          <w:tcPr>
            <w:tcW w:w="0" w:type="dxa"/>
            <w:vAlign w:val="bottom"/>
          </w:tcPr>
          <w:p>
            <w:pPr>
              <w:spacing w:after="0"/>
              <w:rPr>
                <w:sz w:val="1"/>
                <w:szCs w:val="1"/>
                <w:color w:val="auto"/>
              </w:rPr>
            </w:pPr>
          </w:p>
        </w:tc>
      </w:tr>
      <w:tr>
        <w:trPr>
          <w:trHeight w:val="67"/>
        </w:trPr>
        <w:tc>
          <w:tcPr>
            <w:tcW w:w="4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20" w:hanging="424"/>
        <w:spacing w:after="0" w:line="24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Messrs. Warshaw, Bruni and Peterson each received an annual bonus as described above in the section titled “Fiscal 2021 Compensation Program in Detail — Annual Cash Bonuses.” Ms. Furber received a guaranteed cash bonus of $700,000 (which the Company increased to $800,000 in its discretion, as described above in the section titled “Fiscal 2021 Compensation Program in Detail — Annual Cash Bonuses”) pursuant to an offer letter entered into in connection with the commencement of her employment as described in the section titled “Narrative Disclosure to Summary Compensation Table and Grants of Plan-Based Awards Table</w:t>
      </w:r>
    </w:p>
    <w:p>
      <w:pPr>
        <w:spacing w:after="0" w:line="1"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 Employment Agreements with our Named Executive Officers.”</w:t>
      </w:r>
    </w:p>
    <w:p>
      <w:pPr>
        <w:spacing w:after="0" w:line="82" w:lineRule="exact"/>
        <w:rPr>
          <w:rFonts w:ascii="Arial" w:cs="Arial" w:eastAsia="Arial" w:hAnsi="Arial"/>
          <w:sz w:val="14"/>
          <w:szCs w:val="14"/>
          <w:color w:val="auto"/>
        </w:rPr>
      </w:pPr>
    </w:p>
    <w:p>
      <w:pPr>
        <w:ind w:left="540" w:right="100" w:hanging="424"/>
        <w:spacing w:after="0" w:line="244"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PRSU awards and RSU awards computed in accordance with FASB ASC Topic 718. Details and assumptions used in calculating the grant date fair value of the PRSU and RSU awards may be found in Note 13 — Stock-Based Compensation Plans to our consolidated financial statements in our Annual Report on Form 10-K for the fiscal year ended December 31, 2021. The grant date fair value of PRSU awards included in this column for each executive is based on target performance. The table below sets forth the grant date fair value of the PRSUs based on both target and maximum performance. Following finalization of the Company’s audited financials for the fiscal year ended December 31, 2021, the highest level of performance conditions was in fact confirmed as having been achieved by the Compensation Committee.</w:t>
      </w:r>
    </w:p>
    <w:p>
      <w:pPr>
        <w:sectPr>
          <w:pgSz w:w="11900" w:h="16838" w:orient="portrait"/>
          <w:cols w:equalWidth="0" w:num="1">
            <w:col w:w="11140"/>
          </w:cols>
          <w:pgMar w:left="320" w:top="459" w:right="439" w:bottom="1440" w:gutter="0" w:footer="0" w:header="0"/>
        </w:sectPr>
      </w:pPr>
    </w:p>
    <w:p>
      <w:pPr>
        <w:spacing w:after="0" w:line="209" w:lineRule="exact"/>
        <w:rPr>
          <w:sz w:val="20"/>
          <w:szCs w:val="20"/>
          <w:color w:val="auto"/>
        </w:rPr>
      </w:pPr>
    </w:p>
    <w:p>
      <w:pPr>
        <w:ind w:left="6560"/>
        <w:spacing w:after="0"/>
        <w:rPr>
          <w:sz w:val="20"/>
          <w:szCs w:val="20"/>
          <w:color w:val="auto"/>
        </w:rPr>
      </w:pPr>
      <w:r>
        <w:rPr>
          <w:rFonts w:ascii="Arial" w:cs="Arial" w:eastAsia="Arial" w:hAnsi="Arial"/>
          <w:sz w:val="12"/>
          <w:szCs w:val="12"/>
          <w:color w:val="auto"/>
        </w:rPr>
        <w:t>PRSU Grant Date Fair Value</w:t>
      </w:r>
    </w:p>
    <w:p>
      <w:pPr>
        <w:spacing w:after="0" w:line="23" w:lineRule="exact"/>
        <w:rPr>
          <w:sz w:val="20"/>
          <w:szCs w:val="20"/>
          <w:color w:val="auto"/>
        </w:rPr>
      </w:pPr>
    </w:p>
    <w:p>
      <w:pPr>
        <w:ind w:left="640"/>
        <w:spacing w:after="0"/>
        <w:tabs>
          <w:tab w:leader="none" w:pos="6280" w:val="left"/>
        </w:tabs>
        <w:rPr>
          <w:sz w:val="20"/>
          <w:szCs w:val="20"/>
          <w:color w:val="auto"/>
        </w:rPr>
      </w:pPr>
      <w:r>
        <w:rPr>
          <w:rFonts w:ascii="Arial" w:cs="Arial" w:eastAsia="Arial" w:hAnsi="Arial"/>
          <w:sz w:val="12"/>
          <w:szCs w:val="12"/>
          <w:color w:val="auto"/>
        </w:rPr>
        <w:t>Executive</w:t>
      </w:r>
      <w:r>
        <w:rPr>
          <w:sz w:val="20"/>
          <w:szCs w:val="20"/>
          <w:color w:val="auto"/>
        </w:rPr>
        <w:tab/>
      </w:r>
      <w:r>
        <w:rPr>
          <w:rFonts w:ascii="Arial" w:cs="Arial" w:eastAsia="Arial" w:hAnsi="Arial"/>
          <w:sz w:val="12"/>
          <w:szCs w:val="12"/>
          <w:color w:val="auto"/>
        </w:rPr>
        <w:t>Based on Target Achievement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600"/>
        <w:spacing w:after="0" w:line="304" w:lineRule="auto"/>
        <w:rPr>
          <w:sz w:val="20"/>
          <w:szCs w:val="20"/>
          <w:color w:val="auto"/>
        </w:rPr>
      </w:pPr>
      <w:r>
        <w:rPr>
          <w:rFonts w:ascii="Arial" w:cs="Arial" w:eastAsia="Arial" w:hAnsi="Arial"/>
          <w:sz w:val="12"/>
          <w:szCs w:val="12"/>
          <w:color w:val="auto"/>
        </w:rPr>
        <w:t>PRSU Grant Date Fair Value Based on Maximum Achievement ($)</w:t>
      </w:r>
    </w:p>
    <w:p>
      <w:pPr>
        <w:spacing w:after="0" w:line="1" w:lineRule="exact"/>
        <w:rPr>
          <w:sz w:val="20"/>
          <w:szCs w:val="20"/>
          <w:color w:val="auto"/>
        </w:rPr>
      </w:pPr>
    </w:p>
    <w:p>
      <w:pPr>
        <w:sectPr>
          <w:pgSz w:w="11900" w:h="16838" w:orient="portrait"/>
          <w:cols w:equalWidth="0" w:num="2">
            <w:col w:w="8220" w:space="280"/>
            <w:col w:w="26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380" w:type="dxa"/>
            <w:vAlign w:val="bottom"/>
            <w:tcBorders>
              <w:top w:val="single" w:sz="8" w:color="auto"/>
            </w:tcBorders>
            <w:shd w:val="clear" w:color="auto" w:fill="CCEEF7"/>
          </w:tcPr>
          <w:p>
            <w:pPr>
              <w:ind w:left="80"/>
              <w:spacing w:after="0"/>
              <w:rPr>
                <w:sz w:val="20"/>
                <w:szCs w:val="20"/>
                <w:color w:val="auto"/>
              </w:rPr>
            </w:pPr>
            <w:r>
              <w:rPr>
                <w:rFonts w:ascii="Arial" w:cs="Arial" w:eastAsia="Arial" w:hAnsi="Arial"/>
                <w:sz w:val="16"/>
                <w:szCs w:val="16"/>
                <w:color w:val="auto"/>
              </w:rPr>
              <w:t>Lee Olesky</w:t>
            </w:r>
          </w:p>
        </w:tc>
        <w:tc>
          <w:tcPr>
            <w:tcW w:w="4000" w:type="dxa"/>
            <w:vAlign w:val="bottom"/>
            <w:tcBorders>
              <w:top w:val="single" w:sz="8" w:color="auto"/>
            </w:tcBorders>
            <w:shd w:val="clear" w:color="auto" w:fill="CCEEF7"/>
          </w:tcPr>
          <w:p>
            <w:pPr>
              <w:spacing w:after="0"/>
              <w:rPr>
                <w:sz w:val="18"/>
                <w:szCs w:val="18"/>
                <w:color w:val="auto"/>
              </w:rPr>
            </w:pPr>
          </w:p>
        </w:tc>
        <w:tc>
          <w:tcPr>
            <w:tcW w:w="3080" w:type="dxa"/>
            <w:vAlign w:val="bottom"/>
            <w:tcBorders>
              <w:top w:val="single" w:sz="8" w:color="auto"/>
            </w:tcBorders>
            <w:shd w:val="clear" w:color="auto" w:fill="CCEEF7"/>
          </w:tcPr>
          <w:p>
            <w:pPr>
              <w:jc w:val="right"/>
              <w:ind w:right="719"/>
              <w:spacing w:after="0"/>
              <w:rPr>
                <w:sz w:val="20"/>
                <w:szCs w:val="20"/>
                <w:color w:val="auto"/>
              </w:rPr>
            </w:pPr>
            <w:r>
              <w:rPr>
                <w:rFonts w:ascii="Arial" w:cs="Arial" w:eastAsia="Arial" w:hAnsi="Arial"/>
                <w:sz w:val="16"/>
                <w:szCs w:val="16"/>
                <w:color w:val="auto"/>
              </w:rPr>
              <w:t>2,199,956</w:t>
            </w:r>
          </w:p>
        </w:tc>
        <w:tc>
          <w:tcPr>
            <w:tcW w:w="1660" w:type="dxa"/>
            <w:vAlign w:val="bottom"/>
            <w:tcBorders>
              <w:top w:val="single" w:sz="8" w:color="auto"/>
            </w:tcBorders>
            <w:shd w:val="clear" w:color="auto" w:fill="CCEEF7"/>
          </w:tcPr>
          <w:p>
            <w:pPr>
              <w:jc w:val="right"/>
              <w:ind w:right="59"/>
              <w:spacing w:after="0"/>
              <w:rPr>
                <w:sz w:val="20"/>
                <w:szCs w:val="20"/>
                <w:color w:val="auto"/>
              </w:rPr>
            </w:pPr>
            <w:r>
              <w:rPr>
                <w:rFonts w:ascii="Arial" w:cs="Arial" w:eastAsia="Arial" w:hAnsi="Arial"/>
                <w:sz w:val="16"/>
                <w:szCs w:val="16"/>
                <w:color w:val="auto"/>
              </w:rPr>
              <w:t>4,399,913</w:t>
            </w:r>
          </w:p>
        </w:tc>
        <w:tc>
          <w:tcPr>
            <w:tcW w:w="460" w:type="dxa"/>
            <w:vAlign w:val="bottom"/>
          </w:tcPr>
          <w:p>
            <w:pPr>
              <w:spacing w:after="0"/>
              <w:rPr>
                <w:sz w:val="18"/>
                <w:szCs w:val="18"/>
                <w:color w:val="auto"/>
              </w:rPr>
            </w:pPr>
          </w:p>
        </w:tc>
      </w:tr>
      <w:tr>
        <w:trPr>
          <w:trHeight w:val="243"/>
        </w:trPr>
        <w:tc>
          <w:tcPr>
            <w:tcW w:w="440" w:type="dxa"/>
            <w:vAlign w:val="bottom"/>
          </w:tcPr>
          <w:p>
            <w:pPr>
              <w:spacing w:after="0"/>
              <w:rPr>
                <w:sz w:val="21"/>
                <w:szCs w:val="21"/>
                <w:color w:val="auto"/>
              </w:rPr>
            </w:pPr>
          </w:p>
        </w:tc>
        <w:tc>
          <w:tcPr>
            <w:tcW w:w="1380" w:type="dxa"/>
            <w:vAlign w:val="bottom"/>
          </w:tcPr>
          <w:p>
            <w:pPr>
              <w:ind w:left="80"/>
              <w:spacing w:after="0"/>
              <w:rPr>
                <w:sz w:val="20"/>
                <w:szCs w:val="20"/>
                <w:color w:val="auto"/>
              </w:rPr>
            </w:pPr>
            <w:r>
              <w:rPr>
                <w:rFonts w:ascii="Arial" w:cs="Arial" w:eastAsia="Arial" w:hAnsi="Arial"/>
                <w:sz w:val="16"/>
                <w:szCs w:val="16"/>
                <w:color w:val="auto"/>
              </w:rPr>
              <w:t>Sara Furber</w:t>
            </w:r>
          </w:p>
        </w:tc>
        <w:tc>
          <w:tcPr>
            <w:tcW w:w="4000" w:type="dxa"/>
            <w:vAlign w:val="bottom"/>
          </w:tcPr>
          <w:p>
            <w:pPr>
              <w:spacing w:after="0"/>
              <w:rPr>
                <w:sz w:val="21"/>
                <w:szCs w:val="21"/>
                <w:color w:val="auto"/>
              </w:rPr>
            </w:pPr>
          </w:p>
        </w:tc>
        <w:tc>
          <w:tcPr>
            <w:tcW w:w="3080" w:type="dxa"/>
            <w:vAlign w:val="bottom"/>
          </w:tcPr>
          <w:p>
            <w:pPr>
              <w:jc w:val="right"/>
              <w:ind w:right="719"/>
              <w:spacing w:after="0"/>
              <w:rPr>
                <w:sz w:val="20"/>
                <w:szCs w:val="20"/>
                <w:color w:val="auto"/>
              </w:rPr>
            </w:pPr>
            <w:r>
              <w:rPr>
                <w:rFonts w:ascii="Arial" w:cs="Arial" w:eastAsia="Arial" w:hAnsi="Arial"/>
                <w:sz w:val="16"/>
                <w:szCs w:val="16"/>
                <w:color w:val="auto"/>
              </w:rPr>
              <w:t>344,931</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689,861</w:t>
            </w:r>
          </w:p>
        </w:tc>
        <w:tc>
          <w:tcPr>
            <w:tcW w:w="46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1380" w:type="dxa"/>
            <w:vAlign w:val="bottom"/>
            <w:shd w:val="clear" w:color="auto" w:fill="CCEEF7"/>
          </w:tcPr>
          <w:p>
            <w:pPr>
              <w:ind w:left="80"/>
              <w:spacing w:after="0"/>
              <w:rPr>
                <w:sz w:val="20"/>
                <w:szCs w:val="20"/>
                <w:color w:val="auto"/>
              </w:rPr>
            </w:pPr>
            <w:r>
              <w:rPr>
                <w:rFonts w:ascii="Arial" w:cs="Arial" w:eastAsia="Arial" w:hAnsi="Arial"/>
                <w:sz w:val="16"/>
                <w:szCs w:val="16"/>
                <w:color w:val="auto"/>
              </w:rPr>
              <w:t>Robert Warshaw</w:t>
            </w:r>
          </w:p>
        </w:tc>
        <w:tc>
          <w:tcPr>
            <w:tcW w:w="4000" w:type="dxa"/>
            <w:vAlign w:val="bottom"/>
            <w:shd w:val="clear" w:color="auto" w:fill="CCEEF7"/>
          </w:tcPr>
          <w:p>
            <w:pPr>
              <w:spacing w:after="0"/>
              <w:rPr>
                <w:sz w:val="21"/>
                <w:szCs w:val="21"/>
                <w:color w:val="auto"/>
              </w:rPr>
            </w:pPr>
          </w:p>
        </w:tc>
        <w:tc>
          <w:tcPr>
            <w:tcW w:w="3080" w:type="dxa"/>
            <w:vAlign w:val="bottom"/>
            <w:shd w:val="clear" w:color="auto" w:fill="CCEEF7"/>
          </w:tcPr>
          <w:p>
            <w:pPr>
              <w:jc w:val="right"/>
              <w:ind w:right="719"/>
              <w:spacing w:after="0"/>
              <w:rPr>
                <w:sz w:val="20"/>
                <w:szCs w:val="20"/>
                <w:color w:val="auto"/>
              </w:rPr>
            </w:pPr>
            <w:r>
              <w:rPr>
                <w:rFonts w:ascii="Arial" w:cs="Arial" w:eastAsia="Arial" w:hAnsi="Arial"/>
                <w:sz w:val="16"/>
                <w:szCs w:val="16"/>
                <w:color w:val="auto"/>
              </w:rPr>
              <w:t>434,948</w:t>
            </w:r>
          </w:p>
        </w:tc>
        <w:tc>
          <w:tcPr>
            <w:tcW w:w="1660" w:type="dxa"/>
            <w:vAlign w:val="bottom"/>
            <w:shd w:val="clear" w:color="auto" w:fill="CCEEF7"/>
          </w:tcPr>
          <w:p>
            <w:pPr>
              <w:jc w:val="right"/>
              <w:ind w:right="59"/>
              <w:spacing w:after="0"/>
              <w:rPr>
                <w:sz w:val="20"/>
                <w:szCs w:val="20"/>
                <w:color w:val="auto"/>
              </w:rPr>
            </w:pPr>
            <w:r>
              <w:rPr>
                <w:rFonts w:ascii="Arial" w:cs="Arial" w:eastAsia="Arial" w:hAnsi="Arial"/>
                <w:sz w:val="16"/>
                <w:szCs w:val="16"/>
                <w:color w:val="auto"/>
              </w:rPr>
              <w:t>869,897</w:t>
            </w:r>
          </w:p>
        </w:tc>
        <w:tc>
          <w:tcPr>
            <w:tcW w:w="46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1380" w:type="dxa"/>
            <w:vAlign w:val="bottom"/>
          </w:tcPr>
          <w:p>
            <w:pPr>
              <w:ind w:left="80"/>
              <w:spacing w:after="0"/>
              <w:rPr>
                <w:sz w:val="20"/>
                <w:szCs w:val="20"/>
                <w:color w:val="auto"/>
              </w:rPr>
            </w:pPr>
            <w:r>
              <w:rPr>
                <w:rFonts w:ascii="Arial" w:cs="Arial" w:eastAsia="Arial" w:hAnsi="Arial"/>
                <w:sz w:val="16"/>
                <w:szCs w:val="16"/>
                <w:color w:val="auto"/>
              </w:rPr>
              <w:t>Billy Hult</w:t>
            </w:r>
          </w:p>
        </w:tc>
        <w:tc>
          <w:tcPr>
            <w:tcW w:w="4000" w:type="dxa"/>
            <w:vAlign w:val="bottom"/>
          </w:tcPr>
          <w:p>
            <w:pPr>
              <w:spacing w:after="0"/>
              <w:rPr>
                <w:sz w:val="21"/>
                <w:szCs w:val="21"/>
                <w:color w:val="auto"/>
              </w:rPr>
            </w:pPr>
          </w:p>
        </w:tc>
        <w:tc>
          <w:tcPr>
            <w:tcW w:w="3080" w:type="dxa"/>
            <w:vAlign w:val="bottom"/>
          </w:tcPr>
          <w:p>
            <w:pPr>
              <w:jc w:val="right"/>
              <w:ind w:right="719"/>
              <w:spacing w:after="0"/>
              <w:rPr>
                <w:sz w:val="20"/>
                <w:szCs w:val="20"/>
                <w:color w:val="auto"/>
              </w:rPr>
            </w:pPr>
            <w:r>
              <w:rPr>
                <w:rFonts w:ascii="Arial" w:cs="Arial" w:eastAsia="Arial" w:hAnsi="Arial"/>
                <w:sz w:val="16"/>
                <w:szCs w:val="16"/>
                <w:color w:val="auto"/>
              </w:rPr>
              <w:t>1,842,431</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3,684,862</w:t>
            </w:r>
          </w:p>
        </w:tc>
        <w:tc>
          <w:tcPr>
            <w:tcW w:w="46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1380" w:type="dxa"/>
            <w:vAlign w:val="bottom"/>
            <w:shd w:val="clear" w:color="auto" w:fill="CCEEF7"/>
          </w:tcPr>
          <w:p>
            <w:pPr>
              <w:ind w:left="80"/>
              <w:spacing w:after="0"/>
              <w:rPr>
                <w:sz w:val="20"/>
                <w:szCs w:val="20"/>
                <w:color w:val="auto"/>
              </w:rPr>
            </w:pPr>
            <w:r>
              <w:rPr>
                <w:rFonts w:ascii="Arial" w:cs="Arial" w:eastAsia="Arial" w:hAnsi="Arial"/>
                <w:sz w:val="16"/>
                <w:szCs w:val="16"/>
                <w:color w:val="auto"/>
              </w:rPr>
              <w:t>Enrico Bruni</w:t>
            </w:r>
          </w:p>
        </w:tc>
        <w:tc>
          <w:tcPr>
            <w:tcW w:w="4000" w:type="dxa"/>
            <w:vAlign w:val="bottom"/>
            <w:shd w:val="clear" w:color="auto" w:fill="CCEEF7"/>
          </w:tcPr>
          <w:p>
            <w:pPr>
              <w:spacing w:after="0"/>
              <w:rPr>
                <w:sz w:val="21"/>
                <w:szCs w:val="21"/>
                <w:color w:val="auto"/>
              </w:rPr>
            </w:pPr>
          </w:p>
        </w:tc>
        <w:tc>
          <w:tcPr>
            <w:tcW w:w="3080" w:type="dxa"/>
            <w:vAlign w:val="bottom"/>
            <w:shd w:val="clear" w:color="auto" w:fill="CCEEF7"/>
          </w:tcPr>
          <w:p>
            <w:pPr>
              <w:jc w:val="right"/>
              <w:ind w:right="719"/>
              <w:spacing w:after="0"/>
              <w:rPr>
                <w:sz w:val="20"/>
                <w:szCs w:val="20"/>
                <w:color w:val="auto"/>
              </w:rPr>
            </w:pPr>
            <w:r>
              <w:rPr>
                <w:rFonts w:ascii="Arial" w:cs="Arial" w:eastAsia="Arial" w:hAnsi="Arial"/>
                <w:sz w:val="16"/>
                <w:szCs w:val="16"/>
                <w:color w:val="auto"/>
              </w:rPr>
              <w:t>699,996</w:t>
            </w:r>
          </w:p>
        </w:tc>
        <w:tc>
          <w:tcPr>
            <w:tcW w:w="1660" w:type="dxa"/>
            <w:vAlign w:val="bottom"/>
            <w:shd w:val="clear" w:color="auto" w:fill="CCEEF7"/>
          </w:tcPr>
          <w:p>
            <w:pPr>
              <w:jc w:val="right"/>
              <w:ind w:right="59"/>
              <w:spacing w:after="0"/>
              <w:rPr>
                <w:sz w:val="20"/>
                <w:szCs w:val="20"/>
                <w:color w:val="auto"/>
              </w:rPr>
            </w:pPr>
            <w:r>
              <w:rPr>
                <w:rFonts w:ascii="Arial" w:cs="Arial" w:eastAsia="Arial" w:hAnsi="Arial"/>
                <w:sz w:val="16"/>
                <w:szCs w:val="16"/>
                <w:color w:val="auto"/>
              </w:rPr>
              <w:t>1,399,992</w:t>
            </w:r>
          </w:p>
        </w:tc>
        <w:tc>
          <w:tcPr>
            <w:tcW w:w="46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Justin Peterson</w:t>
            </w:r>
          </w:p>
        </w:tc>
        <w:tc>
          <w:tcPr>
            <w:tcW w:w="40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549,971</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1,099,941</w:t>
            </w:r>
          </w:p>
        </w:tc>
        <w:tc>
          <w:tcPr>
            <w:tcW w:w="460" w:type="dxa"/>
            <w:vAlign w:val="bottom"/>
          </w:tcPr>
          <w:p>
            <w:pPr>
              <w:spacing w:after="0"/>
              <w:rPr>
                <w:sz w:val="21"/>
                <w:szCs w:val="21"/>
                <w:color w:val="auto"/>
              </w:rPr>
            </w:pPr>
          </w:p>
        </w:tc>
      </w:tr>
      <w:tr>
        <w:trPr>
          <w:trHeight w:val="450"/>
        </w:trPr>
        <w:tc>
          <w:tcPr>
            <w:tcW w:w="1820" w:type="dxa"/>
            <w:vAlign w:val="bottom"/>
            <w:gridSpan w:val="2"/>
          </w:tcPr>
          <w:p>
            <w:pPr>
              <w:spacing w:after="0"/>
              <w:rPr>
                <w:sz w:val="20"/>
                <w:szCs w:val="20"/>
                <w:color w:val="auto"/>
              </w:rPr>
            </w:pPr>
            <w:r>
              <w:rPr>
                <w:rFonts w:ascii="Arial" w:cs="Arial" w:eastAsia="Arial" w:hAnsi="Arial"/>
                <w:sz w:val="16"/>
                <w:szCs w:val="16"/>
                <w:color w:val="514F51"/>
              </w:rPr>
              <w:t>2022 Proxy Statement</w:t>
            </w:r>
          </w:p>
        </w:tc>
        <w:tc>
          <w:tcPr>
            <w:tcW w:w="4000" w:type="dxa"/>
            <w:vAlign w:val="bottom"/>
          </w:tcPr>
          <w:p>
            <w:pPr>
              <w:ind w:left="100"/>
              <w:spacing w:after="0"/>
              <w:rPr>
                <w:sz w:val="20"/>
                <w:szCs w:val="20"/>
                <w:color w:val="auto"/>
              </w:rPr>
            </w:pPr>
            <w:r>
              <w:rPr>
                <w:rFonts w:ascii="Arial" w:cs="Arial" w:eastAsia="Arial" w:hAnsi="Arial"/>
                <w:sz w:val="20"/>
                <w:szCs w:val="20"/>
                <w:color w:val="EEEFEF"/>
              </w:rPr>
              <w:t>●  ●</w:t>
            </w:r>
          </w:p>
        </w:tc>
        <w:tc>
          <w:tcPr>
            <w:tcW w:w="308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514F51"/>
              </w:rPr>
              <w:t>43</w:t>
            </w:r>
          </w:p>
        </w:tc>
      </w:tr>
    </w:tbl>
    <w:p>
      <w:pPr>
        <w:sectPr>
          <w:pgSz w:w="11900" w:h="16838" w:orient="portrait"/>
          <w:cols w:equalWidth="0" w:num="1">
            <w:col w:w="11140"/>
          </w:cols>
          <w:pgMar w:left="320" w:top="459"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right="100" w:hanging="424"/>
        <w:spacing w:after="0" w:line="24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included in the “Non-Equity Incentive Plan Compensation” column reflect Messrs. Olesky and Hult’s annual performance bonuses earned, which amounts are based on performance goals set by the Compensation Committee as described above in the section titled “Fiscal 2021 Compensation Program in Detail</w:t>
      </w:r>
    </w:p>
    <w:p>
      <w:pPr>
        <w:ind w:left="540"/>
        <w:spacing w:after="0"/>
        <w:rPr>
          <w:rFonts w:ascii="Arial" w:cs="Arial" w:eastAsia="Arial" w:hAnsi="Arial"/>
          <w:sz w:val="14"/>
          <w:szCs w:val="14"/>
          <w:color w:val="auto"/>
        </w:rPr>
      </w:pPr>
      <w:r>
        <w:rPr>
          <w:rFonts w:ascii="Arial" w:cs="Arial" w:eastAsia="Arial" w:hAnsi="Arial"/>
          <w:sz w:val="14"/>
          <w:szCs w:val="14"/>
          <w:color w:val="auto"/>
        </w:rPr>
        <w:t>— Annual Cash Bonuses,” and to which they are entitled pursuant to their respective employment agreements.</w:t>
      </w:r>
    </w:p>
    <w:p>
      <w:pPr>
        <w:spacing w:after="0" w:line="82" w:lineRule="exact"/>
        <w:rPr>
          <w:rFonts w:ascii="Arial" w:cs="Arial" w:eastAsia="Arial" w:hAnsi="Arial"/>
          <w:sz w:val="14"/>
          <w:szCs w:val="14"/>
          <w:color w:val="auto"/>
        </w:rPr>
      </w:pPr>
    </w:p>
    <w:p>
      <w:pPr>
        <w:ind w:left="540" w:right="240" w:hanging="424"/>
        <w:spacing w:after="0" w:line="241"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included in the “All Other Compensation” column for fiscal year 2021 represent (A) for all executives other than Mr. Bruni and Ms. Furber, (i) financial planning services, (ii) executive life insurance, (iii) group life insurance, (iv) matching contributions to the Company’s 401(k) plan, (v) executive long-term disability insurance, (vi) excess liability insurance (other than Mr. Hult), and (vii) for Mr. Hult, annual club membership dues; (B) for Ms. Furber, group life insurance only; and</w:t>
      </w:r>
    </w:p>
    <w:p>
      <w:pPr>
        <w:spacing w:after="0" w:line="1" w:lineRule="exact"/>
        <w:rPr>
          <w:rFonts w:ascii="Arial" w:cs="Arial" w:eastAsia="Arial" w:hAnsi="Arial"/>
          <w:sz w:val="14"/>
          <w:szCs w:val="14"/>
          <w:color w:val="auto"/>
        </w:rPr>
      </w:pPr>
    </w:p>
    <w:p>
      <w:pPr>
        <w:ind w:left="540" w:right="260"/>
        <w:spacing w:after="0" w:line="249" w:lineRule="auto"/>
        <w:rPr>
          <w:rFonts w:ascii="Arial" w:cs="Arial" w:eastAsia="Arial" w:hAnsi="Arial"/>
          <w:sz w:val="14"/>
          <w:szCs w:val="14"/>
          <w:color w:val="auto"/>
        </w:rPr>
      </w:pPr>
      <w:r>
        <w:rPr>
          <w:rFonts w:ascii="Arial" w:cs="Arial" w:eastAsia="Arial" w:hAnsi="Arial"/>
          <w:sz w:val="14"/>
          <w:szCs w:val="14"/>
          <w:color w:val="auto"/>
        </w:rPr>
        <w:t>(C) for Mr. Bruni, (i) annual club membership dues and (ii) contributions to and payments in respect of a contributory pension scheme in which he participates in an amount equal to $38,603 in the aggregate. The value of any dividend equivalent rights accrued in respect of PRSU grants to the NEOs are not included in the “All Other Compensation” column because those amounts were factored into the grant date fair value for the relevant PRSU grants.</w:t>
      </w:r>
    </w:p>
    <w:p>
      <w:pPr>
        <w:spacing w:after="0" w:line="65" w:lineRule="exact"/>
        <w:rPr>
          <w:rFonts w:ascii="Arial" w:cs="Arial" w:eastAsia="Arial" w:hAnsi="Arial"/>
          <w:sz w:val="14"/>
          <w:szCs w:val="14"/>
          <w:color w:val="auto"/>
        </w:rPr>
      </w:pPr>
    </w:p>
    <w:p>
      <w:pPr>
        <w:ind w:left="540" w:right="340" w:hanging="424"/>
        <w:spacing w:after="0" w:line="258"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included in the “Salary,” “Bonus” and “All Other Compensation” columns for Mr. Bruni for 2021 were received in pounds and are reflected in U.S. dollars based on a conversion rate of 1.2825.</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Grants of Plan-Based Awards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awards granted to each of the NEOs during the fiscal year ended December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80" w:type="dxa"/>
            <w:vAlign w:val="bottom"/>
            <w:gridSpan w:val="3"/>
          </w:tcPr>
          <w:p>
            <w:pPr>
              <w:jc w:val="right"/>
              <w:ind w:right="340"/>
              <w:spacing w:after="0"/>
              <w:rPr>
                <w:sz w:val="20"/>
                <w:szCs w:val="20"/>
                <w:color w:val="auto"/>
              </w:rPr>
            </w:pPr>
            <w:r>
              <w:rPr>
                <w:rFonts w:ascii="Arial" w:cs="Arial" w:eastAsia="Arial" w:hAnsi="Arial"/>
                <w:sz w:val="14"/>
                <w:szCs w:val="14"/>
                <w:color w:val="auto"/>
                <w:w w:val="99"/>
              </w:rPr>
              <w:t>Estimated Future Payouts Under</w:t>
            </w:r>
          </w:p>
        </w:tc>
        <w:tc>
          <w:tcPr>
            <w:tcW w:w="8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w w:val="93"/>
              </w:rPr>
              <w:t>Estimated Future Payouts Under</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gridSpan w:val="3"/>
          </w:tcPr>
          <w:p>
            <w:pPr>
              <w:jc w:val="right"/>
              <w:ind w:right="340"/>
              <w:spacing w:after="0"/>
              <w:rPr>
                <w:sz w:val="20"/>
                <w:szCs w:val="20"/>
                <w:color w:val="auto"/>
              </w:rPr>
            </w:pPr>
            <w:r>
              <w:rPr>
                <w:rFonts w:ascii="Arial" w:cs="Arial" w:eastAsia="Arial" w:hAnsi="Arial"/>
                <w:sz w:val="14"/>
                <w:szCs w:val="14"/>
                <w:color w:val="auto"/>
                <w:w w:val="95"/>
              </w:rPr>
              <w:t>Non-Equity Incentive Plan Awards</w:t>
            </w:r>
          </w:p>
        </w:tc>
        <w:tc>
          <w:tcPr>
            <w:tcW w:w="86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Equity Incentive Plan Awards</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vMerge w:val="restart"/>
          </w:tcPr>
          <w:p>
            <w:pPr>
              <w:jc w:val="right"/>
              <w:ind w:right="42"/>
              <w:spacing w:after="0" w:line="155" w:lineRule="exact"/>
              <w:rPr>
                <w:sz w:val="20"/>
                <w:szCs w:val="20"/>
                <w:color w:val="auto"/>
              </w:rPr>
            </w:pPr>
            <w:r>
              <w:rPr>
                <w:rFonts w:ascii="Arial" w:cs="Arial" w:eastAsia="Arial" w:hAnsi="Arial"/>
                <w:sz w:val="14"/>
                <w:szCs w:val="14"/>
                <w:color w:val="auto"/>
              </w:rPr>
              <w:t>All Other</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ind w:right="42"/>
              <w:spacing w:after="0" w:line="149" w:lineRule="exact"/>
              <w:rPr>
                <w:sz w:val="20"/>
                <w:szCs w:val="20"/>
                <w:color w:val="auto"/>
              </w:rPr>
            </w:pPr>
            <w:r>
              <w:rPr>
                <w:rFonts w:ascii="Arial" w:cs="Arial" w:eastAsia="Arial" w:hAnsi="Arial"/>
                <w:sz w:val="14"/>
                <w:szCs w:val="14"/>
                <w:color w:val="auto"/>
              </w:rPr>
              <w:t>Stock</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ind w:right="42"/>
              <w:spacing w:after="0" w:line="149" w:lineRule="exact"/>
              <w:rPr>
                <w:sz w:val="20"/>
                <w:szCs w:val="20"/>
                <w:color w:val="auto"/>
              </w:rPr>
            </w:pPr>
            <w:r>
              <w:rPr>
                <w:rFonts w:ascii="Arial" w:cs="Arial" w:eastAsia="Arial" w:hAnsi="Arial"/>
                <w:sz w:val="14"/>
                <w:szCs w:val="14"/>
                <w:color w:val="auto"/>
              </w:rPr>
              <w:t>Awards:</w:t>
            </w:r>
          </w:p>
        </w:tc>
        <w:tc>
          <w:tcPr>
            <w:tcW w:w="9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ind w:right="42"/>
              <w:spacing w:after="0" w:line="149" w:lineRule="exact"/>
              <w:rPr>
                <w:sz w:val="20"/>
                <w:szCs w:val="20"/>
                <w:color w:val="auto"/>
              </w:rPr>
            </w:pPr>
            <w:r>
              <w:rPr>
                <w:rFonts w:ascii="Arial" w:cs="Arial" w:eastAsia="Arial" w:hAnsi="Arial"/>
                <w:sz w:val="14"/>
                <w:szCs w:val="14"/>
                <w:color w:val="auto"/>
              </w:rPr>
              <w:t>Number</w:t>
            </w:r>
          </w:p>
        </w:tc>
        <w:tc>
          <w:tcPr>
            <w:tcW w:w="9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Threshold</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vMerge w:val="restart"/>
          </w:tcPr>
          <w:p>
            <w:pPr>
              <w:jc w:val="right"/>
              <w:ind w:right="61"/>
              <w:spacing w:after="0"/>
              <w:rPr>
                <w:sz w:val="20"/>
                <w:szCs w:val="20"/>
                <w:color w:val="auto"/>
              </w:rPr>
            </w:pPr>
            <w:r>
              <w:rPr>
                <w:rFonts w:ascii="Arial" w:cs="Arial" w:eastAsia="Arial" w:hAnsi="Arial"/>
                <w:sz w:val="14"/>
                <w:szCs w:val="14"/>
                <w:color w:val="auto"/>
              </w:rPr>
              <w:t>Target</w:t>
            </w:r>
          </w:p>
        </w:tc>
        <w:tc>
          <w:tcPr>
            <w:tcW w:w="1100" w:type="dxa"/>
            <w:vAlign w:val="bottom"/>
          </w:tcPr>
          <w:p>
            <w:pPr>
              <w:spacing w:after="0"/>
              <w:rPr>
                <w:sz w:val="12"/>
                <w:szCs w:val="12"/>
                <w:color w:val="auto"/>
              </w:rPr>
            </w:pPr>
          </w:p>
        </w:tc>
        <w:tc>
          <w:tcPr>
            <w:tcW w:w="960" w:type="dxa"/>
            <w:vAlign w:val="bottom"/>
          </w:tcPr>
          <w:p>
            <w:pPr>
              <w:jc w:val="right"/>
              <w:ind w:right="42"/>
              <w:spacing w:after="0" w:line="149" w:lineRule="exact"/>
              <w:rPr>
                <w:sz w:val="20"/>
                <w:szCs w:val="20"/>
                <w:color w:val="auto"/>
              </w:rPr>
            </w:pPr>
            <w:r>
              <w:rPr>
                <w:rFonts w:ascii="Arial" w:cs="Arial" w:eastAsia="Arial" w:hAnsi="Arial"/>
                <w:sz w:val="14"/>
                <w:szCs w:val="14"/>
                <w:color w:val="auto"/>
              </w:rPr>
              <w:t>of Shares</w:t>
            </w:r>
          </w:p>
        </w:tc>
        <w:tc>
          <w:tcPr>
            <w:tcW w:w="9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of Stock</w:t>
            </w: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gridSpan w:val="2"/>
          </w:tcPr>
          <w:p>
            <w:pPr>
              <w:jc w:val="right"/>
              <w:ind w:right="340"/>
              <w:spacing w:after="0" w:line="141" w:lineRule="exact"/>
              <w:rPr>
                <w:sz w:val="20"/>
                <w:szCs w:val="20"/>
                <w:color w:val="auto"/>
              </w:rPr>
            </w:pPr>
            <w:r>
              <w:rPr>
                <w:rFonts w:ascii="Arial" w:cs="Arial" w:eastAsia="Arial" w:hAnsi="Arial"/>
                <w:sz w:val="14"/>
                <w:szCs w:val="14"/>
                <w:color w:val="auto"/>
              </w:rPr>
              <w:t>Maximum</w:t>
            </w: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Threshold</w:t>
            </w:r>
          </w:p>
        </w:tc>
        <w:tc>
          <w:tcPr>
            <w:tcW w:w="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jc w:val="right"/>
              <w:ind w:right="42"/>
              <w:spacing w:after="0" w:line="141" w:lineRule="exact"/>
              <w:rPr>
                <w:sz w:val="20"/>
                <w:szCs w:val="20"/>
                <w:color w:val="auto"/>
              </w:rPr>
            </w:pPr>
            <w:r>
              <w:rPr>
                <w:rFonts w:ascii="Arial" w:cs="Arial" w:eastAsia="Arial" w:hAnsi="Arial"/>
                <w:sz w:val="14"/>
                <w:szCs w:val="14"/>
                <w:color w:val="auto"/>
              </w:rPr>
              <w:t>of Stock</w:t>
            </w:r>
          </w:p>
        </w:tc>
        <w:tc>
          <w:tcPr>
            <w:tcW w:w="940" w:type="dxa"/>
            <w:vAlign w:val="bottom"/>
          </w:tcPr>
          <w:p>
            <w:pPr>
              <w:jc w:val="right"/>
              <w:ind w:right="41"/>
              <w:spacing w:after="0" w:line="141" w:lineRule="exact"/>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Grant Date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Target ($)</w:t>
            </w:r>
            <w:r>
              <w:rPr>
                <w:rFonts w:ascii="Arial" w:cs="Arial" w:eastAsia="Arial" w:hAnsi="Arial"/>
                <w:sz w:val="12"/>
                <w:szCs w:val="12"/>
                <w:color w:val="auto"/>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Maximum(#)</w:t>
            </w:r>
            <w:r>
              <w:rPr>
                <w:rFonts w:ascii="Arial" w:cs="Arial" w:eastAsia="Arial" w:hAnsi="Arial"/>
                <w:sz w:val="12"/>
                <w:szCs w:val="12"/>
                <w:color w:val="auto"/>
              </w:rPr>
              <w:t>(2)</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or Units</w:t>
            </w:r>
            <w:r>
              <w:rPr>
                <w:rFonts w:ascii="Arial" w:cs="Arial" w:eastAsia="Arial" w:hAnsi="Arial"/>
                <w:sz w:val="12"/>
                <w:szCs w:val="12"/>
                <w:color w:val="auto"/>
              </w:rPr>
              <w:t>(3)</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50"/>
        </w:trPr>
        <w:tc>
          <w:tcPr>
            <w:tcW w:w="2120" w:type="dxa"/>
            <w:vAlign w:val="bottom"/>
            <w:shd w:val="clear" w:color="auto" w:fill="CCEEF7"/>
          </w:tcPr>
          <w:p>
            <w:pPr>
              <w:spacing w:after="0"/>
              <w:rPr>
                <w:sz w:val="21"/>
                <w:szCs w:val="21"/>
                <w:color w:val="auto"/>
              </w:rPr>
            </w:pPr>
          </w:p>
        </w:tc>
        <w:tc>
          <w:tcPr>
            <w:tcW w:w="200" w:type="dxa"/>
            <w:vAlign w:val="bottom"/>
            <w:shd w:val="clear" w:color="auto" w:fill="CCEEF7"/>
          </w:tcPr>
          <w:p>
            <w:pPr>
              <w:spacing w:after="0"/>
              <w:rPr>
                <w:sz w:val="21"/>
                <w:szCs w:val="21"/>
                <w:color w:val="auto"/>
              </w:rPr>
            </w:pP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rPr>
              <w:t>4,250,000</w:t>
            </w:r>
          </w:p>
        </w:tc>
        <w:tc>
          <w:tcPr>
            <w:tcW w:w="920" w:type="dxa"/>
            <w:vAlign w:val="bottom"/>
            <w:shd w:val="clear" w:color="auto" w:fill="CCEEF7"/>
          </w:tcPr>
          <w:p>
            <w:pPr>
              <w:jc w:val="right"/>
              <w:spacing w:after="0"/>
              <w:rPr>
                <w:sz w:val="20"/>
                <w:szCs w:val="20"/>
                <w:color w:val="auto"/>
              </w:rPr>
            </w:pPr>
            <w:r>
              <w:rPr>
                <w:rFonts w:ascii="Arial" w:cs="Arial" w:eastAsia="Arial" w:hAnsi="Arial"/>
                <w:sz w:val="16"/>
                <w:szCs w:val="16"/>
                <w:color w:val="auto"/>
              </w:rPr>
              <w:t>9,562,500</w:t>
            </w:r>
          </w:p>
        </w:tc>
        <w:tc>
          <w:tcPr>
            <w:tcW w:w="300" w:type="dxa"/>
            <w:vAlign w:val="bottom"/>
            <w:shd w:val="clear" w:color="auto" w:fill="CCEEF7"/>
          </w:tcPr>
          <w:p>
            <w:pPr>
              <w:spacing w:after="0"/>
              <w:rPr>
                <w:sz w:val="21"/>
                <w:szCs w:val="21"/>
                <w:color w:val="auto"/>
              </w:rPr>
            </w:pPr>
          </w:p>
        </w:tc>
        <w:tc>
          <w:tcPr>
            <w:tcW w:w="8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120" w:type="dxa"/>
            <w:vAlign w:val="bottom"/>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200" w:type="dxa"/>
            <w:vAlign w:val="bottom"/>
            <w:shd w:val="clear" w:color="auto" w:fill="CCEEF7"/>
          </w:tcPr>
          <w:p>
            <w:pPr>
              <w:spacing w:after="0"/>
              <w:rPr>
                <w:sz w:val="22"/>
                <w:szCs w:val="22"/>
                <w:color w:val="auto"/>
              </w:rPr>
            </w:pP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29,665</w:t>
            </w:r>
          </w:p>
        </w:tc>
        <w:tc>
          <w:tcPr>
            <w:tcW w:w="9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2,199,956</w:t>
            </w:r>
          </w:p>
        </w:tc>
        <w:tc>
          <w:tcPr>
            <w:tcW w:w="0" w:type="dxa"/>
            <w:vAlign w:val="bottom"/>
          </w:tcPr>
          <w:p>
            <w:pPr>
              <w:spacing w:after="0"/>
              <w:rPr>
                <w:sz w:val="1"/>
                <w:szCs w:val="1"/>
                <w:color w:val="auto"/>
              </w:rPr>
            </w:pPr>
          </w:p>
        </w:tc>
      </w:tr>
      <w:tr>
        <w:trPr>
          <w:trHeight w:val="297"/>
        </w:trPr>
        <w:tc>
          <w:tcPr>
            <w:tcW w:w="2120" w:type="dxa"/>
            <w:vAlign w:val="bottom"/>
            <w:tcBorders>
              <w:bottom w:val="single" w:sz="8" w:color="CCEEF7"/>
            </w:tcBorders>
            <w:shd w:val="clear" w:color="auto" w:fill="CCEEF7"/>
          </w:tcPr>
          <w:p>
            <w:pPr>
              <w:spacing w:after="0"/>
              <w:rPr>
                <w:sz w:val="24"/>
                <w:szCs w:val="24"/>
                <w:color w:val="auto"/>
              </w:rPr>
            </w:pPr>
          </w:p>
        </w:tc>
        <w:tc>
          <w:tcPr>
            <w:tcW w:w="200" w:type="dxa"/>
            <w:vAlign w:val="bottom"/>
            <w:tcBorders>
              <w:bottom w:val="single" w:sz="8" w:color="CCEEF7"/>
            </w:tcBorders>
            <w:shd w:val="clear" w:color="auto" w:fill="CCEEF7"/>
          </w:tcPr>
          <w:p>
            <w:pPr>
              <w:spacing w:after="0"/>
              <w:rPr>
                <w:sz w:val="24"/>
                <w:szCs w:val="24"/>
                <w:color w:val="auto"/>
              </w:rPr>
            </w:pPr>
          </w:p>
        </w:tc>
        <w:tc>
          <w:tcPr>
            <w:tcW w:w="74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7"/>
            </w:tcBorders>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7"/>
            </w:tcBorders>
            <w:gridSpan w:val="2"/>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CCEEF7"/>
            </w:tcBorders>
            <w:shd w:val="clear" w:color="auto" w:fill="CCEEF7"/>
          </w:tcPr>
          <w:p>
            <w:pPr>
              <w:jc w:val="right"/>
              <w:ind w:right="61"/>
              <w:spacing w:after="0"/>
              <w:rPr>
                <w:sz w:val="20"/>
                <w:szCs w:val="20"/>
                <w:color w:val="auto"/>
              </w:rPr>
            </w:pPr>
            <w:r>
              <w:rPr>
                <w:rFonts w:ascii="Arial" w:cs="Arial" w:eastAsia="Arial" w:hAnsi="Arial"/>
                <w:sz w:val="16"/>
                <w:szCs w:val="16"/>
                <w:color w:val="auto"/>
              </w:rPr>
              <w:t>29,665</w:t>
            </w:r>
          </w:p>
        </w:tc>
        <w:tc>
          <w:tcPr>
            <w:tcW w:w="110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59,330</w:t>
            </w:r>
          </w:p>
        </w:tc>
        <w:tc>
          <w:tcPr>
            <w:tcW w:w="960" w:type="dxa"/>
            <w:vAlign w:val="bottom"/>
            <w:tcBorders>
              <w:bottom w:val="single" w:sz="8" w:color="CCEEF7"/>
            </w:tcBorders>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7"/>
            </w:tcBorders>
            <w:shd w:val="clear" w:color="auto" w:fill="CCEEF7"/>
          </w:tcPr>
          <w:p>
            <w:pPr>
              <w:jc w:val="right"/>
              <w:ind w:right="41"/>
              <w:spacing w:after="0"/>
              <w:rPr>
                <w:sz w:val="20"/>
                <w:szCs w:val="20"/>
                <w:color w:val="auto"/>
              </w:rPr>
            </w:pPr>
            <w:r>
              <w:rPr>
                <w:rFonts w:ascii="Arial" w:cs="Arial" w:eastAsia="Arial" w:hAnsi="Arial"/>
                <w:sz w:val="16"/>
                <w:szCs w:val="16"/>
                <w:color w:val="auto"/>
              </w:rPr>
              <w:t>2,199,956</w:t>
            </w:r>
          </w:p>
        </w:tc>
        <w:tc>
          <w:tcPr>
            <w:tcW w:w="0" w:type="dxa"/>
            <w:vAlign w:val="bottom"/>
          </w:tcPr>
          <w:p>
            <w:pPr>
              <w:spacing w:after="0"/>
              <w:rPr>
                <w:sz w:val="1"/>
                <w:szCs w:val="1"/>
                <w:color w:val="auto"/>
              </w:rPr>
            </w:pPr>
          </w:p>
        </w:tc>
      </w:tr>
      <w:tr>
        <w:trPr>
          <w:trHeight w:val="264"/>
        </w:trPr>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Sara Furber</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10/01/21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44,589</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3,601,899</w:t>
            </w:r>
          </w:p>
        </w:tc>
        <w:tc>
          <w:tcPr>
            <w:tcW w:w="0" w:type="dxa"/>
            <w:vAlign w:val="bottom"/>
          </w:tcPr>
          <w:p>
            <w:pPr>
              <w:spacing w:after="0"/>
              <w:rPr>
                <w:sz w:val="1"/>
                <w:szCs w:val="1"/>
                <w:color w:val="auto"/>
              </w:rPr>
            </w:pPr>
          </w:p>
        </w:tc>
      </w:tr>
      <w:tr>
        <w:trPr>
          <w:trHeight w:val="122"/>
        </w:trPr>
        <w:tc>
          <w:tcPr>
            <w:tcW w:w="2120" w:type="dxa"/>
            <w:vAlign w:val="bottom"/>
            <w:vMerge w:val="continue"/>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10/01/21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880" w:type="dxa"/>
            <w:vAlign w:val="bottom"/>
            <w:vMerge w:val="restart"/>
          </w:tcPr>
          <w:p>
            <w:pPr>
              <w:jc w:val="right"/>
              <w:ind w:right="61"/>
              <w:spacing w:after="0"/>
              <w:rPr>
                <w:sz w:val="20"/>
                <w:szCs w:val="20"/>
                <w:color w:val="auto"/>
              </w:rPr>
            </w:pPr>
            <w:r>
              <w:rPr>
                <w:rFonts w:ascii="Arial" w:cs="Arial" w:eastAsia="Arial" w:hAnsi="Arial"/>
                <w:sz w:val="16"/>
                <w:szCs w:val="16"/>
                <w:color w:val="auto"/>
              </w:rPr>
              <w:t>4,270</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8,540</w:t>
            </w:r>
          </w:p>
        </w:tc>
        <w:tc>
          <w:tcPr>
            <w:tcW w:w="960" w:type="dxa"/>
            <w:vAlign w:val="bottom"/>
          </w:tcPr>
          <w:p>
            <w:pPr>
              <w:spacing w:after="0"/>
              <w:rPr>
                <w:sz w:val="10"/>
                <w:szCs w:val="10"/>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auto"/>
              </w:rPr>
              <w:t>689,861</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2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Robert Warshaw</w:t>
            </w:r>
          </w:p>
        </w:tc>
        <w:tc>
          <w:tcPr>
            <w:tcW w:w="200" w:type="dxa"/>
            <w:vAlign w:val="bottom"/>
            <w:shd w:val="clear" w:color="auto" w:fill="CCEEF7"/>
          </w:tcPr>
          <w:p>
            <w:pPr>
              <w:spacing w:after="0"/>
              <w:rPr>
                <w:sz w:val="22"/>
                <w:szCs w:val="22"/>
                <w:color w:val="auto"/>
              </w:rPr>
            </w:pP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spacing w:after="0"/>
              <w:rPr>
                <w:sz w:val="22"/>
                <w:szCs w:val="22"/>
                <w:color w:val="auto"/>
              </w:rPr>
            </w:pPr>
          </w:p>
        </w:tc>
        <w:tc>
          <w:tcPr>
            <w:tcW w:w="11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5,865</w:t>
            </w:r>
          </w:p>
        </w:tc>
        <w:tc>
          <w:tcPr>
            <w:tcW w:w="9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434,948</w:t>
            </w:r>
          </w:p>
        </w:tc>
        <w:tc>
          <w:tcPr>
            <w:tcW w:w="0" w:type="dxa"/>
            <w:vAlign w:val="bottom"/>
          </w:tcPr>
          <w:p>
            <w:pPr>
              <w:spacing w:after="0"/>
              <w:rPr>
                <w:sz w:val="1"/>
                <w:szCs w:val="1"/>
                <w:color w:val="auto"/>
              </w:rPr>
            </w:pPr>
          </w:p>
        </w:tc>
      </w:tr>
      <w:tr>
        <w:trPr>
          <w:trHeight w:val="122"/>
        </w:trPr>
        <w:tc>
          <w:tcPr>
            <w:tcW w:w="2120" w:type="dxa"/>
            <w:vAlign w:val="bottom"/>
            <w:vMerge w:val="continue"/>
            <w:shd w:val="clear" w:color="auto" w:fill="CCEEF7"/>
          </w:tcPr>
          <w:p>
            <w:pPr>
              <w:spacing w:after="0"/>
              <w:rPr>
                <w:sz w:val="10"/>
                <w:szCs w:val="10"/>
                <w:color w:val="auto"/>
              </w:rPr>
            </w:pPr>
          </w:p>
        </w:tc>
        <w:tc>
          <w:tcPr>
            <w:tcW w:w="200" w:type="dxa"/>
            <w:vAlign w:val="bottom"/>
            <w:shd w:val="clear" w:color="auto" w:fill="CCEEF7"/>
          </w:tcPr>
          <w:p>
            <w:pPr>
              <w:spacing w:after="0"/>
              <w:rPr>
                <w:sz w:val="10"/>
                <w:szCs w:val="10"/>
                <w:color w:val="auto"/>
              </w:rPr>
            </w:pPr>
          </w:p>
        </w:tc>
        <w:tc>
          <w:tcPr>
            <w:tcW w:w="74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880" w:type="dxa"/>
            <w:vAlign w:val="bottom"/>
            <w:vMerge w:val="restart"/>
            <w:shd w:val="clear" w:color="auto" w:fill="CCEEF7"/>
          </w:tcPr>
          <w:p>
            <w:pPr>
              <w:jc w:val="right"/>
              <w:ind w:right="61"/>
              <w:spacing w:after="0"/>
              <w:rPr>
                <w:sz w:val="20"/>
                <w:szCs w:val="20"/>
                <w:color w:val="auto"/>
              </w:rPr>
            </w:pPr>
            <w:r>
              <w:rPr>
                <w:rFonts w:ascii="Arial" w:cs="Arial" w:eastAsia="Arial" w:hAnsi="Arial"/>
                <w:sz w:val="16"/>
                <w:szCs w:val="16"/>
                <w:color w:val="auto"/>
              </w:rPr>
              <w:t>5,865</w:t>
            </w:r>
          </w:p>
        </w:tc>
        <w:tc>
          <w:tcPr>
            <w:tcW w:w="110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11,730</w:t>
            </w:r>
          </w:p>
        </w:tc>
        <w:tc>
          <w:tcPr>
            <w:tcW w:w="960" w:type="dxa"/>
            <w:vAlign w:val="bottom"/>
            <w:vMerge w:val="restart"/>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7"/>
          </w:tcPr>
          <w:p>
            <w:pPr>
              <w:jc w:val="right"/>
              <w:ind w:right="41"/>
              <w:spacing w:after="0"/>
              <w:rPr>
                <w:sz w:val="20"/>
                <w:szCs w:val="20"/>
                <w:color w:val="auto"/>
              </w:rPr>
            </w:pPr>
            <w:r>
              <w:rPr>
                <w:rFonts w:ascii="Arial" w:cs="Arial" w:eastAsia="Arial" w:hAnsi="Arial"/>
                <w:sz w:val="16"/>
                <w:szCs w:val="16"/>
                <w:color w:val="auto"/>
              </w:rPr>
              <w:t>434,948</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CCEEF7"/>
            </w:tcBorders>
            <w:shd w:val="clear" w:color="auto" w:fill="CCEEF7"/>
          </w:tcPr>
          <w:p>
            <w:pPr>
              <w:spacing w:after="0"/>
              <w:rPr>
                <w:sz w:val="15"/>
                <w:szCs w:val="15"/>
                <w:color w:val="auto"/>
              </w:rPr>
            </w:pPr>
          </w:p>
        </w:tc>
        <w:tc>
          <w:tcPr>
            <w:tcW w:w="200" w:type="dxa"/>
            <w:vAlign w:val="bottom"/>
            <w:tcBorders>
              <w:bottom w:val="single" w:sz="8" w:color="CCEEF7"/>
            </w:tcBorders>
            <w:shd w:val="clear" w:color="auto" w:fill="CCEEF7"/>
          </w:tcPr>
          <w:p>
            <w:pPr>
              <w:spacing w:after="0"/>
              <w:rPr>
                <w:sz w:val="15"/>
                <w:szCs w:val="15"/>
                <w:color w:val="auto"/>
              </w:rPr>
            </w:pPr>
          </w:p>
        </w:tc>
        <w:tc>
          <w:tcPr>
            <w:tcW w:w="740" w:type="dxa"/>
            <w:vAlign w:val="bottom"/>
            <w:tcBorders>
              <w:bottom w:val="single" w:sz="8" w:color="CCEEF7"/>
            </w:tcBorders>
            <w:vMerge w:val="continue"/>
            <w:shd w:val="clear" w:color="auto" w:fill="CCEEF7"/>
          </w:tcPr>
          <w:p>
            <w:pPr>
              <w:spacing w:after="0"/>
              <w:rPr>
                <w:sz w:val="15"/>
                <w:szCs w:val="15"/>
                <w:color w:val="auto"/>
              </w:rPr>
            </w:pPr>
          </w:p>
        </w:tc>
        <w:tc>
          <w:tcPr>
            <w:tcW w:w="840" w:type="dxa"/>
            <w:vAlign w:val="bottom"/>
            <w:tcBorders>
              <w:bottom w:val="single" w:sz="8" w:color="CCEEF7"/>
            </w:tcBorders>
            <w:vMerge w:val="continue"/>
            <w:shd w:val="clear" w:color="auto" w:fill="CCEEF7"/>
          </w:tcPr>
          <w:p>
            <w:pPr>
              <w:spacing w:after="0"/>
              <w:rPr>
                <w:sz w:val="15"/>
                <w:szCs w:val="15"/>
                <w:color w:val="auto"/>
              </w:rPr>
            </w:pPr>
          </w:p>
        </w:tc>
        <w:tc>
          <w:tcPr>
            <w:tcW w:w="1160" w:type="dxa"/>
            <w:vAlign w:val="bottom"/>
            <w:tcBorders>
              <w:bottom w:val="single" w:sz="8" w:color="CCEEF7"/>
            </w:tcBorders>
            <w:vMerge w:val="continue"/>
            <w:shd w:val="clear" w:color="auto" w:fill="CCEEF7"/>
          </w:tcPr>
          <w:p>
            <w:pPr>
              <w:spacing w:after="0"/>
              <w:rPr>
                <w:sz w:val="15"/>
                <w:szCs w:val="15"/>
                <w:color w:val="auto"/>
              </w:rPr>
            </w:pPr>
          </w:p>
        </w:tc>
        <w:tc>
          <w:tcPr>
            <w:tcW w:w="1220" w:type="dxa"/>
            <w:vAlign w:val="bottom"/>
            <w:tcBorders>
              <w:bottom w:val="single" w:sz="8" w:color="CCEEF7"/>
            </w:tcBorders>
            <w:gridSpan w:val="2"/>
            <w:vMerge w:val="continue"/>
            <w:shd w:val="clear" w:color="auto" w:fill="CCEEF7"/>
          </w:tcPr>
          <w:p>
            <w:pPr>
              <w:spacing w:after="0"/>
              <w:rPr>
                <w:sz w:val="15"/>
                <w:szCs w:val="15"/>
                <w:color w:val="auto"/>
              </w:rPr>
            </w:pPr>
          </w:p>
        </w:tc>
        <w:tc>
          <w:tcPr>
            <w:tcW w:w="860" w:type="dxa"/>
            <w:vAlign w:val="bottom"/>
            <w:tcBorders>
              <w:bottom w:val="single" w:sz="8" w:color="CCEEF7"/>
            </w:tcBorders>
            <w:vMerge w:val="continue"/>
            <w:shd w:val="clear" w:color="auto" w:fill="CCEEF7"/>
          </w:tcPr>
          <w:p>
            <w:pPr>
              <w:spacing w:after="0"/>
              <w:rPr>
                <w:sz w:val="15"/>
                <w:szCs w:val="15"/>
                <w:color w:val="auto"/>
              </w:rPr>
            </w:pPr>
          </w:p>
        </w:tc>
        <w:tc>
          <w:tcPr>
            <w:tcW w:w="880" w:type="dxa"/>
            <w:vAlign w:val="bottom"/>
            <w:tcBorders>
              <w:bottom w:val="single" w:sz="8" w:color="CCEEF7"/>
            </w:tcBorders>
            <w:vMerge w:val="continue"/>
            <w:shd w:val="clear" w:color="auto" w:fill="CCEEF7"/>
          </w:tcPr>
          <w:p>
            <w:pPr>
              <w:spacing w:after="0"/>
              <w:rPr>
                <w:sz w:val="15"/>
                <w:szCs w:val="15"/>
                <w:color w:val="auto"/>
              </w:rPr>
            </w:pPr>
          </w:p>
        </w:tc>
        <w:tc>
          <w:tcPr>
            <w:tcW w:w="1100" w:type="dxa"/>
            <w:vAlign w:val="bottom"/>
            <w:tcBorders>
              <w:bottom w:val="single" w:sz="8" w:color="CCEEF7"/>
            </w:tcBorders>
            <w:vMerge w:val="continue"/>
            <w:shd w:val="clear" w:color="auto" w:fill="CCEEF7"/>
          </w:tcPr>
          <w:p>
            <w:pPr>
              <w:spacing w:after="0"/>
              <w:rPr>
                <w:sz w:val="15"/>
                <w:szCs w:val="15"/>
                <w:color w:val="auto"/>
              </w:rPr>
            </w:pPr>
          </w:p>
        </w:tc>
        <w:tc>
          <w:tcPr>
            <w:tcW w:w="960" w:type="dxa"/>
            <w:vAlign w:val="bottom"/>
            <w:tcBorders>
              <w:bottom w:val="single" w:sz="8" w:color="CCEEF7"/>
            </w:tcBorders>
            <w:vMerge w:val="continue"/>
            <w:shd w:val="clear" w:color="auto" w:fill="CCEEF7"/>
          </w:tcPr>
          <w:p>
            <w:pPr>
              <w:spacing w:after="0"/>
              <w:rPr>
                <w:sz w:val="15"/>
                <w:szCs w:val="15"/>
                <w:color w:val="auto"/>
              </w:rPr>
            </w:pPr>
          </w:p>
        </w:tc>
        <w:tc>
          <w:tcPr>
            <w:tcW w:w="940" w:type="dxa"/>
            <w:vAlign w:val="bottom"/>
            <w:tcBorders>
              <w:bottom w:val="single" w:sz="8" w:color="CCEEF7"/>
            </w:tcBorders>
            <w:vMerge w:val="continue"/>
            <w:shd w:val="clear" w:color="auto" w:fill="CCEEF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3,750,000</w:t>
            </w:r>
          </w:p>
        </w:tc>
        <w:tc>
          <w:tcPr>
            <w:tcW w:w="920" w:type="dxa"/>
            <w:vAlign w:val="bottom"/>
          </w:tcPr>
          <w:p>
            <w:pPr>
              <w:jc w:val="right"/>
              <w:spacing w:after="0"/>
              <w:rPr>
                <w:sz w:val="20"/>
                <w:szCs w:val="20"/>
                <w:color w:val="auto"/>
              </w:rPr>
            </w:pPr>
            <w:r>
              <w:rPr>
                <w:rFonts w:ascii="Arial" w:cs="Arial" w:eastAsia="Arial" w:hAnsi="Arial"/>
                <w:sz w:val="16"/>
                <w:szCs w:val="16"/>
                <w:color w:val="auto"/>
              </w:rPr>
              <w:t>8,437,500</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120" w:type="dxa"/>
            <w:vAlign w:val="bottom"/>
          </w:tcPr>
          <w:p>
            <w:pPr>
              <w:ind w:left="60"/>
              <w:spacing w:after="0"/>
              <w:rPr>
                <w:sz w:val="20"/>
                <w:szCs w:val="20"/>
                <w:color w:val="auto"/>
              </w:rPr>
            </w:pPr>
            <w:r>
              <w:rPr>
                <w:rFonts w:ascii="Arial" w:cs="Arial" w:eastAsia="Arial" w:hAnsi="Arial"/>
                <w:sz w:val="16"/>
                <w:szCs w:val="16"/>
                <w:color w:val="auto"/>
              </w:rPr>
              <w:t>Billy Hult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24,844</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1,842,431</w:t>
            </w: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24,844</w:t>
            </w:r>
          </w:p>
        </w:tc>
        <w:tc>
          <w:tcPr>
            <w:tcW w:w="1100" w:type="dxa"/>
            <w:vAlign w:val="bottom"/>
          </w:tcPr>
          <w:p>
            <w:pPr>
              <w:jc w:val="right"/>
              <w:spacing w:after="0"/>
              <w:rPr>
                <w:sz w:val="20"/>
                <w:szCs w:val="20"/>
                <w:color w:val="auto"/>
              </w:rPr>
            </w:pPr>
            <w:r>
              <w:rPr>
                <w:rFonts w:ascii="Arial" w:cs="Arial" w:eastAsia="Arial" w:hAnsi="Arial"/>
                <w:sz w:val="16"/>
                <w:szCs w:val="16"/>
                <w:color w:val="auto"/>
              </w:rPr>
              <w:t>49,688</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1,842,431</w:t>
            </w:r>
          </w:p>
        </w:tc>
        <w:tc>
          <w:tcPr>
            <w:tcW w:w="0" w:type="dxa"/>
            <w:vAlign w:val="bottom"/>
          </w:tcPr>
          <w:p>
            <w:pPr>
              <w:spacing w:after="0"/>
              <w:rPr>
                <w:sz w:val="1"/>
                <w:szCs w:val="1"/>
                <w:color w:val="auto"/>
              </w:rPr>
            </w:pPr>
          </w:p>
        </w:tc>
      </w:tr>
      <w:tr>
        <w:trPr>
          <w:trHeight w:val="60"/>
        </w:trPr>
        <w:tc>
          <w:tcPr>
            <w:tcW w:w="21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2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Enrico Bruni</w:t>
            </w:r>
          </w:p>
        </w:tc>
        <w:tc>
          <w:tcPr>
            <w:tcW w:w="200" w:type="dxa"/>
            <w:vAlign w:val="bottom"/>
            <w:shd w:val="clear" w:color="auto" w:fill="CCEEF7"/>
          </w:tcPr>
          <w:p>
            <w:pPr>
              <w:spacing w:after="0"/>
              <w:rPr>
                <w:sz w:val="22"/>
                <w:szCs w:val="22"/>
                <w:color w:val="auto"/>
              </w:rPr>
            </w:pPr>
          </w:p>
        </w:tc>
        <w:tc>
          <w:tcPr>
            <w:tcW w:w="7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7"/>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7"/>
          </w:tcPr>
          <w:p>
            <w:pPr>
              <w:jc w:val="right"/>
              <w:ind w:right="42"/>
              <w:spacing w:after="0"/>
              <w:rPr>
                <w:sz w:val="20"/>
                <w:szCs w:val="20"/>
                <w:color w:val="auto"/>
              </w:rPr>
            </w:pPr>
            <w:r>
              <w:rPr>
                <w:rFonts w:ascii="Arial" w:cs="Arial" w:eastAsia="Arial" w:hAnsi="Arial"/>
                <w:sz w:val="16"/>
                <w:szCs w:val="16"/>
                <w:color w:val="auto"/>
              </w:rPr>
              <w:t>9,439</w:t>
            </w:r>
          </w:p>
        </w:tc>
        <w:tc>
          <w:tcPr>
            <w:tcW w:w="940" w:type="dxa"/>
            <w:vAlign w:val="bottom"/>
            <w:shd w:val="clear" w:color="auto" w:fill="CCEEF7"/>
          </w:tcPr>
          <w:p>
            <w:pPr>
              <w:jc w:val="right"/>
              <w:ind w:right="41"/>
              <w:spacing w:after="0"/>
              <w:rPr>
                <w:sz w:val="20"/>
                <w:szCs w:val="20"/>
                <w:color w:val="auto"/>
              </w:rPr>
            </w:pPr>
            <w:r>
              <w:rPr>
                <w:rFonts w:ascii="Arial" w:cs="Arial" w:eastAsia="Arial" w:hAnsi="Arial"/>
                <w:sz w:val="16"/>
                <w:szCs w:val="16"/>
                <w:color w:val="auto"/>
              </w:rPr>
              <w:t>699,996</w:t>
            </w:r>
          </w:p>
        </w:tc>
        <w:tc>
          <w:tcPr>
            <w:tcW w:w="0" w:type="dxa"/>
            <w:vAlign w:val="bottom"/>
          </w:tcPr>
          <w:p>
            <w:pPr>
              <w:spacing w:after="0"/>
              <w:rPr>
                <w:sz w:val="1"/>
                <w:szCs w:val="1"/>
                <w:color w:val="auto"/>
              </w:rPr>
            </w:pPr>
          </w:p>
        </w:tc>
      </w:tr>
      <w:tr>
        <w:trPr>
          <w:trHeight w:val="122"/>
        </w:trPr>
        <w:tc>
          <w:tcPr>
            <w:tcW w:w="2120" w:type="dxa"/>
            <w:vAlign w:val="bottom"/>
            <w:vMerge w:val="continue"/>
            <w:shd w:val="clear" w:color="auto" w:fill="CCEEF7"/>
          </w:tcPr>
          <w:p>
            <w:pPr>
              <w:spacing w:after="0"/>
              <w:rPr>
                <w:sz w:val="10"/>
                <w:szCs w:val="10"/>
                <w:color w:val="auto"/>
              </w:rPr>
            </w:pPr>
          </w:p>
        </w:tc>
        <w:tc>
          <w:tcPr>
            <w:tcW w:w="200" w:type="dxa"/>
            <w:vAlign w:val="bottom"/>
            <w:shd w:val="clear" w:color="auto" w:fill="CCEEF7"/>
          </w:tcPr>
          <w:p>
            <w:pPr>
              <w:spacing w:after="0"/>
              <w:rPr>
                <w:sz w:val="10"/>
                <w:szCs w:val="10"/>
                <w:color w:val="auto"/>
              </w:rPr>
            </w:pPr>
          </w:p>
        </w:tc>
        <w:tc>
          <w:tcPr>
            <w:tcW w:w="74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7"/>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7"/>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0</w:t>
            </w:r>
          </w:p>
        </w:tc>
        <w:tc>
          <w:tcPr>
            <w:tcW w:w="880" w:type="dxa"/>
            <w:vAlign w:val="bottom"/>
            <w:vMerge w:val="restart"/>
            <w:shd w:val="clear" w:color="auto" w:fill="CCEEF7"/>
          </w:tcPr>
          <w:p>
            <w:pPr>
              <w:jc w:val="right"/>
              <w:ind w:right="61"/>
              <w:spacing w:after="0"/>
              <w:rPr>
                <w:sz w:val="20"/>
                <w:szCs w:val="20"/>
                <w:color w:val="auto"/>
              </w:rPr>
            </w:pPr>
            <w:r>
              <w:rPr>
                <w:rFonts w:ascii="Arial" w:cs="Arial" w:eastAsia="Arial" w:hAnsi="Arial"/>
                <w:sz w:val="16"/>
                <w:szCs w:val="16"/>
                <w:color w:val="auto"/>
              </w:rPr>
              <w:t>9,439</w:t>
            </w:r>
          </w:p>
        </w:tc>
        <w:tc>
          <w:tcPr>
            <w:tcW w:w="110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18,878</w:t>
            </w:r>
          </w:p>
        </w:tc>
        <w:tc>
          <w:tcPr>
            <w:tcW w:w="960" w:type="dxa"/>
            <w:vAlign w:val="bottom"/>
            <w:vMerge w:val="restart"/>
            <w:shd w:val="clear" w:color="auto" w:fill="CCEEF7"/>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7"/>
          </w:tcPr>
          <w:p>
            <w:pPr>
              <w:jc w:val="right"/>
              <w:ind w:right="41"/>
              <w:spacing w:after="0"/>
              <w:rPr>
                <w:sz w:val="20"/>
                <w:szCs w:val="20"/>
                <w:color w:val="auto"/>
              </w:rPr>
            </w:pPr>
            <w:r>
              <w:rPr>
                <w:rFonts w:ascii="Arial" w:cs="Arial" w:eastAsia="Arial" w:hAnsi="Arial"/>
                <w:sz w:val="16"/>
                <w:szCs w:val="16"/>
                <w:color w:val="auto"/>
              </w:rPr>
              <w:t>699,996</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CCEEF7"/>
            </w:tcBorders>
            <w:shd w:val="clear" w:color="auto" w:fill="CCEEF7"/>
          </w:tcPr>
          <w:p>
            <w:pPr>
              <w:spacing w:after="0"/>
              <w:rPr>
                <w:sz w:val="15"/>
                <w:szCs w:val="15"/>
                <w:color w:val="auto"/>
              </w:rPr>
            </w:pPr>
          </w:p>
        </w:tc>
        <w:tc>
          <w:tcPr>
            <w:tcW w:w="200" w:type="dxa"/>
            <w:vAlign w:val="bottom"/>
            <w:tcBorders>
              <w:bottom w:val="single" w:sz="8" w:color="CCEEF7"/>
            </w:tcBorders>
            <w:shd w:val="clear" w:color="auto" w:fill="CCEEF7"/>
          </w:tcPr>
          <w:p>
            <w:pPr>
              <w:spacing w:after="0"/>
              <w:rPr>
                <w:sz w:val="15"/>
                <w:szCs w:val="15"/>
                <w:color w:val="auto"/>
              </w:rPr>
            </w:pPr>
          </w:p>
        </w:tc>
        <w:tc>
          <w:tcPr>
            <w:tcW w:w="740" w:type="dxa"/>
            <w:vAlign w:val="bottom"/>
            <w:tcBorders>
              <w:bottom w:val="single" w:sz="8" w:color="CCEEF7"/>
            </w:tcBorders>
            <w:vMerge w:val="continue"/>
            <w:shd w:val="clear" w:color="auto" w:fill="CCEEF7"/>
          </w:tcPr>
          <w:p>
            <w:pPr>
              <w:spacing w:after="0"/>
              <w:rPr>
                <w:sz w:val="15"/>
                <w:szCs w:val="15"/>
                <w:color w:val="auto"/>
              </w:rPr>
            </w:pPr>
          </w:p>
        </w:tc>
        <w:tc>
          <w:tcPr>
            <w:tcW w:w="840" w:type="dxa"/>
            <w:vAlign w:val="bottom"/>
            <w:tcBorders>
              <w:bottom w:val="single" w:sz="8" w:color="CCEEF7"/>
            </w:tcBorders>
            <w:vMerge w:val="continue"/>
            <w:shd w:val="clear" w:color="auto" w:fill="CCEEF7"/>
          </w:tcPr>
          <w:p>
            <w:pPr>
              <w:spacing w:after="0"/>
              <w:rPr>
                <w:sz w:val="15"/>
                <w:szCs w:val="15"/>
                <w:color w:val="auto"/>
              </w:rPr>
            </w:pPr>
          </w:p>
        </w:tc>
        <w:tc>
          <w:tcPr>
            <w:tcW w:w="1160" w:type="dxa"/>
            <w:vAlign w:val="bottom"/>
            <w:tcBorders>
              <w:bottom w:val="single" w:sz="8" w:color="CCEEF7"/>
            </w:tcBorders>
            <w:vMerge w:val="continue"/>
            <w:shd w:val="clear" w:color="auto" w:fill="CCEEF7"/>
          </w:tcPr>
          <w:p>
            <w:pPr>
              <w:spacing w:after="0"/>
              <w:rPr>
                <w:sz w:val="15"/>
                <w:szCs w:val="15"/>
                <w:color w:val="auto"/>
              </w:rPr>
            </w:pPr>
          </w:p>
        </w:tc>
        <w:tc>
          <w:tcPr>
            <w:tcW w:w="1220" w:type="dxa"/>
            <w:vAlign w:val="bottom"/>
            <w:tcBorders>
              <w:bottom w:val="single" w:sz="8" w:color="CCEEF7"/>
            </w:tcBorders>
            <w:gridSpan w:val="2"/>
            <w:vMerge w:val="continue"/>
            <w:shd w:val="clear" w:color="auto" w:fill="CCEEF7"/>
          </w:tcPr>
          <w:p>
            <w:pPr>
              <w:spacing w:after="0"/>
              <w:rPr>
                <w:sz w:val="15"/>
                <w:szCs w:val="15"/>
                <w:color w:val="auto"/>
              </w:rPr>
            </w:pPr>
          </w:p>
        </w:tc>
        <w:tc>
          <w:tcPr>
            <w:tcW w:w="860" w:type="dxa"/>
            <w:vAlign w:val="bottom"/>
            <w:tcBorders>
              <w:bottom w:val="single" w:sz="8" w:color="CCEEF7"/>
            </w:tcBorders>
            <w:vMerge w:val="continue"/>
            <w:shd w:val="clear" w:color="auto" w:fill="CCEEF7"/>
          </w:tcPr>
          <w:p>
            <w:pPr>
              <w:spacing w:after="0"/>
              <w:rPr>
                <w:sz w:val="15"/>
                <w:szCs w:val="15"/>
                <w:color w:val="auto"/>
              </w:rPr>
            </w:pPr>
          </w:p>
        </w:tc>
        <w:tc>
          <w:tcPr>
            <w:tcW w:w="880" w:type="dxa"/>
            <w:vAlign w:val="bottom"/>
            <w:tcBorders>
              <w:bottom w:val="single" w:sz="8" w:color="CCEEF7"/>
            </w:tcBorders>
            <w:vMerge w:val="continue"/>
            <w:shd w:val="clear" w:color="auto" w:fill="CCEEF7"/>
          </w:tcPr>
          <w:p>
            <w:pPr>
              <w:spacing w:after="0"/>
              <w:rPr>
                <w:sz w:val="15"/>
                <w:szCs w:val="15"/>
                <w:color w:val="auto"/>
              </w:rPr>
            </w:pPr>
          </w:p>
        </w:tc>
        <w:tc>
          <w:tcPr>
            <w:tcW w:w="1100" w:type="dxa"/>
            <w:vAlign w:val="bottom"/>
            <w:tcBorders>
              <w:bottom w:val="single" w:sz="8" w:color="CCEEF7"/>
            </w:tcBorders>
            <w:vMerge w:val="continue"/>
            <w:shd w:val="clear" w:color="auto" w:fill="CCEEF7"/>
          </w:tcPr>
          <w:p>
            <w:pPr>
              <w:spacing w:after="0"/>
              <w:rPr>
                <w:sz w:val="15"/>
                <w:szCs w:val="15"/>
                <w:color w:val="auto"/>
              </w:rPr>
            </w:pPr>
          </w:p>
        </w:tc>
        <w:tc>
          <w:tcPr>
            <w:tcW w:w="960" w:type="dxa"/>
            <w:vAlign w:val="bottom"/>
            <w:tcBorders>
              <w:bottom w:val="single" w:sz="8" w:color="CCEEF7"/>
            </w:tcBorders>
            <w:vMerge w:val="continue"/>
            <w:shd w:val="clear" w:color="auto" w:fill="CCEEF7"/>
          </w:tcPr>
          <w:p>
            <w:pPr>
              <w:spacing w:after="0"/>
              <w:rPr>
                <w:sz w:val="15"/>
                <w:szCs w:val="15"/>
                <w:color w:val="auto"/>
              </w:rPr>
            </w:pPr>
          </w:p>
        </w:tc>
        <w:tc>
          <w:tcPr>
            <w:tcW w:w="940" w:type="dxa"/>
            <w:vAlign w:val="bottom"/>
            <w:tcBorders>
              <w:bottom w:val="single" w:sz="8" w:color="CCEEF7"/>
            </w:tcBorders>
            <w:vMerge w:val="continue"/>
            <w:shd w:val="clear" w:color="auto" w:fill="CCEEF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20" w:type="dxa"/>
            <w:vAlign w:val="bottom"/>
            <w:vMerge w:val="restart"/>
          </w:tcPr>
          <w:p>
            <w:pPr>
              <w:ind w:left="60"/>
              <w:spacing w:after="0"/>
              <w:rPr>
                <w:sz w:val="20"/>
                <w:szCs w:val="20"/>
                <w:color w:val="auto"/>
              </w:rPr>
            </w:pPr>
            <w:r>
              <w:rPr>
                <w:rFonts w:ascii="Arial" w:cs="Arial" w:eastAsia="Arial" w:hAnsi="Arial"/>
                <w:sz w:val="16"/>
                <w:szCs w:val="16"/>
                <w:color w:val="auto"/>
              </w:rPr>
              <w:t>Justin Peterson</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10,113</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749,980</w:t>
            </w:r>
          </w:p>
        </w:tc>
        <w:tc>
          <w:tcPr>
            <w:tcW w:w="0" w:type="dxa"/>
            <w:vAlign w:val="bottom"/>
          </w:tcPr>
          <w:p>
            <w:pPr>
              <w:spacing w:after="0"/>
              <w:rPr>
                <w:sz w:val="1"/>
                <w:szCs w:val="1"/>
                <w:color w:val="auto"/>
              </w:rPr>
            </w:pPr>
          </w:p>
        </w:tc>
      </w:tr>
      <w:tr>
        <w:trPr>
          <w:trHeight w:val="122"/>
        </w:trPr>
        <w:tc>
          <w:tcPr>
            <w:tcW w:w="2120" w:type="dxa"/>
            <w:vAlign w:val="bottom"/>
            <w:vMerge w:val="continue"/>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3/15/21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880" w:type="dxa"/>
            <w:vAlign w:val="bottom"/>
            <w:vMerge w:val="restart"/>
          </w:tcPr>
          <w:p>
            <w:pPr>
              <w:jc w:val="right"/>
              <w:ind w:right="61"/>
              <w:spacing w:after="0"/>
              <w:rPr>
                <w:sz w:val="20"/>
                <w:szCs w:val="20"/>
                <w:color w:val="auto"/>
              </w:rPr>
            </w:pPr>
            <w:r>
              <w:rPr>
                <w:rFonts w:ascii="Arial" w:cs="Arial" w:eastAsia="Arial" w:hAnsi="Arial"/>
                <w:sz w:val="16"/>
                <w:szCs w:val="16"/>
                <w:color w:val="auto"/>
              </w:rPr>
              <w:t>7,416</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14,832</w:t>
            </w: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color w:val="auto"/>
              </w:rPr>
              <w:t>549,970</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120" w:hanging="424"/>
        <w:spacing w:after="0" w:line="258"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target amounts payable for each of Messrs. Olesky and Hult pursuant to the bonus plans provided for in their respective employment agreements, as further described above in the section titled “Fiscal 2021 Compensation Program in Detail — Annual Cash Bonuses.”</w:t>
      </w:r>
    </w:p>
    <w:p>
      <w:pPr>
        <w:spacing w:after="0" w:line="58" w:lineRule="exact"/>
        <w:rPr>
          <w:rFonts w:ascii="Arial" w:cs="Arial" w:eastAsia="Arial" w:hAnsi="Arial"/>
          <w:sz w:val="14"/>
          <w:szCs w:val="14"/>
          <w:color w:val="auto"/>
        </w:rPr>
      </w:pPr>
    </w:p>
    <w:p>
      <w:pPr>
        <w:ind w:left="540" w:right="340" w:hanging="424"/>
        <w:spacing w:after="0" w:line="258"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PRSUs granted to the NEOs under the Equity Plan, including the maximum number of shares to be awarded in the event of a 200% Performance Modifier, as further described above in the section titled “Fiscal 2021 Compensation Program in Detail — Long-Term Equity Incentives.”</w:t>
      </w:r>
    </w:p>
    <w:p>
      <w:pPr>
        <w:spacing w:after="0" w:line="58" w:lineRule="exact"/>
        <w:rPr>
          <w:rFonts w:ascii="Arial" w:cs="Arial" w:eastAsia="Arial" w:hAnsi="Arial"/>
          <w:sz w:val="14"/>
          <w:szCs w:val="14"/>
          <w:color w:val="auto"/>
        </w:rPr>
      </w:pPr>
    </w:p>
    <w:p>
      <w:pPr>
        <w:ind w:left="540" w:right="180" w:hanging="424"/>
        <w:spacing w:after="0" w:line="258"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RSUs granted under the Equity Plan, as further described above in the section titled “Fiscal 2021 Compensation Program in Detail — Long-Term Equity Incentives.”</w:t>
      </w:r>
    </w:p>
    <w:p>
      <w:pPr>
        <w:spacing w:after="0" w:line="172"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right="220" w:hanging="424"/>
        <w:spacing w:after="0" w:line="249"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amounts included in this column represent the grant date fair value of PRSU and RSU awards computed in accordance with FASB ASC Topic 718. Details and assumptions used in calculating the grant date fair value of the PRSU and RSU awards may be found in Note 13 — Stock-Based Compensation Plans to our consolidated financial statements in our Annual Report on Form 10-K for the fiscal year ended December 31, 2021.</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Narrative Disclosure to Summary Compensation Table and Grants of Plan-Based Awards Table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Employment Agreements with our Named Executive Officers</w:t>
      </w:r>
    </w:p>
    <w:p>
      <w:pPr>
        <w:spacing w:after="0" w:line="112" w:lineRule="exact"/>
        <w:rPr>
          <w:sz w:val="20"/>
          <w:szCs w:val="20"/>
          <w:color w:val="auto"/>
        </w:rPr>
      </w:pPr>
    </w:p>
    <w:p>
      <w:pPr>
        <w:jc w:val="both"/>
        <w:ind w:left="120" w:right="740"/>
        <w:spacing w:after="0" w:line="263" w:lineRule="auto"/>
        <w:rPr>
          <w:sz w:val="20"/>
          <w:szCs w:val="20"/>
          <w:color w:val="auto"/>
        </w:rPr>
      </w:pPr>
      <w:r>
        <w:rPr>
          <w:rFonts w:ascii="Arial" w:cs="Arial" w:eastAsia="Arial" w:hAnsi="Arial"/>
          <w:sz w:val="18"/>
          <w:szCs w:val="18"/>
          <w:color w:val="auto"/>
        </w:rPr>
        <w:t>Messrs. Olesky and Hult are each party to an employment agreement with TWM LLC. Ms. Furber is party to an offer letter with the Company. Mr. Bruni is party to an employment agreement with Tradeweb Europe Ltd (“TW Europe”). The other NEOs are not party to any employment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Mr. Olesky — Chief Executive Officer</w:t>
      </w:r>
    </w:p>
    <w:p>
      <w:pPr>
        <w:spacing w:after="0" w:line="23"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TWM LLC is party to an employment agreement with Mr. Olesky for the position of Chief Executive Officer of TWM LLC. For as long as he is Chief Executive Officer, Mr. Olesky is entitled to be a member of the Board. Mr. Olesky’s employment agreement provides for one-year terms with automatic one-year extensions unless either TWM LLC or Mr. Olesky provides written notice of intent not to renew at least 90 days prior to the expiration of the then-applicable term. He is entitled to a base salary of $770,000 per year, subject to increase at the discretion of the Board and/or the compensation committee of the Board. Mr. Olesky is also eligible to participate in an annual bonus plan, described above in the section titled “Fiscal 2021 Compensation Program in Detail – Annual Cash Bonuses.” Mr. Olesky is also entitled to participate in TWM LLC’s executive employee benefit plans, including its equity-based plans, and is entitled to six weeks of paid vacation annually.</w:t>
      </w:r>
    </w:p>
    <w:p>
      <w:pPr>
        <w:spacing w:after="0" w:line="1" w:lineRule="exact"/>
        <w:rPr>
          <w:sz w:val="20"/>
          <w:szCs w:val="20"/>
          <w:color w:val="auto"/>
        </w:rPr>
      </w:pPr>
    </w:p>
    <w:p>
      <w:pPr>
        <w:ind w:left="120" w:right="200" w:firstLine="440"/>
        <w:spacing w:after="0" w:line="265" w:lineRule="auto"/>
        <w:rPr>
          <w:sz w:val="20"/>
          <w:szCs w:val="20"/>
          <w:color w:val="auto"/>
        </w:rPr>
      </w:pPr>
      <w:r>
        <w:rPr>
          <w:rFonts w:ascii="Arial" w:cs="Arial" w:eastAsia="Arial" w:hAnsi="Arial"/>
          <w:sz w:val="17"/>
          <w:szCs w:val="17"/>
          <w:color w:val="auto"/>
        </w:rPr>
        <w:t>Mr. Olesky’s employment agreement subjects Mr. Olesky to the following restrictive covenants: (i) non-solicitation of employees of TWM LLC and non-interference with customers and clients of TWM LLC during employment and the Non-Solicitation Period (as defined below);</w:t>
      </w:r>
    </w:p>
    <w:p>
      <w:pPr>
        <w:ind w:left="120" w:right="340" w:hanging="4"/>
        <w:spacing w:after="0" w:line="281" w:lineRule="auto"/>
        <w:tabs>
          <w:tab w:leader="none" w:pos="3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non-competition during employment and the CEO Non-Competition Period (as defined below); and (iii) perpetual non-disclosure of confidential information. The “CEO Non-Competition Period” means (x) in the event of a termination without Cause or resignation for Good Reason, eighteen</w:t>
      </w:r>
    </w:p>
    <w:p>
      <w:pPr>
        <w:spacing w:after="0" w:line="1" w:lineRule="exact"/>
        <w:rPr>
          <w:rFonts w:ascii="Arial" w:cs="Arial" w:eastAsia="Arial" w:hAnsi="Arial"/>
          <w:sz w:val="16"/>
          <w:szCs w:val="16"/>
          <w:color w:val="auto"/>
        </w:rPr>
      </w:pPr>
    </w:p>
    <w:p>
      <w:pPr>
        <w:ind w:left="120" w:right="100"/>
        <w:spacing w:after="0" w:line="251" w:lineRule="auto"/>
        <w:rPr>
          <w:rFonts w:ascii="Arial" w:cs="Arial" w:eastAsia="Arial" w:hAnsi="Arial"/>
          <w:sz w:val="16"/>
          <w:szCs w:val="16"/>
          <w:color w:val="auto"/>
        </w:rPr>
      </w:pPr>
      <w:r>
        <w:rPr>
          <w:rFonts w:ascii="Arial" w:cs="Arial" w:eastAsia="Arial" w:hAnsi="Arial"/>
          <w:sz w:val="18"/>
          <w:szCs w:val="18"/>
          <w:color w:val="auto"/>
        </w:rPr>
        <w:t>(18)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his employment agreement) is not deemed to be a violation of the noncompetition restriction, unless the Restricted Enterprise is ICAP, MarketAxess, IHS Markit or Bloomberg, in which case such service is not permitted for six (6) months following termination. “Cause” and “Good Reason” as defined in Mr. Olesky’s employment agreement are described below under the section titled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Mr. Hult — President</w:t>
      </w:r>
    </w:p>
    <w:p>
      <w:pPr>
        <w:spacing w:after="0" w:line="23"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TWM LLC is party to an employment agreement with Mr. Hult for the position of President of TWM LLC. For as long as he is President, Mr. Hult is entitled to be a member of the Board. Mr. Hult’s employment agreement provides for one-year terms with automatic one-year extensions unless either TWM LLC or Mr. Hult provides written notice of intent not to renew at least 90 days prior to the expiration of the then-applicable term. He is entitled to a base salary of $660,000 per year, subject to increase at the discretion of the Board and/or the compensation committee of the Board. Mr. Hult is also eligible to participate in an annual bonus plan, as described above in the section titled “Fiscal 2021 Compensation Program in Detail – Annual Cash Bonuses.” Mr. Hult is also entitled to participate in TWM LLC’s executive employee benefit plans, including equity-based plans, and is entitled to six weeks of paid vacation annually.</w:t>
      </w:r>
    </w:p>
    <w:p>
      <w:pPr>
        <w:spacing w:after="0" w:line="3" w:lineRule="exact"/>
        <w:rPr>
          <w:sz w:val="20"/>
          <w:szCs w:val="20"/>
          <w:color w:val="auto"/>
        </w:rPr>
      </w:pPr>
    </w:p>
    <w:p>
      <w:pPr>
        <w:ind w:left="120" w:right="280" w:firstLine="440"/>
        <w:spacing w:after="0" w:line="260" w:lineRule="auto"/>
        <w:rPr>
          <w:sz w:val="20"/>
          <w:szCs w:val="20"/>
          <w:color w:val="auto"/>
        </w:rPr>
      </w:pPr>
      <w:r>
        <w:rPr>
          <w:rFonts w:ascii="Arial" w:cs="Arial" w:eastAsia="Arial" w:hAnsi="Arial"/>
          <w:sz w:val="18"/>
          <w:szCs w:val="18"/>
          <w:color w:val="auto"/>
        </w:rPr>
        <w:t>Mr. Hult’s employment agreement subjects Mr. Hult to the following restrictive covenants: (i) non-solicitation of employees of TWM LLC and non-interference with customers and clients of TWM LLC</w:t>
      </w:r>
    </w:p>
    <w:p>
      <w:pPr>
        <w:spacing w:after="0" w:line="18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“Cause” and “Good Reason” as defined in Mr. Hult’s employment agreement are described below under the section titled “Potential Payments upon Termination or Change in Control.”</w:t>
      </w:r>
    </w:p>
    <w:p>
      <w:pPr>
        <w:spacing w:after="0" w:line="3" w:lineRule="exact"/>
        <w:rPr>
          <w:sz w:val="20"/>
          <w:szCs w:val="20"/>
          <w:color w:val="auto"/>
        </w:rPr>
      </w:pPr>
    </w:p>
    <w:p>
      <w:pPr>
        <w:ind w:left="120" w:right="340" w:firstLine="440"/>
        <w:spacing w:after="0" w:line="260" w:lineRule="auto"/>
        <w:rPr>
          <w:sz w:val="20"/>
          <w:szCs w:val="20"/>
          <w:color w:val="auto"/>
        </w:rPr>
      </w:pPr>
      <w:r>
        <w:rPr>
          <w:rFonts w:ascii="Arial" w:cs="Arial" w:eastAsia="Arial" w:hAnsi="Arial"/>
          <w:sz w:val="18"/>
          <w:szCs w:val="18"/>
          <w:color w:val="auto"/>
        </w:rPr>
        <w:t>Each of Mr. Olesky and Mr. Hult’s employment agreements also provide for severance upon certain terminations of employment, as described below under the section titled “Potential Payments upon Termination or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Ms. Furber — Chief Financial Officer</w:t>
      </w:r>
    </w:p>
    <w:p>
      <w:pPr>
        <w:spacing w:after="0" w:line="23"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Ms. Furber is party to an offer letter with the Company pursuant to which she is entitled to guaranteed total compensation for the 2021 calendar year in a minimum annualized amount equal to $3,500,000. This amount consists of (A) an annual base salary of $500,000, pro-rated for the partial calendar year, plus (B) a minimum full-year cash bonus of $700,000 (the “Guaranteed Bonus”), subject to her continued employment at the time annual bonuses are paid, plus (C) an equity-based award with a grant date fair value of $2,300,000, to be awarded in 2022 in the ordinary course (the “CFO Equity Award”). For 2021, the offer letter provided that the Company may choose to pay amounts in excess of the Guaranteed Bonus and CFO Equity Award amounts noted above based on the performance of Ms. Furber and the Company. Ms. Furber’s 2021 bonus was increased from $700,000 to $800,000 as described above in the section titled “Fiscal 2021 Compensation Program in Detail – Annual Cash Bonuses.” Ms. Furber will be entitled to bonuses in future years in the Company’s discretion, and is also entitled to standard employee benefits.</w:t>
      </w:r>
    </w:p>
    <w:p>
      <w:pPr>
        <w:spacing w:after="0" w:line="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addition, in consideration of Ms. Furber’s forfeiture of certain deferred long-term incentive compensation provided by her previous employer (“Existing Awards”), the Company agreed to provide Ms. Furber with a special equity grant that was intended to be comparable to her Existing Awards. As such, Ms. Furber received additional equity awards following her commencement of employment with the Company including (A) 19,350 RSUs, which will vest on March 31, 2022, (B) 16,672 RSUs which will vest on March 31, 2023, (C) 4,270 PRSUs, which will vest on January 1, 2024, (D) 4,948 RSUs, which will vest on March 31, 2024, and (E) 3,619 RSUs, which will vest on March 31, 2025. Ms. Furber was also required to sign a restrictive covenant agreement that includes covenants of nondisclosure of confidential information, noncompetition and nonsolicitation.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Mr. Bruni — Managing Director, Head of Europe and Asia Business</w:t>
      </w:r>
    </w:p>
    <w:p>
      <w:pPr>
        <w:spacing w:after="0" w:line="23"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Mr. Bruni is party to an employment agreement with TW Europe, dated as of November 27, 2002. Mr. Bruni’s employment agreement provides for base salary (to be reviewed annually), eligibility to participate in bonus schemes as determined by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TW Europe is permitted to make a payment of his basic salary in lieu of notice. The severance entitlement in Mr. Bruni’s employment agreement is superseded by the Company’s executive severance policy, as described below under the section titled “Potential Payments upon Termination or Change in Control—Severance Policy.” Mr. Bruni is also subject to restrictive covenants in his equity award agreements granting him PRSUs and RSUs including non-competition and non-solicitation of clients and employees during the one-year period following his termination.</w:t>
      </w:r>
    </w:p>
    <w:p>
      <w:pPr>
        <w:spacing w:after="0" w:line="167"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Outstanding Equity Awards at Fiscal Year-End</w:t>
      </w:r>
    </w:p>
    <w:p>
      <w:pPr>
        <w:spacing w:after="0" w:line="102" w:lineRule="exact"/>
        <w:rPr>
          <w:sz w:val="20"/>
          <w:szCs w:val="20"/>
          <w:color w:val="auto"/>
        </w:rPr>
      </w:pPr>
    </w:p>
    <w:p>
      <w:pPr>
        <w:ind w:left="120" w:right="9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2021.</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103"/>
              <w:spacing w:after="0"/>
              <w:rPr>
                <w:sz w:val="20"/>
                <w:szCs w:val="20"/>
                <w:color w:val="auto"/>
              </w:rPr>
            </w:pPr>
            <w:r>
              <w:rPr>
                <w:rFonts w:ascii="Arial" w:cs="Arial" w:eastAsia="Arial" w:hAnsi="Arial"/>
                <w:sz w:val="14"/>
                <w:szCs w:val="14"/>
                <w:color w:val="auto"/>
              </w:rPr>
              <w:t>Equity</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incentive</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plan</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vMerge w:val="restart"/>
          </w:tcPr>
          <w:p>
            <w:pPr>
              <w:jc w:val="right"/>
              <w:ind w:right="281"/>
              <w:spacing w:after="0"/>
              <w:rPr>
                <w:sz w:val="20"/>
                <w:szCs w:val="20"/>
                <w:color w:val="auto"/>
              </w:rPr>
            </w:pPr>
            <w:r>
              <w:rPr>
                <w:rFonts w:ascii="Arial" w:cs="Arial" w:eastAsia="Arial" w:hAnsi="Arial"/>
                <w:sz w:val="14"/>
                <w:szCs w:val="14"/>
                <w:color w:val="auto"/>
              </w:rPr>
              <w:t>Number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103"/>
              <w:spacing w:after="0" w:line="141" w:lineRule="exact"/>
              <w:rPr>
                <w:sz w:val="20"/>
                <w:szCs w:val="20"/>
                <w:color w:val="auto"/>
              </w:rPr>
            </w:pPr>
            <w:r>
              <w:rPr>
                <w:rFonts w:ascii="Arial" w:cs="Arial" w:eastAsia="Arial" w:hAnsi="Arial"/>
                <w:sz w:val="14"/>
                <w:szCs w:val="14"/>
                <w:color w:val="auto"/>
              </w:rPr>
              <w:t>awards:</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Number of</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Number of</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of shares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securities</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securities</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securities</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or units</w:t>
            </w:r>
          </w:p>
        </w:tc>
        <w:tc>
          <w:tcPr>
            <w:tcW w:w="12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Market value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underlying</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underlying</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underlying</w:t>
            </w: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of stock</w:t>
            </w:r>
          </w:p>
        </w:tc>
        <w:tc>
          <w:tcPr>
            <w:tcW w:w="12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of shares or</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unexercised</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unexercised</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unexercised</w:t>
            </w:r>
          </w:p>
        </w:tc>
        <w:tc>
          <w:tcPr>
            <w:tcW w:w="840" w:type="dxa"/>
            <w:vAlign w:val="bottom"/>
          </w:tcPr>
          <w:p>
            <w:pPr>
              <w:jc w:val="right"/>
              <w:ind w:right="121"/>
              <w:spacing w:after="0" w:line="149" w:lineRule="exact"/>
              <w:rPr>
                <w:sz w:val="20"/>
                <w:szCs w:val="20"/>
                <w:color w:val="auto"/>
              </w:rPr>
            </w:pPr>
            <w:r>
              <w:rPr>
                <w:rFonts w:ascii="Arial" w:cs="Arial" w:eastAsia="Arial" w:hAnsi="Arial"/>
                <w:sz w:val="14"/>
                <w:szCs w:val="14"/>
                <w:color w:val="auto"/>
              </w:rPr>
              <w:t>Option</w:t>
            </w:r>
          </w:p>
        </w:tc>
        <w:tc>
          <w:tcPr>
            <w:tcW w:w="1040" w:type="dxa"/>
            <w:vAlign w:val="bottom"/>
          </w:tcPr>
          <w:p>
            <w:pPr>
              <w:spacing w:after="0"/>
              <w:rPr>
                <w:sz w:val="12"/>
                <w:szCs w:val="12"/>
                <w:color w:val="auto"/>
              </w:rPr>
            </w:pP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that have</w:t>
            </w:r>
          </w:p>
        </w:tc>
        <w:tc>
          <w:tcPr>
            <w:tcW w:w="12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units of stock</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options</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rPr>
              <w:t>options</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unearned</w:t>
            </w:r>
          </w:p>
        </w:tc>
        <w:tc>
          <w:tcPr>
            <w:tcW w:w="840" w:type="dxa"/>
            <w:vAlign w:val="bottom"/>
          </w:tcPr>
          <w:p>
            <w:pPr>
              <w:jc w:val="right"/>
              <w:ind w:right="121"/>
              <w:spacing w:after="0" w:line="149" w:lineRule="exact"/>
              <w:rPr>
                <w:sz w:val="20"/>
                <w:szCs w:val="20"/>
                <w:color w:val="auto"/>
              </w:rPr>
            </w:pPr>
            <w:r>
              <w:rPr>
                <w:rFonts w:ascii="Arial" w:cs="Arial" w:eastAsia="Arial" w:hAnsi="Arial"/>
                <w:sz w:val="14"/>
                <w:szCs w:val="14"/>
                <w:color w:val="auto"/>
              </w:rPr>
              <w:t>exercise</w:t>
            </w:r>
          </w:p>
        </w:tc>
        <w:tc>
          <w:tcPr>
            <w:tcW w:w="1040" w:type="dxa"/>
            <w:vAlign w:val="bottom"/>
          </w:tcPr>
          <w:p>
            <w:pPr>
              <w:jc w:val="right"/>
              <w:ind w:right="120"/>
              <w:spacing w:after="0" w:line="149" w:lineRule="exact"/>
              <w:rPr>
                <w:sz w:val="20"/>
                <w:szCs w:val="20"/>
                <w:color w:val="auto"/>
              </w:rPr>
            </w:pPr>
            <w:r>
              <w:rPr>
                <w:rFonts w:ascii="Arial" w:cs="Arial" w:eastAsia="Arial" w:hAnsi="Arial"/>
                <w:sz w:val="14"/>
                <w:szCs w:val="14"/>
                <w:color w:val="auto"/>
              </w:rPr>
              <w:t>Option</w:t>
            </w: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not</w:t>
            </w:r>
          </w:p>
        </w:tc>
        <w:tc>
          <w:tcPr>
            <w:tcW w:w="12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that have not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Year of</w:t>
            </w:r>
          </w:p>
        </w:tc>
        <w:tc>
          <w:tcPr>
            <w:tcW w:w="1100" w:type="dxa"/>
            <w:vAlign w:val="bottom"/>
          </w:tcPr>
          <w:p>
            <w:pPr>
              <w:jc w:val="right"/>
              <w:ind w:right="182"/>
              <w:spacing w:after="0" w:line="149" w:lineRule="exact"/>
              <w:rPr>
                <w:sz w:val="20"/>
                <w:szCs w:val="20"/>
                <w:color w:val="auto"/>
              </w:rPr>
            </w:pPr>
            <w:r>
              <w:rPr>
                <w:rFonts w:ascii="Arial" w:cs="Arial" w:eastAsia="Arial" w:hAnsi="Arial"/>
                <w:sz w:val="14"/>
                <w:szCs w:val="14"/>
                <w:color w:val="auto"/>
              </w:rPr>
              <w:t>exercisable</w:t>
            </w:r>
          </w:p>
        </w:tc>
        <w:tc>
          <w:tcPr>
            <w:tcW w:w="1060" w:type="dxa"/>
            <w:vAlign w:val="bottom"/>
          </w:tcPr>
          <w:p>
            <w:pPr>
              <w:jc w:val="right"/>
              <w:ind w:right="102"/>
              <w:spacing w:after="0" w:line="149" w:lineRule="exact"/>
              <w:rPr>
                <w:sz w:val="20"/>
                <w:szCs w:val="20"/>
                <w:color w:val="auto"/>
              </w:rPr>
            </w:pPr>
            <w:r>
              <w:rPr>
                <w:rFonts w:ascii="Arial" w:cs="Arial" w:eastAsia="Arial" w:hAnsi="Arial"/>
                <w:sz w:val="14"/>
                <w:szCs w:val="14"/>
                <w:color w:val="auto"/>
                <w:w w:val="99"/>
              </w:rPr>
              <w:t>unexercisable</w:t>
            </w:r>
          </w:p>
        </w:tc>
        <w:tc>
          <w:tcPr>
            <w:tcW w:w="104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options</w:t>
            </w:r>
            <w:r>
              <w:rPr>
                <w:rFonts w:ascii="Arial" w:cs="Arial" w:eastAsia="Arial" w:hAnsi="Arial"/>
                <w:sz w:val="12"/>
                <w:szCs w:val="12"/>
                <w:color w:val="auto"/>
              </w:rPr>
              <w:t>(1)</w:t>
            </w:r>
          </w:p>
        </w:tc>
        <w:tc>
          <w:tcPr>
            <w:tcW w:w="840" w:type="dxa"/>
            <w:vAlign w:val="bottom"/>
          </w:tcPr>
          <w:p>
            <w:pPr>
              <w:jc w:val="right"/>
              <w:ind w:right="121"/>
              <w:spacing w:after="0" w:line="149" w:lineRule="exact"/>
              <w:rPr>
                <w:sz w:val="20"/>
                <w:szCs w:val="20"/>
                <w:color w:val="auto"/>
              </w:rPr>
            </w:pPr>
            <w:r>
              <w:rPr>
                <w:rFonts w:ascii="Arial" w:cs="Arial" w:eastAsia="Arial" w:hAnsi="Arial"/>
                <w:sz w:val="14"/>
                <w:szCs w:val="14"/>
                <w:color w:val="auto"/>
              </w:rPr>
              <w:t>price</w:t>
            </w:r>
          </w:p>
        </w:tc>
        <w:tc>
          <w:tcPr>
            <w:tcW w:w="1040" w:type="dxa"/>
            <w:vAlign w:val="bottom"/>
          </w:tcPr>
          <w:p>
            <w:pPr>
              <w:jc w:val="right"/>
              <w:ind w:right="120"/>
              <w:spacing w:after="0" w:line="149" w:lineRule="exact"/>
              <w:rPr>
                <w:sz w:val="20"/>
                <w:szCs w:val="20"/>
                <w:color w:val="auto"/>
              </w:rPr>
            </w:pPr>
            <w:r>
              <w:rPr>
                <w:rFonts w:ascii="Arial" w:cs="Arial" w:eastAsia="Arial" w:hAnsi="Arial"/>
                <w:sz w:val="14"/>
                <w:szCs w:val="14"/>
                <w:color w:val="auto"/>
              </w:rPr>
              <w:t>expiration</w:t>
            </w:r>
          </w:p>
        </w:tc>
        <w:tc>
          <w:tcPr>
            <w:tcW w:w="120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vested</w:t>
            </w:r>
          </w:p>
        </w:tc>
        <w:tc>
          <w:tcPr>
            <w:tcW w:w="12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vested</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7"/>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Grant</w:t>
            </w: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date</w:t>
            </w: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7"/>
        </w:trPr>
        <w:tc>
          <w:tcPr>
            <w:tcW w:w="2740" w:type="dxa"/>
            <w:vAlign w:val="bottom"/>
            <w:shd w:val="clear" w:color="auto" w:fill="CCEEF7"/>
          </w:tcPr>
          <w:p>
            <w:pPr>
              <w:spacing w:after="0"/>
              <w:rPr>
                <w:sz w:val="24"/>
                <w:szCs w:val="24"/>
                <w:color w:val="auto"/>
              </w:rPr>
            </w:pPr>
          </w:p>
        </w:tc>
        <w:tc>
          <w:tcPr>
            <w:tcW w:w="740" w:type="dxa"/>
            <w:vAlign w:val="bottom"/>
            <w:gridSpan w:val="3"/>
            <w:shd w:val="clear" w:color="auto" w:fill="CCEEF7"/>
          </w:tcPr>
          <w:p>
            <w:pPr>
              <w:jc w:val="right"/>
              <w:ind w:right="180"/>
              <w:spacing w:after="0"/>
              <w:rPr>
                <w:sz w:val="20"/>
                <w:szCs w:val="20"/>
                <w:color w:val="auto"/>
              </w:rPr>
            </w:pPr>
            <w:r>
              <w:rPr>
                <w:rFonts w:ascii="Arial" w:cs="Arial" w:eastAsia="Arial" w:hAnsi="Arial"/>
                <w:sz w:val="16"/>
                <w:szCs w:val="16"/>
                <w:color w:val="auto"/>
              </w:rPr>
              <w:t>2018</w:t>
            </w:r>
          </w:p>
        </w:tc>
        <w:tc>
          <w:tcPr>
            <w:tcW w:w="1100" w:type="dxa"/>
            <w:vAlign w:val="bottom"/>
            <w:shd w:val="clear" w:color="auto" w:fill="CCEEF7"/>
          </w:tcPr>
          <w:p>
            <w:pPr>
              <w:jc w:val="right"/>
              <w:ind w:right="2"/>
              <w:spacing w:after="0" w:line="307" w:lineRule="exact"/>
              <w:rPr>
                <w:sz w:val="20"/>
                <w:szCs w:val="20"/>
                <w:color w:val="auto"/>
              </w:rPr>
            </w:pPr>
            <w:r>
              <w:rPr>
                <w:rFonts w:ascii="Arial" w:cs="Arial" w:eastAsia="Arial" w:hAnsi="Arial"/>
                <w:sz w:val="16"/>
                <w:szCs w:val="16"/>
                <w:color w:val="auto"/>
              </w:rPr>
              <w:t>138,164</w:t>
            </w:r>
            <w:r>
              <w:rPr>
                <w:rFonts w:ascii="Arial" w:cs="Arial" w:eastAsia="Arial" w:hAnsi="Arial"/>
                <w:sz w:val="27"/>
                <w:szCs w:val="27"/>
                <w:color w:val="auto"/>
                <w:vertAlign w:val="superscript"/>
              </w:rPr>
              <w:t>(3)</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845,411</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20.59</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10/26/28</w:t>
            </w:r>
          </w:p>
        </w:tc>
        <w:tc>
          <w:tcPr>
            <w:tcW w:w="1200" w:type="dxa"/>
            <w:vAlign w:val="bottom"/>
            <w:shd w:val="clear" w:color="auto" w:fill="CCEEF7"/>
          </w:tcPr>
          <w:p>
            <w:pPr>
              <w:jc w:val="right"/>
              <w:ind w:right="28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7"/>
          </w:tcPr>
          <w:p>
            <w:pPr>
              <w:jc w:val="right"/>
              <w:ind w:right="2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74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80" w:type="dxa"/>
            <w:vAlign w:val="bottom"/>
            <w:shd w:val="clear" w:color="auto" w:fill="CCEEF7"/>
          </w:tcPr>
          <w:p>
            <w:pPr>
              <w:spacing w:after="0"/>
              <w:rPr>
                <w:sz w:val="22"/>
                <w:szCs w:val="22"/>
                <w:color w:val="auto"/>
              </w:rPr>
            </w:pPr>
          </w:p>
        </w:tc>
        <w:tc>
          <w:tcPr>
            <w:tcW w:w="560" w:type="dxa"/>
            <w:vAlign w:val="bottom"/>
            <w:gridSpan w:val="2"/>
            <w:shd w:val="clear" w:color="auto" w:fill="CCEEF7"/>
          </w:tcPr>
          <w:p>
            <w:pPr>
              <w:jc w:val="right"/>
              <w:ind w:right="180"/>
              <w:spacing w:after="0"/>
              <w:rPr>
                <w:sz w:val="20"/>
                <w:szCs w:val="20"/>
                <w:color w:val="auto"/>
              </w:rPr>
            </w:pPr>
            <w:r>
              <w:rPr>
                <w:rFonts w:ascii="Arial" w:cs="Arial" w:eastAsia="Arial" w:hAnsi="Arial"/>
                <w:sz w:val="16"/>
                <w:szCs w:val="16"/>
                <w:color w:val="auto"/>
              </w:rPr>
              <w:t>2019</w:t>
            </w: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7"/>
          </w:tcPr>
          <w:p>
            <w:pPr>
              <w:jc w:val="right"/>
              <w:ind w:right="121"/>
              <w:spacing w:after="0" w:line="257" w:lineRule="exact"/>
              <w:rPr>
                <w:sz w:val="20"/>
                <w:szCs w:val="20"/>
                <w:color w:val="auto"/>
              </w:rPr>
            </w:pPr>
            <w:r>
              <w:rPr>
                <w:rFonts w:ascii="Arial" w:cs="Arial" w:eastAsia="Arial" w:hAnsi="Arial"/>
                <w:sz w:val="16"/>
                <w:szCs w:val="16"/>
                <w:color w:val="auto"/>
              </w:rPr>
              <w:t xml:space="preserve">298,526 </w:t>
            </w:r>
            <w:r>
              <w:rPr>
                <w:rFonts w:ascii="Arial" w:cs="Arial" w:eastAsia="Arial" w:hAnsi="Arial"/>
                <w:sz w:val="27"/>
                <w:szCs w:val="27"/>
                <w:color w:val="auto"/>
                <w:vertAlign w:val="superscript"/>
              </w:rPr>
              <w:t>(4)</w:t>
            </w:r>
          </w:p>
        </w:tc>
        <w:tc>
          <w:tcPr>
            <w:tcW w:w="1260" w:type="dxa"/>
            <w:vAlign w:val="bottom"/>
            <w:shd w:val="clear" w:color="auto" w:fill="CCEEF7"/>
          </w:tcPr>
          <w:p>
            <w:pPr>
              <w:jc w:val="right"/>
              <w:ind w:right="81"/>
              <w:spacing w:after="0" w:line="257" w:lineRule="exact"/>
              <w:rPr>
                <w:sz w:val="20"/>
                <w:szCs w:val="20"/>
                <w:color w:val="auto"/>
              </w:rPr>
            </w:pPr>
            <w:r>
              <w:rPr>
                <w:rFonts w:ascii="Arial" w:cs="Arial" w:eastAsia="Arial" w:hAnsi="Arial"/>
                <w:sz w:val="16"/>
                <w:szCs w:val="16"/>
                <w:color w:val="auto"/>
              </w:rPr>
              <w:t>29,894,394</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65"/>
        </w:trPr>
        <w:tc>
          <w:tcPr>
            <w:tcW w:w="2740" w:type="dxa"/>
            <w:vAlign w:val="bottom"/>
            <w:vMerge w:val="continue"/>
            <w:shd w:val="clear" w:color="auto" w:fill="CCEEF7"/>
          </w:tcPr>
          <w:p>
            <w:pPr>
              <w:spacing w:after="0"/>
              <w:rPr>
                <w:sz w:val="5"/>
                <w:szCs w:val="5"/>
                <w:color w:val="auto"/>
              </w:rPr>
            </w:pPr>
          </w:p>
        </w:tc>
        <w:tc>
          <w:tcPr>
            <w:tcW w:w="180" w:type="dxa"/>
            <w:vAlign w:val="bottom"/>
            <w:shd w:val="clear" w:color="auto" w:fill="CCEEF7"/>
          </w:tcPr>
          <w:p>
            <w:pPr>
              <w:spacing w:after="0"/>
              <w:rPr>
                <w:sz w:val="5"/>
                <w:szCs w:val="5"/>
                <w:color w:val="auto"/>
              </w:rPr>
            </w:pPr>
          </w:p>
        </w:tc>
        <w:tc>
          <w:tcPr>
            <w:tcW w:w="38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7"/>
          </w:tcPr>
          <w:p>
            <w:pPr>
              <w:spacing w:after="0"/>
              <w:rPr>
                <w:sz w:val="5"/>
                <w:szCs w:val="5"/>
                <w:color w:val="auto"/>
              </w:rPr>
            </w:pPr>
          </w:p>
        </w:tc>
        <w:tc>
          <w:tcPr>
            <w:tcW w:w="1100" w:type="dxa"/>
            <w:vAlign w:val="bottom"/>
            <w:vMerge w:val="restart"/>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7"/>
          </w:tcPr>
          <w:p>
            <w:pPr>
              <w:jc w:val="right"/>
              <w:ind w:right="121"/>
              <w:spacing w:after="0" w:line="257" w:lineRule="exact"/>
              <w:rPr>
                <w:sz w:val="20"/>
                <w:szCs w:val="20"/>
                <w:color w:val="auto"/>
              </w:rPr>
            </w:pPr>
            <w:r>
              <w:rPr>
                <w:rFonts w:ascii="Arial" w:cs="Arial" w:eastAsia="Arial" w:hAnsi="Arial"/>
                <w:sz w:val="16"/>
                <w:szCs w:val="16"/>
                <w:color w:val="auto"/>
              </w:rPr>
              <w:t>154,359</w:t>
            </w:r>
            <w:r>
              <w:rPr>
                <w:rFonts w:ascii="Arial" w:cs="Arial" w:eastAsia="Arial" w:hAnsi="Arial"/>
                <w:sz w:val="27"/>
                <w:szCs w:val="27"/>
                <w:color w:val="auto"/>
                <w:vertAlign w:val="superscript"/>
              </w:rPr>
              <w:t>(6)</w:t>
            </w:r>
          </w:p>
        </w:tc>
        <w:tc>
          <w:tcPr>
            <w:tcW w:w="1260" w:type="dxa"/>
            <w:vAlign w:val="bottom"/>
            <w:vMerge w:val="restart"/>
            <w:shd w:val="clear" w:color="auto" w:fill="CCEEF7"/>
          </w:tcPr>
          <w:p>
            <w:pPr>
              <w:jc w:val="right"/>
              <w:ind w:right="81"/>
              <w:spacing w:after="0" w:line="257" w:lineRule="exact"/>
              <w:rPr>
                <w:sz w:val="20"/>
                <w:szCs w:val="20"/>
                <w:color w:val="auto"/>
              </w:rPr>
            </w:pPr>
            <w:r>
              <w:rPr>
                <w:rFonts w:ascii="Arial" w:cs="Arial" w:eastAsia="Arial" w:hAnsi="Arial"/>
                <w:sz w:val="16"/>
                <w:szCs w:val="16"/>
                <w:color w:val="auto"/>
              </w:rPr>
              <w:t>13,740,009</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192"/>
        </w:trPr>
        <w:tc>
          <w:tcPr>
            <w:tcW w:w="2740" w:type="dxa"/>
            <w:vAlign w:val="bottom"/>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380" w:type="dxa"/>
            <w:vAlign w:val="bottom"/>
            <w:vMerge w:val="continue"/>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1100" w:type="dxa"/>
            <w:vAlign w:val="bottom"/>
            <w:vMerge w:val="continue"/>
            <w:shd w:val="clear" w:color="auto" w:fill="CCEEF7"/>
          </w:tcPr>
          <w:p>
            <w:pPr>
              <w:spacing w:after="0"/>
              <w:rPr>
                <w:sz w:val="16"/>
                <w:szCs w:val="16"/>
                <w:color w:val="auto"/>
              </w:rPr>
            </w:pPr>
          </w:p>
        </w:tc>
        <w:tc>
          <w:tcPr>
            <w:tcW w:w="106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84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1200" w:type="dxa"/>
            <w:vAlign w:val="bottom"/>
            <w:vMerge w:val="continue"/>
            <w:shd w:val="clear" w:color="auto" w:fill="CCEEF7"/>
          </w:tcPr>
          <w:p>
            <w:pPr>
              <w:spacing w:after="0"/>
              <w:rPr>
                <w:sz w:val="16"/>
                <w:szCs w:val="16"/>
                <w:color w:val="auto"/>
              </w:rPr>
            </w:pPr>
          </w:p>
        </w:tc>
        <w:tc>
          <w:tcPr>
            <w:tcW w:w="1260" w:type="dxa"/>
            <w:vAlign w:val="bottom"/>
            <w:vMerge w:val="continue"/>
            <w:shd w:val="clear" w:color="auto" w:fill="CCEEF7"/>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shd w:val="clear" w:color="auto" w:fill="CCEEF7"/>
          </w:tcPr>
          <w:p>
            <w:pPr>
              <w:spacing w:after="0"/>
              <w:rPr>
                <w:sz w:val="22"/>
                <w:szCs w:val="22"/>
                <w:color w:val="auto"/>
              </w:rPr>
            </w:pPr>
          </w:p>
        </w:tc>
        <w:tc>
          <w:tcPr>
            <w:tcW w:w="180" w:type="dxa"/>
            <w:vAlign w:val="bottom"/>
            <w:shd w:val="clear" w:color="auto" w:fill="CCEEF7"/>
          </w:tcPr>
          <w:p>
            <w:pPr>
              <w:spacing w:after="0"/>
              <w:rPr>
                <w:sz w:val="22"/>
                <w:szCs w:val="22"/>
                <w:color w:val="auto"/>
              </w:rPr>
            </w:pPr>
          </w:p>
        </w:tc>
        <w:tc>
          <w:tcPr>
            <w:tcW w:w="3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7"/>
          </w:tcPr>
          <w:p>
            <w:pPr>
              <w:spacing w:after="0"/>
              <w:rPr>
                <w:sz w:val="22"/>
                <w:szCs w:val="22"/>
                <w:color w:val="auto"/>
              </w:rPr>
            </w:pP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7"/>
          </w:tcPr>
          <w:p>
            <w:pPr>
              <w:jc w:val="right"/>
              <w:ind w:right="121"/>
              <w:spacing w:after="0" w:line="259" w:lineRule="exact"/>
              <w:rPr>
                <w:sz w:val="20"/>
                <w:szCs w:val="20"/>
                <w:color w:val="auto"/>
              </w:rPr>
            </w:pPr>
            <w:r>
              <w:rPr>
                <w:rFonts w:ascii="Arial" w:cs="Arial" w:eastAsia="Arial" w:hAnsi="Arial"/>
                <w:sz w:val="16"/>
                <w:szCs w:val="16"/>
                <w:color w:val="auto"/>
              </w:rPr>
              <w:t>88,995</w:t>
            </w:r>
            <w:r>
              <w:rPr>
                <w:rFonts w:ascii="Arial" w:cs="Arial" w:eastAsia="Arial" w:hAnsi="Arial"/>
                <w:sz w:val="27"/>
                <w:szCs w:val="27"/>
                <w:color w:val="auto"/>
                <w:vertAlign w:val="superscript"/>
              </w:rPr>
              <w:t>(7)</w:t>
            </w:r>
          </w:p>
        </w:tc>
        <w:tc>
          <w:tcPr>
            <w:tcW w:w="1260" w:type="dxa"/>
            <w:vAlign w:val="bottom"/>
            <w:shd w:val="clear" w:color="auto" w:fill="CCEEF7"/>
          </w:tcPr>
          <w:p>
            <w:pPr>
              <w:jc w:val="right"/>
              <w:ind w:right="81"/>
              <w:spacing w:after="0" w:line="259" w:lineRule="exact"/>
              <w:rPr>
                <w:sz w:val="20"/>
                <w:szCs w:val="20"/>
                <w:color w:val="auto"/>
              </w:rPr>
            </w:pPr>
            <w:r>
              <w:rPr>
                <w:rFonts w:ascii="Arial" w:cs="Arial" w:eastAsia="Arial" w:hAnsi="Arial"/>
                <w:sz w:val="16"/>
                <w:szCs w:val="16"/>
                <w:color w:val="auto"/>
              </w:rPr>
              <w:t>8,911,959</w:t>
            </w:r>
            <w:r>
              <w:rPr>
                <w:rFonts w:ascii="Arial" w:cs="Arial" w:eastAsia="Arial" w:hAnsi="Arial"/>
                <w:sz w:val="27"/>
                <w:szCs w:val="27"/>
                <w:color w:val="auto"/>
                <w:vertAlign w:val="superscript"/>
              </w:rPr>
              <w:t>(5)</w:t>
            </w:r>
          </w:p>
        </w:tc>
        <w:tc>
          <w:tcPr>
            <w:tcW w:w="0" w:type="dxa"/>
            <w:vAlign w:val="bottom"/>
          </w:tcPr>
          <w:p>
            <w:pPr>
              <w:spacing w:after="0"/>
              <w:rPr>
                <w:sz w:val="1"/>
                <w:szCs w:val="1"/>
                <w:color w:val="auto"/>
              </w:rPr>
            </w:pPr>
          </w:p>
        </w:tc>
      </w:tr>
      <w:tr>
        <w:trPr>
          <w:trHeight w:val="338"/>
        </w:trPr>
        <w:tc>
          <w:tcPr>
            <w:tcW w:w="2740" w:type="dxa"/>
            <w:vAlign w:val="bottom"/>
            <w:vMerge w:val="restart"/>
          </w:tcPr>
          <w:p>
            <w:pPr>
              <w:ind w:left="60"/>
              <w:spacing w:after="0"/>
              <w:rPr>
                <w:sz w:val="20"/>
                <w:szCs w:val="20"/>
                <w:color w:val="auto"/>
              </w:rPr>
            </w:pPr>
            <w:r>
              <w:rPr>
                <w:rFonts w:ascii="Arial" w:cs="Arial" w:eastAsia="Arial" w:hAnsi="Arial"/>
                <w:sz w:val="16"/>
                <w:szCs w:val="16"/>
                <w:color w:val="auto"/>
              </w:rPr>
              <w:t>Sara Furber</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2021</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53,129</w:t>
            </w:r>
            <w:r>
              <w:rPr>
                <w:rFonts w:ascii="Arial" w:cs="Arial" w:eastAsia="Arial" w:hAnsi="Arial"/>
                <w:sz w:val="27"/>
                <w:szCs w:val="27"/>
                <w:color w:val="auto"/>
                <w:vertAlign w:val="superscript"/>
              </w:rPr>
              <w:t>(8)</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5,320,338</w:t>
            </w:r>
            <w:r>
              <w:rPr>
                <w:rFonts w:ascii="Arial" w:cs="Arial" w:eastAsia="Arial" w:hAnsi="Arial"/>
                <w:sz w:val="27"/>
                <w:szCs w:val="27"/>
                <w:color w:val="auto"/>
                <w:vertAlign w:val="superscript"/>
              </w:rPr>
              <w:t>(9)</w:t>
            </w:r>
          </w:p>
        </w:tc>
        <w:tc>
          <w:tcPr>
            <w:tcW w:w="0" w:type="dxa"/>
            <w:vAlign w:val="bottom"/>
          </w:tcPr>
          <w:p>
            <w:pPr>
              <w:spacing w:after="0"/>
              <w:rPr>
                <w:sz w:val="1"/>
                <w:szCs w:val="1"/>
                <w:color w:val="auto"/>
              </w:rPr>
            </w:pPr>
          </w:p>
        </w:tc>
      </w:tr>
      <w:tr>
        <w:trPr>
          <w:trHeight w:val="48"/>
        </w:trPr>
        <w:tc>
          <w:tcPr>
            <w:tcW w:w="27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740" w:type="dxa"/>
            <w:vAlign w:val="bottom"/>
            <w:gridSpan w:val="3"/>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740" w:type="dxa"/>
            <w:vAlign w:val="bottom"/>
            <w:shd w:val="clear" w:color="auto" w:fill="CCEEF7"/>
          </w:tcPr>
          <w:p>
            <w:pPr>
              <w:spacing w:after="0"/>
              <w:rPr>
                <w:sz w:val="22"/>
                <w:szCs w:val="22"/>
                <w:color w:val="auto"/>
              </w:rPr>
            </w:pPr>
          </w:p>
        </w:tc>
        <w:tc>
          <w:tcPr>
            <w:tcW w:w="740" w:type="dxa"/>
            <w:vAlign w:val="bottom"/>
            <w:gridSpan w:val="3"/>
            <w:shd w:val="clear" w:color="auto" w:fill="CCEEF7"/>
          </w:tcPr>
          <w:p>
            <w:pPr>
              <w:jc w:val="right"/>
              <w:ind w:right="180"/>
              <w:spacing w:after="0"/>
              <w:rPr>
                <w:sz w:val="20"/>
                <w:szCs w:val="20"/>
                <w:color w:val="auto"/>
              </w:rPr>
            </w:pPr>
            <w:r>
              <w:rPr>
                <w:rFonts w:ascii="Arial" w:cs="Arial" w:eastAsia="Arial" w:hAnsi="Arial"/>
                <w:sz w:val="16"/>
                <w:szCs w:val="16"/>
                <w:color w:val="auto"/>
              </w:rPr>
              <w:t>2018</w:t>
            </w: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66,426</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20.59</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10/26/28</w:t>
            </w:r>
          </w:p>
        </w:tc>
        <w:tc>
          <w:tcPr>
            <w:tcW w:w="1200" w:type="dxa"/>
            <w:vAlign w:val="bottom"/>
            <w:shd w:val="clear" w:color="auto" w:fill="CCEEF7"/>
          </w:tcPr>
          <w:p>
            <w:pPr>
              <w:jc w:val="right"/>
              <w:ind w:right="28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7"/>
          </w:tcPr>
          <w:p>
            <w:pPr>
              <w:jc w:val="right"/>
              <w:ind w:right="2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3"/>
        </w:trPr>
        <w:tc>
          <w:tcPr>
            <w:tcW w:w="274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Robert Warshaw</w:t>
            </w:r>
          </w:p>
        </w:tc>
        <w:tc>
          <w:tcPr>
            <w:tcW w:w="180" w:type="dxa"/>
            <w:vAlign w:val="bottom"/>
            <w:shd w:val="clear" w:color="auto" w:fill="CCEEF7"/>
          </w:tcPr>
          <w:p>
            <w:pPr>
              <w:spacing w:after="0"/>
              <w:rPr>
                <w:sz w:val="24"/>
                <w:szCs w:val="24"/>
                <w:color w:val="auto"/>
              </w:rPr>
            </w:pPr>
          </w:p>
        </w:tc>
        <w:tc>
          <w:tcPr>
            <w:tcW w:w="560" w:type="dxa"/>
            <w:vAlign w:val="bottom"/>
            <w:gridSpan w:val="2"/>
            <w:shd w:val="clear" w:color="auto" w:fill="CCEEF7"/>
          </w:tcPr>
          <w:p>
            <w:pPr>
              <w:jc w:val="right"/>
              <w:ind w:right="180"/>
              <w:spacing w:after="0"/>
              <w:rPr>
                <w:sz w:val="20"/>
                <w:szCs w:val="20"/>
                <w:color w:val="auto"/>
              </w:rPr>
            </w:pPr>
            <w:r>
              <w:rPr>
                <w:rFonts w:ascii="Arial" w:cs="Arial" w:eastAsia="Arial" w:hAnsi="Arial"/>
                <w:sz w:val="16"/>
                <w:szCs w:val="16"/>
                <w:color w:val="auto"/>
              </w:rPr>
              <w:t>2019</w:t>
            </w: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22,004</w:t>
            </w:r>
            <w:r>
              <w:rPr>
                <w:rFonts w:ascii="Arial" w:cs="Arial" w:eastAsia="Arial" w:hAnsi="Arial"/>
                <w:sz w:val="27"/>
                <w:szCs w:val="27"/>
                <w:color w:val="auto"/>
                <w:vertAlign w:val="superscript"/>
              </w:rPr>
              <w:t>(4)</w:t>
            </w:r>
          </w:p>
        </w:tc>
        <w:tc>
          <w:tcPr>
            <w:tcW w:w="12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2,203,481</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65"/>
        </w:trPr>
        <w:tc>
          <w:tcPr>
            <w:tcW w:w="2740" w:type="dxa"/>
            <w:vAlign w:val="bottom"/>
            <w:vMerge w:val="continue"/>
            <w:shd w:val="clear" w:color="auto" w:fill="CCEEF7"/>
          </w:tcPr>
          <w:p>
            <w:pPr>
              <w:spacing w:after="0"/>
              <w:rPr>
                <w:sz w:val="5"/>
                <w:szCs w:val="5"/>
                <w:color w:val="auto"/>
              </w:rPr>
            </w:pPr>
          </w:p>
        </w:tc>
        <w:tc>
          <w:tcPr>
            <w:tcW w:w="180" w:type="dxa"/>
            <w:vAlign w:val="bottom"/>
            <w:shd w:val="clear" w:color="auto" w:fill="CCEEF7"/>
          </w:tcPr>
          <w:p>
            <w:pPr>
              <w:spacing w:after="0"/>
              <w:rPr>
                <w:sz w:val="5"/>
                <w:szCs w:val="5"/>
                <w:color w:val="auto"/>
              </w:rPr>
            </w:pPr>
          </w:p>
        </w:tc>
        <w:tc>
          <w:tcPr>
            <w:tcW w:w="38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7"/>
          </w:tcPr>
          <w:p>
            <w:pPr>
              <w:spacing w:after="0"/>
              <w:rPr>
                <w:sz w:val="5"/>
                <w:szCs w:val="5"/>
                <w:color w:val="auto"/>
              </w:rPr>
            </w:pPr>
          </w:p>
        </w:tc>
        <w:tc>
          <w:tcPr>
            <w:tcW w:w="1100" w:type="dxa"/>
            <w:vAlign w:val="bottom"/>
            <w:vMerge w:val="restart"/>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7"/>
          </w:tcPr>
          <w:p>
            <w:pPr>
              <w:jc w:val="right"/>
              <w:ind w:right="41"/>
              <w:spacing w:after="0" w:line="257" w:lineRule="exact"/>
              <w:rPr>
                <w:sz w:val="20"/>
                <w:szCs w:val="20"/>
                <w:color w:val="auto"/>
              </w:rPr>
            </w:pPr>
            <w:r>
              <w:rPr>
                <w:rFonts w:ascii="Arial" w:cs="Arial" w:eastAsia="Arial" w:hAnsi="Arial"/>
                <w:sz w:val="16"/>
                <w:szCs w:val="16"/>
                <w:color w:val="auto"/>
              </w:rPr>
              <w:t>31,449</w:t>
            </w:r>
            <w:r>
              <w:rPr>
                <w:rFonts w:ascii="Arial" w:cs="Arial" w:eastAsia="Arial" w:hAnsi="Arial"/>
                <w:sz w:val="27"/>
                <w:szCs w:val="27"/>
                <w:color w:val="auto"/>
                <w:vertAlign w:val="superscript"/>
              </w:rPr>
              <w:t>(11)</w:t>
            </w:r>
          </w:p>
        </w:tc>
        <w:tc>
          <w:tcPr>
            <w:tcW w:w="1260" w:type="dxa"/>
            <w:vAlign w:val="bottom"/>
            <w:vMerge w:val="restart"/>
            <w:shd w:val="clear" w:color="auto" w:fill="CCEEF7"/>
          </w:tcPr>
          <w:p>
            <w:pPr>
              <w:jc w:val="right"/>
              <w:ind w:right="1"/>
              <w:spacing w:after="0" w:line="257" w:lineRule="exact"/>
              <w:rPr>
                <w:sz w:val="20"/>
                <w:szCs w:val="20"/>
                <w:color w:val="auto"/>
              </w:rPr>
            </w:pPr>
            <w:r>
              <w:rPr>
                <w:rFonts w:ascii="Arial" w:cs="Arial" w:eastAsia="Arial" w:hAnsi="Arial"/>
                <w:sz w:val="16"/>
                <w:szCs w:val="16"/>
                <w:color w:val="auto"/>
              </w:rPr>
              <w:t>2,799,414</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192"/>
        </w:trPr>
        <w:tc>
          <w:tcPr>
            <w:tcW w:w="2740" w:type="dxa"/>
            <w:vAlign w:val="bottom"/>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380" w:type="dxa"/>
            <w:vAlign w:val="bottom"/>
            <w:vMerge w:val="continue"/>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1100" w:type="dxa"/>
            <w:vAlign w:val="bottom"/>
            <w:vMerge w:val="continue"/>
            <w:shd w:val="clear" w:color="auto" w:fill="CCEEF7"/>
          </w:tcPr>
          <w:p>
            <w:pPr>
              <w:spacing w:after="0"/>
              <w:rPr>
                <w:sz w:val="16"/>
                <w:szCs w:val="16"/>
                <w:color w:val="auto"/>
              </w:rPr>
            </w:pPr>
          </w:p>
        </w:tc>
        <w:tc>
          <w:tcPr>
            <w:tcW w:w="106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84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1200" w:type="dxa"/>
            <w:vAlign w:val="bottom"/>
            <w:vMerge w:val="continue"/>
            <w:shd w:val="clear" w:color="auto" w:fill="CCEEF7"/>
          </w:tcPr>
          <w:p>
            <w:pPr>
              <w:spacing w:after="0"/>
              <w:rPr>
                <w:sz w:val="16"/>
                <w:szCs w:val="16"/>
                <w:color w:val="auto"/>
              </w:rPr>
            </w:pPr>
          </w:p>
        </w:tc>
        <w:tc>
          <w:tcPr>
            <w:tcW w:w="1260" w:type="dxa"/>
            <w:vAlign w:val="bottom"/>
            <w:vMerge w:val="continue"/>
            <w:shd w:val="clear" w:color="auto" w:fill="CCEEF7"/>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shd w:val="clear" w:color="auto" w:fill="CCEEF7"/>
          </w:tcPr>
          <w:p>
            <w:pPr>
              <w:spacing w:after="0"/>
              <w:rPr>
                <w:sz w:val="22"/>
                <w:szCs w:val="22"/>
                <w:color w:val="auto"/>
              </w:rPr>
            </w:pPr>
          </w:p>
        </w:tc>
        <w:tc>
          <w:tcPr>
            <w:tcW w:w="180" w:type="dxa"/>
            <w:vAlign w:val="bottom"/>
            <w:shd w:val="clear" w:color="auto" w:fill="CCEEF7"/>
          </w:tcPr>
          <w:p>
            <w:pPr>
              <w:spacing w:after="0"/>
              <w:rPr>
                <w:sz w:val="22"/>
                <w:szCs w:val="22"/>
                <w:color w:val="auto"/>
              </w:rPr>
            </w:pPr>
          </w:p>
        </w:tc>
        <w:tc>
          <w:tcPr>
            <w:tcW w:w="3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7"/>
          </w:tcPr>
          <w:p>
            <w:pPr>
              <w:spacing w:after="0"/>
              <w:rPr>
                <w:sz w:val="22"/>
                <w:szCs w:val="22"/>
                <w:color w:val="auto"/>
              </w:rPr>
            </w:pPr>
          </w:p>
        </w:tc>
        <w:tc>
          <w:tcPr>
            <w:tcW w:w="1100" w:type="dxa"/>
            <w:vAlign w:val="bottom"/>
            <w:shd w:val="clear" w:color="auto" w:fill="CCEEF7"/>
          </w:tcPr>
          <w:p>
            <w:pPr>
              <w:spacing w:after="0"/>
              <w:rPr>
                <w:sz w:val="22"/>
                <w:szCs w:val="22"/>
                <w:color w:val="auto"/>
              </w:rPr>
            </w:pPr>
          </w:p>
        </w:tc>
        <w:tc>
          <w:tcPr>
            <w:tcW w:w="1060" w:type="dxa"/>
            <w:vAlign w:val="bottom"/>
            <w:shd w:val="clear" w:color="auto" w:fill="CCEEF7"/>
          </w:tcPr>
          <w:p>
            <w:pPr>
              <w:spacing w:after="0"/>
              <w:rPr>
                <w:sz w:val="22"/>
                <w:szCs w:val="22"/>
                <w:color w:val="auto"/>
              </w:rPr>
            </w:pPr>
          </w:p>
        </w:tc>
        <w:tc>
          <w:tcPr>
            <w:tcW w:w="1040" w:type="dxa"/>
            <w:vAlign w:val="bottom"/>
            <w:shd w:val="clear" w:color="auto" w:fill="CCEEF7"/>
          </w:tcPr>
          <w:p>
            <w:pPr>
              <w:spacing w:after="0"/>
              <w:rPr>
                <w:sz w:val="22"/>
                <w:szCs w:val="22"/>
                <w:color w:val="auto"/>
              </w:rPr>
            </w:pPr>
          </w:p>
        </w:tc>
        <w:tc>
          <w:tcPr>
            <w:tcW w:w="840" w:type="dxa"/>
            <w:vAlign w:val="bottom"/>
            <w:shd w:val="clear" w:color="auto" w:fill="CCEEF7"/>
          </w:tcPr>
          <w:p>
            <w:pPr>
              <w:spacing w:after="0"/>
              <w:rPr>
                <w:sz w:val="22"/>
                <w:szCs w:val="22"/>
                <w:color w:val="auto"/>
              </w:rPr>
            </w:pPr>
          </w:p>
        </w:tc>
        <w:tc>
          <w:tcPr>
            <w:tcW w:w="1040" w:type="dxa"/>
            <w:vAlign w:val="bottom"/>
            <w:shd w:val="clear" w:color="auto" w:fill="CCEEF7"/>
          </w:tcPr>
          <w:p>
            <w:pPr>
              <w:spacing w:after="0"/>
              <w:rPr>
                <w:sz w:val="22"/>
                <w:szCs w:val="22"/>
                <w:color w:val="auto"/>
              </w:rPr>
            </w:pPr>
          </w:p>
        </w:tc>
        <w:tc>
          <w:tcPr>
            <w:tcW w:w="1200" w:type="dxa"/>
            <w:vAlign w:val="bottom"/>
            <w:shd w:val="clear" w:color="auto" w:fill="CCEEF7"/>
          </w:tcPr>
          <w:p>
            <w:pPr>
              <w:jc w:val="right"/>
              <w:ind w:right="41"/>
              <w:spacing w:after="0" w:line="259" w:lineRule="exact"/>
              <w:rPr>
                <w:sz w:val="20"/>
                <w:szCs w:val="20"/>
                <w:color w:val="auto"/>
              </w:rPr>
            </w:pPr>
            <w:r>
              <w:rPr>
                <w:rFonts w:ascii="Arial" w:cs="Arial" w:eastAsia="Arial" w:hAnsi="Arial"/>
                <w:sz w:val="16"/>
                <w:szCs w:val="16"/>
                <w:color w:val="auto"/>
              </w:rPr>
              <w:t>17,595</w:t>
            </w:r>
            <w:r>
              <w:rPr>
                <w:rFonts w:ascii="Arial" w:cs="Arial" w:eastAsia="Arial" w:hAnsi="Arial"/>
                <w:sz w:val="27"/>
                <w:szCs w:val="27"/>
                <w:color w:val="auto"/>
                <w:vertAlign w:val="superscript"/>
              </w:rPr>
              <w:t>(12)</w:t>
            </w:r>
          </w:p>
        </w:tc>
        <w:tc>
          <w:tcPr>
            <w:tcW w:w="1260" w:type="dxa"/>
            <w:vAlign w:val="bottom"/>
            <w:shd w:val="clear" w:color="auto" w:fill="CCEEF7"/>
          </w:tcPr>
          <w:p>
            <w:pPr>
              <w:jc w:val="right"/>
              <w:ind w:right="1"/>
              <w:spacing w:after="0" w:line="259" w:lineRule="exact"/>
              <w:rPr>
                <w:sz w:val="20"/>
                <w:szCs w:val="20"/>
                <w:color w:val="auto"/>
              </w:rPr>
            </w:pPr>
            <w:r>
              <w:rPr>
                <w:rFonts w:ascii="Arial" w:cs="Arial" w:eastAsia="Arial" w:hAnsi="Arial"/>
                <w:sz w:val="16"/>
                <w:szCs w:val="16"/>
                <w:color w:val="auto"/>
              </w:rPr>
              <w:t>1,761,963</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452,900</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20.59</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10/26/28</w:t>
            </w:r>
          </w:p>
        </w:tc>
        <w:tc>
          <w:tcPr>
            <w:tcW w:w="12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3"/>
        </w:trPr>
        <w:tc>
          <w:tcPr>
            <w:tcW w:w="2740" w:type="dxa"/>
            <w:vAlign w:val="bottom"/>
            <w:vMerge w:val="restart"/>
          </w:tcPr>
          <w:p>
            <w:pPr>
              <w:ind w:left="60"/>
              <w:spacing w:after="0"/>
              <w:rPr>
                <w:sz w:val="20"/>
                <w:szCs w:val="20"/>
                <w:color w:val="auto"/>
              </w:rPr>
            </w:pPr>
            <w:r>
              <w:rPr>
                <w:rFonts w:ascii="Arial" w:cs="Arial" w:eastAsia="Arial" w:hAnsi="Arial"/>
                <w:sz w:val="16"/>
                <w:szCs w:val="16"/>
                <w:color w:val="auto"/>
              </w:rPr>
              <w:t>Billy Hult</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249,102</w:t>
            </w:r>
            <w:r>
              <w:rPr>
                <w:rFonts w:ascii="Arial" w:cs="Arial" w:eastAsia="Arial" w:hAnsi="Arial"/>
                <w:sz w:val="27"/>
                <w:szCs w:val="27"/>
                <w:color w:val="auto"/>
                <w:vertAlign w:val="superscript"/>
              </w:rPr>
              <w:t>(4)</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24,945,074</w:t>
            </w:r>
            <w:r>
              <w:rPr>
                <w:rFonts w:ascii="Arial" w:cs="Arial" w:eastAsia="Arial" w:hAnsi="Arial"/>
                <w:sz w:val="27"/>
                <w:szCs w:val="27"/>
                <w:color w:val="auto"/>
                <w:vertAlign w:val="superscript"/>
              </w:rPr>
              <w:t>(13)</w:t>
            </w:r>
          </w:p>
        </w:tc>
        <w:tc>
          <w:tcPr>
            <w:tcW w:w="0" w:type="dxa"/>
            <w:vAlign w:val="bottom"/>
          </w:tcPr>
          <w:p>
            <w:pPr>
              <w:spacing w:after="0"/>
              <w:rPr>
                <w:sz w:val="1"/>
                <w:szCs w:val="1"/>
                <w:color w:val="auto"/>
              </w:rPr>
            </w:pPr>
          </w:p>
        </w:tc>
      </w:tr>
      <w:tr>
        <w:trPr>
          <w:trHeight w:val="65"/>
        </w:trPr>
        <w:tc>
          <w:tcPr>
            <w:tcW w:w="2740" w:type="dxa"/>
            <w:vAlign w:val="bottom"/>
            <w:vMerge w:val="continue"/>
          </w:tcPr>
          <w:p>
            <w:pPr>
              <w:spacing w:after="0"/>
              <w:rPr>
                <w:sz w:val="5"/>
                <w:szCs w:val="5"/>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41"/>
              <w:spacing w:after="0" w:line="257" w:lineRule="exact"/>
              <w:rPr>
                <w:sz w:val="20"/>
                <w:szCs w:val="20"/>
                <w:color w:val="auto"/>
              </w:rPr>
            </w:pPr>
            <w:r>
              <w:rPr>
                <w:rFonts w:ascii="Arial" w:cs="Arial" w:eastAsia="Arial" w:hAnsi="Arial"/>
                <w:sz w:val="16"/>
                <w:szCs w:val="16"/>
                <w:color w:val="auto"/>
              </w:rPr>
              <w:t>129,276</w:t>
            </w:r>
            <w:r>
              <w:rPr>
                <w:rFonts w:ascii="Arial" w:cs="Arial" w:eastAsia="Arial" w:hAnsi="Arial"/>
                <w:sz w:val="27"/>
                <w:szCs w:val="27"/>
                <w:color w:val="auto"/>
                <w:vertAlign w:val="superscript"/>
              </w:rPr>
              <w:t>(14)</w:t>
            </w:r>
          </w:p>
        </w:tc>
        <w:tc>
          <w:tcPr>
            <w:tcW w:w="1260" w:type="dxa"/>
            <w:vAlign w:val="bottom"/>
            <w:vMerge w:val="restart"/>
          </w:tcPr>
          <w:p>
            <w:pPr>
              <w:jc w:val="right"/>
              <w:ind w:right="1"/>
              <w:spacing w:after="0" w:line="257" w:lineRule="exact"/>
              <w:rPr>
                <w:sz w:val="20"/>
                <w:szCs w:val="20"/>
                <w:color w:val="auto"/>
              </w:rPr>
            </w:pPr>
            <w:r>
              <w:rPr>
                <w:rFonts w:ascii="Arial" w:cs="Arial" w:eastAsia="Arial" w:hAnsi="Arial"/>
                <w:sz w:val="16"/>
                <w:szCs w:val="16"/>
                <w:color w:val="auto"/>
              </w:rPr>
              <w:t>11,507,288</w:t>
            </w:r>
            <w:r>
              <w:rPr>
                <w:rFonts w:ascii="Arial" w:cs="Arial" w:eastAsia="Arial" w:hAnsi="Arial"/>
                <w:sz w:val="27"/>
                <w:szCs w:val="27"/>
                <w:color w:val="auto"/>
                <w:vertAlign w:val="superscript"/>
              </w:rPr>
              <w:t>(13)</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2021</w:t>
            </w: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jc w:val="right"/>
              <w:ind w:right="41"/>
              <w:spacing w:after="0" w:line="259" w:lineRule="exact"/>
              <w:rPr>
                <w:sz w:val="20"/>
                <w:szCs w:val="20"/>
                <w:color w:val="auto"/>
              </w:rPr>
            </w:pPr>
            <w:r>
              <w:rPr>
                <w:rFonts w:ascii="Arial" w:cs="Arial" w:eastAsia="Arial" w:hAnsi="Arial"/>
                <w:sz w:val="16"/>
                <w:szCs w:val="16"/>
                <w:color w:val="auto"/>
              </w:rPr>
              <w:t>74,532</w:t>
            </w:r>
            <w:r>
              <w:rPr>
                <w:rFonts w:ascii="Arial" w:cs="Arial" w:eastAsia="Arial" w:hAnsi="Arial"/>
                <w:sz w:val="27"/>
                <w:szCs w:val="27"/>
                <w:color w:val="auto"/>
                <w:vertAlign w:val="superscript"/>
              </w:rPr>
              <w:t>(15)</w:t>
            </w:r>
          </w:p>
        </w:tc>
        <w:tc>
          <w:tcPr>
            <w:tcW w:w="1260" w:type="dxa"/>
            <w:vAlign w:val="bottom"/>
          </w:tcPr>
          <w:p>
            <w:pPr>
              <w:jc w:val="right"/>
              <w:ind w:right="1"/>
              <w:spacing w:after="0" w:line="259" w:lineRule="exact"/>
              <w:rPr>
                <w:sz w:val="20"/>
                <w:szCs w:val="20"/>
                <w:color w:val="auto"/>
              </w:rPr>
            </w:pPr>
            <w:r>
              <w:rPr>
                <w:rFonts w:ascii="Arial" w:cs="Arial" w:eastAsia="Arial" w:hAnsi="Arial"/>
                <w:sz w:val="16"/>
                <w:szCs w:val="16"/>
                <w:color w:val="auto"/>
              </w:rPr>
              <w:t>7,463,634</w:t>
            </w:r>
            <w:r>
              <w:rPr>
                <w:rFonts w:ascii="Arial" w:cs="Arial" w:eastAsia="Arial" w:hAnsi="Arial"/>
                <w:sz w:val="27"/>
                <w:szCs w:val="27"/>
                <w:color w:val="auto"/>
                <w:vertAlign w:val="superscript"/>
              </w:rPr>
              <w:t>(13)</w:t>
            </w:r>
          </w:p>
        </w:tc>
        <w:tc>
          <w:tcPr>
            <w:tcW w:w="0" w:type="dxa"/>
            <w:vAlign w:val="bottom"/>
          </w:tcPr>
          <w:p>
            <w:pPr>
              <w:spacing w:after="0"/>
              <w:rPr>
                <w:sz w:val="1"/>
                <w:szCs w:val="1"/>
                <w:color w:val="auto"/>
              </w:rPr>
            </w:pPr>
          </w:p>
        </w:tc>
      </w:tr>
      <w:tr>
        <w:trPr>
          <w:trHeight w:val="264"/>
        </w:trPr>
        <w:tc>
          <w:tcPr>
            <w:tcW w:w="2740" w:type="dxa"/>
            <w:vAlign w:val="bottom"/>
            <w:shd w:val="clear" w:color="auto" w:fill="CCEEF7"/>
          </w:tcPr>
          <w:p>
            <w:pPr>
              <w:spacing w:after="0"/>
              <w:rPr>
                <w:sz w:val="22"/>
                <w:szCs w:val="22"/>
                <w:color w:val="auto"/>
              </w:rPr>
            </w:pPr>
          </w:p>
        </w:tc>
        <w:tc>
          <w:tcPr>
            <w:tcW w:w="740" w:type="dxa"/>
            <w:vAlign w:val="bottom"/>
            <w:gridSpan w:val="3"/>
            <w:shd w:val="clear" w:color="auto" w:fill="CCEEF7"/>
          </w:tcPr>
          <w:p>
            <w:pPr>
              <w:jc w:val="right"/>
              <w:ind w:right="180"/>
              <w:spacing w:after="0"/>
              <w:rPr>
                <w:sz w:val="20"/>
                <w:szCs w:val="20"/>
                <w:color w:val="auto"/>
              </w:rPr>
            </w:pPr>
            <w:r>
              <w:rPr>
                <w:rFonts w:ascii="Arial" w:cs="Arial" w:eastAsia="Arial" w:hAnsi="Arial"/>
                <w:sz w:val="16"/>
                <w:szCs w:val="16"/>
                <w:color w:val="auto"/>
              </w:rPr>
              <w:t>2018</w:t>
            </w: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86,232</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81,522</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20.59</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10/26/28</w:t>
            </w:r>
          </w:p>
        </w:tc>
        <w:tc>
          <w:tcPr>
            <w:tcW w:w="1200" w:type="dxa"/>
            <w:vAlign w:val="bottom"/>
            <w:shd w:val="clear" w:color="auto" w:fill="CCEEF7"/>
          </w:tcPr>
          <w:p>
            <w:pPr>
              <w:jc w:val="right"/>
              <w:ind w:right="28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7"/>
          </w:tcPr>
          <w:p>
            <w:pPr>
              <w:jc w:val="right"/>
              <w:ind w:right="2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3"/>
        </w:trPr>
        <w:tc>
          <w:tcPr>
            <w:tcW w:w="2740" w:type="dxa"/>
            <w:vAlign w:val="bottom"/>
            <w:vMerge w:val="restart"/>
            <w:shd w:val="clear" w:color="auto" w:fill="CCEEF7"/>
          </w:tcPr>
          <w:p>
            <w:pPr>
              <w:ind w:left="60"/>
              <w:spacing w:after="0"/>
              <w:rPr>
                <w:sz w:val="20"/>
                <w:szCs w:val="20"/>
                <w:color w:val="auto"/>
              </w:rPr>
            </w:pPr>
            <w:r>
              <w:rPr>
                <w:rFonts w:ascii="Arial" w:cs="Arial" w:eastAsia="Arial" w:hAnsi="Arial"/>
                <w:sz w:val="16"/>
                <w:szCs w:val="16"/>
                <w:color w:val="auto"/>
              </w:rPr>
              <w:t>Enrico Bruni</w:t>
            </w:r>
          </w:p>
        </w:tc>
        <w:tc>
          <w:tcPr>
            <w:tcW w:w="180" w:type="dxa"/>
            <w:vAlign w:val="bottom"/>
            <w:shd w:val="clear" w:color="auto" w:fill="CCEEF7"/>
          </w:tcPr>
          <w:p>
            <w:pPr>
              <w:spacing w:after="0"/>
              <w:rPr>
                <w:sz w:val="24"/>
                <w:szCs w:val="24"/>
                <w:color w:val="auto"/>
              </w:rPr>
            </w:pPr>
          </w:p>
        </w:tc>
        <w:tc>
          <w:tcPr>
            <w:tcW w:w="560" w:type="dxa"/>
            <w:vAlign w:val="bottom"/>
            <w:gridSpan w:val="2"/>
            <w:shd w:val="clear" w:color="auto" w:fill="CCEEF7"/>
          </w:tcPr>
          <w:p>
            <w:pPr>
              <w:jc w:val="right"/>
              <w:ind w:right="180"/>
              <w:spacing w:after="0"/>
              <w:rPr>
                <w:sz w:val="20"/>
                <w:szCs w:val="20"/>
                <w:color w:val="auto"/>
              </w:rPr>
            </w:pPr>
            <w:r>
              <w:rPr>
                <w:rFonts w:ascii="Arial" w:cs="Arial" w:eastAsia="Arial" w:hAnsi="Arial"/>
                <w:sz w:val="16"/>
                <w:szCs w:val="16"/>
                <w:color w:val="auto"/>
              </w:rPr>
              <w:t>2019</w:t>
            </w:r>
          </w:p>
        </w:tc>
        <w:tc>
          <w:tcPr>
            <w:tcW w:w="1100" w:type="dxa"/>
            <w:vAlign w:val="bottom"/>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44,004</w:t>
            </w:r>
            <w:r>
              <w:rPr>
                <w:rFonts w:ascii="Arial" w:cs="Arial" w:eastAsia="Arial" w:hAnsi="Arial"/>
                <w:sz w:val="27"/>
                <w:szCs w:val="27"/>
                <w:color w:val="auto"/>
                <w:vertAlign w:val="superscript"/>
              </w:rPr>
              <w:t>(4)</w:t>
            </w:r>
          </w:p>
        </w:tc>
        <w:tc>
          <w:tcPr>
            <w:tcW w:w="1260" w:type="dxa"/>
            <w:vAlign w:val="bottom"/>
            <w:shd w:val="clear" w:color="auto" w:fill="CCEEF7"/>
          </w:tcPr>
          <w:p>
            <w:pPr>
              <w:jc w:val="right"/>
              <w:ind w:right="1"/>
              <w:spacing w:after="0"/>
              <w:rPr>
                <w:sz w:val="20"/>
                <w:szCs w:val="20"/>
                <w:color w:val="auto"/>
              </w:rPr>
            </w:pPr>
            <w:r>
              <w:rPr>
                <w:rFonts w:ascii="Arial" w:cs="Arial" w:eastAsia="Arial" w:hAnsi="Arial"/>
                <w:sz w:val="16"/>
                <w:szCs w:val="16"/>
                <w:color w:val="auto"/>
              </w:rPr>
              <w:t>4,406,561</w:t>
            </w:r>
            <w:r>
              <w:rPr>
                <w:rFonts w:ascii="Arial" w:cs="Arial" w:eastAsia="Arial" w:hAnsi="Arial"/>
                <w:sz w:val="27"/>
                <w:szCs w:val="27"/>
                <w:color w:val="auto"/>
                <w:vertAlign w:val="superscript"/>
              </w:rPr>
              <w:t>(16)</w:t>
            </w:r>
          </w:p>
        </w:tc>
        <w:tc>
          <w:tcPr>
            <w:tcW w:w="0" w:type="dxa"/>
            <w:vAlign w:val="bottom"/>
          </w:tcPr>
          <w:p>
            <w:pPr>
              <w:spacing w:after="0"/>
              <w:rPr>
                <w:sz w:val="1"/>
                <w:szCs w:val="1"/>
                <w:color w:val="auto"/>
              </w:rPr>
            </w:pPr>
          </w:p>
        </w:tc>
      </w:tr>
      <w:tr>
        <w:trPr>
          <w:trHeight w:val="65"/>
        </w:trPr>
        <w:tc>
          <w:tcPr>
            <w:tcW w:w="2740" w:type="dxa"/>
            <w:vAlign w:val="bottom"/>
            <w:vMerge w:val="continue"/>
            <w:shd w:val="clear" w:color="auto" w:fill="CCEEF7"/>
          </w:tcPr>
          <w:p>
            <w:pPr>
              <w:spacing w:after="0"/>
              <w:rPr>
                <w:sz w:val="5"/>
                <w:szCs w:val="5"/>
                <w:color w:val="auto"/>
              </w:rPr>
            </w:pPr>
          </w:p>
        </w:tc>
        <w:tc>
          <w:tcPr>
            <w:tcW w:w="180" w:type="dxa"/>
            <w:vAlign w:val="bottom"/>
            <w:shd w:val="clear" w:color="auto" w:fill="CCEEF7"/>
          </w:tcPr>
          <w:p>
            <w:pPr>
              <w:spacing w:after="0"/>
              <w:rPr>
                <w:sz w:val="5"/>
                <w:szCs w:val="5"/>
                <w:color w:val="auto"/>
              </w:rPr>
            </w:pPr>
          </w:p>
        </w:tc>
        <w:tc>
          <w:tcPr>
            <w:tcW w:w="380" w:type="dxa"/>
            <w:vAlign w:val="bottom"/>
            <w:vMerge w:val="restart"/>
            <w:shd w:val="clear" w:color="auto" w:fill="CCEEF7"/>
          </w:tcPr>
          <w:p>
            <w:pPr>
              <w:jc w:val="right"/>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7"/>
          </w:tcPr>
          <w:p>
            <w:pPr>
              <w:spacing w:after="0"/>
              <w:rPr>
                <w:sz w:val="5"/>
                <w:szCs w:val="5"/>
                <w:color w:val="auto"/>
              </w:rPr>
            </w:pPr>
          </w:p>
        </w:tc>
        <w:tc>
          <w:tcPr>
            <w:tcW w:w="1100" w:type="dxa"/>
            <w:vAlign w:val="bottom"/>
            <w:vMerge w:val="restart"/>
            <w:shd w:val="clear" w:color="auto" w:fill="CCEEF7"/>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7"/>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7"/>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7"/>
          </w:tcPr>
          <w:p>
            <w:pPr>
              <w:jc w:val="right"/>
              <w:ind w:right="41"/>
              <w:spacing w:after="0" w:line="257" w:lineRule="exact"/>
              <w:rPr>
                <w:sz w:val="20"/>
                <w:szCs w:val="20"/>
                <w:color w:val="auto"/>
              </w:rPr>
            </w:pPr>
            <w:r>
              <w:rPr>
                <w:rFonts w:ascii="Arial" w:cs="Arial" w:eastAsia="Arial" w:hAnsi="Arial"/>
                <w:sz w:val="16"/>
                <w:szCs w:val="16"/>
                <w:color w:val="auto"/>
              </w:rPr>
              <w:t>48,237</w:t>
            </w:r>
            <w:r>
              <w:rPr>
                <w:rFonts w:ascii="Arial" w:cs="Arial" w:eastAsia="Arial" w:hAnsi="Arial"/>
                <w:sz w:val="27"/>
                <w:szCs w:val="27"/>
                <w:color w:val="auto"/>
                <w:vertAlign w:val="superscript"/>
              </w:rPr>
              <w:t>(17)</w:t>
            </w:r>
          </w:p>
        </w:tc>
        <w:tc>
          <w:tcPr>
            <w:tcW w:w="1260" w:type="dxa"/>
            <w:vAlign w:val="bottom"/>
            <w:vMerge w:val="restart"/>
            <w:shd w:val="clear" w:color="auto" w:fill="CCEEF7"/>
          </w:tcPr>
          <w:p>
            <w:pPr>
              <w:jc w:val="right"/>
              <w:ind w:right="1"/>
              <w:spacing w:after="0" w:line="257" w:lineRule="exact"/>
              <w:rPr>
                <w:sz w:val="20"/>
                <w:szCs w:val="20"/>
                <w:color w:val="auto"/>
              </w:rPr>
            </w:pPr>
            <w:r>
              <w:rPr>
                <w:rFonts w:ascii="Arial" w:cs="Arial" w:eastAsia="Arial" w:hAnsi="Arial"/>
                <w:sz w:val="16"/>
                <w:szCs w:val="16"/>
                <w:color w:val="auto"/>
              </w:rPr>
              <w:t>4,293,703</w:t>
            </w:r>
            <w:r>
              <w:rPr>
                <w:rFonts w:ascii="Arial" w:cs="Arial" w:eastAsia="Arial" w:hAnsi="Arial"/>
                <w:sz w:val="27"/>
                <w:szCs w:val="27"/>
                <w:color w:val="auto"/>
                <w:vertAlign w:val="superscript"/>
              </w:rPr>
              <w:t>(16)</w:t>
            </w:r>
          </w:p>
        </w:tc>
        <w:tc>
          <w:tcPr>
            <w:tcW w:w="0" w:type="dxa"/>
            <w:vAlign w:val="bottom"/>
          </w:tcPr>
          <w:p>
            <w:pPr>
              <w:spacing w:after="0"/>
              <w:rPr>
                <w:sz w:val="1"/>
                <w:szCs w:val="1"/>
                <w:color w:val="auto"/>
              </w:rPr>
            </w:pPr>
          </w:p>
        </w:tc>
      </w:tr>
      <w:tr>
        <w:trPr>
          <w:trHeight w:val="192"/>
        </w:trPr>
        <w:tc>
          <w:tcPr>
            <w:tcW w:w="2740" w:type="dxa"/>
            <w:vAlign w:val="bottom"/>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380" w:type="dxa"/>
            <w:vAlign w:val="bottom"/>
            <w:vMerge w:val="continue"/>
            <w:shd w:val="clear" w:color="auto" w:fill="CCEEF7"/>
          </w:tcPr>
          <w:p>
            <w:pPr>
              <w:spacing w:after="0"/>
              <w:rPr>
                <w:sz w:val="16"/>
                <w:szCs w:val="16"/>
                <w:color w:val="auto"/>
              </w:rPr>
            </w:pPr>
          </w:p>
        </w:tc>
        <w:tc>
          <w:tcPr>
            <w:tcW w:w="180" w:type="dxa"/>
            <w:vAlign w:val="bottom"/>
            <w:shd w:val="clear" w:color="auto" w:fill="CCEEF7"/>
          </w:tcPr>
          <w:p>
            <w:pPr>
              <w:spacing w:after="0"/>
              <w:rPr>
                <w:sz w:val="16"/>
                <w:szCs w:val="16"/>
                <w:color w:val="auto"/>
              </w:rPr>
            </w:pPr>
          </w:p>
        </w:tc>
        <w:tc>
          <w:tcPr>
            <w:tcW w:w="1100" w:type="dxa"/>
            <w:vAlign w:val="bottom"/>
            <w:vMerge w:val="continue"/>
            <w:shd w:val="clear" w:color="auto" w:fill="CCEEF7"/>
          </w:tcPr>
          <w:p>
            <w:pPr>
              <w:spacing w:after="0"/>
              <w:rPr>
                <w:sz w:val="16"/>
                <w:szCs w:val="16"/>
                <w:color w:val="auto"/>
              </w:rPr>
            </w:pPr>
          </w:p>
        </w:tc>
        <w:tc>
          <w:tcPr>
            <w:tcW w:w="106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840" w:type="dxa"/>
            <w:vAlign w:val="bottom"/>
            <w:vMerge w:val="continue"/>
            <w:shd w:val="clear" w:color="auto" w:fill="CCEEF7"/>
          </w:tcPr>
          <w:p>
            <w:pPr>
              <w:spacing w:after="0"/>
              <w:rPr>
                <w:sz w:val="16"/>
                <w:szCs w:val="16"/>
                <w:color w:val="auto"/>
              </w:rPr>
            </w:pPr>
          </w:p>
        </w:tc>
        <w:tc>
          <w:tcPr>
            <w:tcW w:w="1040" w:type="dxa"/>
            <w:vAlign w:val="bottom"/>
            <w:vMerge w:val="continue"/>
            <w:shd w:val="clear" w:color="auto" w:fill="CCEEF7"/>
          </w:tcPr>
          <w:p>
            <w:pPr>
              <w:spacing w:after="0"/>
              <w:rPr>
                <w:sz w:val="16"/>
                <w:szCs w:val="16"/>
                <w:color w:val="auto"/>
              </w:rPr>
            </w:pPr>
          </w:p>
        </w:tc>
        <w:tc>
          <w:tcPr>
            <w:tcW w:w="1200" w:type="dxa"/>
            <w:vAlign w:val="bottom"/>
            <w:vMerge w:val="continue"/>
            <w:shd w:val="clear" w:color="auto" w:fill="CCEEF7"/>
          </w:tcPr>
          <w:p>
            <w:pPr>
              <w:spacing w:after="0"/>
              <w:rPr>
                <w:sz w:val="16"/>
                <w:szCs w:val="16"/>
                <w:color w:val="auto"/>
              </w:rPr>
            </w:pPr>
          </w:p>
        </w:tc>
        <w:tc>
          <w:tcPr>
            <w:tcW w:w="1260" w:type="dxa"/>
            <w:vAlign w:val="bottom"/>
            <w:vMerge w:val="continue"/>
            <w:shd w:val="clear" w:color="auto" w:fill="CCEEF7"/>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shd w:val="clear" w:color="auto" w:fill="CCEEF7"/>
          </w:tcPr>
          <w:p>
            <w:pPr>
              <w:spacing w:after="0"/>
              <w:rPr>
                <w:sz w:val="22"/>
                <w:szCs w:val="22"/>
                <w:color w:val="auto"/>
              </w:rPr>
            </w:pPr>
          </w:p>
        </w:tc>
        <w:tc>
          <w:tcPr>
            <w:tcW w:w="180" w:type="dxa"/>
            <w:vAlign w:val="bottom"/>
            <w:shd w:val="clear" w:color="auto" w:fill="CCEEF7"/>
          </w:tcPr>
          <w:p>
            <w:pPr>
              <w:spacing w:after="0"/>
              <w:rPr>
                <w:sz w:val="22"/>
                <w:szCs w:val="22"/>
                <w:color w:val="auto"/>
              </w:rPr>
            </w:pPr>
          </w:p>
        </w:tc>
        <w:tc>
          <w:tcPr>
            <w:tcW w:w="380" w:type="dxa"/>
            <w:vAlign w:val="bottom"/>
            <w:shd w:val="clear" w:color="auto" w:fill="CCEEF7"/>
          </w:tcPr>
          <w:p>
            <w:pPr>
              <w:jc w:val="right"/>
              <w:spacing w:after="0"/>
              <w:rPr>
                <w:sz w:val="20"/>
                <w:szCs w:val="20"/>
                <w:color w:val="auto"/>
              </w:rPr>
            </w:pPr>
            <w:r>
              <w:rPr>
                <w:rFonts w:ascii="Arial" w:cs="Arial" w:eastAsia="Arial" w:hAnsi="Arial"/>
                <w:sz w:val="16"/>
                <w:szCs w:val="16"/>
                <w:color w:val="auto"/>
              </w:rPr>
              <w:t>2021</w:t>
            </w:r>
          </w:p>
        </w:tc>
        <w:tc>
          <w:tcPr>
            <w:tcW w:w="180" w:type="dxa"/>
            <w:vAlign w:val="bottom"/>
            <w:shd w:val="clear" w:color="auto" w:fill="CCEEF7"/>
          </w:tcPr>
          <w:p>
            <w:pPr>
              <w:spacing w:after="0"/>
              <w:rPr>
                <w:sz w:val="22"/>
                <w:szCs w:val="22"/>
                <w:color w:val="auto"/>
              </w:rPr>
            </w:pPr>
          </w:p>
        </w:tc>
        <w:tc>
          <w:tcPr>
            <w:tcW w:w="1100" w:type="dxa"/>
            <w:vAlign w:val="bottom"/>
            <w:shd w:val="clear" w:color="auto" w:fill="CCEEF7"/>
          </w:tcPr>
          <w:p>
            <w:pPr>
              <w:spacing w:after="0"/>
              <w:rPr>
                <w:sz w:val="22"/>
                <w:szCs w:val="22"/>
                <w:color w:val="auto"/>
              </w:rPr>
            </w:pPr>
          </w:p>
        </w:tc>
        <w:tc>
          <w:tcPr>
            <w:tcW w:w="1060" w:type="dxa"/>
            <w:vAlign w:val="bottom"/>
            <w:shd w:val="clear" w:color="auto" w:fill="CCEEF7"/>
          </w:tcPr>
          <w:p>
            <w:pPr>
              <w:spacing w:after="0"/>
              <w:rPr>
                <w:sz w:val="22"/>
                <w:szCs w:val="22"/>
                <w:color w:val="auto"/>
              </w:rPr>
            </w:pPr>
          </w:p>
        </w:tc>
        <w:tc>
          <w:tcPr>
            <w:tcW w:w="1040" w:type="dxa"/>
            <w:vAlign w:val="bottom"/>
            <w:shd w:val="clear" w:color="auto" w:fill="CCEEF7"/>
          </w:tcPr>
          <w:p>
            <w:pPr>
              <w:spacing w:after="0"/>
              <w:rPr>
                <w:sz w:val="22"/>
                <w:szCs w:val="22"/>
                <w:color w:val="auto"/>
              </w:rPr>
            </w:pPr>
          </w:p>
        </w:tc>
        <w:tc>
          <w:tcPr>
            <w:tcW w:w="840" w:type="dxa"/>
            <w:vAlign w:val="bottom"/>
            <w:shd w:val="clear" w:color="auto" w:fill="CCEEF7"/>
          </w:tcPr>
          <w:p>
            <w:pPr>
              <w:spacing w:after="0"/>
              <w:rPr>
                <w:sz w:val="22"/>
                <w:szCs w:val="22"/>
                <w:color w:val="auto"/>
              </w:rPr>
            </w:pPr>
          </w:p>
        </w:tc>
        <w:tc>
          <w:tcPr>
            <w:tcW w:w="1040" w:type="dxa"/>
            <w:vAlign w:val="bottom"/>
            <w:shd w:val="clear" w:color="auto" w:fill="CCEEF7"/>
          </w:tcPr>
          <w:p>
            <w:pPr>
              <w:spacing w:after="0"/>
              <w:rPr>
                <w:sz w:val="22"/>
                <w:szCs w:val="22"/>
                <w:color w:val="auto"/>
              </w:rPr>
            </w:pPr>
          </w:p>
        </w:tc>
        <w:tc>
          <w:tcPr>
            <w:tcW w:w="1200" w:type="dxa"/>
            <w:vAlign w:val="bottom"/>
            <w:shd w:val="clear" w:color="auto" w:fill="CCEEF7"/>
          </w:tcPr>
          <w:p>
            <w:pPr>
              <w:jc w:val="right"/>
              <w:ind w:right="41"/>
              <w:spacing w:after="0" w:line="259" w:lineRule="exact"/>
              <w:rPr>
                <w:sz w:val="20"/>
                <w:szCs w:val="20"/>
                <w:color w:val="auto"/>
              </w:rPr>
            </w:pPr>
            <w:r>
              <w:rPr>
                <w:rFonts w:ascii="Arial" w:cs="Arial" w:eastAsia="Arial" w:hAnsi="Arial"/>
                <w:sz w:val="16"/>
                <w:szCs w:val="16"/>
                <w:color w:val="auto"/>
              </w:rPr>
              <w:t>28,317</w:t>
            </w:r>
            <w:r>
              <w:rPr>
                <w:rFonts w:ascii="Arial" w:cs="Arial" w:eastAsia="Arial" w:hAnsi="Arial"/>
                <w:sz w:val="27"/>
                <w:szCs w:val="27"/>
                <w:color w:val="auto"/>
                <w:vertAlign w:val="superscript"/>
              </w:rPr>
              <w:t>(18)</w:t>
            </w:r>
          </w:p>
        </w:tc>
        <w:tc>
          <w:tcPr>
            <w:tcW w:w="1260" w:type="dxa"/>
            <w:vAlign w:val="bottom"/>
            <w:shd w:val="clear" w:color="auto" w:fill="CCEEF7"/>
          </w:tcPr>
          <w:p>
            <w:pPr>
              <w:jc w:val="right"/>
              <w:ind w:right="1"/>
              <w:spacing w:after="0" w:line="259" w:lineRule="exact"/>
              <w:rPr>
                <w:sz w:val="20"/>
                <w:szCs w:val="20"/>
                <w:color w:val="auto"/>
              </w:rPr>
            </w:pPr>
            <w:r>
              <w:rPr>
                <w:rFonts w:ascii="Arial" w:cs="Arial" w:eastAsia="Arial" w:hAnsi="Arial"/>
                <w:sz w:val="16"/>
                <w:szCs w:val="16"/>
                <w:color w:val="auto"/>
              </w:rPr>
              <w:t>2,835,664</w:t>
            </w:r>
            <w:r>
              <w:rPr>
                <w:rFonts w:ascii="Arial" w:cs="Arial" w:eastAsia="Arial" w:hAnsi="Arial"/>
                <w:sz w:val="27"/>
                <w:szCs w:val="27"/>
                <w:color w:val="auto"/>
                <w:vertAlign w:val="superscript"/>
              </w:rPr>
              <w:t>(16)</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2018</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32,124</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66,426</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20.59</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10/26/28</w:t>
            </w:r>
          </w:p>
        </w:tc>
        <w:tc>
          <w:tcPr>
            <w:tcW w:w="12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3"/>
        </w:trPr>
        <w:tc>
          <w:tcPr>
            <w:tcW w:w="2740" w:type="dxa"/>
            <w:vAlign w:val="bottom"/>
            <w:vMerge w:val="restart"/>
          </w:tcPr>
          <w:p>
            <w:pPr>
              <w:ind w:left="60"/>
              <w:spacing w:after="0"/>
              <w:rPr>
                <w:sz w:val="20"/>
                <w:szCs w:val="20"/>
                <w:color w:val="auto"/>
              </w:rPr>
            </w:pPr>
            <w:r>
              <w:rPr>
                <w:rFonts w:ascii="Arial" w:cs="Arial" w:eastAsia="Arial" w:hAnsi="Arial"/>
                <w:sz w:val="16"/>
                <w:szCs w:val="16"/>
                <w:color w:val="auto"/>
              </w:rPr>
              <w:t>Justin Peterson</w:t>
            </w: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35,204</w:t>
            </w:r>
            <w:r>
              <w:rPr>
                <w:rFonts w:ascii="Arial" w:cs="Arial" w:eastAsia="Arial" w:hAnsi="Arial"/>
                <w:sz w:val="27"/>
                <w:szCs w:val="27"/>
                <w:color w:val="auto"/>
                <w:vertAlign w:val="superscript"/>
              </w:rPr>
              <w:t>(4)</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3,525,329</w:t>
            </w:r>
            <w:r>
              <w:rPr>
                <w:rFonts w:ascii="Arial" w:cs="Arial" w:eastAsia="Arial" w:hAnsi="Arial"/>
                <w:sz w:val="27"/>
                <w:szCs w:val="27"/>
                <w:color w:val="auto"/>
                <w:vertAlign w:val="superscript"/>
              </w:rPr>
              <w:t>(19)</w:t>
            </w:r>
          </w:p>
        </w:tc>
        <w:tc>
          <w:tcPr>
            <w:tcW w:w="0" w:type="dxa"/>
            <w:vAlign w:val="bottom"/>
          </w:tcPr>
          <w:p>
            <w:pPr>
              <w:spacing w:after="0"/>
              <w:rPr>
                <w:sz w:val="1"/>
                <w:szCs w:val="1"/>
                <w:color w:val="auto"/>
              </w:rPr>
            </w:pPr>
          </w:p>
        </w:tc>
      </w:tr>
      <w:tr>
        <w:trPr>
          <w:trHeight w:val="65"/>
        </w:trPr>
        <w:tc>
          <w:tcPr>
            <w:tcW w:w="2740" w:type="dxa"/>
            <w:vAlign w:val="bottom"/>
            <w:vMerge w:val="continue"/>
          </w:tcPr>
          <w:p>
            <w:pPr>
              <w:spacing w:after="0"/>
              <w:rPr>
                <w:sz w:val="5"/>
                <w:szCs w:val="5"/>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2020</w:t>
            </w:r>
          </w:p>
        </w:tc>
        <w:tc>
          <w:tcPr>
            <w:tcW w:w="1100" w:type="dxa"/>
            <w:vAlign w:val="bottom"/>
            <w:vMerge w:val="restart"/>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03"/>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41"/>
              <w:spacing w:after="0" w:line="257" w:lineRule="exact"/>
              <w:rPr>
                <w:sz w:val="20"/>
                <w:szCs w:val="20"/>
                <w:color w:val="auto"/>
              </w:rPr>
            </w:pPr>
            <w:r>
              <w:rPr>
                <w:rFonts w:ascii="Arial" w:cs="Arial" w:eastAsia="Arial" w:hAnsi="Arial"/>
                <w:sz w:val="16"/>
                <w:szCs w:val="16"/>
                <w:color w:val="auto"/>
              </w:rPr>
              <w:t>38,589</w:t>
            </w:r>
            <w:r>
              <w:rPr>
                <w:rFonts w:ascii="Arial" w:cs="Arial" w:eastAsia="Arial" w:hAnsi="Arial"/>
                <w:sz w:val="27"/>
                <w:szCs w:val="27"/>
                <w:color w:val="auto"/>
                <w:vertAlign w:val="superscript"/>
              </w:rPr>
              <w:t>(20)</w:t>
            </w:r>
          </w:p>
        </w:tc>
        <w:tc>
          <w:tcPr>
            <w:tcW w:w="1260" w:type="dxa"/>
            <w:vAlign w:val="bottom"/>
            <w:vMerge w:val="restart"/>
          </w:tcPr>
          <w:p>
            <w:pPr>
              <w:jc w:val="right"/>
              <w:ind w:right="1"/>
              <w:spacing w:after="0" w:line="257" w:lineRule="exact"/>
              <w:rPr>
                <w:sz w:val="20"/>
                <w:szCs w:val="20"/>
                <w:color w:val="auto"/>
              </w:rPr>
            </w:pPr>
            <w:r>
              <w:rPr>
                <w:rFonts w:ascii="Arial" w:cs="Arial" w:eastAsia="Arial" w:hAnsi="Arial"/>
                <w:sz w:val="16"/>
                <w:szCs w:val="16"/>
                <w:color w:val="auto"/>
              </w:rPr>
              <w:t>3,434,902</w:t>
            </w:r>
            <w:r>
              <w:rPr>
                <w:rFonts w:ascii="Arial" w:cs="Arial" w:eastAsia="Arial" w:hAnsi="Arial"/>
                <w:sz w:val="27"/>
                <w:szCs w:val="27"/>
                <w:color w:val="auto"/>
                <w:vertAlign w:val="superscript"/>
              </w:rPr>
              <w:t>(19)</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7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2021</w:t>
            </w:r>
          </w:p>
        </w:tc>
        <w:tc>
          <w:tcPr>
            <w:tcW w:w="1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line="259" w:lineRule="exact"/>
              <w:rPr>
                <w:sz w:val="20"/>
                <w:szCs w:val="20"/>
                <w:color w:val="auto"/>
              </w:rPr>
            </w:pPr>
            <w:r>
              <w:rPr>
                <w:rFonts w:ascii="Arial" w:cs="Arial" w:eastAsia="Arial" w:hAnsi="Arial"/>
                <w:sz w:val="16"/>
                <w:szCs w:val="16"/>
                <w:color w:val="auto"/>
              </w:rPr>
              <w:t>24,945</w:t>
            </w:r>
            <w:r>
              <w:rPr>
                <w:rFonts w:ascii="Arial" w:cs="Arial" w:eastAsia="Arial" w:hAnsi="Arial"/>
                <w:sz w:val="27"/>
                <w:szCs w:val="27"/>
                <w:color w:val="auto"/>
                <w:vertAlign w:val="superscript"/>
              </w:rPr>
              <w:t>(21)</w:t>
            </w:r>
          </w:p>
        </w:tc>
        <w:tc>
          <w:tcPr>
            <w:tcW w:w="1260" w:type="dxa"/>
            <w:vAlign w:val="bottom"/>
            <w:tcBorders>
              <w:bottom w:val="single" w:sz="8" w:color="auto"/>
            </w:tcBorders>
          </w:tcPr>
          <w:p>
            <w:pPr>
              <w:jc w:val="right"/>
              <w:ind w:right="1"/>
              <w:spacing w:after="0" w:line="259" w:lineRule="exact"/>
              <w:rPr>
                <w:sz w:val="20"/>
                <w:szCs w:val="20"/>
                <w:color w:val="auto"/>
              </w:rPr>
            </w:pPr>
            <w:r>
              <w:rPr>
                <w:rFonts w:ascii="Arial" w:cs="Arial" w:eastAsia="Arial" w:hAnsi="Arial"/>
                <w:sz w:val="16"/>
                <w:szCs w:val="16"/>
                <w:color w:val="auto"/>
              </w:rPr>
              <w:t>2,497,992</w:t>
            </w:r>
            <w:r>
              <w:rPr>
                <w:rFonts w:ascii="Arial" w:cs="Arial" w:eastAsia="Arial" w:hAnsi="Arial"/>
                <w:sz w:val="27"/>
                <w:szCs w:val="27"/>
                <w:color w:val="auto"/>
                <w:vertAlign w:val="superscript"/>
              </w:rPr>
              <w:t>(19)</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100" w:hanging="424"/>
        <w:spacing w:after="0" w:line="247"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unvested portion of Options granted to the NEOs on October 26, 2018, as of December 31, 2021 under the Option Plan. Such Options vest based on satisfying certain performance conditions, including achievement of EBITDA growth and revenue growth targets, for calendar year 2021. On February 24, 2022 the performance goals in respect of 2021 were deemed achieved and the amount reflected above became vested. For additional information on the vesting terms applicable to the Options, see the section titled “Fiscal 2021 Compensation Program in Detail — Long-Term Equity Incentives.”</w:t>
      </w:r>
    </w:p>
    <w:p>
      <w:pPr>
        <w:spacing w:after="0" w:line="66" w:lineRule="exact"/>
        <w:rPr>
          <w:rFonts w:ascii="Arial" w:cs="Arial" w:eastAsia="Arial" w:hAnsi="Arial"/>
          <w:sz w:val="14"/>
          <w:szCs w:val="14"/>
          <w:color w:val="auto"/>
        </w:rPr>
      </w:pP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the per-share closing market price of the Company’s common stock on December 31, 2021, which was $100.14.</w:t>
      </w:r>
    </w:p>
    <w:p>
      <w:pPr>
        <w:spacing w:after="0" w:line="82" w:lineRule="exact"/>
        <w:rPr>
          <w:rFonts w:ascii="Arial" w:cs="Arial" w:eastAsia="Arial" w:hAnsi="Arial"/>
          <w:sz w:val="14"/>
          <w:szCs w:val="14"/>
          <w:color w:val="auto"/>
        </w:rPr>
      </w:pPr>
    </w:p>
    <w:p>
      <w:pPr>
        <w:ind w:left="540" w:right="140" w:hanging="424"/>
        <w:spacing w:after="0" w:line="258"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138,164 options transferred by Mr. Olesky to The Lee Olesky 2019 Family Trust U/A/D March 21, 2019 (“The Family Trust”). Mr. Olesky and his wife are the co-trustees of The Family Trust.</w:t>
      </w:r>
    </w:p>
    <w:p>
      <w:pPr>
        <w:spacing w:after="0" w:line="58" w:lineRule="exact"/>
        <w:rPr>
          <w:rFonts w:ascii="Arial" w:cs="Arial" w:eastAsia="Arial" w:hAnsi="Arial"/>
          <w:sz w:val="14"/>
          <w:szCs w:val="14"/>
          <w:color w:val="auto"/>
        </w:rPr>
      </w:pP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PRSUs which vested in full on January 1, 2022.</w:t>
      </w:r>
    </w:p>
    <w:p>
      <w:pPr>
        <w:spacing w:after="0" w:line="82" w:lineRule="exact"/>
        <w:rPr>
          <w:rFonts w:ascii="Arial" w:cs="Arial" w:eastAsia="Arial" w:hAnsi="Arial"/>
          <w:sz w:val="14"/>
          <w:szCs w:val="14"/>
          <w:color w:val="auto"/>
        </w:rPr>
      </w:pPr>
    </w:p>
    <w:p>
      <w:pPr>
        <w:ind w:left="540" w:right="160" w:hanging="424"/>
        <w:spacing w:after="0" w:line="258"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Olesky has accrued dividend equivalent rights in respect of his grants of PRSUs and RSUs valued at (i) $486,597 for 2019 awards, (ii) $85,069 for 2020 awards, and (iii) $26,105 for 2021 awards. These dividend equivalent rights are to be paid at the time the underlying award settles.</w:t>
      </w:r>
    </w:p>
    <w:p>
      <w:pPr>
        <w:spacing w:after="0" w:line="172"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right="4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102,906 PRSUs which will vest on January 1, 2023, and (ii) 51,453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jc w:val="both"/>
        <w:ind w:left="540" w:right="12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59,330 PRSUs which will vest on January 1, 2024, and (ii) 29,665 RSUs which will vest (or vested) in equal installments on March 15 of each of 2022, 2023 and 2024,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65" w:lineRule="exact"/>
        <w:rPr>
          <w:rFonts w:ascii="Arial" w:cs="Arial" w:eastAsia="Arial" w:hAnsi="Arial"/>
          <w:sz w:val="14"/>
          <w:szCs w:val="14"/>
          <w:color w:val="auto"/>
        </w:rPr>
      </w:pPr>
    </w:p>
    <w:p>
      <w:pPr>
        <w:ind w:left="540" w:right="60" w:hanging="424"/>
        <w:spacing w:after="0" w:line="24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19,350 RSUs which will vest on March 31, 2022, (ii) 16,672 RSUs which will vest on March 31, 2023, (iii) 8,540 PRSUs, which will vest on January 1, 2024, (iv) 4,948 RSUs, which will vest on March 31, 2024, and (v) 3,619 RSUs, which will vest on March 31, 2025,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66" w:lineRule="exact"/>
        <w:rPr>
          <w:rFonts w:ascii="Arial" w:cs="Arial" w:eastAsia="Arial" w:hAnsi="Arial"/>
          <w:sz w:val="14"/>
          <w:szCs w:val="14"/>
          <w:color w:val="auto"/>
        </w:rPr>
      </w:pPr>
    </w:p>
    <w:p>
      <w:pPr>
        <w:ind w:left="540" w:right="36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Furber has accrued dividend equivalent rights in respect of her grants of PRSUs and RSUs valued at $4,250 for her 2021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Warshaw has accrued dividend equivalent rights in respect of his grants of PRSUs and RSUs valued at (i) $35,867 for 2019 awards, (ii) $17,332 for 2020 awards, and (iii) $5,161 for 2021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540" w:right="12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20,966 PRSUs which will vest on January 1, 2023, and (ii) 10,483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540" w:right="12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11,730 PRSUs which will vest on January 1, 2024, and (ii) 5,865 RSUs which will vest (or vested) in equal installments on March 15 of each of 2022, 2023 and 2024,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65" w:lineRule="exact"/>
        <w:rPr>
          <w:rFonts w:ascii="Arial" w:cs="Arial" w:eastAsia="Arial" w:hAnsi="Arial"/>
          <w:sz w:val="14"/>
          <w:szCs w:val="14"/>
          <w:color w:val="auto"/>
        </w:rPr>
      </w:pP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Hult has accrued dividend equivalent rights in respect of his grants of PRSUs and RSUs valued at (i) $406,036 for 2019 awards, (ii) $71,245 for 2020 awards, and</w:t>
      </w:r>
    </w:p>
    <w:p>
      <w:pPr>
        <w:spacing w:after="0" w:line="1" w:lineRule="exact"/>
        <w:rPr>
          <w:rFonts w:ascii="Arial" w:cs="Arial" w:eastAsia="Arial" w:hAnsi="Arial"/>
          <w:sz w:val="14"/>
          <w:szCs w:val="14"/>
          <w:color w:val="auto"/>
        </w:rPr>
      </w:pPr>
    </w:p>
    <w:p>
      <w:pPr>
        <w:ind w:left="780" w:hanging="232"/>
        <w:spacing w:after="0"/>
        <w:tabs>
          <w:tab w:leader="none" w:pos="7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$21,863 for 2021 awards. These dividend equivalent rights are to be paid at the time the underlying award settles.</w:t>
      </w:r>
    </w:p>
    <w:p>
      <w:pPr>
        <w:spacing w:after="0" w:line="82" w:lineRule="exact"/>
        <w:rPr>
          <w:rFonts w:ascii="Arial" w:cs="Arial" w:eastAsia="Arial" w:hAnsi="Arial"/>
          <w:sz w:val="14"/>
          <w:szCs w:val="14"/>
          <w:color w:val="auto"/>
        </w:rPr>
      </w:pPr>
    </w:p>
    <w:p>
      <w:pPr>
        <w:ind w:left="540" w:right="12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86,184 PRSUs which will vest on January 1, 2023, and (ii) 43,092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jc w:val="both"/>
        <w:ind w:left="540" w:right="12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49,688 PRSUs which will vest on January 1, 2024, and (ii) 24,844 RSUs which will vest (or vested) in equal installments on March 15 of each of 2022, 2023 and 2024,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65" w:lineRule="exact"/>
        <w:rPr>
          <w:rFonts w:ascii="Arial" w:cs="Arial" w:eastAsia="Arial" w:hAnsi="Arial"/>
          <w:sz w:val="14"/>
          <w:szCs w:val="14"/>
          <w:color w:val="auto"/>
        </w:rPr>
      </w:pP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Bruni has accrued dividend equivalent rights in respect of his grants of PRSUs and RSUs valued at (i) $71,727 for 2019 awards, (ii) $26,584 for 2020 awards, and</w:t>
      </w:r>
    </w:p>
    <w:p>
      <w:pPr>
        <w:spacing w:after="0" w:line="1" w:lineRule="exact"/>
        <w:rPr>
          <w:rFonts w:ascii="Arial" w:cs="Arial" w:eastAsia="Arial" w:hAnsi="Arial"/>
          <w:sz w:val="14"/>
          <w:szCs w:val="14"/>
          <w:color w:val="auto"/>
        </w:rPr>
      </w:pPr>
    </w:p>
    <w:p>
      <w:pPr>
        <w:ind w:left="780" w:hanging="232"/>
        <w:spacing w:after="0"/>
        <w:tabs>
          <w:tab w:leader="none" w:pos="7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$8,306 for 2021 awards. These dividend equivalent rights are to be paid at the time the underlying award settles.</w:t>
      </w:r>
    </w:p>
    <w:p>
      <w:pPr>
        <w:spacing w:after="0" w:line="82" w:lineRule="exact"/>
        <w:rPr>
          <w:rFonts w:ascii="Arial" w:cs="Arial" w:eastAsia="Arial" w:hAnsi="Arial"/>
          <w:sz w:val="14"/>
          <w:szCs w:val="14"/>
          <w:color w:val="auto"/>
        </w:rPr>
      </w:pPr>
    </w:p>
    <w:p>
      <w:pPr>
        <w:ind w:left="540" w:right="12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32,158 PRSUs which will vest on January 1, 2023, and (ii) 16,079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ind w:left="540" w:right="12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18,878 PRSUs which will vest on January 1, 2024, and (ii) 9,439 RSUs which will vest (or vested) in equal installments on March 15 of each of 2022, 2023 and 2024,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65" w:lineRule="exact"/>
        <w:rPr>
          <w:rFonts w:ascii="Arial" w:cs="Arial" w:eastAsia="Arial" w:hAnsi="Arial"/>
          <w:sz w:val="14"/>
          <w:szCs w:val="14"/>
          <w:color w:val="auto"/>
        </w:rPr>
      </w:pPr>
    </w:p>
    <w:p>
      <w:pPr>
        <w:ind w:left="540" w:right="10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Peterson has accrued dividend equivalent rights in respect of his grants of PRSUs and RSUs valued at (i) $57,383 for 2019 awards, (ii) $21,267 for 2020 awards, and (iii) $7,173 for 2021 awards. These dividend equivalent rights are to be paid at the time the underlying award settles.</w:t>
      </w:r>
    </w:p>
    <w:p>
      <w:pPr>
        <w:spacing w:after="0" w:line="58" w:lineRule="exact"/>
        <w:rPr>
          <w:rFonts w:ascii="Arial" w:cs="Arial" w:eastAsia="Arial" w:hAnsi="Arial"/>
          <w:sz w:val="14"/>
          <w:szCs w:val="14"/>
          <w:color w:val="auto"/>
        </w:rPr>
      </w:pPr>
    </w:p>
    <w:p>
      <w:pPr>
        <w:ind w:left="540" w:right="120" w:hanging="424"/>
        <w:spacing w:after="0" w:line="258"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25,726 PRSUs which will vest on January 1, 2023, and (ii) 12,863 RSUs which will vest (or vested) in equal installments on March 17 of each of 2021, 2022 and 2023, subject in each case to continued employment on each applicable vesting date.</w:t>
      </w:r>
    </w:p>
    <w:p>
      <w:pPr>
        <w:spacing w:after="0" w:line="58" w:lineRule="exact"/>
        <w:rPr>
          <w:rFonts w:ascii="Arial" w:cs="Arial" w:eastAsia="Arial" w:hAnsi="Arial"/>
          <w:sz w:val="14"/>
          <w:szCs w:val="14"/>
          <w:color w:val="auto"/>
        </w:rPr>
      </w:pPr>
    </w:p>
    <w:p>
      <w:pPr>
        <w:jc w:val="both"/>
        <w:ind w:left="540" w:right="120" w:hanging="424"/>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 14,832 PRSUs which will vest on January 1, 2024, and (ii) 10,113 RSUs which will vest (or vested) in equal installments on March 15 of each of 2022, 2023 and 2024, subject in each case to continued employment on each applicable vesting date. PRSUs reflect the maximum number of shares to be awarded based on a 200% Performance Modifier, which Performance Modifier was deemed achieved based on 2021 performance as of February 24, 2022.</w:t>
      </w:r>
    </w:p>
    <w:p>
      <w:pPr>
        <w:spacing w:after="0" w:line="179"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48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Options Exercised and Stock Vested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option exercises and stock vested by each of the NEOs during the fiscal year ended December 31, 2021.</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Option</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Stock</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awards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awards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5660" w:type="dxa"/>
            <w:vAlign w:val="bottom"/>
          </w:tcPr>
          <w:p>
            <w:pPr>
              <w:spacing w:after="0"/>
              <w:rPr>
                <w:sz w:val="10"/>
                <w:szCs w:val="10"/>
                <w:color w:val="auto"/>
              </w:rPr>
            </w:pPr>
          </w:p>
        </w:tc>
        <w:tc>
          <w:tcPr>
            <w:tcW w:w="1600" w:type="dxa"/>
            <w:vAlign w:val="bottom"/>
          </w:tcPr>
          <w:p>
            <w:pPr>
              <w:jc w:val="right"/>
              <w:ind w:right="263"/>
              <w:spacing w:after="0" w:line="123" w:lineRule="exact"/>
              <w:rPr>
                <w:sz w:val="20"/>
                <w:szCs w:val="20"/>
                <w:color w:val="auto"/>
              </w:rPr>
            </w:pPr>
            <w:r>
              <w:rPr>
                <w:rFonts w:ascii="Arial" w:cs="Arial" w:eastAsia="Arial" w:hAnsi="Arial"/>
                <w:sz w:val="14"/>
                <w:szCs w:val="14"/>
                <w:color w:val="auto"/>
              </w:rPr>
              <w:t>Number of shares</w:t>
            </w:r>
          </w:p>
        </w:tc>
        <w:tc>
          <w:tcPr>
            <w:tcW w:w="980" w:type="dxa"/>
            <w:vAlign w:val="bottom"/>
          </w:tcPr>
          <w:p>
            <w:pPr>
              <w:jc w:val="right"/>
              <w:spacing w:after="0" w:line="123" w:lineRule="exact"/>
              <w:rPr>
                <w:sz w:val="20"/>
                <w:szCs w:val="20"/>
                <w:color w:val="auto"/>
              </w:rPr>
            </w:pPr>
            <w:r>
              <w:rPr>
                <w:rFonts w:ascii="Arial" w:cs="Arial" w:eastAsia="Arial" w:hAnsi="Arial"/>
                <w:sz w:val="14"/>
                <w:szCs w:val="14"/>
                <w:color w:val="auto"/>
              </w:rPr>
              <w:t>Value realized</w:t>
            </w:r>
          </w:p>
        </w:tc>
        <w:tc>
          <w:tcPr>
            <w:tcW w:w="300" w:type="dxa"/>
            <w:vAlign w:val="bottom"/>
            <w:vMerge w:val="continue"/>
          </w:tcPr>
          <w:p>
            <w:pPr>
              <w:spacing w:after="0"/>
              <w:rPr>
                <w:sz w:val="10"/>
                <w:szCs w:val="10"/>
                <w:color w:val="auto"/>
              </w:rPr>
            </w:pPr>
          </w:p>
        </w:tc>
        <w:tc>
          <w:tcPr>
            <w:tcW w:w="1480" w:type="dxa"/>
            <w:vAlign w:val="bottom"/>
          </w:tcPr>
          <w:p>
            <w:pPr>
              <w:jc w:val="right"/>
              <w:ind w:right="123"/>
              <w:spacing w:after="0" w:line="123" w:lineRule="exact"/>
              <w:rPr>
                <w:sz w:val="20"/>
                <w:szCs w:val="20"/>
                <w:color w:val="auto"/>
              </w:rPr>
            </w:pPr>
            <w:r>
              <w:rPr>
                <w:rFonts w:ascii="Arial" w:cs="Arial" w:eastAsia="Arial" w:hAnsi="Arial"/>
                <w:sz w:val="14"/>
                <w:szCs w:val="14"/>
                <w:color w:val="auto"/>
              </w:rPr>
              <w:t>Number of shares</w:t>
            </w:r>
          </w:p>
        </w:tc>
        <w:tc>
          <w:tcPr>
            <w:tcW w:w="1000" w:type="dxa"/>
            <w:vAlign w:val="bottom"/>
          </w:tcPr>
          <w:p>
            <w:pPr>
              <w:jc w:val="right"/>
              <w:ind w:right="82"/>
              <w:spacing w:after="0" w:line="123" w:lineRule="exact"/>
              <w:rPr>
                <w:sz w:val="20"/>
                <w:szCs w:val="20"/>
                <w:color w:val="auto"/>
              </w:rPr>
            </w:pPr>
            <w:r>
              <w:rPr>
                <w:rFonts w:ascii="Arial" w:cs="Arial" w:eastAsia="Arial" w:hAnsi="Arial"/>
                <w:sz w:val="14"/>
                <w:szCs w:val="14"/>
                <w:color w:val="auto"/>
                <w:w w:val="92"/>
              </w:rPr>
              <w:t>Value realized</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0" w:type="dxa"/>
            <w:vAlign w:val="bottom"/>
          </w:tcPr>
          <w:p>
            <w:pPr>
              <w:jc w:val="right"/>
              <w:ind w:right="263"/>
              <w:spacing w:after="0" w:line="149" w:lineRule="exact"/>
              <w:rPr>
                <w:sz w:val="20"/>
                <w:szCs w:val="20"/>
                <w:color w:val="auto"/>
              </w:rPr>
            </w:pPr>
            <w:r>
              <w:rPr>
                <w:rFonts w:ascii="Arial" w:cs="Arial" w:eastAsia="Arial" w:hAnsi="Arial"/>
                <w:sz w:val="14"/>
                <w:szCs w:val="14"/>
                <w:color w:val="auto"/>
              </w:rPr>
              <w:t>acquired on</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on exercise</w:t>
            </w:r>
          </w:p>
        </w:tc>
        <w:tc>
          <w:tcPr>
            <w:tcW w:w="1480" w:type="dxa"/>
            <w:vAlign w:val="bottom"/>
          </w:tcPr>
          <w:p>
            <w:pPr>
              <w:jc w:val="right"/>
              <w:ind w:right="123"/>
              <w:spacing w:after="0" w:line="149" w:lineRule="exact"/>
              <w:rPr>
                <w:sz w:val="20"/>
                <w:szCs w:val="20"/>
                <w:color w:val="auto"/>
              </w:rPr>
            </w:pPr>
            <w:r>
              <w:rPr>
                <w:rFonts w:ascii="Arial" w:cs="Arial" w:eastAsia="Arial" w:hAnsi="Arial"/>
                <w:sz w:val="14"/>
                <w:szCs w:val="14"/>
                <w:color w:val="auto"/>
              </w:rPr>
              <w:t>acquired on</w:t>
            </w:r>
          </w:p>
        </w:tc>
        <w:tc>
          <w:tcPr>
            <w:tcW w:w="1000" w:type="dxa"/>
            <w:vAlign w:val="bottom"/>
          </w:tcPr>
          <w:p>
            <w:pPr>
              <w:jc w:val="right"/>
              <w:ind w:right="82"/>
              <w:spacing w:after="0" w:line="149" w:lineRule="exact"/>
              <w:rPr>
                <w:sz w:val="20"/>
                <w:szCs w:val="20"/>
                <w:color w:val="auto"/>
              </w:rPr>
            </w:pPr>
            <w:r>
              <w:rPr>
                <w:rFonts w:ascii="Arial" w:cs="Arial" w:eastAsia="Arial" w:hAnsi="Arial"/>
                <w:sz w:val="14"/>
                <w:szCs w:val="14"/>
                <w:color w:val="auto"/>
              </w:rPr>
              <w:t>on vesting</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16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exercise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(1)</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vesting (#)</w:t>
            </w:r>
            <w:r>
              <w:rPr>
                <w:rFonts w:ascii="Arial" w:cs="Arial" w:eastAsia="Arial" w:hAnsi="Arial"/>
                <w:sz w:val="12"/>
                <w:szCs w:val="12"/>
                <w:color w:val="auto"/>
              </w:rPr>
              <w:t>(2)</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90"/>
        </w:trPr>
        <w:tc>
          <w:tcPr>
            <w:tcW w:w="56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Lee Olesky</w:t>
            </w:r>
          </w:p>
        </w:tc>
        <w:tc>
          <w:tcPr>
            <w:tcW w:w="1600" w:type="dxa"/>
            <w:vAlign w:val="bottom"/>
            <w:tcBorders>
              <w:bottom w:val="single" w:sz="8" w:color="CCEEF7"/>
            </w:tcBorders>
            <w:shd w:val="clear" w:color="auto" w:fill="CCEEF7"/>
          </w:tcPr>
          <w:p>
            <w:pPr>
              <w:jc w:val="right"/>
              <w:ind w:right="263"/>
              <w:spacing w:after="0"/>
              <w:rPr>
                <w:sz w:val="20"/>
                <w:szCs w:val="20"/>
                <w:color w:val="auto"/>
              </w:rPr>
            </w:pPr>
            <w:r>
              <w:rPr>
                <w:rFonts w:ascii="Arial" w:cs="Arial" w:eastAsia="Arial" w:hAnsi="Arial"/>
                <w:sz w:val="16"/>
                <w:szCs w:val="16"/>
                <w:color w:val="auto"/>
              </w:rPr>
              <w:t>2,613,911</w:t>
            </w:r>
          </w:p>
        </w:tc>
        <w:tc>
          <w:tcPr>
            <w:tcW w:w="9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156,288,646</w:t>
            </w:r>
          </w:p>
        </w:tc>
        <w:tc>
          <w:tcPr>
            <w:tcW w:w="300" w:type="dxa"/>
            <w:vAlign w:val="bottom"/>
            <w:tcBorders>
              <w:bottom w:val="single" w:sz="8" w:color="CCEEF7"/>
            </w:tcBorders>
            <w:shd w:val="clear" w:color="auto" w:fill="CCEEF7"/>
          </w:tcPr>
          <w:p>
            <w:pPr>
              <w:spacing w:after="0"/>
              <w:rPr>
                <w:sz w:val="24"/>
                <w:szCs w:val="24"/>
                <w:color w:val="auto"/>
              </w:rPr>
            </w:pPr>
          </w:p>
        </w:tc>
        <w:tc>
          <w:tcPr>
            <w:tcW w:w="1480" w:type="dxa"/>
            <w:vAlign w:val="bottom"/>
            <w:tcBorders>
              <w:bottom w:val="single" w:sz="8" w:color="CCEEF7"/>
            </w:tcBorders>
            <w:shd w:val="clear" w:color="auto" w:fill="CCEEF7"/>
          </w:tcPr>
          <w:p>
            <w:pPr>
              <w:jc w:val="right"/>
              <w:ind w:right="123"/>
              <w:spacing w:after="0"/>
              <w:rPr>
                <w:sz w:val="20"/>
                <w:szCs w:val="20"/>
                <w:color w:val="auto"/>
              </w:rPr>
            </w:pPr>
            <w:r>
              <w:rPr>
                <w:rFonts w:ascii="Arial" w:cs="Arial" w:eastAsia="Arial" w:hAnsi="Arial"/>
                <w:sz w:val="16"/>
                <w:szCs w:val="16"/>
                <w:color w:val="auto"/>
              </w:rPr>
              <w:t>232,148</w:t>
            </w:r>
          </w:p>
        </w:tc>
        <w:tc>
          <w:tcPr>
            <w:tcW w:w="1000" w:type="dxa"/>
            <w:vAlign w:val="bottom"/>
            <w:tcBorders>
              <w:bottom w:val="single" w:sz="8" w:color="CCEEF7"/>
            </w:tcBorders>
            <w:shd w:val="clear" w:color="auto" w:fill="CCEEF7"/>
          </w:tcPr>
          <w:p>
            <w:pPr>
              <w:jc w:val="right"/>
              <w:ind w:right="82"/>
              <w:spacing w:after="0"/>
              <w:rPr>
                <w:sz w:val="20"/>
                <w:szCs w:val="20"/>
                <w:color w:val="auto"/>
              </w:rPr>
            </w:pPr>
            <w:r>
              <w:rPr>
                <w:rFonts w:ascii="Arial" w:cs="Arial" w:eastAsia="Arial" w:hAnsi="Arial"/>
                <w:sz w:val="16"/>
                <w:szCs w:val="16"/>
                <w:color w:val="auto"/>
              </w:rPr>
              <w:t>14,318,300</w:t>
            </w:r>
          </w:p>
        </w:tc>
        <w:tc>
          <w:tcPr>
            <w:tcW w:w="0" w:type="dxa"/>
            <w:vAlign w:val="bottom"/>
          </w:tcPr>
          <w:p>
            <w:pPr>
              <w:spacing w:after="0"/>
              <w:rPr>
                <w:sz w:val="1"/>
                <w:szCs w:val="1"/>
                <w:color w:val="auto"/>
              </w:rPr>
            </w:pPr>
          </w:p>
        </w:tc>
      </w:tr>
      <w:tr>
        <w:trPr>
          <w:trHeight w:val="264"/>
        </w:trPr>
        <w:tc>
          <w:tcPr>
            <w:tcW w:w="5660" w:type="dxa"/>
            <w:vAlign w:val="bottom"/>
          </w:tcPr>
          <w:p>
            <w:pPr>
              <w:ind w:left="60"/>
              <w:spacing w:after="0"/>
              <w:rPr>
                <w:sz w:val="20"/>
                <w:szCs w:val="20"/>
                <w:color w:val="auto"/>
              </w:rPr>
            </w:pPr>
            <w:r>
              <w:rPr>
                <w:rFonts w:ascii="Arial" w:cs="Arial" w:eastAsia="Arial" w:hAnsi="Arial"/>
                <w:sz w:val="16"/>
                <w:szCs w:val="16"/>
                <w:color w:val="auto"/>
              </w:rPr>
              <w:t>Sara Furber</w:t>
            </w:r>
          </w:p>
        </w:tc>
        <w:tc>
          <w:tcPr>
            <w:tcW w:w="16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5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Robert Warshaw</w:t>
            </w:r>
          </w:p>
        </w:tc>
        <w:tc>
          <w:tcPr>
            <w:tcW w:w="1600" w:type="dxa"/>
            <w:vAlign w:val="bottom"/>
            <w:tcBorders>
              <w:bottom w:val="single" w:sz="8" w:color="CCEEF7"/>
            </w:tcBorders>
            <w:shd w:val="clear" w:color="auto" w:fill="CCEEF7"/>
          </w:tcPr>
          <w:p>
            <w:pPr>
              <w:jc w:val="right"/>
              <w:ind w:right="263"/>
              <w:spacing w:after="0"/>
              <w:rPr>
                <w:sz w:val="20"/>
                <w:szCs w:val="20"/>
                <w:color w:val="auto"/>
              </w:rPr>
            </w:pPr>
            <w:r>
              <w:rPr>
                <w:rFonts w:ascii="Arial" w:cs="Arial" w:eastAsia="Arial" w:hAnsi="Arial"/>
                <w:sz w:val="16"/>
                <w:szCs w:val="16"/>
                <w:color w:val="auto"/>
              </w:rPr>
              <w:t>69,275</w:t>
            </w:r>
          </w:p>
        </w:tc>
        <w:tc>
          <w:tcPr>
            <w:tcW w:w="9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4,151,952</w:t>
            </w:r>
          </w:p>
        </w:tc>
        <w:tc>
          <w:tcPr>
            <w:tcW w:w="300" w:type="dxa"/>
            <w:vAlign w:val="bottom"/>
            <w:tcBorders>
              <w:bottom w:val="single" w:sz="8" w:color="CCEEF7"/>
            </w:tcBorders>
            <w:shd w:val="clear" w:color="auto" w:fill="CCEEF7"/>
          </w:tcPr>
          <w:p>
            <w:pPr>
              <w:spacing w:after="0"/>
              <w:rPr>
                <w:sz w:val="24"/>
                <w:szCs w:val="24"/>
                <w:color w:val="auto"/>
              </w:rPr>
            </w:pPr>
          </w:p>
        </w:tc>
        <w:tc>
          <w:tcPr>
            <w:tcW w:w="1480" w:type="dxa"/>
            <w:vAlign w:val="bottom"/>
            <w:tcBorders>
              <w:bottom w:val="single" w:sz="8" w:color="CCEEF7"/>
            </w:tcBorders>
            <w:shd w:val="clear" w:color="auto" w:fill="CCEEF7"/>
          </w:tcPr>
          <w:p>
            <w:pPr>
              <w:jc w:val="right"/>
              <w:ind w:right="123"/>
              <w:spacing w:after="0"/>
              <w:rPr>
                <w:sz w:val="20"/>
                <w:szCs w:val="20"/>
                <w:color w:val="auto"/>
              </w:rPr>
            </w:pPr>
            <w:r>
              <w:rPr>
                <w:rFonts w:ascii="Arial" w:cs="Arial" w:eastAsia="Arial" w:hAnsi="Arial"/>
                <w:sz w:val="16"/>
                <w:szCs w:val="16"/>
                <w:color w:val="auto"/>
              </w:rPr>
              <w:t>28,991</w:t>
            </w:r>
          </w:p>
        </w:tc>
        <w:tc>
          <w:tcPr>
            <w:tcW w:w="1000" w:type="dxa"/>
            <w:vAlign w:val="bottom"/>
            <w:tcBorders>
              <w:bottom w:val="single" w:sz="8" w:color="CCEEF7"/>
            </w:tcBorders>
            <w:shd w:val="clear" w:color="auto" w:fill="CCEEF7"/>
          </w:tcPr>
          <w:p>
            <w:pPr>
              <w:jc w:val="right"/>
              <w:ind w:right="82"/>
              <w:spacing w:after="0"/>
              <w:rPr>
                <w:sz w:val="20"/>
                <w:szCs w:val="20"/>
                <w:color w:val="auto"/>
              </w:rPr>
            </w:pPr>
            <w:r>
              <w:rPr>
                <w:rFonts w:ascii="Arial" w:cs="Arial" w:eastAsia="Arial" w:hAnsi="Arial"/>
                <w:sz w:val="16"/>
                <w:szCs w:val="16"/>
                <w:color w:val="auto"/>
              </w:rPr>
              <w:t>1,804,331</w:t>
            </w:r>
          </w:p>
        </w:tc>
        <w:tc>
          <w:tcPr>
            <w:tcW w:w="0" w:type="dxa"/>
            <w:vAlign w:val="bottom"/>
          </w:tcPr>
          <w:p>
            <w:pPr>
              <w:spacing w:after="0"/>
              <w:rPr>
                <w:sz w:val="1"/>
                <w:szCs w:val="1"/>
                <w:color w:val="auto"/>
              </w:rPr>
            </w:pPr>
          </w:p>
        </w:tc>
      </w:tr>
      <w:tr>
        <w:trPr>
          <w:trHeight w:val="264"/>
        </w:trPr>
        <w:tc>
          <w:tcPr>
            <w:tcW w:w="5660" w:type="dxa"/>
            <w:vAlign w:val="bottom"/>
          </w:tcPr>
          <w:p>
            <w:pPr>
              <w:ind w:left="60"/>
              <w:spacing w:after="0"/>
              <w:rPr>
                <w:sz w:val="20"/>
                <w:szCs w:val="20"/>
                <w:color w:val="auto"/>
              </w:rPr>
            </w:pPr>
            <w:r>
              <w:rPr>
                <w:rFonts w:ascii="Arial" w:cs="Arial" w:eastAsia="Arial" w:hAnsi="Arial"/>
                <w:sz w:val="16"/>
                <w:szCs w:val="16"/>
                <w:color w:val="auto"/>
              </w:rPr>
              <w:t>Billy Hult</w:t>
            </w:r>
          </w:p>
        </w:tc>
        <w:tc>
          <w:tcPr>
            <w:tcW w:w="1600" w:type="dxa"/>
            <w:vAlign w:val="bottom"/>
          </w:tcPr>
          <w:p>
            <w:pPr>
              <w:jc w:val="right"/>
              <w:ind w:right="263"/>
              <w:spacing w:after="0"/>
              <w:rPr>
                <w:sz w:val="20"/>
                <w:szCs w:val="20"/>
                <w:color w:val="auto"/>
              </w:rPr>
            </w:pPr>
            <w:r>
              <w:rPr>
                <w:rFonts w:ascii="Arial" w:cs="Arial" w:eastAsia="Arial" w:hAnsi="Arial"/>
                <w:sz w:val="16"/>
                <w:szCs w:val="16"/>
                <w:color w:val="auto"/>
              </w:rPr>
              <w:t>1,162,788</w:t>
            </w:r>
          </w:p>
        </w:tc>
        <w:tc>
          <w:tcPr>
            <w:tcW w:w="980" w:type="dxa"/>
            <w:vAlign w:val="bottom"/>
          </w:tcPr>
          <w:p>
            <w:pPr>
              <w:jc w:val="right"/>
              <w:spacing w:after="0"/>
              <w:rPr>
                <w:sz w:val="20"/>
                <w:szCs w:val="20"/>
                <w:color w:val="auto"/>
              </w:rPr>
            </w:pPr>
            <w:r>
              <w:rPr>
                <w:rFonts w:ascii="Arial" w:cs="Arial" w:eastAsia="Arial" w:hAnsi="Arial"/>
                <w:sz w:val="16"/>
                <w:szCs w:val="16"/>
                <w:color w:val="auto"/>
              </w:rPr>
              <w:t>68,378,306</w:t>
            </w:r>
          </w:p>
        </w:tc>
        <w:tc>
          <w:tcPr>
            <w:tcW w:w="300" w:type="dxa"/>
            <w:vAlign w:val="bottom"/>
          </w:tcPr>
          <w:p>
            <w:pPr>
              <w:spacing w:after="0"/>
              <w:rPr>
                <w:sz w:val="22"/>
                <w:szCs w:val="22"/>
                <w:color w:val="auto"/>
              </w:rPr>
            </w:pP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193,619</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11,942,646</w:t>
            </w:r>
          </w:p>
        </w:tc>
        <w:tc>
          <w:tcPr>
            <w:tcW w:w="0" w:type="dxa"/>
            <w:vAlign w:val="bottom"/>
          </w:tcPr>
          <w:p>
            <w:pPr>
              <w:spacing w:after="0"/>
              <w:rPr>
                <w:sz w:val="1"/>
                <w:szCs w:val="1"/>
                <w:color w:val="auto"/>
              </w:rPr>
            </w:pPr>
          </w:p>
        </w:tc>
      </w:tr>
      <w:tr>
        <w:trPr>
          <w:trHeight w:val="60"/>
        </w:trPr>
        <w:tc>
          <w:tcPr>
            <w:tcW w:w="5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Enrico Bruni</w:t>
            </w:r>
          </w:p>
        </w:tc>
        <w:tc>
          <w:tcPr>
            <w:tcW w:w="1600" w:type="dxa"/>
            <w:vAlign w:val="bottom"/>
            <w:tcBorders>
              <w:bottom w:val="single" w:sz="8" w:color="CCEEF7"/>
            </w:tcBorders>
            <w:shd w:val="clear" w:color="auto" w:fill="CCEEF7"/>
          </w:tcPr>
          <w:p>
            <w:pPr>
              <w:jc w:val="right"/>
              <w:ind w:right="263"/>
              <w:spacing w:after="0"/>
              <w:rPr>
                <w:sz w:val="20"/>
                <w:szCs w:val="20"/>
                <w:color w:val="auto"/>
              </w:rPr>
            </w:pPr>
            <w:r>
              <w:rPr>
                <w:rFonts w:ascii="Arial" w:cs="Arial" w:eastAsia="Arial" w:hAnsi="Arial"/>
                <w:sz w:val="16"/>
                <w:szCs w:val="16"/>
                <w:color w:val="auto"/>
              </w:rPr>
              <w:t>354,419</w:t>
            </w:r>
          </w:p>
        </w:tc>
        <w:tc>
          <w:tcPr>
            <w:tcW w:w="9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color w:val="auto"/>
              </w:rPr>
              <w:t>19,626,857</w:t>
            </w:r>
          </w:p>
        </w:tc>
        <w:tc>
          <w:tcPr>
            <w:tcW w:w="300" w:type="dxa"/>
            <w:vAlign w:val="bottom"/>
            <w:tcBorders>
              <w:bottom w:val="single" w:sz="8" w:color="CCEEF7"/>
            </w:tcBorders>
            <w:shd w:val="clear" w:color="auto" w:fill="CCEEF7"/>
          </w:tcPr>
          <w:p>
            <w:pPr>
              <w:spacing w:after="0"/>
              <w:rPr>
                <w:sz w:val="24"/>
                <w:szCs w:val="24"/>
                <w:color w:val="auto"/>
              </w:rPr>
            </w:pPr>
          </w:p>
        </w:tc>
        <w:tc>
          <w:tcPr>
            <w:tcW w:w="1480" w:type="dxa"/>
            <w:vAlign w:val="bottom"/>
            <w:tcBorders>
              <w:bottom w:val="single" w:sz="8" w:color="CCEEF7"/>
            </w:tcBorders>
            <w:shd w:val="clear" w:color="auto" w:fill="CCEEF7"/>
          </w:tcPr>
          <w:p>
            <w:pPr>
              <w:jc w:val="right"/>
              <w:ind w:right="123"/>
              <w:spacing w:after="0"/>
              <w:rPr>
                <w:sz w:val="20"/>
                <w:szCs w:val="20"/>
                <w:color w:val="auto"/>
              </w:rPr>
            </w:pPr>
            <w:r>
              <w:rPr>
                <w:rFonts w:ascii="Arial" w:cs="Arial" w:eastAsia="Arial" w:hAnsi="Arial"/>
                <w:sz w:val="16"/>
                <w:szCs w:val="16"/>
                <w:color w:val="auto"/>
              </w:rPr>
              <w:t>49,066</w:t>
            </w:r>
          </w:p>
        </w:tc>
        <w:tc>
          <w:tcPr>
            <w:tcW w:w="1000" w:type="dxa"/>
            <w:vAlign w:val="bottom"/>
            <w:tcBorders>
              <w:bottom w:val="single" w:sz="8" w:color="CCEEF7"/>
            </w:tcBorders>
            <w:shd w:val="clear" w:color="auto" w:fill="CCEEF7"/>
          </w:tcPr>
          <w:p>
            <w:pPr>
              <w:jc w:val="right"/>
              <w:ind w:right="82"/>
              <w:spacing w:after="0"/>
              <w:rPr>
                <w:sz w:val="20"/>
                <w:szCs w:val="20"/>
                <w:color w:val="auto"/>
              </w:rPr>
            </w:pPr>
            <w:r>
              <w:rPr>
                <w:rFonts w:ascii="Arial" w:cs="Arial" w:eastAsia="Arial" w:hAnsi="Arial"/>
                <w:sz w:val="16"/>
                <w:szCs w:val="16"/>
                <w:color w:val="auto"/>
              </w:rPr>
              <w:t>3,047,103</w:t>
            </w:r>
          </w:p>
        </w:tc>
        <w:tc>
          <w:tcPr>
            <w:tcW w:w="0" w:type="dxa"/>
            <w:vAlign w:val="bottom"/>
          </w:tcPr>
          <w:p>
            <w:pPr>
              <w:spacing w:after="0"/>
              <w:rPr>
                <w:sz w:val="1"/>
                <w:szCs w:val="1"/>
                <w:color w:val="auto"/>
              </w:rPr>
            </w:pPr>
          </w:p>
        </w:tc>
      </w:tr>
      <w:tr>
        <w:trPr>
          <w:trHeight w:val="264"/>
        </w:trPr>
        <w:tc>
          <w:tcPr>
            <w:tcW w:w="5660" w:type="dxa"/>
            <w:vAlign w:val="bottom"/>
          </w:tcPr>
          <w:p>
            <w:pPr>
              <w:ind w:left="60"/>
              <w:spacing w:after="0"/>
              <w:rPr>
                <w:sz w:val="20"/>
                <w:szCs w:val="20"/>
                <w:color w:val="auto"/>
              </w:rPr>
            </w:pPr>
            <w:r>
              <w:rPr>
                <w:rFonts w:ascii="Arial" w:cs="Arial" w:eastAsia="Arial" w:hAnsi="Arial"/>
                <w:sz w:val="16"/>
                <w:szCs w:val="16"/>
                <w:color w:val="auto"/>
              </w:rPr>
              <w:t>Justin Peterson</w:t>
            </w:r>
          </w:p>
        </w:tc>
        <w:tc>
          <w:tcPr>
            <w:tcW w:w="1600" w:type="dxa"/>
            <w:vAlign w:val="bottom"/>
          </w:tcPr>
          <w:p>
            <w:pPr>
              <w:jc w:val="right"/>
              <w:ind w:right="263"/>
              <w:spacing w:after="0"/>
              <w:rPr>
                <w:sz w:val="20"/>
                <w:szCs w:val="20"/>
                <w:color w:val="auto"/>
              </w:rPr>
            </w:pPr>
            <w:r>
              <w:rPr>
                <w:rFonts w:ascii="Arial" w:cs="Arial" w:eastAsia="Arial" w:hAnsi="Arial"/>
                <w:sz w:val="16"/>
                <w:szCs w:val="16"/>
                <w:color w:val="auto"/>
              </w:rPr>
              <w:t>150,000</w:t>
            </w:r>
          </w:p>
        </w:tc>
        <w:tc>
          <w:tcPr>
            <w:tcW w:w="980" w:type="dxa"/>
            <w:vAlign w:val="bottom"/>
          </w:tcPr>
          <w:p>
            <w:pPr>
              <w:jc w:val="right"/>
              <w:spacing w:after="0"/>
              <w:rPr>
                <w:sz w:val="20"/>
                <w:szCs w:val="20"/>
                <w:color w:val="auto"/>
              </w:rPr>
            </w:pPr>
            <w:r>
              <w:rPr>
                <w:rFonts w:ascii="Arial" w:cs="Arial" w:eastAsia="Arial" w:hAnsi="Arial"/>
                <w:sz w:val="16"/>
                <w:szCs w:val="16"/>
                <w:color w:val="auto"/>
              </w:rPr>
              <w:t>9,745,485</w:t>
            </w:r>
          </w:p>
        </w:tc>
        <w:tc>
          <w:tcPr>
            <w:tcW w:w="300" w:type="dxa"/>
            <w:vAlign w:val="bottom"/>
          </w:tcPr>
          <w:p>
            <w:pPr>
              <w:spacing w:after="0"/>
              <w:rPr>
                <w:sz w:val="22"/>
                <w:szCs w:val="22"/>
                <w:color w:val="auto"/>
              </w:rPr>
            </w:pPr>
          </w:p>
        </w:tc>
        <w:tc>
          <w:tcPr>
            <w:tcW w:w="1480" w:type="dxa"/>
            <w:vAlign w:val="bottom"/>
          </w:tcPr>
          <w:p>
            <w:pPr>
              <w:jc w:val="right"/>
              <w:ind w:right="123"/>
              <w:spacing w:after="0"/>
              <w:rPr>
                <w:sz w:val="20"/>
                <w:szCs w:val="20"/>
                <w:color w:val="auto"/>
              </w:rPr>
            </w:pPr>
            <w:r>
              <w:rPr>
                <w:rFonts w:ascii="Arial" w:cs="Arial" w:eastAsia="Arial" w:hAnsi="Arial"/>
                <w:sz w:val="16"/>
                <w:szCs w:val="16"/>
                <w:color w:val="auto"/>
              </w:rPr>
              <w:t>47,989</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2,968,751</w:t>
            </w:r>
          </w:p>
        </w:tc>
        <w:tc>
          <w:tcPr>
            <w:tcW w:w="0" w:type="dxa"/>
            <w:vAlign w:val="bottom"/>
          </w:tcPr>
          <w:p>
            <w:pPr>
              <w:spacing w:after="0"/>
              <w:rPr>
                <w:sz w:val="1"/>
                <w:szCs w:val="1"/>
                <w:color w:val="auto"/>
              </w:rPr>
            </w:pPr>
          </w:p>
        </w:tc>
      </w:tr>
      <w:tr>
        <w:trPr>
          <w:trHeight w:val="67"/>
        </w:trPr>
        <w:tc>
          <w:tcPr>
            <w:tcW w:w="56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60" w:hanging="424"/>
        <w:spacing w:after="0" w:line="258"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represents the value realized upon exercise of options during 2021, which was calculated based on the difference between the market price of Tradeweb common stock at the time of exercise and the exercise price of the option.</w:t>
      </w:r>
    </w:p>
    <w:p>
      <w:pPr>
        <w:spacing w:after="0" w:line="58" w:lineRule="exact"/>
        <w:rPr>
          <w:rFonts w:ascii="Arial" w:cs="Arial" w:eastAsia="Arial" w:hAnsi="Arial"/>
          <w:sz w:val="14"/>
          <w:szCs w:val="14"/>
          <w:color w:val="auto"/>
        </w:rPr>
      </w:pPr>
    </w:p>
    <w:p>
      <w:pPr>
        <w:ind w:left="540" w:right="160" w:hanging="424"/>
        <w:spacing w:after="0" w:line="245"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represents shares in respect of PRSUs granted in 2018 and settled in 2021 and RSUs granted in 2020 and settled in 2021, including dividends accrued and paid in shares. The total net after-tax number of shares of Tradeweb common stock received from the vesting and settlement of the PRSUs was 112,080 for Mr. Olesky, 15,382 for Mr. Warshaw, 86,233 for Mr. Hult, 23,151 for Mr. Bruni and 22,806 for Mr. Peterson. The total net after-tax number of shares of Tradeweb common stock received from the vesting and settlement of the RSUs was 8,058 for Mr. Olesky, 1,789 for Mr. Warshaw, 6,748 for Mr. Hult, 2,852 for Mr. Bruni and 2,013 for Mr. Peterson.</w:t>
      </w:r>
    </w:p>
    <w:p>
      <w:pPr>
        <w:spacing w:after="0" w:line="69" w:lineRule="exact"/>
        <w:rPr>
          <w:rFonts w:ascii="Arial" w:cs="Arial" w:eastAsia="Arial" w:hAnsi="Arial"/>
          <w:sz w:val="14"/>
          <w:szCs w:val="14"/>
          <w:color w:val="auto"/>
        </w:rPr>
      </w:pPr>
    </w:p>
    <w:p>
      <w:pPr>
        <w:ind w:left="540" w:hanging="424"/>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dollar value realized upon settlement of PRSUs and RSUs in 2021.</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Potential Payments upon Termination or Change in Control</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Severance under Employment Agreements</w:t>
      </w:r>
    </w:p>
    <w:p>
      <w:pPr>
        <w:spacing w:after="0" w:line="20" w:lineRule="exact"/>
        <w:rPr>
          <w:sz w:val="20"/>
          <w:szCs w:val="20"/>
          <w:color w:val="auto"/>
        </w:rPr>
      </w:pPr>
    </w:p>
    <w:p>
      <w:pPr>
        <w:ind w:left="120" w:right="440"/>
        <w:spacing w:after="0" w:line="249" w:lineRule="auto"/>
        <w:rPr>
          <w:sz w:val="20"/>
          <w:szCs w:val="20"/>
          <w:color w:val="auto"/>
        </w:rPr>
      </w:pPr>
      <w:r>
        <w:rPr>
          <w:rFonts w:ascii="Arial" w:cs="Arial" w:eastAsia="Arial" w:hAnsi="Arial"/>
          <w:sz w:val="18"/>
          <w:szCs w:val="18"/>
          <w:color w:val="auto"/>
        </w:rPr>
        <w:t>Pursuant to the terms of their employment agreements, each of Messrs. Olesky and Hult are entitled to receive certain payments in connection with certain termination events.</w:t>
      </w:r>
    </w:p>
    <w:p>
      <w:pPr>
        <w:spacing w:after="0" w:line="1"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6"/>
          <w:szCs w:val="16"/>
          <w:color w:val="auto"/>
        </w:rPr>
        <w:t>In the event that (i) Mr. Olesky or Mr. Hult is terminated by TWM LLC without Cause (as defined below), (ii) Mr. Olesky or Mr. Hult resigns for Good Reason (as defined below), or (iii) TWM LLC elects not to renew Mr. Olesky’s or Mr. Hult’s employment agreement prior to any renewal term and Mr. Olesky or Mr. Hult’s employment agreement and Mr. Olesky’s or Mr. Hult’s employment is terminated, each of Mr. Olesky and Mr. Hult are entitled to the following: (A) continuation of their base salary for eighteen (18) months following termination, (B) the average annual bonus earned by the executive for the two calendar years ending immediately prior to the year of termination, payable in equal installments over eighteen (18) months,</w:t>
      </w:r>
    </w:p>
    <w:p>
      <w:pPr>
        <w:spacing w:after="0" w:line="3" w:lineRule="exact"/>
        <w:rPr>
          <w:sz w:val="20"/>
          <w:szCs w:val="20"/>
          <w:color w:val="auto"/>
        </w:rPr>
      </w:pPr>
    </w:p>
    <w:p>
      <w:pPr>
        <w:ind w:left="120" w:right="60" w:hanging="4"/>
        <w:spacing w:after="0" w:line="265" w:lineRule="auto"/>
        <w:tabs>
          <w:tab w:leader="none" w:pos="4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Mr. Olesky reaches age 65, or, if not permitted by applicable law, private health insurance on substantially similar terms and conditions, and (y) for Mr. Hult, continuation of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1" w:lineRule="exact"/>
        <w:rPr>
          <w:rFonts w:ascii="Arial" w:cs="Arial" w:eastAsia="Arial" w:hAnsi="Arial"/>
          <w:sz w:val="17"/>
          <w:szCs w:val="17"/>
          <w:color w:val="auto"/>
        </w:rPr>
      </w:pPr>
    </w:p>
    <w:p>
      <w:pPr>
        <w:ind w:left="120" w:right="160" w:firstLine="440"/>
        <w:spacing w:after="0" w:line="255" w:lineRule="auto"/>
        <w:rPr>
          <w:rFonts w:ascii="Arial" w:cs="Arial" w:eastAsia="Arial" w:hAnsi="Arial"/>
          <w:sz w:val="17"/>
          <w:szCs w:val="17"/>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 or, if not permitted by applicable law, private health insurance on substantially similar terms and conditions.</w:t>
      </w:r>
    </w:p>
    <w:p>
      <w:pPr>
        <w:spacing w:after="0" w:line="187"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20" w:firstLine="440"/>
        <w:spacing w:after="0" w:line="252" w:lineRule="auto"/>
        <w:rPr>
          <w:sz w:val="20"/>
          <w:szCs w:val="20"/>
          <w:color w:val="auto"/>
        </w:rPr>
      </w:pPr>
      <w:r>
        <w:rPr>
          <w:rFonts w:ascii="Arial" w:cs="Arial" w:eastAsia="Arial" w:hAnsi="Arial"/>
          <w:sz w:val="18"/>
          <w:szCs w:val="18"/>
          <w:color w:val="auto"/>
        </w:rPr>
        <w:t>For purposes of each of Messrs. Olesky and Hult’s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5"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6"/>
          <w:szCs w:val="16"/>
          <w:color w:val="auto"/>
        </w:rPr>
        <w:t>For purposes of each of Messrs. Olesky and Hult’s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w:t>
      </w:r>
    </w:p>
    <w:p>
      <w:pPr>
        <w:spacing w:after="0" w:line="2"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Mr. Olesky, Chief Executive Officer (or is not reporting directly to the Board), and for Mr. Hult, President; (b) a material diminution of the executive’s duties, responsibilities or authority or the assignment to the executive of duties or responsibilities that are materially and adversely inconsistent with the executive’s then-position;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Pursuant to each of Messrs. Olesky and Hult’s employment agreements, in the event that any of the payments or benefits provided by TWM LLC or any affiliate to TWM LLC (whether pursuant to the terms of the employment agreements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economic benefit under the employment agreements, notwithstanding that all or some portion of such benefits may be subject to the Excise Tax. If a reduction in the Parachute Payment is necessary, then the reduction shall occur in accordance with the terms of the relevant employment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Severance Policy</w:t>
      </w:r>
    </w:p>
    <w:p>
      <w:pPr>
        <w:spacing w:after="0" w:line="2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Each of the other NEOs is entitled to severance pursuant to a severance policy maintained by the Company for certain executive officers. In the event of a termination without cause, the executives are entitled to (i) continuation of his or her base salary for twelve (12) months following termination, (ii) a payment equal to the sum of (A) his or her highest annual bonus received in respect of the two most recent calendar years completed prior to his or her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(C) for all NEOs other than Mr. Bruni, reimbursement, on a monthly basis, for the excess costs of continued health benefits for the executive and the executive’s covered dependents under COBRA for one year following termination, or until such earlier date on which COBRA coverage terminates in accordance with COBRA. The severance policy is intended to supersede any notice provisions under Mr. Bruni’s employment agreement. Payment of the severance benefits described above is subject to the applicable NEO’s execution of a release of claims.</w:t>
      </w:r>
    </w:p>
    <w:p>
      <w:pPr>
        <w:spacing w:after="0" w:line="16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50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Equity Awards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Options</w:t>
      </w:r>
    </w:p>
    <w:p>
      <w:pPr>
        <w:spacing w:after="0" w:line="2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Each of our NEOs (other than Ms. Furber) was granted a pre-IPO Option under the Option Plan (described above under the section titled “Fiscal 2021 Compensation Program in Detail — Long-Term Equity Incentives”). As of the date hereof, all Options are fully vested, including the portion of the Performance-Based Portion that vested based on 2021 performance. If a participant is terminated for Cause (as defined in the Option Plan) or is in breach of a restrictive covenant in favor of the Company, the Option will be terminated. Upon the termination of the participant’s employment for any reason other than Cause, vested Options will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ninety (90) day period following the date of termination, or (iii) in the case of a termination of the participant’s employment on account of death or Disability (as defined in the Option Plan), the one (1) year period following the date of termination. If a participant’s employment has terminated due to retirement (as defined in the applicable plan document), the vested Option will remain outstanding until the expiration of its term (or a breach of restrictive covenants by the participant) or until exercised, if earlier.</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PRSUs</w:t>
      </w:r>
    </w:p>
    <w:p>
      <w:pPr>
        <w:spacing w:after="0" w:line="23"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Each of our NEOs has been granted PRSUs under either the Equity Plan or the PRSU Plan (each as described above under the section titled “Fiscal 2021 Compensation Program in Detail — Long-Term Equity Incentives”). In connection with certain transactions or termination events, the PRSUs will be treated as described below under each such plan.</w:t>
      </w:r>
    </w:p>
    <w:p>
      <w:pPr>
        <w:spacing w:after="0" w:line="1"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Treatment in connection with a Change of Control. </w:t>
      </w:r>
      <w:r>
        <w:rPr>
          <w:rFonts w:ascii="Arial" w:cs="Arial" w:eastAsia="Arial" w:hAnsi="Arial"/>
          <w:sz w:val="18"/>
          <w:szCs w:val="18"/>
          <w:color w:val="auto"/>
        </w:rPr>
        <w:t>For PRSUs granted in 2020 and 2021, in the event of a change of control, 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PRSUs will vest and continue to be paid out in accordance with the plan; provided, however, that if the change of control constitutes a Qualified Change of Control (generally defined as a change in ownership or effective control for purposes of Section 409A of the Internal Revenue Code), payment applicable to the PRSU will be made at the time and in the same form of consideration delivered to the Company’s stockholders in connection with such transaction. If a change in control occurs prior to the establishment of the Performance Modifier with respect to a PRSU award, the Performance Modifier shall be 100%.</w:t>
      </w:r>
    </w:p>
    <w:p>
      <w:pPr>
        <w:spacing w:after="0" w:line="2"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i w:val="1"/>
          <w:iCs w:val="1"/>
          <w:color w:val="auto"/>
        </w:rPr>
        <w:t xml:space="preserve">Treatment upon Termination. </w:t>
      </w:r>
      <w:r>
        <w:rPr>
          <w:rFonts w:ascii="Arial" w:cs="Arial" w:eastAsia="Arial" w:hAnsi="Arial"/>
          <w:sz w:val="18"/>
          <w:szCs w:val="18"/>
          <w:color w:val="auto"/>
        </w:rPr>
        <w:t>In the event an NEO is terminated (i) without Cause within 180 days prior to the relevant vesting date, or (ii)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death or disability (as defined in the applicable plan), the NEO will be entitled to retain a pro-rated number of the PRSUs, based on days worked for the vesting period (with the first date of the vesting period being January 1 of the year of grant), which will remain eligible to vest. In the event of the NEO’s retirement (as defined in the applicable plan document), the PRSUs granted in 2020 and 2021 will fully vest and continue to be paid out in accordance with the PRSU Plan.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2856"/>
        </w:rPr>
        <w:t>RSUs</w:t>
      </w:r>
    </w:p>
    <w:p>
      <w:pPr>
        <w:spacing w:after="0" w:line="23" w:lineRule="exact"/>
        <w:rPr>
          <w:sz w:val="20"/>
          <w:szCs w:val="20"/>
          <w:color w:val="auto"/>
        </w:rPr>
      </w:pPr>
    </w:p>
    <w:p>
      <w:pPr>
        <w:jc w:val="both"/>
        <w:ind w:left="120" w:right="300"/>
        <w:spacing w:after="0" w:line="281" w:lineRule="auto"/>
        <w:rPr>
          <w:sz w:val="20"/>
          <w:szCs w:val="20"/>
          <w:color w:val="auto"/>
        </w:rPr>
      </w:pPr>
      <w:r>
        <w:rPr>
          <w:rFonts w:ascii="Arial" w:cs="Arial" w:eastAsia="Arial" w:hAnsi="Arial"/>
          <w:sz w:val="16"/>
          <w:szCs w:val="16"/>
          <w:color w:val="auto"/>
        </w:rPr>
        <w:t>Each of our NEOs has been granted RSUs under the Equity Plan (as described above under the section titled “Fiscal 2021 Compensation Program in Detail — Long-Term Equity Incentives”). In connection with certain transactions or termination events, the RSUs will be treated as described below.</w:t>
      </w:r>
    </w:p>
    <w:p>
      <w:pPr>
        <w:spacing w:after="0" w:line="1"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Treatment in connection with a Change of Control. </w:t>
      </w:r>
      <w:r>
        <w:rPr>
          <w:rFonts w:ascii="Arial" w:cs="Arial" w:eastAsia="Arial" w:hAnsi="Arial"/>
          <w:sz w:val="18"/>
          <w:szCs w:val="18"/>
          <w:color w:val="auto"/>
        </w:rPr>
        <w:t>In the event of a change of control, any outstanding RSUs will vest and continue to be paid out</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terms of the Equity Plan; provided, however, that if the change of control constitutes a Qualified Change of Control, payment applicable to the RSUs will be made at the time and in the same form of consideration delivered to the Company’s stockholders in connection with such transaction.</w:t>
      </w:r>
    </w:p>
    <w:p>
      <w:pPr>
        <w:spacing w:after="0" w:line="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 xml:space="preserve">Treatment upon Termination. </w:t>
      </w:r>
      <w:r>
        <w:rPr>
          <w:rFonts w:ascii="Arial" w:cs="Arial" w:eastAsia="Arial" w:hAnsi="Arial"/>
          <w:sz w:val="18"/>
          <w:szCs w:val="18"/>
          <w:color w:val="auto"/>
        </w:rPr>
        <w:t>In the event an NEO is terminated (i) without Cause, (ii) due to the participant’s death or disability, or (iii)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(each as defined in the applicable plan), the NEO will be entitled to retain his RSUs and the award will remain eligible to vest following termination.</w:t>
      </w:r>
    </w:p>
    <w:p>
      <w:pPr>
        <w:spacing w:after="0" w:line="187"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Mr. Warshaw (Former Chief Financial Officer)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Warshaw retired from the Company on January 4, 2022. In connection with his retirement, his outstanding equity awards were treated as follows: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 all vested options will remain exercisable for the remainder of the term of the option, and all unvested options (which had an intrinsic value of</w:t>
      </w:r>
    </w:p>
    <w:p>
      <w:pPr>
        <w:spacing w:after="0" w:line="21"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$5,284,188 as of December 31, 2021) remained eligible to vest (all of which were included in the Performance-Based Portion of his options that vested based on 2021 performance); (2) RSUs granted in 2020 and 2021 (which had a value of $1,287,200 as of December 31, 2021) all remain outstanding and eligible to vest and settle in accordance with their terms following his retirement; (3) PRSUs granted in 2019, 2020 and 2021 (which had a value of $5,477,658 as of December 31, 2021) fully vested upon his retirement date and settled or will settle on January 3, 2022, January 2, 2023 and January 3, 2024, respectively. Mr. Warshaw did not receive any severance payments in connection with his transition or retirement.</w:t>
      </w:r>
    </w:p>
    <w:p>
      <w:pPr>
        <w:spacing w:after="0" w:line="3" w:lineRule="exact"/>
        <w:rPr>
          <w:sz w:val="20"/>
          <w:szCs w:val="20"/>
          <w:color w:val="auto"/>
        </w:rPr>
      </w:pPr>
    </w:p>
    <w:p>
      <w:pPr>
        <w:ind w:left="120" w:right="60" w:firstLine="440"/>
        <w:spacing w:after="0" w:line="302" w:lineRule="auto"/>
        <w:rPr>
          <w:sz w:val="20"/>
          <w:szCs w:val="20"/>
          <w:color w:val="auto"/>
        </w:rPr>
      </w:pPr>
      <w:r>
        <w:rPr>
          <w:rFonts w:ascii="Arial" w:cs="Arial" w:eastAsia="Arial" w:hAnsi="Arial"/>
          <w:sz w:val="16"/>
          <w:szCs w:val="16"/>
          <w:color w:val="auto"/>
        </w:rPr>
        <w:t>The table below estimates the dollar value of the additional payments and benefits that the NEOs (other than Mr. Warshaw) would have been entitled to receive under the plans and arrangements described above, assuming the applicable triggering event occurred on December 31, 2021. For this purpose, we have assumed a value of $100.14 per share of our common stock, the closing price of our common stock on December 31, 2021.</w:t>
      </w:r>
    </w:p>
    <w:p>
      <w:pPr>
        <w:spacing w:after="0" w:line="15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52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Termination</w:t>
            </w:r>
          </w:p>
        </w:tc>
        <w:tc>
          <w:tcPr>
            <w:tcW w:w="2080" w:type="dxa"/>
            <w:vAlign w:val="bottom"/>
          </w:tcPr>
          <w:p>
            <w:pPr>
              <w:jc w:val="right"/>
              <w:ind w:right="60"/>
              <w:spacing w:after="0"/>
              <w:rPr>
                <w:sz w:val="20"/>
                <w:szCs w:val="20"/>
                <w:color w:val="auto"/>
              </w:rPr>
            </w:pPr>
            <w:r>
              <w:rPr>
                <w:rFonts w:ascii="Arial" w:cs="Arial" w:eastAsia="Arial" w:hAnsi="Arial"/>
                <w:sz w:val="14"/>
                <w:szCs w:val="14"/>
                <w:color w:val="auto"/>
              </w:rPr>
              <w:t>Termination due to</w:t>
            </w:r>
          </w:p>
        </w:tc>
        <w:tc>
          <w:tcPr>
            <w:tcW w:w="2040" w:type="dxa"/>
            <w:vAlign w:val="bottom"/>
          </w:tcPr>
          <w:p>
            <w:pPr>
              <w:jc w:val="right"/>
              <w:ind w:right="80"/>
              <w:spacing w:after="0"/>
              <w:rPr>
                <w:sz w:val="20"/>
                <w:szCs w:val="20"/>
                <w:color w:val="auto"/>
              </w:rPr>
            </w:pPr>
            <w:r>
              <w:rPr>
                <w:rFonts w:ascii="Arial" w:cs="Arial" w:eastAsia="Arial" w:hAnsi="Arial"/>
                <w:sz w:val="14"/>
                <w:szCs w:val="14"/>
                <w:color w:val="auto"/>
              </w:rPr>
              <w:t>Termination due to</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Pr>
          <w:p>
            <w:pPr>
              <w:ind w:left="60"/>
              <w:spacing w:after="0"/>
              <w:rPr>
                <w:sz w:val="20"/>
                <w:szCs w:val="20"/>
                <w:color w:val="auto"/>
              </w:rPr>
            </w:pPr>
            <w:r>
              <w:rPr>
                <w:rFonts w:ascii="Arial" w:cs="Arial" w:eastAsia="Arial" w:hAnsi="Arial"/>
                <w:sz w:val="14"/>
                <w:szCs w:val="14"/>
                <w:color w:val="auto"/>
              </w:rPr>
              <w:t>Executive</w:t>
            </w:r>
          </w:p>
        </w:tc>
        <w:tc>
          <w:tcPr>
            <w:tcW w:w="1980" w:type="dxa"/>
            <w:vAlign w:val="bottom"/>
          </w:tcPr>
          <w:p>
            <w:pPr>
              <w:jc w:val="right"/>
              <w:spacing w:after="0"/>
              <w:rPr>
                <w:sz w:val="20"/>
                <w:szCs w:val="20"/>
                <w:color w:val="auto"/>
              </w:rPr>
            </w:pPr>
            <w:r>
              <w:rPr>
                <w:rFonts w:ascii="Arial" w:cs="Arial" w:eastAsia="Arial" w:hAnsi="Arial"/>
                <w:sz w:val="14"/>
                <w:szCs w:val="14"/>
                <w:color w:val="auto"/>
              </w:rPr>
              <w:t>without Cause</w:t>
            </w:r>
          </w:p>
        </w:tc>
        <w:tc>
          <w:tcPr>
            <w:tcW w:w="2080" w:type="dxa"/>
            <w:vAlign w:val="bottom"/>
          </w:tcPr>
          <w:p>
            <w:pPr>
              <w:jc w:val="right"/>
              <w:ind w:right="60"/>
              <w:spacing w:after="0"/>
              <w:rPr>
                <w:sz w:val="20"/>
                <w:szCs w:val="20"/>
                <w:color w:val="auto"/>
              </w:rPr>
            </w:pPr>
            <w:r>
              <w:rPr>
                <w:rFonts w:ascii="Arial" w:cs="Arial" w:eastAsia="Arial" w:hAnsi="Arial"/>
                <w:sz w:val="14"/>
                <w:szCs w:val="14"/>
                <w:color w:val="auto"/>
              </w:rPr>
              <w:t>death or Disability</w:t>
            </w:r>
          </w:p>
        </w:tc>
        <w:tc>
          <w:tcPr>
            <w:tcW w:w="2040" w:type="dxa"/>
            <w:vAlign w:val="bottom"/>
          </w:tcPr>
          <w:p>
            <w:pPr>
              <w:jc w:val="right"/>
              <w:ind w:right="80"/>
              <w:spacing w:after="0"/>
              <w:rPr>
                <w:sz w:val="20"/>
                <w:szCs w:val="20"/>
                <w:color w:val="auto"/>
              </w:rPr>
            </w:pPr>
            <w:r>
              <w:rPr>
                <w:rFonts w:ascii="Arial" w:cs="Arial" w:eastAsia="Arial" w:hAnsi="Arial"/>
                <w:sz w:val="14"/>
                <w:szCs w:val="14"/>
                <w:color w:val="auto"/>
              </w:rPr>
              <w:t>Retirement</w:t>
            </w:r>
            <w:r>
              <w:rPr>
                <w:rFonts w:ascii="Arial" w:cs="Arial" w:eastAsia="Arial" w:hAnsi="Arial"/>
                <w:sz w:val="12"/>
                <w:szCs w:val="12"/>
                <w:color w:val="auto"/>
              </w:rPr>
              <w:t>(1)</w:t>
            </w:r>
          </w:p>
        </w:tc>
        <w:tc>
          <w:tcPr>
            <w:tcW w:w="2060" w:type="dxa"/>
            <w:vAlign w:val="bottom"/>
          </w:tcPr>
          <w:p>
            <w:pPr>
              <w:jc w:val="right"/>
              <w:ind w:right="40"/>
              <w:spacing w:after="0"/>
              <w:rPr>
                <w:sz w:val="20"/>
                <w:szCs w:val="20"/>
                <w:color w:val="auto"/>
              </w:rPr>
            </w:pPr>
            <w:r>
              <w:rPr>
                <w:rFonts w:ascii="Arial" w:cs="Arial" w:eastAsia="Arial" w:hAnsi="Arial"/>
                <w:sz w:val="14"/>
                <w:szCs w:val="14"/>
                <w:color w:val="auto"/>
              </w:rPr>
              <w:t>Change in Control</w:t>
            </w:r>
          </w:p>
        </w:tc>
        <w:tc>
          <w:tcPr>
            <w:tcW w:w="0" w:type="dxa"/>
            <w:vAlign w:val="bottom"/>
          </w:tcPr>
          <w:p>
            <w:pPr>
              <w:spacing w:after="0"/>
              <w:rPr>
                <w:sz w:val="1"/>
                <w:szCs w:val="1"/>
                <w:color w:val="auto"/>
              </w:rPr>
            </w:pPr>
          </w:p>
        </w:tc>
      </w:tr>
      <w:tr>
        <w:trPr>
          <w:trHeight w:val="53"/>
        </w:trPr>
        <w:tc>
          <w:tcPr>
            <w:tcW w:w="28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b w:val="1"/>
                <w:bCs w:val="1"/>
                <w:color w:val="auto"/>
              </w:rPr>
              <w:t>Lee Olesky</w:t>
            </w:r>
          </w:p>
        </w:tc>
        <w:tc>
          <w:tcPr>
            <w:tcW w:w="1980" w:type="dxa"/>
            <w:vAlign w:val="bottom"/>
            <w:shd w:val="clear" w:color="auto" w:fill="CCEEF7"/>
          </w:tcPr>
          <w:p>
            <w:pPr>
              <w:spacing w:after="0"/>
              <w:rPr>
                <w:sz w:val="20"/>
                <w:szCs w:val="20"/>
                <w:color w:val="auto"/>
              </w:rPr>
            </w:pPr>
          </w:p>
        </w:tc>
        <w:tc>
          <w:tcPr>
            <w:tcW w:w="2080" w:type="dxa"/>
            <w:vAlign w:val="bottom"/>
            <w:shd w:val="clear" w:color="auto" w:fill="CCEEF7"/>
          </w:tcPr>
          <w:p>
            <w:pPr>
              <w:spacing w:after="0"/>
              <w:rPr>
                <w:sz w:val="20"/>
                <w:szCs w:val="20"/>
                <w:color w:val="auto"/>
              </w:rPr>
            </w:pPr>
          </w:p>
        </w:tc>
        <w:tc>
          <w:tcPr>
            <w:tcW w:w="2040" w:type="dxa"/>
            <w:vAlign w:val="bottom"/>
            <w:shd w:val="clear" w:color="auto" w:fill="CCEEF7"/>
          </w:tcPr>
          <w:p>
            <w:pPr>
              <w:spacing w:after="0"/>
              <w:rPr>
                <w:sz w:val="20"/>
                <w:szCs w:val="20"/>
                <w:color w:val="auto"/>
              </w:rPr>
            </w:pPr>
          </w:p>
        </w:tc>
        <w:tc>
          <w:tcPr>
            <w:tcW w:w="2060" w:type="dxa"/>
            <w:vAlign w:val="bottom"/>
            <w:shd w:val="clear" w:color="auto" w:fill="CCEEF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Salary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$1,155,000</w:t>
            </w:r>
            <w:r>
              <w:rPr>
                <w:rFonts w:ascii="Arial" w:cs="Arial" w:eastAsia="Arial" w:hAnsi="Arial"/>
                <w:sz w:val="27"/>
                <w:szCs w:val="27"/>
                <w:color w:val="auto"/>
                <w:vertAlign w:val="superscript"/>
              </w:rPr>
              <w:t>(2)</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Benefits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$202,194</w:t>
            </w:r>
            <w:r>
              <w:rPr>
                <w:rFonts w:ascii="Arial" w:cs="Arial" w:eastAsia="Arial" w:hAnsi="Arial"/>
                <w:sz w:val="27"/>
                <w:szCs w:val="27"/>
                <w:color w:val="auto"/>
                <w:vertAlign w:val="superscript"/>
              </w:rPr>
              <w:t>(3)</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line="257" w:lineRule="exact"/>
              <w:rPr>
                <w:sz w:val="20"/>
                <w:szCs w:val="20"/>
                <w:color w:val="auto"/>
              </w:rPr>
            </w:pPr>
            <w:r>
              <w:rPr>
                <w:rFonts w:ascii="Arial" w:cs="Arial" w:eastAsia="Arial" w:hAnsi="Arial"/>
                <w:sz w:val="16"/>
                <w:szCs w:val="16"/>
                <w:color w:val="auto"/>
              </w:rPr>
              <w:t>$202,194</w:t>
            </w:r>
            <w:r>
              <w:rPr>
                <w:rFonts w:ascii="Arial" w:cs="Arial" w:eastAsia="Arial" w:hAnsi="Arial"/>
                <w:sz w:val="27"/>
                <w:szCs w:val="27"/>
                <w:color w:val="auto"/>
                <w:vertAlign w:val="superscript"/>
              </w:rPr>
              <w:t>(3)</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Payment in respect of Bonus</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$16,812,500</w:t>
            </w:r>
            <w:r>
              <w:rPr>
                <w:rFonts w:ascii="Arial" w:cs="Arial" w:eastAsia="Arial" w:hAnsi="Arial"/>
                <w:sz w:val="27"/>
                <w:szCs w:val="27"/>
                <w:color w:val="auto"/>
                <w:vertAlign w:val="superscript"/>
              </w:rPr>
              <w:t>(4)</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4"/>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Value of Equity Awards:</w:t>
            </w:r>
          </w:p>
        </w:tc>
        <w:tc>
          <w:tcPr>
            <w:tcW w:w="1980" w:type="dxa"/>
            <w:vAlign w:val="bottom"/>
            <w:shd w:val="clear" w:color="auto" w:fill="CCEEF7"/>
          </w:tcPr>
          <w:p>
            <w:pPr>
              <w:spacing w:after="0"/>
              <w:rPr>
                <w:sz w:val="24"/>
                <w:szCs w:val="24"/>
                <w:color w:val="auto"/>
              </w:rPr>
            </w:pPr>
          </w:p>
        </w:tc>
        <w:tc>
          <w:tcPr>
            <w:tcW w:w="2080" w:type="dxa"/>
            <w:vAlign w:val="bottom"/>
            <w:shd w:val="clear" w:color="auto" w:fill="CCEEF7"/>
          </w:tcPr>
          <w:p>
            <w:pPr>
              <w:spacing w:after="0"/>
              <w:rPr>
                <w:sz w:val="24"/>
                <w:szCs w:val="24"/>
                <w:color w:val="auto"/>
              </w:rPr>
            </w:pP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$67,252,445</w:t>
            </w:r>
            <w:r>
              <w:rPr>
                <w:rFonts w:ascii="Arial" w:cs="Arial" w:eastAsia="Arial" w:hAnsi="Arial"/>
                <w:sz w:val="27"/>
                <w:szCs w:val="27"/>
                <w:color w:val="auto"/>
                <w:vertAlign w:val="superscript"/>
              </w:rPr>
              <w:t>(8)</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$67,252,445</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310"/>
        </w:trPr>
        <w:tc>
          <w:tcPr>
            <w:tcW w:w="2860" w:type="dxa"/>
            <w:vAlign w:val="bottom"/>
            <w:shd w:val="clear" w:color="auto" w:fill="CCEEF7"/>
          </w:tcPr>
          <w:p>
            <w:pPr>
              <w:spacing w:after="0"/>
              <w:rPr>
                <w:sz w:val="24"/>
                <w:szCs w:val="24"/>
                <w:color w:val="auto"/>
              </w:rPr>
            </w:pPr>
          </w:p>
        </w:tc>
        <w:tc>
          <w:tcPr>
            <w:tcW w:w="1980" w:type="dxa"/>
            <w:vAlign w:val="bottom"/>
            <w:shd w:val="clear" w:color="auto" w:fill="CCEEF7"/>
          </w:tcPr>
          <w:p>
            <w:pPr>
              <w:jc w:val="right"/>
              <w:spacing w:after="0"/>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$6,405,655</w:t>
            </w:r>
            <w:r>
              <w:rPr>
                <w:rFonts w:ascii="Arial" w:cs="Arial" w:eastAsia="Arial" w:hAnsi="Arial"/>
                <w:sz w:val="27"/>
                <w:szCs w:val="27"/>
                <w:color w:val="auto"/>
                <w:vertAlign w:val="superscript"/>
              </w:rPr>
              <w:t>(5)</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RSUs: $6,405,655</w:t>
            </w:r>
            <w:r>
              <w:rPr>
                <w:rFonts w:ascii="Arial" w:cs="Arial" w:eastAsia="Arial" w:hAnsi="Arial"/>
                <w:sz w:val="27"/>
                <w:szCs w:val="27"/>
                <w:color w:val="auto"/>
                <w:vertAlign w:val="superscript"/>
              </w:rPr>
              <w:t>(5)</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$6,405,655</w:t>
            </w:r>
            <w:r>
              <w:rPr>
                <w:rFonts w:ascii="Arial" w:cs="Arial" w:eastAsia="Arial" w:hAnsi="Arial"/>
                <w:sz w:val="27"/>
                <w:szCs w:val="27"/>
                <w:color w:val="auto"/>
                <w:vertAlign w:val="superscript"/>
              </w:rPr>
              <w:t>(5)</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$6,405,655</w:t>
            </w:r>
            <w:r>
              <w:rPr>
                <w:rFonts w:ascii="Arial" w:cs="Arial" w:eastAsia="Arial" w:hAnsi="Arial"/>
                <w:sz w:val="27"/>
                <w:szCs w:val="27"/>
                <w:color w:val="auto"/>
                <w:vertAlign w:val="superscript"/>
              </w:rPr>
              <w:t>(11)</w:t>
            </w:r>
          </w:p>
        </w:tc>
        <w:tc>
          <w:tcPr>
            <w:tcW w:w="0" w:type="dxa"/>
            <w:vAlign w:val="bottom"/>
          </w:tcPr>
          <w:p>
            <w:pPr>
              <w:spacing w:after="0"/>
              <w:rPr>
                <w:sz w:val="1"/>
                <w:szCs w:val="1"/>
                <w:color w:val="auto"/>
              </w:rPr>
            </w:pPr>
          </w:p>
        </w:tc>
      </w:tr>
      <w:tr>
        <w:trPr>
          <w:trHeight w:val="217"/>
        </w:trPr>
        <w:tc>
          <w:tcPr>
            <w:tcW w:w="2860" w:type="dxa"/>
            <w:vAlign w:val="bottom"/>
            <w:shd w:val="clear" w:color="auto" w:fill="CCEEF7"/>
          </w:tcPr>
          <w:p>
            <w:pPr>
              <w:spacing w:after="0"/>
              <w:rPr>
                <w:sz w:val="18"/>
                <w:szCs w:val="18"/>
                <w:color w:val="auto"/>
              </w:rPr>
            </w:pPr>
          </w:p>
        </w:tc>
        <w:tc>
          <w:tcPr>
            <w:tcW w:w="1980" w:type="dxa"/>
            <w:vAlign w:val="bottom"/>
            <w:shd w:val="clear" w:color="auto" w:fill="CCEEF7"/>
          </w:tcPr>
          <w:p>
            <w:pPr>
              <w:jc w:val="right"/>
              <w:spacing w:after="0" w:line="216" w:lineRule="exact"/>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$29,894,394</w:t>
            </w:r>
            <w:r>
              <w:rPr>
                <w:rFonts w:ascii="Arial" w:cs="Arial" w:eastAsia="Arial" w:hAnsi="Arial"/>
                <w:sz w:val="25"/>
                <w:szCs w:val="25"/>
                <w:color w:val="auto"/>
                <w:vertAlign w:val="superscript"/>
              </w:rPr>
              <w:t>(6)</w:t>
            </w:r>
          </w:p>
        </w:tc>
        <w:tc>
          <w:tcPr>
            <w:tcW w:w="2080" w:type="dxa"/>
            <w:vAlign w:val="bottom"/>
            <w:shd w:val="clear" w:color="auto" w:fill="CCEEF7"/>
          </w:tcPr>
          <w:p>
            <w:pPr>
              <w:jc w:val="right"/>
              <w:ind w:right="60"/>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$38,744,834</w:t>
            </w:r>
            <w:r>
              <w:rPr>
                <w:rFonts w:ascii="Arial" w:cs="Arial" w:eastAsia="Arial" w:hAnsi="Arial"/>
                <w:sz w:val="25"/>
                <w:szCs w:val="25"/>
                <w:color w:val="auto"/>
                <w:vertAlign w:val="superscript"/>
              </w:rPr>
              <w:t>(7)</w:t>
            </w:r>
          </w:p>
        </w:tc>
        <w:tc>
          <w:tcPr>
            <w:tcW w:w="2040" w:type="dxa"/>
            <w:vAlign w:val="bottom"/>
            <w:shd w:val="clear" w:color="auto" w:fill="CCEEF7"/>
          </w:tcPr>
          <w:p>
            <w:pPr>
              <w:jc w:val="right"/>
              <w:ind w:right="80"/>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$46,140,707</w:t>
            </w:r>
            <w:r>
              <w:rPr>
                <w:rFonts w:ascii="Arial" w:cs="Arial" w:eastAsia="Arial" w:hAnsi="Arial"/>
                <w:sz w:val="25"/>
                <w:szCs w:val="25"/>
                <w:color w:val="auto"/>
                <w:vertAlign w:val="superscript"/>
              </w:rPr>
              <w:t>(9)</w:t>
            </w:r>
          </w:p>
        </w:tc>
        <w:tc>
          <w:tcPr>
            <w:tcW w:w="2060" w:type="dxa"/>
            <w:vAlign w:val="bottom"/>
            <w:shd w:val="clear" w:color="auto" w:fill="CCEEF7"/>
          </w:tcPr>
          <w:p>
            <w:pPr>
              <w:jc w:val="right"/>
              <w:ind w:right="40"/>
              <w:spacing w:after="0" w:line="216" w:lineRule="exact"/>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$46,140,707</w:t>
            </w:r>
            <w:r>
              <w:rPr>
                <w:rFonts w:ascii="Arial" w:cs="Arial" w:eastAsia="Arial" w:hAnsi="Arial"/>
                <w:sz w:val="25"/>
                <w:szCs w:val="25"/>
                <w:color w:val="auto"/>
                <w:vertAlign w:val="superscript"/>
              </w:rPr>
              <w:t>(12)</w:t>
            </w:r>
          </w:p>
        </w:tc>
        <w:tc>
          <w:tcPr>
            <w:tcW w:w="0" w:type="dxa"/>
            <w:vAlign w:val="bottom"/>
          </w:tcPr>
          <w:p>
            <w:pPr>
              <w:spacing w:after="0"/>
              <w:rPr>
                <w:sz w:val="1"/>
                <w:szCs w:val="1"/>
                <w:color w:val="auto"/>
              </w:rPr>
            </w:pPr>
          </w:p>
        </w:tc>
      </w:tr>
      <w:tr>
        <w:trPr>
          <w:trHeight w:val="304"/>
        </w:trPr>
        <w:tc>
          <w:tcPr>
            <w:tcW w:w="28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b w:val="1"/>
                <w:bCs w:val="1"/>
                <w:color w:val="auto"/>
              </w:rPr>
              <w:t>$54,469,743</w:t>
            </w:r>
          </w:p>
        </w:tc>
        <w:tc>
          <w:tcPr>
            <w:tcW w:w="2080" w:type="dxa"/>
            <w:vAlign w:val="bottom"/>
            <w:tcBorders>
              <w:bottom w:val="single" w:sz="8" w:color="CCEEF7"/>
            </w:tcBorders>
            <w:shd w:val="clear" w:color="auto" w:fill="CCEEF7"/>
          </w:tcPr>
          <w:p>
            <w:pPr>
              <w:jc w:val="right"/>
              <w:ind w:right="60"/>
              <w:spacing w:after="0"/>
              <w:rPr>
                <w:sz w:val="20"/>
                <w:szCs w:val="20"/>
                <w:color w:val="auto"/>
              </w:rPr>
            </w:pPr>
            <w:r>
              <w:rPr>
                <w:rFonts w:ascii="Arial" w:cs="Arial" w:eastAsia="Arial" w:hAnsi="Arial"/>
                <w:sz w:val="16"/>
                <w:szCs w:val="16"/>
                <w:b w:val="1"/>
                <w:bCs w:val="1"/>
                <w:color w:val="auto"/>
              </w:rPr>
              <w:t>$45,150,489</w:t>
            </w:r>
          </w:p>
        </w:tc>
        <w:tc>
          <w:tcPr>
            <w:tcW w:w="2040" w:type="dxa"/>
            <w:vAlign w:val="bottom"/>
            <w:tcBorders>
              <w:bottom w:val="single" w:sz="8" w:color="CCEEF7"/>
            </w:tcBorders>
            <w:shd w:val="clear" w:color="auto" w:fill="CCEEF7"/>
          </w:tcPr>
          <w:p>
            <w:pPr>
              <w:jc w:val="right"/>
              <w:ind w:right="80"/>
              <w:spacing w:after="0"/>
              <w:rPr>
                <w:sz w:val="20"/>
                <w:szCs w:val="20"/>
                <w:color w:val="auto"/>
              </w:rPr>
            </w:pPr>
            <w:r>
              <w:rPr>
                <w:rFonts w:ascii="Arial" w:cs="Arial" w:eastAsia="Arial" w:hAnsi="Arial"/>
                <w:sz w:val="16"/>
                <w:szCs w:val="16"/>
                <w:b w:val="1"/>
                <w:bCs w:val="1"/>
                <w:color w:val="auto"/>
              </w:rPr>
              <w:t>$120,001,001</w:t>
            </w:r>
          </w:p>
        </w:tc>
        <w:tc>
          <w:tcPr>
            <w:tcW w:w="2060" w:type="dxa"/>
            <w:vAlign w:val="bottom"/>
            <w:tcBorders>
              <w:bottom w:val="single" w:sz="8" w:color="CCEEF7"/>
            </w:tcBorders>
            <w:shd w:val="clear" w:color="auto" w:fill="CCEEF7"/>
          </w:tcPr>
          <w:p>
            <w:pPr>
              <w:jc w:val="right"/>
              <w:ind w:right="40"/>
              <w:spacing w:after="0"/>
              <w:rPr>
                <w:sz w:val="20"/>
                <w:szCs w:val="20"/>
                <w:color w:val="auto"/>
              </w:rPr>
            </w:pPr>
            <w:r>
              <w:rPr>
                <w:rFonts w:ascii="Arial" w:cs="Arial" w:eastAsia="Arial" w:hAnsi="Arial"/>
                <w:sz w:val="16"/>
                <w:szCs w:val="16"/>
                <w:b w:val="1"/>
                <w:bCs w:val="1"/>
                <w:color w:val="auto"/>
              </w:rPr>
              <w:t>$119,798,807</w:t>
            </w:r>
          </w:p>
        </w:tc>
        <w:tc>
          <w:tcPr>
            <w:tcW w:w="0" w:type="dxa"/>
            <w:vAlign w:val="bottom"/>
          </w:tcPr>
          <w:p>
            <w:pPr>
              <w:spacing w:after="0"/>
              <w:rPr>
                <w:sz w:val="1"/>
                <w:szCs w:val="1"/>
                <w:color w:val="auto"/>
              </w:rPr>
            </w:pPr>
          </w:p>
        </w:tc>
      </w:tr>
      <w:tr>
        <w:trPr>
          <w:trHeight w:val="264"/>
        </w:trPr>
        <w:tc>
          <w:tcPr>
            <w:tcW w:w="2860" w:type="dxa"/>
            <w:vAlign w:val="bottom"/>
          </w:tcPr>
          <w:p>
            <w:pPr>
              <w:ind w:left="60"/>
              <w:spacing w:after="0"/>
              <w:rPr>
                <w:sz w:val="20"/>
                <w:szCs w:val="20"/>
                <w:color w:val="auto"/>
              </w:rPr>
            </w:pPr>
            <w:r>
              <w:rPr>
                <w:rFonts w:ascii="Arial" w:cs="Arial" w:eastAsia="Arial" w:hAnsi="Arial"/>
                <w:sz w:val="16"/>
                <w:szCs w:val="16"/>
                <w:b w:val="1"/>
                <w:bCs w:val="1"/>
                <w:color w:val="auto"/>
              </w:rPr>
              <w:t>Sara Furber</w:t>
            </w:r>
          </w:p>
        </w:tc>
        <w:tc>
          <w:tcPr>
            <w:tcW w:w="1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Salary Continuation</w:t>
            </w:r>
          </w:p>
        </w:tc>
        <w:tc>
          <w:tcPr>
            <w:tcW w:w="1980" w:type="dxa"/>
            <w:vAlign w:val="bottom"/>
          </w:tcPr>
          <w:p>
            <w:pPr>
              <w:jc w:val="right"/>
              <w:spacing w:after="0" w:line="302" w:lineRule="exact"/>
              <w:rPr>
                <w:sz w:val="20"/>
                <w:szCs w:val="20"/>
                <w:color w:val="auto"/>
              </w:rPr>
            </w:pPr>
            <w:r>
              <w:rPr>
                <w:rFonts w:ascii="Arial" w:cs="Arial" w:eastAsia="Arial" w:hAnsi="Arial"/>
                <w:sz w:val="16"/>
                <w:szCs w:val="16"/>
                <w:color w:val="auto"/>
              </w:rPr>
              <w:t>$500,000</w:t>
            </w:r>
            <w:r>
              <w:rPr>
                <w:rFonts w:ascii="Arial" w:cs="Arial" w:eastAsia="Arial" w:hAnsi="Arial"/>
                <w:sz w:val="27"/>
                <w:szCs w:val="27"/>
                <w:color w:val="auto"/>
                <w:vertAlign w:val="superscript"/>
              </w:rPr>
              <w:t>(13)</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Benefits Continuation</w:t>
            </w:r>
          </w:p>
        </w:tc>
        <w:tc>
          <w:tcPr>
            <w:tcW w:w="1980" w:type="dxa"/>
            <w:vAlign w:val="bottom"/>
          </w:tcPr>
          <w:p>
            <w:pPr>
              <w:jc w:val="right"/>
              <w:spacing w:after="0" w:line="257" w:lineRule="exact"/>
              <w:rPr>
                <w:sz w:val="20"/>
                <w:szCs w:val="20"/>
                <w:color w:val="auto"/>
              </w:rPr>
            </w:pPr>
            <w:r>
              <w:rPr>
                <w:rFonts w:ascii="Arial" w:cs="Arial" w:eastAsia="Arial" w:hAnsi="Arial"/>
                <w:sz w:val="16"/>
                <w:szCs w:val="16"/>
                <w:color w:val="auto"/>
              </w:rPr>
              <w:t>$41,306</w:t>
            </w:r>
            <w:r>
              <w:rPr>
                <w:rFonts w:ascii="Arial" w:cs="Arial" w:eastAsia="Arial" w:hAnsi="Arial"/>
                <w:sz w:val="27"/>
                <w:szCs w:val="27"/>
                <w:color w:val="auto"/>
                <w:vertAlign w:val="superscript"/>
              </w:rPr>
              <w:t>(14)</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Payment in respect of Bonus</w:t>
            </w:r>
          </w:p>
        </w:tc>
        <w:tc>
          <w:tcPr>
            <w:tcW w:w="1980" w:type="dxa"/>
            <w:vAlign w:val="bottom"/>
          </w:tcPr>
          <w:p>
            <w:pPr>
              <w:jc w:val="right"/>
              <w:spacing w:after="0" w:line="257" w:lineRule="exact"/>
              <w:rPr>
                <w:sz w:val="20"/>
                <w:szCs w:val="20"/>
                <w:color w:val="auto"/>
              </w:rPr>
            </w:pPr>
            <w:r>
              <w:rPr>
                <w:rFonts w:ascii="Arial" w:cs="Arial" w:eastAsia="Arial" w:hAnsi="Arial"/>
                <w:sz w:val="16"/>
                <w:szCs w:val="16"/>
                <w:color w:val="auto"/>
              </w:rPr>
              <w:t>$1,600,000</w:t>
            </w:r>
            <w:r>
              <w:rPr>
                <w:rFonts w:ascii="Arial" w:cs="Arial" w:eastAsia="Arial" w:hAnsi="Arial"/>
                <w:sz w:val="27"/>
                <w:szCs w:val="27"/>
                <w:color w:val="auto"/>
                <w:vertAlign w:val="superscript"/>
              </w:rPr>
              <w:t>(15)</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Value of Equity Awards:</w:t>
            </w:r>
          </w:p>
        </w:tc>
        <w:tc>
          <w:tcPr>
            <w:tcW w:w="1980" w:type="dxa"/>
            <w:vAlign w:val="bottom"/>
          </w:tcPr>
          <w:p>
            <w:pPr>
              <w:spacing w:after="0"/>
              <w:rPr>
                <w:sz w:val="24"/>
                <w:szCs w:val="24"/>
                <w:color w:val="auto"/>
              </w:rPr>
            </w:pPr>
          </w:p>
        </w:tc>
        <w:tc>
          <w:tcPr>
            <w:tcW w:w="2080" w:type="dxa"/>
            <w:vAlign w:val="bottom"/>
          </w:tcPr>
          <w:p>
            <w:pPr>
              <w:jc w:val="right"/>
              <w:ind w:right="60"/>
              <w:spacing w:after="0" w:line="284" w:lineRule="exact"/>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$4,465,142</w:t>
            </w:r>
            <w:r>
              <w:rPr>
                <w:rFonts w:ascii="Arial" w:cs="Arial" w:eastAsia="Arial" w:hAnsi="Arial"/>
                <w:sz w:val="27"/>
                <w:szCs w:val="27"/>
                <w:color w:val="auto"/>
                <w:vertAlign w:val="superscript"/>
              </w:rPr>
              <w:t>(5)</w:t>
            </w:r>
          </w:p>
        </w:tc>
        <w:tc>
          <w:tcPr>
            <w:tcW w:w="20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line="284" w:lineRule="exact"/>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$4,465,142</w:t>
            </w:r>
            <w:r>
              <w:rPr>
                <w:rFonts w:ascii="Arial" w:cs="Arial" w:eastAsia="Arial" w:hAnsi="Arial"/>
                <w:sz w:val="27"/>
                <w:szCs w:val="27"/>
                <w:color w:val="auto"/>
                <w:vertAlign w:val="superscript"/>
              </w:rPr>
              <w:t>(11)</w:t>
            </w:r>
          </w:p>
        </w:tc>
        <w:tc>
          <w:tcPr>
            <w:tcW w:w="0" w:type="dxa"/>
            <w:vAlign w:val="bottom"/>
          </w:tcPr>
          <w:p>
            <w:pPr>
              <w:spacing w:after="0"/>
              <w:rPr>
                <w:sz w:val="1"/>
                <w:szCs w:val="1"/>
                <w:color w:val="auto"/>
              </w:rPr>
            </w:pPr>
          </w:p>
        </w:tc>
      </w:tr>
      <w:tr>
        <w:trPr>
          <w:trHeight w:val="48"/>
        </w:trPr>
        <w:tc>
          <w:tcPr>
            <w:tcW w:w="2860" w:type="dxa"/>
            <w:vAlign w:val="bottom"/>
          </w:tcPr>
          <w:p>
            <w:pPr>
              <w:spacing w:after="0"/>
              <w:rPr>
                <w:sz w:val="4"/>
                <w:szCs w:val="4"/>
                <w:color w:val="auto"/>
              </w:rPr>
            </w:pPr>
          </w:p>
        </w:tc>
        <w:tc>
          <w:tcPr>
            <w:tcW w:w="1980" w:type="dxa"/>
            <w:vAlign w:val="bottom"/>
            <w:vMerge w:val="restart"/>
          </w:tcPr>
          <w:p>
            <w:pPr>
              <w:jc w:val="right"/>
              <w:spacing w:after="0" w:line="293" w:lineRule="exact"/>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$4,465,142</w:t>
            </w:r>
            <w:r>
              <w:rPr>
                <w:rFonts w:ascii="Arial" w:cs="Arial" w:eastAsia="Arial" w:hAnsi="Arial"/>
                <w:sz w:val="27"/>
                <w:szCs w:val="27"/>
                <w:color w:val="auto"/>
                <w:vertAlign w:val="superscript"/>
              </w:rPr>
              <w:t>(5)</w:t>
            </w:r>
          </w:p>
        </w:tc>
        <w:tc>
          <w:tcPr>
            <w:tcW w:w="2080" w:type="dxa"/>
            <w:vAlign w:val="bottom"/>
            <w:vMerge w:val="restart"/>
          </w:tcPr>
          <w:p>
            <w:pPr>
              <w:jc w:val="right"/>
              <w:ind w:right="60"/>
              <w:spacing w:after="0" w:line="293" w:lineRule="exact"/>
              <w:rPr>
                <w:sz w:val="20"/>
                <w:szCs w:val="20"/>
                <w:color w:val="auto"/>
              </w:rPr>
            </w:pPr>
            <w:r>
              <w:rPr>
                <w:rFonts w:ascii="Arial" w:cs="Arial" w:eastAsia="Arial" w:hAnsi="Arial"/>
                <w:sz w:val="16"/>
                <w:szCs w:val="16"/>
                <w:i w:val="1"/>
                <w:iCs w:val="1"/>
                <w:color w:val="auto"/>
              </w:rPr>
              <w:t>PRSUs</w:t>
            </w:r>
            <w:r>
              <w:rPr>
                <w:rFonts w:ascii="Arial" w:cs="Arial" w:eastAsia="Arial" w:hAnsi="Arial"/>
                <w:sz w:val="16"/>
                <w:szCs w:val="16"/>
                <w:color w:val="auto"/>
              </w:rPr>
              <w:t>: $285,065</w:t>
            </w:r>
            <w:r>
              <w:rPr>
                <w:rFonts w:ascii="Arial" w:cs="Arial" w:eastAsia="Arial" w:hAnsi="Arial"/>
                <w:sz w:val="27"/>
                <w:szCs w:val="27"/>
                <w:color w:val="auto"/>
                <w:vertAlign w:val="superscript"/>
              </w:rPr>
              <w:t>(7)</w:t>
            </w:r>
          </w:p>
        </w:tc>
        <w:tc>
          <w:tcPr>
            <w:tcW w:w="2040" w:type="dxa"/>
            <w:vAlign w:val="bottom"/>
            <w:vMerge w:val="continue"/>
          </w:tcPr>
          <w:p>
            <w:pPr>
              <w:spacing w:after="0"/>
              <w:rPr>
                <w:sz w:val="4"/>
                <w:szCs w:val="4"/>
                <w:color w:val="auto"/>
              </w:rPr>
            </w:pPr>
          </w:p>
        </w:tc>
        <w:tc>
          <w:tcPr>
            <w:tcW w:w="2060" w:type="dxa"/>
            <w:vAlign w:val="bottom"/>
            <w:vMerge w:val="restart"/>
          </w:tcPr>
          <w:p>
            <w:pPr>
              <w:jc w:val="right"/>
              <w:ind w:right="40"/>
              <w:spacing w:after="0" w:line="293" w:lineRule="exact"/>
              <w:rPr>
                <w:sz w:val="20"/>
                <w:szCs w:val="20"/>
                <w:color w:val="auto"/>
              </w:rPr>
            </w:pPr>
            <w:r>
              <w:rPr>
                <w:rFonts w:ascii="Arial" w:cs="Arial" w:eastAsia="Arial" w:hAnsi="Arial"/>
                <w:sz w:val="16"/>
                <w:szCs w:val="16"/>
                <w:i w:val="1"/>
                <w:iCs w:val="1"/>
                <w:color w:val="auto"/>
              </w:rPr>
              <w:t xml:space="preserve">PRSUs: </w:t>
            </w:r>
            <w:r>
              <w:rPr>
                <w:rFonts w:ascii="Arial" w:cs="Arial" w:eastAsia="Arial" w:hAnsi="Arial"/>
                <w:sz w:val="16"/>
                <w:szCs w:val="16"/>
                <w:color w:val="auto"/>
              </w:rPr>
              <w:t>$855,196</w:t>
            </w:r>
            <w:r>
              <w:rPr>
                <w:rFonts w:ascii="Arial" w:cs="Arial" w:eastAsia="Arial" w:hAnsi="Arial"/>
                <w:sz w:val="27"/>
                <w:szCs w:val="27"/>
                <w:color w:val="auto"/>
                <w:vertAlign w:val="superscript"/>
              </w:rPr>
              <w:t>(12)</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2080" w:type="dxa"/>
            <w:vAlign w:val="bottom"/>
            <w:vMerge w:val="continue"/>
          </w:tcPr>
          <w:p>
            <w:pPr>
              <w:spacing w:after="0"/>
              <w:rPr>
                <w:sz w:val="21"/>
                <w:szCs w:val="21"/>
                <w:color w:val="auto"/>
              </w:rPr>
            </w:pPr>
          </w:p>
        </w:tc>
        <w:tc>
          <w:tcPr>
            <w:tcW w:w="20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$6,606,448</w:t>
            </w:r>
          </w:p>
        </w:tc>
        <w:tc>
          <w:tcPr>
            <w:tcW w:w="2080" w:type="dxa"/>
            <w:vAlign w:val="bottom"/>
          </w:tcPr>
          <w:p>
            <w:pPr>
              <w:jc w:val="right"/>
              <w:ind w:right="60"/>
              <w:spacing w:after="0"/>
              <w:rPr>
                <w:sz w:val="20"/>
                <w:szCs w:val="20"/>
                <w:color w:val="auto"/>
              </w:rPr>
            </w:pPr>
            <w:r>
              <w:rPr>
                <w:rFonts w:ascii="Arial" w:cs="Arial" w:eastAsia="Arial" w:hAnsi="Arial"/>
                <w:sz w:val="16"/>
                <w:szCs w:val="16"/>
                <w:b w:val="1"/>
                <w:bCs w:val="1"/>
                <w:color w:val="auto"/>
              </w:rPr>
              <w:t>$4,750,207</w:t>
            </w:r>
          </w:p>
        </w:tc>
        <w:tc>
          <w:tcPr>
            <w:tcW w:w="2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b w:val="1"/>
                <w:bCs w:val="1"/>
                <w:color w:val="auto"/>
              </w:rPr>
              <w:t>$5,320,338</w:t>
            </w:r>
          </w:p>
        </w:tc>
        <w:tc>
          <w:tcPr>
            <w:tcW w:w="0" w:type="dxa"/>
            <w:vAlign w:val="bottom"/>
          </w:tcPr>
          <w:p>
            <w:pPr>
              <w:spacing w:after="0"/>
              <w:rPr>
                <w:sz w:val="1"/>
                <w:szCs w:val="1"/>
                <w:color w:val="auto"/>
              </w:rPr>
            </w:pPr>
          </w:p>
        </w:tc>
      </w:tr>
      <w:tr>
        <w:trPr>
          <w:trHeight w:val="60"/>
        </w:trPr>
        <w:tc>
          <w:tcPr>
            <w:tcW w:w="2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b w:val="1"/>
                <w:bCs w:val="1"/>
                <w:color w:val="auto"/>
              </w:rPr>
              <w:t>Billy Hult</w:t>
            </w:r>
          </w:p>
        </w:tc>
        <w:tc>
          <w:tcPr>
            <w:tcW w:w="1980" w:type="dxa"/>
            <w:vAlign w:val="bottom"/>
            <w:shd w:val="clear" w:color="auto" w:fill="CCEEF7"/>
          </w:tcPr>
          <w:p>
            <w:pPr>
              <w:spacing w:after="0"/>
              <w:rPr>
                <w:sz w:val="22"/>
                <w:szCs w:val="22"/>
                <w:color w:val="auto"/>
              </w:rPr>
            </w:pPr>
          </w:p>
        </w:tc>
        <w:tc>
          <w:tcPr>
            <w:tcW w:w="2080" w:type="dxa"/>
            <w:vAlign w:val="bottom"/>
            <w:shd w:val="clear" w:color="auto" w:fill="CCEEF7"/>
          </w:tcPr>
          <w:p>
            <w:pPr>
              <w:spacing w:after="0"/>
              <w:rPr>
                <w:sz w:val="22"/>
                <w:szCs w:val="22"/>
                <w:color w:val="auto"/>
              </w:rPr>
            </w:pPr>
          </w:p>
        </w:tc>
        <w:tc>
          <w:tcPr>
            <w:tcW w:w="2040" w:type="dxa"/>
            <w:vAlign w:val="bottom"/>
            <w:shd w:val="clear" w:color="auto" w:fill="CCEEF7"/>
          </w:tcPr>
          <w:p>
            <w:pPr>
              <w:spacing w:after="0"/>
              <w:rPr>
                <w:sz w:val="22"/>
                <w:szCs w:val="22"/>
                <w:color w:val="auto"/>
              </w:rPr>
            </w:pPr>
          </w:p>
        </w:tc>
        <w:tc>
          <w:tcPr>
            <w:tcW w:w="2060" w:type="dxa"/>
            <w:vAlign w:val="bottom"/>
            <w:shd w:val="clear" w:color="auto" w:fill="CCEEF7"/>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Salary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990,000</w:t>
            </w:r>
            <w:r>
              <w:rPr>
                <w:rFonts w:ascii="Arial" w:cs="Arial" w:eastAsia="Arial" w:hAnsi="Arial"/>
                <w:sz w:val="27"/>
                <w:szCs w:val="27"/>
                <w:color w:val="auto"/>
                <w:vertAlign w:val="superscript"/>
              </w:rPr>
              <w:t>(2)</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Benefits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$61,958</w:t>
            </w:r>
            <w:r>
              <w:rPr>
                <w:rFonts w:ascii="Arial" w:cs="Arial" w:eastAsia="Arial" w:hAnsi="Arial"/>
                <w:sz w:val="27"/>
                <w:szCs w:val="27"/>
                <w:color w:val="auto"/>
                <w:vertAlign w:val="superscript"/>
              </w:rPr>
              <w:t>(16)</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Payment in respect of Bonus</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$14,904,500</w:t>
            </w:r>
            <w:r>
              <w:rPr>
                <w:rFonts w:ascii="Arial" w:cs="Arial" w:eastAsia="Arial" w:hAnsi="Arial"/>
                <w:sz w:val="27"/>
                <w:szCs w:val="27"/>
                <w:color w:val="auto"/>
                <w:vertAlign w:val="superscript"/>
              </w:rPr>
              <w:t>(4)</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2"/>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Value of Equity Awards:</w:t>
            </w:r>
          </w:p>
        </w:tc>
        <w:tc>
          <w:tcPr>
            <w:tcW w:w="1980" w:type="dxa"/>
            <w:vAlign w:val="bottom"/>
            <w:shd w:val="clear" w:color="auto" w:fill="CCEEF7"/>
          </w:tcPr>
          <w:p>
            <w:pPr>
              <w:spacing w:after="0"/>
              <w:rPr>
                <w:sz w:val="24"/>
                <w:szCs w:val="24"/>
                <w:color w:val="auto"/>
              </w:rPr>
            </w:pPr>
          </w:p>
        </w:tc>
        <w:tc>
          <w:tcPr>
            <w:tcW w:w="2080" w:type="dxa"/>
            <w:vAlign w:val="bottom"/>
            <w:shd w:val="clear" w:color="auto" w:fill="CCEEF7"/>
          </w:tcPr>
          <w:p>
            <w:pPr>
              <w:spacing w:after="0"/>
              <w:rPr>
                <w:sz w:val="24"/>
                <w:szCs w:val="24"/>
                <w:color w:val="auto"/>
              </w:rPr>
            </w:pPr>
          </w:p>
        </w:tc>
        <w:tc>
          <w:tcPr>
            <w:tcW w:w="2040" w:type="dxa"/>
            <w:vAlign w:val="bottom"/>
            <w:shd w:val="clear" w:color="auto" w:fill="CCEEF7"/>
          </w:tcPr>
          <w:p>
            <w:pPr>
              <w:spacing w:after="0"/>
              <w:rPr>
                <w:sz w:val="24"/>
                <w:szCs w:val="24"/>
                <w:color w:val="auto"/>
              </w:rPr>
            </w:pP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$36,028,195</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195"/>
        </w:trPr>
        <w:tc>
          <w:tcPr>
            <w:tcW w:w="2860" w:type="dxa"/>
            <w:vAlign w:val="bottom"/>
            <w:shd w:val="clear" w:color="auto" w:fill="CCEEF7"/>
          </w:tcPr>
          <w:p>
            <w:pPr>
              <w:spacing w:after="0"/>
              <w:rPr>
                <w:sz w:val="16"/>
                <w:szCs w:val="16"/>
                <w:color w:val="auto"/>
              </w:rPr>
            </w:pPr>
          </w:p>
        </w:tc>
        <w:tc>
          <w:tcPr>
            <w:tcW w:w="1980" w:type="dxa"/>
            <w:vAlign w:val="bottom"/>
            <w:vMerge w:val="restart"/>
            <w:shd w:val="clear" w:color="auto" w:fill="CCEEF7"/>
          </w:tcPr>
          <w:p>
            <w:pPr>
              <w:jc w:val="right"/>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$5,364,700</w:t>
            </w:r>
            <w:r>
              <w:rPr>
                <w:rFonts w:ascii="Arial" w:cs="Arial" w:eastAsia="Arial" w:hAnsi="Arial"/>
                <w:sz w:val="27"/>
                <w:szCs w:val="27"/>
                <w:color w:val="auto"/>
                <w:vertAlign w:val="superscript"/>
              </w:rPr>
              <w:t>(5)</w:t>
            </w:r>
          </w:p>
        </w:tc>
        <w:tc>
          <w:tcPr>
            <w:tcW w:w="2080" w:type="dxa"/>
            <w:vAlign w:val="bottom"/>
            <w:vMerge w:val="restart"/>
            <w:shd w:val="clear" w:color="auto" w:fill="CCEEF7"/>
          </w:tcPr>
          <w:p>
            <w:pPr>
              <w:jc w:val="right"/>
              <w:ind w:right="6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$5,364,700</w:t>
            </w:r>
            <w:r>
              <w:rPr>
                <w:rFonts w:ascii="Arial" w:cs="Arial" w:eastAsia="Arial" w:hAnsi="Arial"/>
                <w:sz w:val="27"/>
                <w:szCs w:val="27"/>
                <w:color w:val="auto"/>
                <w:vertAlign w:val="superscript"/>
              </w:rPr>
              <w:t>(5)</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vMerge w:val="restart"/>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$5,364,700</w:t>
            </w:r>
            <w:r>
              <w:rPr>
                <w:rFonts w:ascii="Arial" w:cs="Arial" w:eastAsia="Arial" w:hAnsi="Arial"/>
                <w:sz w:val="27"/>
                <w:szCs w:val="27"/>
                <w:color w:val="auto"/>
                <w:vertAlign w:val="superscript"/>
              </w:rPr>
              <w:t>(11)</w:t>
            </w:r>
          </w:p>
        </w:tc>
        <w:tc>
          <w:tcPr>
            <w:tcW w:w="0" w:type="dxa"/>
            <w:vAlign w:val="bottom"/>
          </w:tcPr>
          <w:p>
            <w:pPr>
              <w:spacing w:after="0"/>
              <w:rPr>
                <w:sz w:val="1"/>
                <w:szCs w:val="1"/>
                <w:color w:val="auto"/>
              </w:rPr>
            </w:pPr>
          </w:p>
        </w:tc>
      </w:tr>
      <w:tr>
        <w:trPr>
          <w:trHeight w:val="167"/>
        </w:trPr>
        <w:tc>
          <w:tcPr>
            <w:tcW w:w="2860" w:type="dxa"/>
            <w:vAlign w:val="bottom"/>
            <w:shd w:val="clear" w:color="auto" w:fill="CCEEF7"/>
          </w:tcPr>
          <w:p>
            <w:pPr>
              <w:spacing w:after="0"/>
              <w:rPr>
                <w:sz w:val="14"/>
                <w:szCs w:val="14"/>
                <w:color w:val="auto"/>
              </w:rPr>
            </w:pPr>
          </w:p>
        </w:tc>
        <w:tc>
          <w:tcPr>
            <w:tcW w:w="1980" w:type="dxa"/>
            <w:vAlign w:val="bottom"/>
            <w:vMerge w:val="continue"/>
            <w:shd w:val="clear" w:color="auto" w:fill="CCEEF7"/>
          </w:tcPr>
          <w:p>
            <w:pPr>
              <w:spacing w:after="0"/>
              <w:rPr>
                <w:sz w:val="14"/>
                <w:szCs w:val="14"/>
                <w:color w:val="auto"/>
              </w:rPr>
            </w:pPr>
          </w:p>
        </w:tc>
        <w:tc>
          <w:tcPr>
            <w:tcW w:w="2080" w:type="dxa"/>
            <w:vAlign w:val="bottom"/>
            <w:vMerge w:val="continue"/>
            <w:shd w:val="clear" w:color="auto" w:fill="CCEEF7"/>
          </w:tcPr>
          <w:p>
            <w:pPr>
              <w:spacing w:after="0"/>
              <w:rPr>
                <w:sz w:val="14"/>
                <w:szCs w:val="14"/>
                <w:color w:val="auto"/>
              </w:rPr>
            </w:pPr>
          </w:p>
        </w:tc>
        <w:tc>
          <w:tcPr>
            <w:tcW w:w="2040" w:type="dxa"/>
            <w:vAlign w:val="bottom"/>
            <w:shd w:val="clear" w:color="auto" w:fill="CCEEF7"/>
          </w:tcPr>
          <w:p>
            <w:pPr>
              <w:spacing w:after="0"/>
              <w:rPr>
                <w:sz w:val="14"/>
                <w:szCs w:val="14"/>
                <w:color w:val="auto"/>
              </w:rPr>
            </w:pPr>
          </w:p>
        </w:tc>
        <w:tc>
          <w:tcPr>
            <w:tcW w:w="2060" w:type="dxa"/>
            <w:vAlign w:val="bottom"/>
            <w:vMerge w:val="continue"/>
            <w:shd w:val="clear" w:color="auto" w:fill="CCEEF7"/>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7"/>
          </w:tcPr>
          <w:p>
            <w:pPr>
              <w:spacing w:after="0"/>
              <w:rPr>
                <w:sz w:val="18"/>
                <w:szCs w:val="18"/>
                <w:color w:val="auto"/>
              </w:rPr>
            </w:pPr>
          </w:p>
        </w:tc>
        <w:tc>
          <w:tcPr>
            <w:tcW w:w="1980" w:type="dxa"/>
            <w:vAlign w:val="bottom"/>
            <w:shd w:val="clear" w:color="auto" w:fill="CCEEF7"/>
          </w:tcPr>
          <w:p>
            <w:pPr>
              <w:jc w:val="right"/>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$24,945,074</w:t>
            </w:r>
            <w:r>
              <w:rPr>
                <w:rFonts w:ascii="Arial" w:cs="Arial" w:eastAsia="Arial" w:hAnsi="Arial"/>
                <w:sz w:val="25"/>
                <w:szCs w:val="25"/>
                <w:color w:val="auto"/>
                <w:vertAlign w:val="superscript"/>
              </w:rPr>
              <w:t>(6)</w:t>
            </w:r>
          </w:p>
        </w:tc>
        <w:tc>
          <w:tcPr>
            <w:tcW w:w="2080" w:type="dxa"/>
            <w:vAlign w:val="bottom"/>
            <w:shd w:val="clear" w:color="auto" w:fill="CCEEF7"/>
          </w:tcPr>
          <w:p>
            <w:pPr>
              <w:jc w:val="right"/>
              <w:ind w:right="60"/>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$32,357,304</w:t>
            </w:r>
            <w:r>
              <w:rPr>
                <w:rFonts w:ascii="Arial" w:cs="Arial" w:eastAsia="Arial" w:hAnsi="Arial"/>
                <w:sz w:val="25"/>
                <w:szCs w:val="25"/>
                <w:color w:val="auto"/>
                <w:vertAlign w:val="superscript"/>
              </w:rPr>
              <w:t>(7)</w:t>
            </w:r>
          </w:p>
        </w:tc>
        <w:tc>
          <w:tcPr>
            <w:tcW w:w="2040" w:type="dxa"/>
            <w:vAlign w:val="bottom"/>
            <w:shd w:val="clear" w:color="auto" w:fill="CCEEF7"/>
          </w:tcPr>
          <w:p>
            <w:pPr>
              <w:spacing w:after="0"/>
              <w:rPr>
                <w:sz w:val="18"/>
                <w:szCs w:val="18"/>
                <w:color w:val="auto"/>
              </w:rPr>
            </w:pPr>
          </w:p>
        </w:tc>
        <w:tc>
          <w:tcPr>
            <w:tcW w:w="2060" w:type="dxa"/>
            <w:vAlign w:val="bottom"/>
            <w:shd w:val="clear" w:color="auto" w:fill="CCEEF7"/>
          </w:tcPr>
          <w:p>
            <w:pPr>
              <w:jc w:val="right"/>
              <w:ind w:right="40"/>
              <w:spacing w:after="0" w:line="216" w:lineRule="exact"/>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$38,551,296</w:t>
            </w:r>
            <w:r>
              <w:rPr>
                <w:rFonts w:ascii="Arial" w:cs="Arial" w:eastAsia="Arial" w:hAnsi="Arial"/>
                <w:sz w:val="25"/>
                <w:szCs w:val="25"/>
                <w:color w:val="auto"/>
                <w:vertAlign w:val="superscript"/>
              </w:rPr>
              <w:t>(12)</w:t>
            </w:r>
          </w:p>
        </w:tc>
        <w:tc>
          <w:tcPr>
            <w:tcW w:w="0" w:type="dxa"/>
            <w:vAlign w:val="bottom"/>
          </w:tcPr>
          <w:p>
            <w:pPr>
              <w:spacing w:after="0"/>
              <w:rPr>
                <w:sz w:val="1"/>
                <w:szCs w:val="1"/>
                <w:color w:val="auto"/>
              </w:rPr>
            </w:pPr>
          </w:p>
        </w:tc>
      </w:tr>
      <w:tr>
        <w:trPr>
          <w:trHeight w:val="304"/>
        </w:trPr>
        <w:tc>
          <w:tcPr>
            <w:tcW w:w="286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tcBorders>
              <w:bottom w:val="single" w:sz="8" w:color="CCEEF7"/>
            </w:tcBorders>
            <w:shd w:val="clear" w:color="auto" w:fill="CCEEF7"/>
          </w:tcPr>
          <w:p>
            <w:pPr>
              <w:jc w:val="right"/>
              <w:spacing w:after="0"/>
              <w:rPr>
                <w:sz w:val="20"/>
                <w:szCs w:val="20"/>
                <w:color w:val="auto"/>
              </w:rPr>
            </w:pPr>
            <w:r>
              <w:rPr>
                <w:rFonts w:ascii="Arial" w:cs="Arial" w:eastAsia="Arial" w:hAnsi="Arial"/>
                <w:sz w:val="16"/>
                <w:szCs w:val="16"/>
                <w:b w:val="1"/>
                <w:bCs w:val="1"/>
                <w:color w:val="auto"/>
              </w:rPr>
              <w:t>$46,266,232</w:t>
            </w:r>
          </w:p>
        </w:tc>
        <w:tc>
          <w:tcPr>
            <w:tcW w:w="2080" w:type="dxa"/>
            <w:vAlign w:val="bottom"/>
            <w:tcBorders>
              <w:bottom w:val="single" w:sz="8" w:color="CCEEF7"/>
            </w:tcBorders>
            <w:shd w:val="clear" w:color="auto" w:fill="CCEEF7"/>
          </w:tcPr>
          <w:p>
            <w:pPr>
              <w:jc w:val="right"/>
              <w:ind w:right="60"/>
              <w:spacing w:after="0"/>
              <w:rPr>
                <w:sz w:val="20"/>
                <w:szCs w:val="20"/>
                <w:color w:val="auto"/>
              </w:rPr>
            </w:pPr>
            <w:r>
              <w:rPr>
                <w:rFonts w:ascii="Arial" w:cs="Arial" w:eastAsia="Arial" w:hAnsi="Arial"/>
                <w:sz w:val="16"/>
                <w:szCs w:val="16"/>
                <w:b w:val="1"/>
                <w:bCs w:val="1"/>
                <w:color w:val="auto"/>
              </w:rPr>
              <w:t>$37,722,004</w:t>
            </w:r>
          </w:p>
        </w:tc>
        <w:tc>
          <w:tcPr>
            <w:tcW w:w="2040" w:type="dxa"/>
            <w:vAlign w:val="bottom"/>
            <w:tcBorders>
              <w:bottom w:val="single" w:sz="8" w:color="CCEEF7"/>
            </w:tcBorders>
            <w:shd w:val="clear" w:color="auto" w:fill="CCEEF7"/>
          </w:tcPr>
          <w:p>
            <w:pPr>
              <w:jc w:val="right"/>
              <w:ind w:right="80"/>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CCEEF7"/>
            </w:tcBorders>
            <w:shd w:val="clear" w:color="auto" w:fill="CCEEF7"/>
          </w:tcPr>
          <w:p>
            <w:pPr>
              <w:jc w:val="right"/>
              <w:ind w:right="40"/>
              <w:spacing w:after="0"/>
              <w:rPr>
                <w:sz w:val="20"/>
                <w:szCs w:val="20"/>
                <w:color w:val="auto"/>
              </w:rPr>
            </w:pPr>
            <w:r>
              <w:rPr>
                <w:rFonts w:ascii="Arial" w:cs="Arial" w:eastAsia="Arial" w:hAnsi="Arial"/>
                <w:sz w:val="16"/>
                <w:szCs w:val="16"/>
                <w:b w:val="1"/>
                <w:bCs w:val="1"/>
                <w:color w:val="auto"/>
              </w:rPr>
              <w:t>$79,944,191</w:t>
            </w:r>
          </w:p>
        </w:tc>
        <w:tc>
          <w:tcPr>
            <w:tcW w:w="0" w:type="dxa"/>
            <w:vAlign w:val="bottom"/>
          </w:tcPr>
          <w:p>
            <w:pPr>
              <w:spacing w:after="0"/>
              <w:rPr>
                <w:sz w:val="1"/>
                <w:szCs w:val="1"/>
                <w:color w:val="auto"/>
              </w:rPr>
            </w:pPr>
          </w:p>
        </w:tc>
      </w:tr>
      <w:tr>
        <w:trPr>
          <w:trHeight w:val="264"/>
        </w:trPr>
        <w:tc>
          <w:tcPr>
            <w:tcW w:w="2860" w:type="dxa"/>
            <w:vAlign w:val="bottom"/>
          </w:tcPr>
          <w:p>
            <w:pPr>
              <w:ind w:left="60"/>
              <w:spacing w:after="0"/>
              <w:rPr>
                <w:sz w:val="20"/>
                <w:szCs w:val="20"/>
                <w:color w:val="auto"/>
              </w:rPr>
            </w:pPr>
            <w:r>
              <w:rPr>
                <w:rFonts w:ascii="Arial" w:cs="Arial" w:eastAsia="Arial" w:hAnsi="Arial"/>
                <w:sz w:val="16"/>
                <w:szCs w:val="16"/>
                <w:b w:val="1"/>
                <w:bCs w:val="1"/>
                <w:color w:val="auto"/>
              </w:rPr>
              <w:t>Enrico Bruni</w:t>
            </w:r>
          </w:p>
        </w:tc>
        <w:tc>
          <w:tcPr>
            <w:tcW w:w="1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Salary Continuation</w:t>
            </w:r>
          </w:p>
        </w:tc>
        <w:tc>
          <w:tcPr>
            <w:tcW w:w="1980" w:type="dxa"/>
            <w:vAlign w:val="bottom"/>
          </w:tcPr>
          <w:p>
            <w:pPr>
              <w:jc w:val="right"/>
              <w:spacing w:after="0" w:line="302" w:lineRule="exact"/>
              <w:rPr>
                <w:sz w:val="20"/>
                <w:szCs w:val="20"/>
                <w:color w:val="auto"/>
              </w:rPr>
            </w:pPr>
            <w:r>
              <w:rPr>
                <w:rFonts w:ascii="Arial" w:cs="Arial" w:eastAsia="Arial" w:hAnsi="Arial"/>
                <w:sz w:val="16"/>
                <w:szCs w:val="16"/>
                <w:color w:val="auto"/>
              </w:rPr>
              <w:t>$384,750</w:t>
            </w:r>
            <w:r>
              <w:rPr>
                <w:rFonts w:ascii="Arial" w:cs="Arial" w:eastAsia="Arial" w:hAnsi="Arial"/>
                <w:sz w:val="27"/>
                <w:szCs w:val="27"/>
                <w:color w:val="auto"/>
                <w:vertAlign w:val="superscript"/>
              </w:rPr>
              <w:t>(13)</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Benefits Continuation</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2"/>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Payment in respect of Bonus</w:t>
            </w:r>
          </w:p>
        </w:tc>
        <w:tc>
          <w:tcPr>
            <w:tcW w:w="1980" w:type="dxa"/>
            <w:vAlign w:val="bottom"/>
          </w:tcPr>
          <w:p>
            <w:pPr>
              <w:jc w:val="right"/>
              <w:spacing w:after="0" w:line="302" w:lineRule="exact"/>
              <w:rPr>
                <w:sz w:val="20"/>
                <w:szCs w:val="20"/>
                <w:color w:val="auto"/>
              </w:rPr>
            </w:pPr>
            <w:r>
              <w:rPr>
                <w:rFonts w:ascii="Arial" w:cs="Arial" w:eastAsia="Arial" w:hAnsi="Arial"/>
                <w:sz w:val="16"/>
                <w:szCs w:val="16"/>
                <w:color w:val="auto"/>
              </w:rPr>
              <w:t>$3,675,000</w:t>
            </w:r>
            <w:r>
              <w:rPr>
                <w:rFonts w:ascii="Arial" w:cs="Arial" w:eastAsia="Arial" w:hAnsi="Arial"/>
                <w:sz w:val="27"/>
                <w:szCs w:val="27"/>
                <w:color w:val="auto"/>
                <w:vertAlign w:val="superscript"/>
              </w:rPr>
              <w:t>(15)</w:t>
            </w:r>
          </w:p>
        </w:tc>
        <w:tc>
          <w:tcPr>
            <w:tcW w:w="20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860" w:type="dxa"/>
            <w:vAlign w:val="bottom"/>
          </w:tcPr>
          <w:p>
            <w:pPr>
              <w:ind w:left="60"/>
              <w:spacing w:after="0"/>
              <w:rPr>
                <w:sz w:val="20"/>
                <w:szCs w:val="20"/>
                <w:color w:val="auto"/>
              </w:rPr>
            </w:pPr>
            <w:r>
              <w:rPr>
                <w:rFonts w:ascii="Arial" w:cs="Arial" w:eastAsia="Arial" w:hAnsi="Arial"/>
                <w:sz w:val="16"/>
                <w:szCs w:val="16"/>
                <w:i w:val="1"/>
                <w:iCs w:val="1"/>
                <w:color w:val="auto"/>
              </w:rPr>
              <w:t>Value of Equity Awards:</w:t>
            </w:r>
          </w:p>
        </w:tc>
        <w:tc>
          <w:tcPr>
            <w:tcW w:w="19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60" w:type="dxa"/>
            <w:vAlign w:val="bottom"/>
          </w:tcPr>
          <w:p>
            <w:pPr>
              <w:jc w:val="right"/>
              <w:ind w:right="40"/>
              <w:spacing w:after="0" w:line="259" w:lineRule="exact"/>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$6,485,075</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19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$2,018,622</w:t>
            </w:r>
            <w:r>
              <w:rPr>
                <w:rFonts w:ascii="Arial" w:cs="Arial" w:eastAsia="Arial" w:hAnsi="Arial"/>
                <w:sz w:val="27"/>
                <w:szCs w:val="27"/>
                <w:color w:val="auto"/>
                <w:vertAlign w:val="superscript"/>
              </w:rPr>
              <w:t>(5)</w:t>
            </w:r>
          </w:p>
        </w:tc>
        <w:tc>
          <w:tcPr>
            <w:tcW w:w="2080" w:type="dxa"/>
            <w:vAlign w:val="bottom"/>
            <w:vMerge w:val="restart"/>
          </w:tcPr>
          <w:p>
            <w:pPr>
              <w:jc w:val="right"/>
              <w:ind w:right="6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$2,018,622</w:t>
            </w:r>
            <w:r>
              <w:rPr>
                <w:rFonts w:ascii="Arial" w:cs="Arial" w:eastAsia="Arial" w:hAnsi="Arial"/>
                <w:sz w:val="27"/>
                <w:szCs w:val="27"/>
                <w:color w:val="auto"/>
                <w:vertAlign w:val="superscript"/>
              </w:rPr>
              <w:t>(5)</w:t>
            </w:r>
          </w:p>
        </w:tc>
        <w:tc>
          <w:tcPr>
            <w:tcW w:w="2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vMerge w:val="restart"/>
          </w:tcPr>
          <w:p>
            <w:pPr>
              <w:jc w:val="right"/>
              <w:ind w:right="4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$2,018,622</w:t>
            </w:r>
            <w:r>
              <w:rPr>
                <w:rFonts w:ascii="Arial" w:cs="Arial" w:eastAsia="Arial" w:hAnsi="Arial"/>
                <w:sz w:val="27"/>
                <w:szCs w:val="27"/>
                <w:color w:val="auto"/>
                <w:vertAlign w:val="superscript"/>
              </w:rPr>
              <w:t>(11)</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3"/>
                <w:szCs w:val="23"/>
                <w:color w:val="auto"/>
              </w:rPr>
            </w:pPr>
          </w:p>
        </w:tc>
        <w:tc>
          <w:tcPr>
            <w:tcW w:w="1980" w:type="dxa"/>
            <w:vAlign w:val="bottom"/>
          </w:tcPr>
          <w:p>
            <w:pPr>
              <w:jc w:val="right"/>
              <w:spacing w:after="0" w:line="266" w:lineRule="exact"/>
              <w:rPr>
                <w:sz w:val="20"/>
                <w:szCs w:val="20"/>
                <w:color w:val="auto"/>
              </w:rPr>
            </w:pPr>
            <w:r>
              <w:rPr>
                <w:rFonts w:ascii="Arial" w:cs="Arial" w:eastAsia="Arial" w:hAnsi="Arial"/>
                <w:sz w:val="16"/>
                <w:szCs w:val="16"/>
                <w:i w:val="1"/>
                <w:iCs w:val="1"/>
                <w:color w:val="auto"/>
              </w:rPr>
              <w:t>PRSUs</w:t>
            </w:r>
            <w:r>
              <w:rPr>
                <w:rFonts w:ascii="Arial" w:cs="Arial" w:eastAsia="Arial" w:hAnsi="Arial"/>
                <w:sz w:val="16"/>
                <w:szCs w:val="16"/>
                <w:color w:val="auto"/>
              </w:rPr>
              <w:t>: $4,406,561</w:t>
            </w:r>
            <w:r>
              <w:rPr>
                <w:rFonts w:ascii="Arial" w:cs="Arial" w:eastAsia="Arial" w:hAnsi="Arial"/>
                <w:sz w:val="27"/>
                <w:szCs w:val="27"/>
                <w:color w:val="auto"/>
                <w:vertAlign w:val="superscript"/>
              </w:rPr>
              <w:t>(6)</w:t>
            </w:r>
          </w:p>
        </w:tc>
        <w:tc>
          <w:tcPr>
            <w:tcW w:w="2080" w:type="dxa"/>
            <w:vAlign w:val="bottom"/>
          </w:tcPr>
          <w:p>
            <w:pPr>
              <w:jc w:val="right"/>
              <w:ind w:right="60"/>
              <w:spacing w:after="0" w:line="266" w:lineRule="exact"/>
              <w:rPr>
                <w:sz w:val="20"/>
                <w:szCs w:val="20"/>
                <w:color w:val="auto"/>
              </w:rPr>
            </w:pPr>
            <w:r>
              <w:rPr>
                <w:rFonts w:ascii="Arial" w:cs="Arial" w:eastAsia="Arial" w:hAnsi="Arial"/>
                <w:sz w:val="16"/>
                <w:szCs w:val="16"/>
                <w:i w:val="1"/>
                <w:iCs w:val="1"/>
                <w:color w:val="auto"/>
              </w:rPr>
              <w:t>PRSUs</w:t>
            </w:r>
            <w:r>
              <w:rPr>
                <w:rFonts w:ascii="Arial" w:cs="Arial" w:eastAsia="Arial" w:hAnsi="Arial"/>
                <w:sz w:val="16"/>
                <w:szCs w:val="16"/>
                <w:color w:val="auto"/>
              </w:rPr>
              <w:t>: $7,183,576</w:t>
            </w:r>
            <w:r>
              <w:rPr>
                <w:rFonts w:ascii="Arial" w:cs="Arial" w:eastAsia="Arial" w:hAnsi="Arial"/>
                <w:sz w:val="27"/>
                <w:szCs w:val="27"/>
                <w:color w:val="auto"/>
                <w:vertAlign w:val="superscript"/>
              </w:rPr>
              <w:t>(7)</w:t>
            </w:r>
          </w:p>
        </w:tc>
        <w:tc>
          <w:tcPr>
            <w:tcW w:w="2040" w:type="dxa"/>
            <w:vAlign w:val="bottom"/>
          </w:tcPr>
          <w:p>
            <w:pPr>
              <w:spacing w:after="0"/>
              <w:rPr>
                <w:sz w:val="23"/>
                <w:szCs w:val="23"/>
                <w:color w:val="auto"/>
              </w:rPr>
            </w:pPr>
          </w:p>
        </w:tc>
        <w:tc>
          <w:tcPr>
            <w:tcW w:w="2060" w:type="dxa"/>
            <w:vAlign w:val="bottom"/>
          </w:tcPr>
          <w:p>
            <w:pPr>
              <w:jc w:val="right"/>
              <w:ind w:right="40"/>
              <w:spacing w:after="0" w:line="266" w:lineRule="exact"/>
              <w:rPr>
                <w:sz w:val="20"/>
                <w:szCs w:val="20"/>
                <w:color w:val="auto"/>
              </w:rPr>
            </w:pPr>
            <w:r>
              <w:rPr>
                <w:rFonts w:ascii="Arial" w:cs="Arial" w:eastAsia="Arial" w:hAnsi="Arial"/>
                <w:sz w:val="16"/>
                <w:szCs w:val="16"/>
                <w:i w:val="1"/>
                <w:iCs w:val="1"/>
                <w:color w:val="auto"/>
              </w:rPr>
              <w:t>PRSUs</w:t>
            </w:r>
            <w:r>
              <w:rPr>
                <w:rFonts w:ascii="Arial" w:cs="Arial" w:eastAsia="Arial" w:hAnsi="Arial"/>
                <w:sz w:val="16"/>
                <w:szCs w:val="16"/>
                <w:color w:val="auto"/>
              </w:rPr>
              <w:t>: $9,517,306</w:t>
            </w:r>
            <w:r>
              <w:rPr>
                <w:rFonts w:ascii="Arial" w:cs="Arial" w:eastAsia="Arial" w:hAnsi="Arial"/>
                <w:sz w:val="27"/>
                <w:szCs w:val="27"/>
                <w:color w:val="auto"/>
                <w:vertAlign w:val="superscript"/>
              </w:rPr>
              <w:t>(12)</w:t>
            </w:r>
          </w:p>
        </w:tc>
        <w:tc>
          <w:tcPr>
            <w:tcW w:w="0" w:type="dxa"/>
            <w:vAlign w:val="bottom"/>
          </w:tcPr>
          <w:p>
            <w:pPr>
              <w:spacing w:after="0"/>
              <w:rPr>
                <w:sz w:val="1"/>
                <w:szCs w:val="1"/>
                <w:color w:val="auto"/>
              </w:rPr>
            </w:pPr>
          </w:p>
        </w:tc>
      </w:tr>
      <w:tr>
        <w:trPr>
          <w:trHeight w:val="215"/>
        </w:trPr>
        <w:tc>
          <w:tcPr>
            <w:tcW w:w="286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$10,484,933</w:t>
            </w:r>
          </w:p>
        </w:tc>
        <w:tc>
          <w:tcPr>
            <w:tcW w:w="2080" w:type="dxa"/>
            <w:vAlign w:val="bottom"/>
          </w:tcPr>
          <w:p>
            <w:pPr>
              <w:jc w:val="right"/>
              <w:ind w:right="60"/>
              <w:spacing w:after="0"/>
              <w:rPr>
                <w:sz w:val="20"/>
                <w:szCs w:val="20"/>
                <w:color w:val="auto"/>
              </w:rPr>
            </w:pPr>
            <w:r>
              <w:rPr>
                <w:rFonts w:ascii="Arial" w:cs="Arial" w:eastAsia="Arial" w:hAnsi="Arial"/>
                <w:sz w:val="16"/>
                <w:szCs w:val="16"/>
                <w:b w:val="1"/>
                <w:bCs w:val="1"/>
                <w:color w:val="auto"/>
              </w:rPr>
              <w:t>$9,202,198</w:t>
            </w:r>
          </w:p>
        </w:tc>
        <w:tc>
          <w:tcPr>
            <w:tcW w:w="2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jc w:val="right"/>
              <w:ind w:right="40"/>
              <w:spacing w:after="0"/>
              <w:rPr>
                <w:sz w:val="20"/>
                <w:szCs w:val="20"/>
                <w:color w:val="auto"/>
              </w:rPr>
            </w:pPr>
            <w:r>
              <w:rPr>
                <w:rFonts w:ascii="Arial" w:cs="Arial" w:eastAsia="Arial" w:hAnsi="Arial"/>
                <w:sz w:val="16"/>
                <w:szCs w:val="16"/>
                <w:b w:val="1"/>
                <w:bCs w:val="1"/>
                <w:color w:val="auto"/>
              </w:rPr>
              <w:t>$18,021,003</w:t>
            </w:r>
          </w:p>
        </w:tc>
        <w:tc>
          <w:tcPr>
            <w:tcW w:w="0" w:type="dxa"/>
            <w:vAlign w:val="bottom"/>
          </w:tcPr>
          <w:p>
            <w:pPr>
              <w:spacing w:after="0"/>
              <w:rPr>
                <w:sz w:val="1"/>
                <w:szCs w:val="1"/>
                <w:color w:val="auto"/>
              </w:rPr>
            </w:pPr>
          </w:p>
        </w:tc>
      </w:tr>
      <w:tr>
        <w:trPr>
          <w:trHeight w:val="60"/>
        </w:trPr>
        <w:tc>
          <w:tcPr>
            <w:tcW w:w="2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b w:val="1"/>
                <w:bCs w:val="1"/>
                <w:color w:val="auto"/>
              </w:rPr>
              <w:t>Justin Peterson</w:t>
            </w:r>
          </w:p>
        </w:tc>
        <w:tc>
          <w:tcPr>
            <w:tcW w:w="1980" w:type="dxa"/>
            <w:vAlign w:val="bottom"/>
            <w:shd w:val="clear" w:color="auto" w:fill="CCEEF7"/>
          </w:tcPr>
          <w:p>
            <w:pPr>
              <w:spacing w:after="0"/>
              <w:rPr>
                <w:sz w:val="22"/>
                <w:szCs w:val="22"/>
                <w:color w:val="auto"/>
              </w:rPr>
            </w:pPr>
          </w:p>
        </w:tc>
        <w:tc>
          <w:tcPr>
            <w:tcW w:w="2080" w:type="dxa"/>
            <w:vAlign w:val="bottom"/>
            <w:shd w:val="clear" w:color="auto" w:fill="CCEEF7"/>
          </w:tcPr>
          <w:p>
            <w:pPr>
              <w:spacing w:after="0"/>
              <w:rPr>
                <w:sz w:val="22"/>
                <w:szCs w:val="22"/>
                <w:color w:val="auto"/>
              </w:rPr>
            </w:pPr>
          </w:p>
        </w:tc>
        <w:tc>
          <w:tcPr>
            <w:tcW w:w="2040" w:type="dxa"/>
            <w:vAlign w:val="bottom"/>
            <w:shd w:val="clear" w:color="auto" w:fill="CCEEF7"/>
          </w:tcPr>
          <w:p>
            <w:pPr>
              <w:spacing w:after="0"/>
              <w:rPr>
                <w:sz w:val="22"/>
                <w:szCs w:val="22"/>
                <w:color w:val="auto"/>
              </w:rPr>
            </w:pPr>
          </w:p>
        </w:tc>
        <w:tc>
          <w:tcPr>
            <w:tcW w:w="2060" w:type="dxa"/>
            <w:vAlign w:val="bottom"/>
            <w:shd w:val="clear" w:color="auto" w:fill="CCEEF7"/>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Salary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$400,000</w:t>
            </w:r>
            <w:r>
              <w:rPr>
                <w:rFonts w:ascii="Arial" w:cs="Arial" w:eastAsia="Arial" w:hAnsi="Arial"/>
                <w:sz w:val="27"/>
                <w:szCs w:val="27"/>
                <w:color w:val="auto"/>
                <w:vertAlign w:val="superscript"/>
              </w:rPr>
              <w:t>(13)</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Benefits Continuation</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$41,121</w:t>
            </w:r>
            <w:r>
              <w:rPr>
                <w:rFonts w:ascii="Arial" w:cs="Arial" w:eastAsia="Arial" w:hAnsi="Arial"/>
                <w:sz w:val="27"/>
                <w:szCs w:val="27"/>
                <w:color w:val="auto"/>
                <w:vertAlign w:val="superscript"/>
              </w:rPr>
              <w:t>(14)</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Payment in respect of Bonus</w:t>
            </w:r>
          </w:p>
        </w:tc>
        <w:tc>
          <w:tcPr>
            <w:tcW w:w="1980" w:type="dxa"/>
            <w:vAlign w:val="bottom"/>
            <w:shd w:val="clear" w:color="auto" w:fill="CCEEF7"/>
          </w:tcPr>
          <w:p>
            <w:pPr>
              <w:jc w:val="right"/>
              <w:spacing w:after="0" w:line="257" w:lineRule="exact"/>
              <w:rPr>
                <w:sz w:val="20"/>
                <w:szCs w:val="20"/>
                <w:color w:val="auto"/>
              </w:rPr>
            </w:pPr>
            <w:r>
              <w:rPr>
                <w:rFonts w:ascii="Arial" w:cs="Arial" w:eastAsia="Arial" w:hAnsi="Arial"/>
                <w:sz w:val="16"/>
                <w:szCs w:val="16"/>
                <w:color w:val="auto"/>
              </w:rPr>
              <w:t>$2,420,000</w:t>
            </w:r>
            <w:r>
              <w:rPr>
                <w:rFonts w:ascii="Arial" w:cs="Arial" w:eastAsia="Arial" w:hAnsi="Arial"/>
                <w:sz w:val="27"/>
                <w:szCs w:val="27"/>
                <w:color w:val="auto"/>
                <w:vertAlign w:val="superscript"/>
              </w:rPr>
              <w:t>(15)</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4"/>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i w:val="1"/>
                <w:iCs w:val="1"/>
                <w:color w:val="auto"/>
              </w:rPr>
              <w:t>Value of Equity Awards:</w:t>
            </w:r>
          </w:p>
        </w:tc>
        <w:tc>
          <w:tcPr>
            <w:tcW w:w="1980" w:type="dxa"/>
            <w:vAlign w:val="bottom"/>
            <w:shd w:val="clear" w:color="auto" w:fill="CCEEF7"/>
          </w:tcPr>
          <w:p>
            <w:pPr>
              <w:spacing w:after="0"/>
              <w:rPr>
                <w:sz w:val="24"/>
                <w:szCs w:val="24"/>
                <w:color w:val="auto"/>
              </w:rPr>
            </w:pPr>
          </w:p>
        </w:tc>
        <w:tc>
          <w:tcPr>
            <w:tcW w:w="2080" w:type="dxa"/>
            <w:vAlign w:val="bottom"/>
            <w:shd w:val="clear" w:color="auto" w:fill="CCEEF7"/>
          </w:tcPr>
          <w:p>
            <w:pPr>
              <w:spacing w:after="0"/>
              <w:rPr>
                <w:sz w:val="24"/>
                <w:szCs w:val="24"/>
                <w:color w:val="auto"/>
              </w:rPr>
            </w:pP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$5,284,188</w:t>
            </w:r>
            <w:r>
              <w:rPr>
                <w:rFonts w:ascii="Arial" w:cs="Arial" w:eastAsia="Arial" w:hAnsi="Arial"/>
                <w:sz w:val="27"/>
                <w:szCs w:val="27"/>
                <w:color w:val="auto"/>
                <w:vertAlign w:val="superscript"/>
              </w:rPr>
              <w:t>(8)</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$5,284,188</w:t>
            </w:r>
            <w:r>
              <w:rPr>
                <w:rFonts w:ascii="Arial" w:cs="Arial" w:eastAsia="Arial" w:hAnsi="Arial"/>
                <w:sz w:val="27"/>
                <w:szCs w:val="27"/>
                <w:color w:val="auto"/>
                <w:vertAlign w:val="superscript"/>
              </w:rPr>
              <w:t>(10)</w:t>
            </w:r>
          </w:p>
        </w:tc>
        <w:tc>
          <w:tcPr>
            <w:tcW w:w="0" w:type="dxa"/>
            <w:vAlign w:val="bottom"/>
          </w:tcPr>
          <w:p>
            <w:pPr>
              <w:spacing w:after="0"/>
              <w:rPr>
                <w:sz w:val="1"/>
                <w:szCs w:val="1"/>
                <w:color w:val="auto"/>
              </w:rPr>
            </w:pPr>
          </w:p>
        </w:tc>
      </w:tr>
      <w:tr>
        <w:trPr>
          <w:trHeight w:val="311"/>
        </w:trPr>
        <w:tc>
          <w:tcPr>
            <w:tcW w:w="2860" w:type="dxa"/>
            <w:vAlign w:val="bottom"/>
            <w:shd w:val="clear" w:color="auto" w:fill="CCEEF7"/>
          </w:tcPr>
          <w:p>
            <w:pPr>
              <w:spacing w:after="0"/>
              <w:rPr>
                <w:sz w:val="24"/>
                <w:szCs w:val="24"/>
                <w:color w:val="auto"/>
              </w:rPr>
            </w:pPr>
          </w:p>
        </w:tc>
        <w:tc>
          <w:tcPr>
            <w:tcW w:w="1980" w:type="dxa"/>
            <w:vAlign w:val="bottom"/>
            <w:shd w:val="clear" w:color="auto" w:fill="CCEEF7"/>
          </w:tcPr>
          <w:p>
            <w:pPr>
              <w:jc w:val="right"/>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$1,871,416</w:t>
            </w:r>
            <w:r>
              <w:rPr>
                <w:rFonts w:ascii="Arial" w:cs="Arial" w:eastAsia="Arial" w:hAnsi="Arial"/>
                <w:sz w:val="27"/>
                <w:szCs w:val="27"/>
                <w:color w:val="auto"/>
                <w:vertAlign w:val="superscript"/>
              </w:rPr>
              <w:t>(5)</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$1,871,416</w:t>
            </w:r>
            <w:r>
              <w:rPr>
                <w:rFonts w:ascii="Arial" w:cs="Arial" w:eastAsia="Arial" w:hAnsi="Arial"/>
                <w:sz w:val="27"/>
                <w:szCs w:val="27"/>
                <w:color w:val="auto"/>
                <w:vertAlign w:val="superscript"/>
              </w:rPr>
              <w:t>(5)</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$1,871,416</w:t>
            </w:r>
            <w:r>
              <w:rPr>
                <w:rFonts w:ascii="Arial" w:cs="Arial" w:eastAsia="Arial" w:hAnsi="Arial"/>
                <w:sz w:val="27"/>
                <w:szCs w:val="27"/>
                <w:color w:val="auto"/>
                <w:vertAlign w:val="superscript"/>
              </w:rPr>
              <w:t>(5)</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$1,871,416</w:t>
            </w:r>
            <w:r>
              <w:rPr>
                <w:rFonts w:ascii="Arial" w:cs="Arial" w:eastAsia="Arial" w:hAnsi="Arial"/>
                <w:sz w:val="27"/>
                <w:szCs w:val="27"/>
                <w:color w:val="auto"/>
                <w:vertAlign w:val="superscript"/>
              </w:rPr>
              <w:t>(11)</w:t>
            </w:r>
          </w:p>
        </w:tc>
        <w:tc>
          <w:tcPr>
            <w:tcW w:w="0" w:type="dxa"/>
            <w:vAlign w:val="bottom"/>
          </w:tcPr>
          <w:p>
            <w:pPr>
              <w:spacing w:after="0"/>
              <w:rPr>
                <w:sz w:val="1"/>
                <w:szCs w:val="1"/>
                <w:color w:val="auto"/>
              </w:rPr>
            </w:pPr>
          </w:p>
        </w:tc>
      </w:tr>
      <w:tr>
        <w:trPr>
          <w:trHeight w:val="217"/>
        </w:trPr>
        <w:tc>
          <w:tcPr>
            <w:tcW w:w="2860" w:type="dxa"/>
            <w:vAlign w:val="bottom"/>
            <w:shd w:val="clear" w:color="auto" w:fill="CCEEF7"/>
          </w:tcPr>
          <w:p>
            <w:pPr>
              <w:spacing w:after="0"/>
              <w:rPr>
                <w:sz w:val="18"/>
                <w:szCs w:val="18"/>
                <w:color w:val="auto"/>
              </w:rPr>
            </w:pPr>
          </w:p>
        </w:tc>
        <w:tc>
          <w:tcPr>
            <w:tcW w:w="1980" w:type="dxa"/>
            <w:vAlign w:val="bottom"/>
            <w:shd w:val="clear" w:color="auto" w:fill="CCEEF7"/>
          </w:tcPr>
          <w:p>
            <w:pPr>
              <w:jc w:val="right"/>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$3,525,329</w:t>
            </w:r>
            <w:r>
              <w:rPr>
                <w:rFonts w:ascii="Arial" w:cs="Arial" w:eastAsia="Arial" w:hAnsi="Arial"/>
                <w:sz w:val="25"/>
                <w:szCs w:val="25"/>
                <w:color w:val="auto"/>
                <w:vertAlign w:val="superscript"/>
              </w:rPr>
              <w:t>(6)</w:t>
            </w:r>
          </w:p>
        </w:tc>
        <w:tc>
          <w:tcPr>
            <w:tcW w:w="2080" w:type="dxa"/>
            <w:vAlign w:val="bottom"/>
            <w:shd w:val="clear" w:color="auto" w:fill="CCEEF7"/>
          </w:tcPr>
          <w:p>
            <w:pPr>
              <w:jc w:val="right"/>
              <w:ind w:right="60"/>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$5,737,888</w:t>
            </w:r>
            <w:r>
              <w:rPr>
                <w:rFonts w:ascii="Arial" w:cs="Arial" w:eastAsia="Arial" w:hAnsi="Arial"/>
                <w:sz w:val="25"/>
                <w:szCs w:val="25"/>
                <w:color w:val="auto"/>
                <w:vertAlign w:val="superscript"/>
              </w:rPr>
              <w:t>(7)</w:t>
            </w:r>
          </w:p>
        </w:tc>
        <w:tc>
          <w:tcPr>
            <w:tcW w:w="2040" w:type="dxa"/>
            <w:vAlign w:val="bottom"/>
            <w:shd w:val="clear" w:color="auto" w:fill="CCEEF7"/>
          </w:tcPr>
          <w:p>
            <w:pPr>
              <w:jc w:val="right"/>
              <w:ind w:right="80"/>
              <w:spacing w:after="0" w:line="216" w:lineRule="exact"/>
              <w:rPr>
                <w:sz w:val="20"/>
                <w:szCs w:val="20"/>
                <w:color w:val="auto"/>
              </w:rPr>
            </w:pPr>
            <w:r>
              <w:rPr>
                <w:rFonts w:ascii="Arial" w:cs="Arial" w:eastAsia="Arial" w:hAnsi="Arial"/>
                <w:sz w:val="15"/>
                <w:szCs w:val="15"/>
                <w:i w:val="1"/>
                <w:iCs w:val="1"/>
                <w:color w:val="auto"/>
              </w:rPr>
              <w:t>PRSUs</w:t>
            </w:r>
            <w:r>
              <w:rPr>
                <w:rFonts w:ascii="Arial" w:cs="Arial" w:eastAsia="Arial" w:hAnsi="Arial"/>
                <w:sz w:val="15"/>
                <w:szCs w:val="15"/>
                <w:color w:val="auto"/>
              </w:rPr>
              <w:t>: $7,586,807</w:t>
            </w:r>
            <w:r>
              <w:rPr>
                <w:rFonts w:ascii="Arial" w:cs="Arial" w:eastAsia="Arial" w:hAnsi="Arial"/>
                <w:sz w:val="25"/>
                <w:szCs w:val="25"/>
                <w:color w:val="auto"/>
                <w:vertAlign w:val="superscript"/>
              </w:rPr>
              <w:t>(9)</w:t>
            </w:r>
          </w:p>
        </w:tc>
        <w:tc>
          <w:tcPr>
            <w:tcW w:w="2060" w:type="dxa"/>
            <w:vAlign w:val="bottom"/>
            <w:shd w:val="clear" w:color="auto" w:fill="CCEEF7"/>
          </w:tcPr>
          <w:p>
            <w:pPr>
              <w:jc w:val="right"/>
              <w:ind w:right="40"/>
              <w:spacing w:after="0" w:line="216" w:lineRule="exact"/>
              <w:rPr>
                <w:sz w:val="20"/>
                <w:szCs w:val="20"/>
                <w:color w:val="auto"/>
              </w:rPr>
            </w:pPr>
            <w:r>
              <w:rPr>
                <w:rFonts w:ascii="Arial" w:cs="Arial" w:eastAsia="Arial" w:hAnsi="Arial"/>
                <w:sz w:val="15"/>
                <w:szCs w:val="15"/>
                <w:i w:val="1"/>
                <w:iCs w:val="1"/>
                <w:color w:val="auto"/>
              </w:rPr>
              <w:t xml:space="preserve">PRSUs: </w:t>
            </w:r>
            <w:r>
              <w:rPr>
                <w:rFonts w:ascii="Arial" w:cs="Arial" w:eastAsia="Arial" w:hAnsi="Arial"/>
                <w:sz w:val="15"/>
                <w:szCs w:val="15"/>
                <w:color w:val="auto"/>
              </w:rPr>
              <w:t>$7,586,807</w:t>
            </w:r>
            <w:r>
              <w:rPr>
                <w:rFonts w:ascii="Arial" w:cs="Arial" w:eastAsia="Arial" w:hAnsi="Arial"/>
                <w:sz w:val="25"/>
                <w:szCs w:val="25"/>
                <w:color w:val="auto"/>
                <w:vertAlign w:val="superscript"/>
              </w:rPr>
              <w:t>(12)</w:t>
            </w:r>
          </w:p>
        </w:tc>
        <w:tc>
          <w:tcPr>
            <w:tcW w:w="0" w:type="dxa"/>
            <w:vAlign w:val="bottom"/>
          </w:tcPr>
          <w:p>
            <w:pPr>
              <w:spacing w:after="0"/>
              <w:rPr>
                <w:sz w:val="1"/>
                <w:szCs w:val="1"/>
                <w:color w:val="auto"/>
              </w:rPr>
            </w:pPr>
          </w:p>
        </w:tc>
      </w:tr>
      <w:tr>
        <w:trPr>
          <w:trHeight w:val="264"/>
        </w:trPr>
        <w:tc>
          <w:tcPr>
            <w:tcW w:w="2860" w:type="dxa"/>
            <w:vAlign w:val="bottom"/>
            <w:shd w:val="clear" w:color="auto" w:fill="CCEEF7"/>
          </w:tcPr>
          <w:p>
            <w:pPr>
              <w:ind w:left="60"/>
              <w:spacing w:after="0"/>
              <w:rPr>
                <w:sz w:val="20"/>
                <w:szCs w:val="20"/>
                <w:color w:val="auto"/>
              </w:rPr>
            </w:pPr>
            <w:r>
              <w:rPr>
                <w:rFonts w:ascii="Arial" w:cs="Arial" w:eastAsia="Arial" w:hAnsi="Arial"/>
                <w:sz w:val="16"/>
                <w:szCs w:val="16"/>
                <w:b w:val="1"/>
                <w:bCs w:val="1"/>
                <w:color w:val="auto"/>
              </w:rPr>
              <w:t>Total:</w:t>
            </w:r>
          </w:p>
        </w:tc>
        <w:tc>
          <w:tcPr>
            <w:tcW w:w="1980" w:type="dxa"/>
            <w:vAlign w:val="bottom"/>
            <w:shd w:val="clear" w:color="auto" w:fill="CCEEF7"/>
          </w:tcPr>
          <w:p>
            <w:pPr>
              <w:jc w:val="right"/>
              <w:spacing w:after="0"/>
              <w:rPr>
                <w:sz w:val="20"/>
                <w:szCs w:val="20"/>
                <w:color w:val="auto"/>
              </w:rPr>
            </w:pPr>
            <w:r>
              <w:rPr>
                <w:rFonts w:ascii="Arial" w:cs="Arial" w:eastAsia="Arial" w:hAnsi="Arial"/>
                <w:sz w:val="16"/>
                <w:szCs w:val="16"/>
                <w:b w:val="1"/>
                <w:bCs w:val="1"/>
                <w:color w:val="auto"/>
              </w:rPr>
              <w:t>$8,257,866</w:t>
            </w:r>
          </w:p>
        </w:tc>
        <w:tc>
          <w:tcPr>
            <w:tcW w:w="2080" w:type="dxa"/>
            <w:vAlign w:val="bottom"/>
            <w:shd w:val="clear" w:color="auto" w:fill="CCEEF7"/>
          </w:tcPr>
          <w:p>
            <w:pPr>
              <w:jc w:val="right"/>
              <w:ind w:right="60"/>
              <w:spacing w:after="0"/>
              <w:rPr>
                <w:sz w:val="20"/>
                <w:szCs w:val="20"/>
                <w:color w:val="auto"/>
              </w:rPr>
            </w:pPr>
            <w:r>
              <w:rPr>
                <w:rFonts w:ascii="Arial" w:cs="Arial" w:eastAsia="Arial" w:hAnsi="Arial"/>
                <w:sz w:val="16"/>
                <w:szCs w:val="16"/>
                <w:b w:val="1"/>
                <w:bCs w:val="1"/>
                <w:color w:val="auto"/>
              </w:rPr>
              <w:t>$7,609,304</w:t>
            </w:r>
          </w:p>
        </w:tc>
        <w:tc>
          <w:tcPr>
            <w:tcW w:w="2040" w:type="dxa"/>
            <w:vAlign w:val="bottom"/>
            <w:shd w:val="clear" w:color="auto" w:fill="CCEEF7"/>
          </w:tcPr>
          <w:p>
            <w:pPr>
              <w:jc w:val="right"/>
              <w:ind w:right="80"/>
              <w:spacing w:after="0"/>
              <w:rPr>
                <w:sz w:val="20"/>
                <w:szCs w:val="20"/>
                <w:color w:val="auto"/>
              </w:rPr>
            </w:pPr>
            <w:r>
              <w:rPr>
                <w:rFonts w:ascii="Arial" w:cs="Arial" w:eastAsia="Arial" w:hAnsi="Arial"/>
                <w:sz w:val="16"/>
                <w:szCs w:val="16"/>
                <w:b w:val="1"/>
                <w:bCs w:val="1"/>
                <w:color w:val="auto"/>
              </w:rPr>
              <w:t>$14,742,411</w:t>
            </w:r>
          </w:p>
        </w:tc>
        <w:tc>
          <w:tcPr>
            <w:tcW w:w="2060" w:type="dxa"/>
            <w:vAlign w:val="bottom"/>
            <w:shd w:val="clear" w:color="auto" w:fill="CCEEF7"/>
          </w:tcPr>
          <w:p>
            <w:pPr>
              <w:jc w:val="right"/>
              <w:ind w:right="40"/>
              <w:spacing w:after="0"/>
              <w:rPr>
                <w:sz w:val="20"/>
                <w:szCs w:val="20"/>
                <w:color w:val="auto"/>
              </w:rPr>
            </w:pPr>
            <w:r>
              <w:rPr>
                <w:rFonts w:ascii="Arial" w:cs="Arial" w:eastAsia="Arial" w:hAnsi="Arial"/>
                <w:sz w:val="16"/>
                <w:szCs w:val="16"/>
                <w:b w:val="1"/>
                <w:bCs w:val="1"/>
                <w:color w:val="auto"/>
              </w:rPr>
              <w:t>$14,742,411</w:t>
            </w:r>
          </w:p>
        </w:tc>
        <w:tc>
          <w:tcPr>
            <w:tcW w:w="0" w:type="dxa"/>
            <w:vAlign w:val="bottom"/>
          </w:tcPr>
          <w:p>
            <w:pPr>
              <w:spacing w:after="0"/>
              <w:rPr>
                <w:sz w:val="1"/>
                <w:szCs w:val="1"/>
                <w:color w:val="auto"/>
              </w:rPr>
            </w:pPr>
          </w:p>
        </w:tc>
      </w:tr>
      <w:tr>
        <w:trPr>
          <w:trHeight w:val="81"/>
        </w:trPr>
        <w:tc>
          <w:tcPr>
            <w:tcW w:w="2860" w:type="dxa"/>
            <w:vAlign w:val="bottom"/>
            <w:tcBorders>
              <w:bottom w:val="single" w:sz="8" w:color="auto"/>
            </w:tcBorders>
            <w:shd w:val="clear" w:color="auto" w:fill="CCEEF7"/>
          </w:tcPr>
          <w:p>
            <w:pPr>
              <w:spacing w:after="0"/>
              <w:rPr>
                <w:sz w:val="7"/>
                <w:szCs w:val="7"/>
                <w:color w:val="auto"/>
              </w:rPr>
            </w:pPr>
          </w:p>
        </w:tc>
        <w:tc>
          <w:tcPr>
            <w:tcW w:w="1980" w:type="dxa"/>
            <w:vAlign w:val="bottom"/>
            <w:tcBorders>
              <w:bottom w:val="single" w:sz="8" w:color="auto"/>
            </w:tcBorders>
            <w:shd w:val="clear" w:color="auto" w:fill="CCEEF7"/>
          </w:tcPr>
          <w:p>
            <w:pPr>
              <w:spacing w:after="0"/>
              <w:rPr>
                <w:sz w:val="7"/>
                <w:szCs w:val="7"/>
                <w:color w:val="auto"/>
              </w:rPr>
            </w:pPr>
          </w:p>
        </w:tc>
        <w:tc>
          <w:tcPr>
            <w:tcW w:w="2080" w:type="dxa"/>
            <w:vAlign w:val="bottom"/>
            <w:tcBorders>
              <w:bottom w:val="single" w:sz="8" w:color="auto"/>
            </w:tcBorders>
            <w:shd w:val="clear" w:color="auto" w:fill="CCEEF7"/>
          </w:tcPr>
          <w:p>
            <w:pPr>
              <w:spacing w:after="0"/>
              <w:rPr>
                <w:sz w:val="7"/>
                <w:szCs w:val="7"/>
                <w:color w:val="auto"/>
              </w:rPr>
            </w:pPr>
          </w:p>
        </w:tc>
        <w:tc>
          <w:tcPr>
            <w:tcW w:w="2040" w:type="dxa"/>
            <w:vAlign w:val="bottom"/>
            <w:tcBorders>
              <w:bottom w:val="single" w:sz="8" w:color="auto"/>
            </w:tcBorders>
            <w:shd w:val="clear" w:color="auto" w:fill="CCEEF7"/>
          </w:tcPr>
          <w:p>
            <w:pPr>
              <w:spacing w:after="0"/>
              <w:rPr>
                <w:sz w:val="7"/>
                <w:szCs w:val="7"/>
                <w:color w:val="auto"/>
              </w:rPr>
            </w:pPr>
          </w:p>
        </w:tc>
        <w:tc>
          <w:tcPr>
            <w:tcW w:w="2060" w:type="dxa"/>
            <w:vAlign w:val="bottom"/>
            <w:tcBorders>
              <w:bottom w:val="single" w:sz="8" w:color="auto"/>
            </w:tcBorders>
            <w:shd w:val="clear" w:color="auto" w:fill="CCEEF7"/>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Messrs. Hult and Bruni and Ms. Furber were not eligible for retirement as of December 31, 2021.</w:t>
      </w:r>
    </w:p>
    <w:p>
      <w:pPr>
        <w:spacing w:after="0" w:line="82" w:lineRule="exact"/>
        <w:rPr>
          <w:rFonts w:ascii="Arial" w:cs="Arial" w:eastAsia="Arial" w:hAnsi="Arial"/>
          <w:sz w:val="14"/>
          <w:szCs w:val="14"/>
          <w:color w:val="auto"/>
        </w:rPr>
      </w:pPr>
    </w:p>
    <w:p>
      <w:pPr>
        <w:ind w:left="540" w:right="300" w:hanging="424"/>
        <w:spacing w:after="0" w:line="258"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Reflects 18 months base salary continuation. This payment will also become due upon the executive’s resignation for good reason or Company nonrenewal of the executive’s employment agreement.</w:t>
      </w:r>
    </w:p>
    <w:p>
      <w:pPr>
        <w:spacing w:after="0" w:line="172"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7124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right="440" w:hanging="424"/>
        <w:spacing w:after="0" w:line="258"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continuation of healthcare benefits, including employee contributions, until Mr. Olesky reaches age 65. This payment will also become due upon the executive’s resignation for good reason or Company nonrenewal of the executive’s employment agreement.</w:t>
      </w:r>
    </w:p>
    <w:p>
      <w:pPr>
        <w:spacing w:after="0" w:line="58" w:lineRule="exact"/>
        <w:rPr>
          <w:rFonts w:ascii="Arial" w:cs="Arial" w:eastAsia="Arial" w:hAnsi="Arial"/>
          <w:sz w:val="14"/>
          <w:szCs w:val="14"/>
          <w:color w:val="auto"/>
        </w:rPr>
      </w:pPr>
    </w:p>
    <w:p>
      <w:pPr>
        <w:ind w:left="540" w:right="40" w:hanging="424"/>
        <w:spacing w:after="0" w:line="247"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 the executive’s average annual bonus earned for the two calendar years ending immediately prior to the year of termination (for purposes of this table, 2019 and 2020), plus (B) a pro rata bonus for the year of termination based on performance for the year of termination (for purposes of this table, we have included the value of a full year’s bonus). This payment will also become due upon the executive’s resignation for good reason or Company nonrenewal of the executive’s employment agreement.</w:t>
      </w:r>
    </w:p>
    <w:p>
      <w:pPr>
        <w:spacing w:after="0" w:line="66" w:lineRule="exact"/>
        <w:rPr>
          <w:rFonts w:ascii="Arial" w:cs="Arial" w:eastAsia="Arial" w:hAnsi="Arial"/>
          <w:sz w:val="14"/>
          <w:szCs w:val="14"/>
          <w:color w:val="auto"/>
        </w:rPr>
      </w:pPr>
    </w:p>
    <w:p>
      <w:pPr>
        <w:ind w:left="540" w:right="200" w:hanging="424"/>
        <w:spacing w:after="0" w:line="24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value of outstanding RSUs, which would remain eligible to vest. This amount does not include any amounts with respect to dividends that accrued as of December 31, 2021. The following approximate number of RSUs are fully vested as of the date hereof for each of Messrs. Olesky, Hult, Bruni and Peterson, and Ms. Furber:</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40" w:type="dxa"/>
            <w:vAlign w:val="bottom"/>
          </w:tcPr>
          <w:p>
            <w:pPr>
              <w:jc w:val="right"/>
              <w:ind w:right="2"/>
              <w:spacing w:after="0"/>
              <w:rPr>
                <w:sz w:val="20"/>
                <w:szCs w:val="20"/>
                <w:color w:val="auto"/>
              </w:rPr>
            </w:pPr>
            <w:r>
              <w:rPr>
                <w:rFonts w:ascii="Arial" w:cs="Arial" w:eastAsia="Arial" w:hAnsi="Arial"/>
                <w:sz w:val="14"/>
                <w:szCs w:val="14"/>
                <w:color w:val="auto"/>
              </w:rPr>
              <w:t>Number of RSUs that</w:t>
            </w:r>
          </w:p>
        </w:tc>
      </w:tr>
      <w:tr>
        <w:trPr>
          <w:trHeight w:val="182"/>
        </w:trPr>
        <w:tc>
          <w:tcPr>
            <w:tcW w:w="8280" w:type="dxa"/>
            <w:vAlign w:val="bottom"/>
          </w:tcPr>
          <w:p>
            <w:pPr>
              <w:ind w:left="80"/>
              <w:spacing w:after="0"/>
              <w:rPr>
                <w:sz w:val="20"/>
                <w:szCs w:val="20"/>
                <w:color w:val="auto"/>
              </w:rPr>
            </w:pPr>
            <w:r>
              <w:rPr>
                <w:rFonts w:ascii="Arial" w:cs="Arial" w:eastAsia="Arial" w:hAnsi="Arial"/>
                <w:sz w:val="14"/>
                <w:szCs w:val="14"/>
                <w:color w:val="auto"/>
              </w:rPr>
              <w:t>Name</w:t>
            </w:r>
          </w:p>
        </w:tc>
        <w:tc>
          <w:tcPr>
            <w:tcW w:w="1840" w:type="dxa"/>
            <w:vAlign w:val="bottom"/>
          </w:tcPr>
          <w:p>
            <w:pPr>
              <w:jc w:val="right"/>
              <w:ind w:right="2"/>
              <w:spacing w:after="0"/>
              <w:rPr>
                <w:sz w:val="20"/>
                <w:szCs w:val="20"/>
                <w:color w:val="auto"/>
              </w:rPr>
            </w:pPr>
            <w:r>
              <w:rPr>
                <w:rFonts w:ascii="Arial" w:cs="Arial" w:eastAsia="Arial" w:hAnsi="Arial"/>
                <w:sz w:val="14"/>
                <w:szCs w:val="14"/>
                <w:color w:val="auto"/>
                <w:w w:val="95"/>
              </w:rPr>
              <w:t>vested since January 1, 2022</w:t>
            </w:r>
          </w:p>
        </w:tc>
      </w:tr>
      <w:tr>
        <w:trPr>
          <w:trHeight w:val="53"/>
        </w:trPr>
        <w:tc>
          <w:tcPr>
            <w:tcW w:w="82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84"/>
        </w:trPr>
        <w:tc>
          <w:tcPr>
            <w:tcW w:w="8280" w:type="dxa"/>
            <w:vAlign w:val="bottom"/>
            <w:tcBorders>
              <w:bottom w:val="single" w:sz="8" w:color="CCEEF7"/>
            </w:tcBorders>
            <w:shd w:val="clear" w:color="auto" w:fill="CCEEF7"/>
          </w:tcPr>
          <w:p>
            <w:pPr>
              <w:ind w:left="80"/>
              <w:spacing w:after="0"/>
              <w:rPr>
                <w:sz w:val="20"/>
                <w:szCs w:val="20"/>
                <w:color w:val="auto"/>
              </w:rPr>
            </w:pPr>
            <w:r>
              <w:rPr>
                <w:rFonts w:ascii="Arial" w:cs="Arial" w:eastAsia="Arial" w:hAnsi="Arial"/>
                <w:sz w:val="16"/>
                <w:szCs w:val="16"/>
                <w:color w:val="auto"/>
              </w:rPr>
              <w:t>Lee Olesky</w:t>
            </w:r>
          </w:p>
        </w:tc>
        <w:tc>
          <w:tcPr>
            <w:tcW w:w="18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27,039</w:t>
            </w:r>
          </w:p>
        </w:tc>
      </w:tr>
      <w:tr>
        <w:trPr>
          <w:trHeight w:val="264"/>
        </w:trPr>
        <w:tc>
          <w:tcPr>
            <w:tcW w:w="8280" w:type="dxa"/>
            <w:vAlign w:val="bottom"/>
          </w:tcPr>
          <w:p>
            <w:pPr>
              <w:ind w:left="80"/>
              <w:spacing w:after="0"/>
              <w:rPr>
                <w:sz w:val="20"/>
                <w:szCs w:val="20"/>
                <w:color w:val="auto"/>
              </w:rPr>
            </w:pPr>
            <w:r>
              <w:rPr>
                <w:rFonts w:ascii="Arial" w:cs="Arial" w:eastAsia="Arial" w:hAnsi="Arial"/>
                <w:sz w:val="16"/>
                <w:szCs w:val="16"/>
                <w:color w:val="auto"/>
              </w:rPr>
              <w:t>Sara Furber</w:t>
            </w:r>
          </w:p>
        </w:tc>
        <w:tc>
          <w:tcPr>
            <w:tcW w:w="184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60"/>
        </w:trPr>
        <w:tc>
          <w:tcPr>
            <w:tcW w:w="828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304"/>
        </w:trPr>
        <w:tc>
          <w:tcPr>
            <w:tcW w:w="8280" w:type="dxa"/>
            <w:vAlign w:val="bottom"/>
            <w:tcBorders>
              <w:bottom w:val="single" w:sz="8" w:color="CCEEF7"/>
            </w:tcBorders>
            <w:shd w:val="clear" w:color="auto" w:fill="CCEEF7"/>
          </w:tcPr>
          <w:p>
            <w:pPr>
              <w:ind w:left="80"/>
              <w:spacing w:after="0"/>
              <w:rPr>
                <w:sz w:val="20"/>
                <w:szCs w:val="20"/>
                <w:color w:val="auto"/>
              </w:rPr>
            </w:pPr>
            <w:r>
              <w:rPr>
                <w:rFonts w:ascii="Arial" w:cs="Arial" w:eastAsia="Arial" w:hAnsi="Arial"/>
                <w:sz w:val="16"/>
                <w:szCs w:val="16"/>
                <w:color w:val="auto"/>
              </w:rPr>
              <w:t>Billy Hult</w:t>
            </w:r>
          </w:p>
        </w:tc>
        <w:tc>
          <w:tcPr>
            <w:tcW w:w="18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22,645</w:t>
            </w:r>
          </w:p>
        </w:tc>
      </w:tr>
      <w:tr>
        <w:trPr>
          <w:trHeight w:val="264"/>
        </w:trPr>
        <w:tc>
          <w:tcPr>
            <w:tcW w:w="8280" w:type="dxa"/>
            <w:vAlign w:val="bottom"/>
          </w:tcPr>
          <w:p>
            <w:pPr>
              <w:ind w:left="80"/>
              <w:spacing w:after="0"/>
              <w:rPr>
                <w:sz w:val="20"/>
                <w:szCs w:val="20"/>
                <w:color w:val="auto"/>
              </w:rPr>
            </w:pPr>
            <w:r>
              <w:rPr>
                <w:rFonts w:ascii="Arial" w:cs="Arial" w:eastAsia="Arial" w:hAnsi="Arial"/>
                <w:sz w:val="16"/>
                <w:szCs w:val="16"/>
                <w:color w:val="auto"/>
              </w:rPr>
              <w:t>Enrico Bruni</w:t>
            </w:r>
          </w:p>
        </w:tc>
        <w:tc>
          <w:tcPr>
            <w:tcW w:w="1840" w:type="dxa"/>
            <w:vAlign w:val="bottom"/>
          </w:tcPr>
          <w:p>
            <w:pPr>
              <w:jc w:val="right"/>
              <w:ind w:right="2"/>
              <w:spacing w:after="0"/>
              <w:rPr>
                <w:sz w:val="20"/>
                <w:szCs w:val="20"/>
                <w:color w:val="auto"/>
              </w:rPr>
            </w:pPr>
            <w:r>
              <w:rPr>
                <w:rFonts w:ascii="Arial" w:cs="Arial" w:eastAsia="Arial" w:hAnsi="Arial"/>
                <w:sz w:val="16"/>
                <w:szCs w:val="16"/>
                <w:color w:val="auto"/>
              </w:rPr>
              <w:t>8,505</w:t>
            </w:r>
          </w:p>
        </w:tc>
      </w:tr>
      <w:tr>
        <w:trPr>
          <w:trHeight w:val="60"/>
        </w:trPr>
        <w:tc>
          <w:tcPr>
            <w:tcW w:w="828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304"/>
        </w:trPr>
        <w:tc>
          <w:tcPr>
            <w:tcW w:w="8280" w:type="dxa"/>
            <w:vAlign w:val="bottom"/>
            <w:tcBorders>
              <w:bottom w:val="single" w:sz="8" w:color="CCEEF7"/>
            </w:tcBorders>
            <w:shd w:val="clear" w:color="auto" w:fill="CCEEF7"/>
          </w:tcPr>
          <w:p>
            <w:pPr>
              <w:ind w:left="80"/>
              <w:spacing w:after="0"/>
              <w:rPr>
                <w:sz w:val="20"/>
                <w:szCs w:val="20"/>
                <w:color w:val="auto"/>
              </w:rPr>
            </w:pPr>
            <w:r>
              <w:rPr>
                <w:rFonts w:ascii="Arial" w:cs="Arial" w:eastAsia="Arial" w:hAnsi="Arial"/>
                <w:sz w:val="16"/>
                <w:szCs w:val="16"/>
                <w:color w:val="auto"/>
              </w:rPr>
              <w:t>Justin Peterson</w:t>
            </w:r>
          </w:p>
        </w:tc>
        <w:tc>
          <w:tcPr>
            <w:tcW w:w="1840" w:type="dxa"/>
            <w:vAlign w:val="bottom"/>
            <w:tcBorders>
              <w:bottom w:val="single" w:sz="8" w:color="CCEEF7"/>
            </w:tcBorders>
            <w:shd w:val="clear" w:color="auto" w:fill="CCEEF7"/>
          </w:tcPr>
          <w:p>
            <w:pPr>
              <w:jc w:val="right"/>
              <w:ind w:right="2"/>
              <w:spacing w:after="0"/>
              <w:rPr>
                <w:sz w:val="20"/>
                <w:szCs w:val="20"/>
                <w:color w:val="auto"/>
              </w:rPr>
            </w:pPr>
            <w:r>
              <w:rPr>
                <w:rFonts w:ascii="Arial" w:cs="Arial" w:eastAsia="Arial" w:hAnsi="Arial"/>
                <w:sz w:val="16"/>
                <w:szCs w:val="16"/>
                <w:color w:val="auto"/>
              </w:rPr>
              <w:t>7,658</w:t>
            </w:r>
          </w:p>
        </w:tc>
      </w:tr>
      <w:tr>
        <w:trPr>
          <w:trHeight w:val="27"/>
        </w:trPr>
        <w:tc>
          <w:tcPr>
            <w:tcW w:w="82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ind w:left="540" w:right="40" w:hanging="424"/>
        <w:spacing w:after="0" w:line="19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PRSUs granted in 2019 which the executive would be entitled to retain following termination based on days worked in the vesting period (with the first date of the vesting period being January 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of the year of grant). This amount does not include any amounts with respect to dividends that accrued as of December 31, 2021. These PRSUs are fully settled as of the date hereof.</w:t>
      </w:r>
    </w:p>
    <w:p>
      <w:pPr>
        <w:spacing w:after="0" w:line="71" w:lineRule="exact"/>
        <w:rPr>
          <w:rFonts w:ascii="Arial" w:cs="Arial" w:eastAsia="Arial" w:hAnsi="Arial"/>
          <w:sz w:val="14"/>
          <w:szCs w:val="14"/>
          <w:color w:val="auto"/>
        </w:rPr>
      </w:pPr>
    </w:p>
    <w:p>
      <w:pPr>
        <w:ind w:left="540" w:right="140" w:hanging="424"/>
        <w:spacing w:after="0" w:line="20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a pro-rated portion of outstanding PRSUs which the executive would be entitled to retain, based on days worked for the vesting period (with the first date of the vesting period being January 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of the year of grant), following termination. This amount does not include any amounts with respect to dividends that accrued as of December 31, 2021. The value included for PRSUs granted in 2021 reflects the maximum number of shares to be awarded based on a 200% Performance Modifier, which Performance Modifier was deemed achieved based on 2021 performance as of February 24, 2022.</w:t>
      </w:r>
    </w:p>
    <w:p>
      <w:pPr>
        <w:spacing w:after="0" w:line="71" w:lineRule="exact"/>
        <w:rPr>
          <w:rFonts w:ascii="Arial" w:cs="Arial" w:eastAsia="Arial" w:hAnsi="Arial"/>
          <w:sz w:val="14"/>
          <w:szCs w:val="14"/>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intrinsic value of the Performance-Based Portion of any options (as described above in the section titled “Fiscal 2021 Compensation Program in Detail</w:t>
      </w:r>
    </w:p>
    <w:p>
      <w:pPr>
        <w:spacing w:after="0" w:line="1" w:lineRule="exact"/>
        <w:rPr>
          <w:rFonts w:ascii="Arial" w:cs="Arial" w:eastAsia="Arial" w:hAnsi="Arial"/>
          <w:sz w:val="14"/>
          <w:szCs w:val="14"/>
          <w:color w:val="auto"/>
        </w:rPr>
      </w:pPr>
    </w:p>
    <w:p>
      <w:pPr>
        <w:ind w:left="540" w:right="180" w:firstLine="40"/>
        <w:spacing w:after="0" w:line="249" w:lineRule="auto"/>
        <w:rPr>
          <w:rFonts w:ascii="Arial" w:cs="Arial" w:eastAsia="Arial" w:hAnsi="Arial"/>
          <w:sz w:val="14"/>
          <w:szCs w:val="14"/>
          <w:color w:val="auto"/>
        </w:rPr>
      </w:pPr>
      <w:r>
        <w:rPr>
          <w:rFonts w:ascii="Arial" w:cs="Arial" w:eastAsia="Arial" w:hAnsi="Arial"/>
          <w:sz w:val="14"/>
          <w:szCs w:val="14"/>
          <w:color w:val="auto"/>
        </w:rPr>
        <w:t>— Long-Term Equity Incentives”) that were scheduled to vest in respect of calendar year 2021, which the executive would have been entitled to retain on a pro-rata basis based on days worked in 2021, and which would remain eligible to vest on the applicable performance-vesting date to the extent the EBITDA target and/or revenue target (as applicable) with respect to 2021 (the presumed year of retirement) was achieved. These options are fully vested as of the date hereof.</w:t>
      </w:r>
    </w:p>
    <w:p>
      <w:pPr>
        <w:spacing w:after="0" w:line="65" w:lineRule="exact"/>
        <w:rPr>
          <w:rFonts w:ascii="Arial" w:cs="Arial" w:eastAsia="Arial" w:hAnsi="Arial"/>
          <w:sz w:val="14"/>
          <w:szCs w:val="14"/>
          <w:color w:val="auto"/>
        </w:rPr>
      </w:pPr>
    </w:p>
    <w:p>
      <w:pPr>
        <w:ind w:left="540" w:right="20" w:hanging="424"/>
        <w:spacing w:after="0" w:line="247"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all outstanding PRSUs granted in 2019, 2020 and 2021, which would become fully vested, in each case, on retirement. This amount does not include any amounts with respect to dividends that accrued as of December 31, 2021. The value included for PRSUs granted in 2021 reflects the maximum number of shares to be awarded based on a 200% Performance Modifier, which Performance Modifier was deemed achieved based on 2021 performance as of February 24, 2022. The PRSUs granted in 2019 are fully settled as of the date hereof.</w:t>
      </w:r>
    </w:p>
    <w:p>
      <w:pPr>
        <w:spacing w:after="0" w:line="66" w:lineRule="exact"/>
        <w:rPr>
          <w:rFonts w:ascii="Arial" w:cs="Arial" w:eastAsia="Arial" w:hAnsi="Arial"/>
          <w:sz w:val="14"/>
          <w:szCs w:val="14"/>
          <w:color w:val="auto"/>
        </w:rPr>
      </w:pPr>
    </w:p>
    <w:p>
      <w:pPr>
        <w:ind w:left="540" w:right="24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intrinsic value of unvested options that would become fully vested on a change in control, assuming the applicable remaining EBITDA and revenue targets are deemed satisfied by the change in control. All of these options are fully vested as of the date hereof.</w:t>
      </w:r>
    </w:p>
    <w:p>
      <w:pPr>
        <w:spacing w:after="0" w:line="58" w:lineRule="exact"/>
        <w:rPr>
          <w:rFonts w:ascii="Arial" w:cs="Arial" w:eastAsia="Arial" w:hAnsi="Arial"/>
          <w:sz w:val="14"/>
          <w:szCs w:val="14"/>
          <w:color w:val="auto"/>
        </w:rPr>
      </w:pPr>
    </w:p>
    <w:p>
      <w:pPr>
        <w:ind w:left="540" w:right="8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outstanding RSUs which would become fully vested on a change in control. This amount does not include any amounts with respect to dividends that accrued as of December 31, 2021. See footnote 5 to this chart for the number of RSUs that are fully vested as of the date hereof.</w:t>
      </w:r>
    </w:p>
    <w:p>
      <w:pPr>
        <w:spacing w:after="0" w:line="58" w:lineRule="exact"/>
        <w:rPr>
          <w:rFonts w:ascii="Arial" w:cs="Arial" w:eastAsia="Arial" w:hAnsi="Arial"/>
          <w:sz w:val="14"/>
          <w:szCs w:val="14"/>
          <w:color w:val="auto"/>
        </w:rPr>
      </w:pPr>
    </w:p>
    <w:p>
      <w:pPr>
        <w:ind w:left="540" w:right="20" w:hanging="424"/>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value of PRSUs granted in 2019, 2020 and 2021 which would become fully vested on a change in control. This amount does not include any amounts with respect to dividends that accrued as of December 31, 2021. The value included for PRSUs granted in 2021 reflects the maximum number of shares to be awarded based on a 200% Performance Modifier, which Performance Modifier was deemed achieved based on 2021 performance as of February 24, 2022.</w:t>
      </w:r>
    </w:p>
    <w:p>
      <w:pPr>
        <w:spacing w:after="0" w:line="65" w:lineRule="exact"/>
        <w:rPr>
          <w:rFonts w:ascii="Arial" w:cs="Arial" w:eastAsia="Arial" w:hAnsi="Arial"/>
          <w:sz w:val="14"/>
          <w:szCs w:val="14"/>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Reflects 12 months’ base salary continuation.</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excess costs of continued health benefits for the executive and the executive’s covered dependents under COBRA for one year following termination.</w:t>
      </w:r>
    </w:p>
    <w:p>
      <w:pPr>
        <w:spacing w:after="0" w:line="82" w:lineRule="exact"/>
        <w:rPr>
          <w:rFonts w:ascii="Arial" w:cs="Arial" w:eastAsia="Arial" w:hAnsi="Arial"/>
          <w:sz w:val="14"/>
          <w:szCs w:val="14"/>
          <w:color w:val="auto"/>
        </w:rPr>
      </w:pPr>
    </w:p>
    <w:p>
      <w:pPr>
        <w:ind w:left="540" w:right="20" w:hanging="424"/>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 the executive’s highest annual bonus earned for the two calendar years ending immediately prior to the year of termination (for purposes of this table, 2019 and 2020), plus (B) a pro rata bonus for the year of termination based on the highest annual bonus earned for the two calendar years ending immediately prior to the year of termination (for purposes of this table, we have included the value of a full year’s bonus).</w:t>
      </w:r>
    </w:p>
    <w:p>
      <w:pPr>
        <w:spacing w:after="0" w:line="65" w:lineRule="exact"/>
        <w:rPr>
          <w:rFonts w:ascii="Arial" w:cs="Arial" w:eastAsia="Arial" w:hAnsi="Arial"/>
          <w:sz w:val="14"/>
          <w:szCs w:val="14"/>
          <w:color w:val="auto"/>
        </w:rPr>
      </w:pPr>
    </w:p>
    <w:p>
      <w:pPr>
        <w:ind w:left="540" w:right="340" w:hanging="424"/>
        <w:spacing w:after="0" w:line="258"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continuation of healthcare benefits for eighteen months following termination. This payment will also become due upon the executive’s resignation for good reason or Company nonrenewal of the executive’s employment agreement.</w:t>
      </w:r>
    </w:p>
    <w:p>
      <w:pPr>
        <w:spacing w:after="0" w:line="172"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54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205740</wp:posOffset>
            </wp:positionV>
            <wp:extent cx="10718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718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Pay Ratio Disclosure</w:t>
      </w:r>
    </w:p>
    <w:p>
      <w:pPr>
        <w:spacing w:after="0" w:line="102" w:lineRule="exact"/>
        <w:rPr>
          <w:sz w:val="20"/>
          <w:szCs w:val="20"/>
          <w:color w:val="auto"/>
        </w:rPr>
      </w:pPr>
    </w:p>
    <w:p>
      <w:pPr>
        <w:ind w:left="120" w:right="360"/>
        <w:spacing w:after="0" w:line="269" w:lineRule="auto"/>
        <w:rPr>
          <w:sz w:val="20"/>
          <w:szCs w:val="20"/>
          <w:color w:val="auto"/>
        </w:rPr>
      </w:pPr>
      <w:r>
        <w:rPr>
          <w:rFonts w:ascii="Arial" w:cs="Arial" w:eastAsia="Arial" w:hAnsi="Arial"/>
          <w:sz w:val="17"/>
          <w:szCs w:val="17"/>
          <w:color w:val="auto"/>
        </w:rPr>
        <w:t>In accordance with SEC rules and applying the methodology described below, we calculated the annual total compensation of our median employee (other than our CEO) for fiscal 2021 to be $214,407. As reported in the Summary Compensation Table for fiscal 2021 in this Proxy Statement, the annual total compensation of our CEO for fiscal 2021 was $14,771,567. Based on this information, the ratio of the annual total compensation of our CEO to the annual total compensation of our median employee for fiscal 2021 was 69:1.</w:t>
      </w:r>
    </w:p>
    <w:p>
      <w:pPr>
        <w:spacing w:after="0" w:line="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We have determined that there has not been a change in our employee population or employee compensation arrangements since the last fiscal year that would significantly impact our pay ratio disclosure, and are therefore basing our disclosure on the same median employee reported in our proxy statement filed in 2021, reporting compensation for the 2020 fiscal year. To identify our median employee in connection with our 2021 pay ratio disclosure, we used the following methodology:</w:t>
      </w:r>
    </w:p>
    <w:p>
      <w:pPr>
        <w:spacing w:after="0" w:line="98" w:lineRule="exact"/>
        <w:rPr>
          <w:sz w:val="20"/>
          <w:szCs w:val="20"/>
          <w:color w:val="auto"/>
        </w:rPr>
      </w:pPr>
    </w:p>
    <w:p>
      <w:pPr>
        <w:ind w:left="540" w:hanging="208"/>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determined our median employee based on our entire employee population as of December 31, 2020.</w:t>
      </w:r>
    </w:p>
    <w:p>
      <w:pPr>
        <w:spacing w:after="0" w:line="23" w:lineRule="exact"/>
        <w:rPr>
          <w:rFonts w:ascii="Arial" w:cs="Arial" w:eastAsia="Arial" w:hAnsi="Arial"/>
          <w:sz w:val="18"/>
          <w:szCs w:val="18"/>
          <w:color w:val="auto"/>
        </w:rPr>
      </w:pPr>
    </w:p>
    <w:p>
      <w:pPr>
        <w:ind w:left="540" w:right="140" w:hanging="208"/>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used a consistently applied compensation measure that included the sum of each employee’s base salary (including overtime earned in 2020), bonuses and commissions earned in 2020, and the grant date fair value of all equity granted in 2020.</w:t>
      </w:r>
    </w:p>
    <w:p>
      <w:pPr>
        <w:ind w:left="540" w:hanging="208"/>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annualized the base salaries for employees who were employed by us for less than the entire calendar year.</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 paid in foreign currencies was converted to U.S. dollars based on the annual plan rate for the year ended December 31, 2020.</w:t>
      </w:r>
    </w:p>
    <w:p>
      <w:pPr>
        <w:spacing w:after="0" w:line="234"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color w:val="auto"/>
        </w:rPr>
        <w:t>We then calculated the annual total compensation of this employee for 2021 in accordance with the requirements of the Summary Compensation Table.</w:t>
      </w:r>
    </w:p>
    <w:p>
      <w:pPr>
        <w:spacing w:after="0" w:line="1" w:lineRule="exact"/>
        <w:rPr>
          <w:sz w:val="20"/>
          <w:szCs w:val="20"/>
          <w:color w:val="auto"/>
        </w:rPr>
      </w:pPr>
    </w:p>
    <w:p>
      <w:pPr>
        <w:ind w:left="120" w:right="240" w:firstLine="440"/>
        <w:spacing w:after="0" w:line="265" w:lineRule="auto"/>
        <w:rPr>
          <w:sz w:val="20"/>
          <w:szCs w:val="20"/>
          <w:color w:val="auto"/>
        </w:rPr>
      </w:pPr>
      <w:r>
        <w:rPr>
          <w:rFonts w:ascii="Arial" w:cs="Arial" w:eastAsia="Arial" w:hAnsi="Arial"/>
          <w:sz w:val="17"/>
          <w:szCs w:val="17"/>
          <w:color w:val="auto"/>
        </w:rPr>
        <w:t>This pay ratio is a reasonable estimate calculated in a manner consistent with SEC rules based on our payroll and employment records and the methodology described above. 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 w:lineRule="exact"/>
        <w:rPr>
          <w:sz w:val="20"/>
          <w:szCs w:val="20"/>
          <w:color w:val="auto"/>
        </w:rPr>
      </w:pPr>
    </w:p>
    <w:p>
      <w:pPr>
        <w:ind w:left="120" w:right="80" w:firstLine="440"/>
        <w:spacing w:after="0" w:line="260" w:lineRule="auto"/>
        <w:rPr>
          <w:sz w:val="20"/>
          <w:szCs w:val="20"/>
          <w:color w:val="auto"/>
        </w:rPr>
      </w:pPr>
      <w:r>
        <w:rPr>
          <w:rFonts w:ascii="Arial" w:cs="Arial" w:eastAsia="Arial" w:hAnsi="Arial"/>
          <w:sz w:val="18"/>
          <w:szCs w:val="18"/>
          <w:i w:val="1"/>
          <w:iCs w:val="1"/>
          <w:color w:val="auto"/>
        </w:rPr>
        <w:t>This information is being provided for compliance purposes. Neither the Compensation Committee nor management of the Company used the pay ratio measure in making compensation decisions.</w:t>
      </w:r>
    </w:p>
    <w:p>
      <w:pPr>
        <w:spacing w:after="0" w:line="183"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314575"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4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Under the Company’s Non-Employee Director Compensation Policy, each of Messrs. Berns, Ganeles, Hughes and Pluta and Ms. Madoff is entitled to an annual retainer of $100,000 and an annual grant of restricted stock units of the Company with a value of $100,000 at the time of grant. Annual grants are made initially on the director’s appointment, and then on each anniversary thereof. For 2021, each of Messrs. Pluta, Ganeles and Ms. Madoff received a grant of 1,356 restricted stock units, and Mr. Berns received 1,315 restricted stock units, under the Equity Plan, each of which vested or will vest on the first anniversary of the date of grant. Mr. Hughes received a grant of 1,373 restricted stock units in connection with this appointment to the Board in 2021. Murray Roos also joined the Board in March 2021 and does not receive any compensation for his services.</w:t>
      </w:r>
    </w:p>
    <w:p>
      <w:pPr>
        <w:spacing w:after="0" w:line="4" w:lineRule="exact"/>
        <w:rPr>
          <w:sz w:val="20"/>
          <w:szCs w:val="20"/>
          <w:color w:val="auto"/>
        </w:rPr>
      </w:pPr>
    </w:p>
    <w:p>
      <w:pPr>
        <w:ind w:left="120" w:right="160" w:firstLine="440"/>
        <w:spacing w:after="0" w:line="265" w:lineRule="auto"/>
        <w:rPr>
          <w:sz w:val="20"/>
          <w:szCs w:val="20"/>
          <w:color w:val="auto"/>
        </w:rPr>
      </w:pPr>
      <w:r>
        <w:rPr>
          <w:rFonts w:ascii="Arial" w:cs="Arial" w:eastAsia="Arial" w:hAnsi="Arial"/>
          <w:sz w:val="17"/>
          <w:szCs w:val="17"/>
          <w:color w:val="auto"/>
        </w:rPr>
        <w:t>In addition to the above,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Pursuant to the Company’s Non-Employee Director Compensation Policy, the non-employee committee chair for each of the audit, compensation and nominating and governance committees are entitled to additional annual retainers of $20,000, $15,000 and $10,000, respectively. Non-employee members of the audit, compensation and nominating and governance committees are entitled to additional annual retainers of $7,500, $5,000 and $4,000, respectively.</w:t>
      </w:r>
    </w:p>
    <w:p>
      <w:pPr>
        <w:spacing w:after="0" w:line="1"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The following table summarizes the compensation of the directors for the fiscal year ended December 31, 2021, except for Messrs. Hult and Olesky, whose compensation is summarized above in the table entitled “Summary Compensation Table.” Mr. Brand, included below, stepped down as Chairman and resigned from the Board effective February 11, 2022.</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Director Compensation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jc w:val="right"/>
              <w:ind w:right="121"/>
              <w:spacing w:after="0"/>
              <w:rPr>
                <w:sz w:val="20"/>
                <w:szCs w:val="20"/>
                <w:color w:val="auto"/>
              </w:rPr>
            </w:pPr>
            <w:r>
              <w:rPr>
                <w:rFonts w:ascii="Arial" w:cs="Arial" w:eastAsia="Arial" w:hAnsi="Arial"/>
                <w:sz w:val="14"/>
                <w:szCs w:val="14"/>
                <w:color w:val="auto"/>
              </w:rPr>
              <w:t>Fees Earned or Paid</w:t>
            </w: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6940" w:type="dxa"/>
            <w:vAlign w:val="bottom"/>
          </w:tcPr>
          <w:p>
            <w:pPr>
              <w:ind w:left="60"/>
              <w:spacing w:after="0"/>
              <w:rPr>
                <w:sz w:val="20"/>
                <w:szCs w:val="20"/>
                <w:color w:val="auto"/>
              </w:rPr>
            </w:pPr>
            <w:r>
              <w:rPr>
                <w:rFonts w:ascii="Arial" w:cs="Arial" w:eastAsia="Arial" w:hAnsi="Arial"/>
                <w:sz w:val="14"/>
                <w:szCs w:val="14"/>
                <w:color w:val="auto"/>
              </w:rPr>
              <w:t>Name</w:t>
            </w:r>
          </w:p>
        </w:tc>
        <w:tc>
          <w:tcPr>
            <w:tcW w:w="1700" w:type="dxa"/>
            <w:vAlign w:val="bottom"/>
          </w:tcPr>
          <w:p>
            <w:pPr>
              <w:jc w:val="right"/>
              <w:ind w:right="121"/>
              <w:spacing w:after="0"/>
              <w:rPr>
                <w:sz w:val="20"/>
                <w:szCs w:val="20"/>
                <w:color w:val="auto"/>
              </w:rPr>
            </w:pPr>
            <w:r>
              <w:rPr>
                <w:rFonts w:ascii="Arial" w:cs="Arial" w:eastAsia="Arial" w:hAnsi="Arial"/>
                <w:sz w:val="14"/>
                <w:szCs w:val="14"/>
                <w:color w:val="auto"/>
              </w:rPr>
              <w:t>in Cash($)</w:t>
            </w:r>
            <w:r>
              <w:rPr>
                <w:rFonts w:ascii="Arial" w:cs="Arial" w:eastAsia="Arial" w:hAnsi="Arial"/>
                <w:sz w:val="12"/>
                <w:szCs w:val="12"/>
                <w:color w:val="auto"/>
              </w:rPr>
              <w:t>(1)</w:t>
            </w:r>
          </w:p>
        </w:tc>
        <w:tc>
          <w:tcPr>
            <w:tcW w:w="1460" w:type="dxa"/>
            <w:vAlign w:val="bottom"/>
          </w:tcPr>
          <w:p>
            <w:pPr>
              <w:jc w:val="right"/>
              <w:ind w:right="80"/>
              <w:spacing w:after="0"/>
              <w:rPr>
                <w:sz w:val="20"/>
                <w:szCs w:val="20"/>
                <w:color w:val="auto"/>
              </w:rPr>
            </w:pPr>
            <w:r>
              <w:rPr>
                <w:rFonts w:ascii="Arial" w:cs="Arial" w:eastAsia="Arial" w:hAnsi="Arial"/>
                <w:sz w:val="14"/>
                <w:szCs w:val="14"/>
                <w:color w:val="auto"/>
              </w:rPr>
              <w:t>Stock Awards($)</w:t>
            </w:r>
            <w:r>
              <w:rPr>
                <w:rFonts w:ascii="Arial" w:cs="Arial" w:eastAsia="Arial" w:hAnsi="Arial"/>
                <w:sz w:val="12"/>
                <w:szCs w:val="12"/>
                <w:color w:val="auto"/>
              </w:rPr>
              <w:t>(2)</w:t>
            </w:r>
          </w:p>
        </w:tc>
        <w:tc>
          <w:tcPr>
            <w:tcW w:w="920" w:type="dxa"/>
            <w:vAlign w:val="bottom"/>
          </w:tcPr>
          <w:p>
            <w:pPr>
              <w:jc w:val="right"/>
              <w:ind w:right="100"/>
              <w:spacing w:after="0"/>
              <w:rPr>
                <w:sz w:val="20"/>
                <w:szCs w:val="20"/>
                <w:color w:val="auto"/>
              </w:rPr>
            </w:pPr>
            <w:r>
              <w:rPr>
                <w:rFonts w:ascii="Arial" w:cs="Arial" w:eastAsia="Arial" w:hAnsi="Arial"/>
                <w:sz w:val="14"/>
                <w:szCs w:val="14"/>
                <w:color w:val="auto"/>
              </w:rPr>
              <w:t>Total($)</w:t>
            </w:r>
          </w:p>
        </w:tc>
      </w:tr>
      <w:tr>
        <w:trPr>
          <w:trHeight w:val="53"/>
        </w:trPr>
        <w:tc>
          <w:tcPr>
            <w:tcW w:w="69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304"/>
        </w:trPr>
        <w:tc>
          <w:tcPr>
            <w:tcW w:w="6940" w:type="dxa"/>
            <w:vAlign w:val="bottom"/>
            <w:shd w:val="clear" w:color="auto" w:fill="CCEEF7"/>
          </w:tcPr>
          <w:p>
            <w:pPr>
              <w:ind w:left="60"/>
              <w:spacing w:after="0" w:line="303" w:lineRule="exact"/>
              <w:rPr>
                <w:sz w:val="20"/>
                <w:szCs w:val="20"/>
                <w:color w:val="auto"/>
              </w:rPr>
            </w:pPr>
            <w:r>
              <w:rPr>
                <w:rFonts w:ascii="Arial" w:cs="Arial" w:eastAsia="Arial" w:hAnsi="Arial"/>
                <w:sz w:val="16"/>
                <w:szCs w:val="16"/>
                <w:color w:val="auto"/>
              </w:rPr>
              <w:t>Balbir Bakhshi</w:t>
            </w:r>
            <w:r>
              <w:rPr>
                <w:rFonts w:ascii="Arial" w:cs="Arial" w:eastAsia="Arial" w:hAnsi="Arial"/>
                <w:sz w:val="27"/>
                <w:szCs w:val="27"/>
                <w:color w:val="auto"/>
                <w:vertAlign w:val="superscript"/>
              </w:rPr>
              <w:t>(3)</w:t>
            </w:r>
          </w:p>
        </w:tc>
        <w:tc>
          <w:tcPr>
            <w:tcW w:w="170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100"/>
              <w:spacing w:after="0"/>
              <w:rPr>
                <w:sz w:val="20"/>
                <w:szCs w:val="20"/>
                <w:color w:val="auto"/>
              </w:rPr>
            </w:pPr>
            <w:r>
              <w:rPr>
                <w:rFonts w:ascii="Arial" w:cs="Arial" w:eastAsia="Arial" w:hAnsi="Arial"/>
                <w:sz w:val="16"/>
                <w:szCs w:val="16"/>
                <w:color w:val="auto"/>
              </w:rPr>
              <w:t>—</w:t>
            </w:r>
          </w:p>
        </w:tc>
      </w:tr>
      <w:tr>
        <w:trPr>
          <w:trHeight w:val="264"/>
        </w:trPr>
        <w:tc>
          <w:tcPr>
            <w:tcW w:w="6940" w:type="dxa"/>
            <w:vAlign w:val="bottom"/>
          </w:tcPr>
          <w:p>
            <w:pPr>
              <w:ind w:left="60"/>
              <w:spacing w:after="0"/>
              <w:rPr>
                <w:sz w:val="20"/>
                <w:szCs w:val="20"/>
                <w:color w:val="auto"/>
              </w:rPr>
            </w:pPr>
            <w:r>
              <w:rPr>
                <w:rFonts w:ascii="Arial" w:cs="Arial" w:eastAsia="Arial" w:hAnsi="Arial"/>
                <w:sz w:val="16"/>
                <w:szCs w:val="16"/>
                <w:color w:val="auto"/>
              </w:rPr>
              <w:t>Steven Berns</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120,000</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100,000</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220,000</w:t>
            </w:r>
          </w:p>
        </w:tc>
      </w:tr>
      <w:tr>
        <w:trPr>
          <w:trHeight w:val="60"/>
        </w:trPr>
        <w:tc>
          <w:tcPr>
            <w:tcW w:w="6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24"/>
        </w:trPr>
        <w:tc>
          <w:tcPr>
            <w:tcW w:w="6940" w:type="dxa"/>
            <w:vAlign w:val="bottom"/>
            <w:shd w:val="clear" w:color="auto" w:fill="CCEEF7"/>
          </w:tcPr>
          <w:p>
            <w:pPr>
              <w:ind w:left="60"/>
              <w:spacing w:after="0"/>
              <w:rPr>
                <w:sz w:val="20"/>
                <w:szCs w:val="20"/>
                <w:color w:val="auto"/>
              </w:rPr>
            </w:pPr>
            <w:r>
              <w:rPr>
                <w:rFonts w:ascii="Arial" w:cs="Arial" w:eastAsia="Arial" w:hAnsi="Arial"/>
                <w:sz w:val="16"/>
                <w:szCs w:val="16"/>
                <w:color w:val="auto"/>
              </w:rPr>
              <w:t>Martin Brand</w:t>
            </w:r>
            <w:r>
              <w:rPr>
                <w:rFonts w:ascii="Arial" w:cs="Arial" w:eastAsia="Arial" w:hAnsi="Arial"/>
                <w:sz w:val="27"/>
                <w:szCs w:val="27"/>
                <w:color w:val="auto"/>
                <w:vertAlign w:val="superscript"/>
              </w:rPr>
              <w:t>(3)</w:t>
            </w:r>
          </w:p>
        </w:tc>
        <w:tc>
          <w:tcPr>
            <w:tcW w:w="1700" w:type="dxa"/>
            <w:vAlign w:val="bottom"/>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7"/>
          </w:tcPr>
          <w:p>
            <w:pPr>
              <w:jc w:val="right"/>
              <w:ind w:right="100"/>
              <w:spacing w:after="0"/>
              <w:rPr>
                <w:sz w:val="20"/>
                <w:szCs w:val="20"/>
                <w:color w:val="auto"/>
              </w:rPr>
            </w:pPr>
            <w:r>
              <w:rPr>
                <w:rFonts w:ascii="Arial" w:cs="Arial" w:eastAsia="Arial" w:hAnsi="Arial"/>
                <w:sz w:val="16"/>
                <w:szCs w:val="16"/>
                <w:color w:val="auto"/>
              </w:rPr>
              <w:t>—</w:t>
            </w:r>
          </w:p>
        </w:tc>
      </w:tr>
      <w:tr>
        <w:trPr>
          <w:trHeight w:val="324"/>
        </w:trPr>
        <w:tc>
          <w:tcPr>
            <w:tcW w:w="6940" w:type="dxa"/>
            <w:vAlign w:val="bottom"/>
          </w:tcPr>
          <w:p>
            <w:pPr>
              <w:ind w:left="60"/>
              <w:spacing w:after="0"/>
              <w:rPr>
                <w:sz w:val="20"/>
                <w:szCs w:val="20"/>
                <w:color w:val="auto"/>
              </w:rPr>
            </w:pPr>
            <w:r>
              <w:rPr>
                <w:rFonts w:ascii="Arial" w:cs="Arial" w:eastAsia="Arial" w:hAnsi="Arial"/>
                <w:sz w:val="16"/>
                <w:szCs w:val="16"/>
                <w:color w:val="auto"/>
              </w:rPr>
              <w:t>John Finley</w:t>
            </w:r>
            <w:r>
              <w:rPr>
                <w:rFonts w:ascii="Arial" w:cs="Arial" w:eastAsia="Arial" w:hAnsi="Arial"/>
                <w:sz w:val="27"/>
                <w:szCs w:val="27"/>
                <w:color w:val="auto"/>
                <w:vertAlign w:val="superscript"/>
              </w:rPr>
              <w:t>(3)</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304"/>
        </w:trPr>
        <w:tc>
          <w:tcPr>
            <w:tcW w:w="69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Scott Ganeles</w:t>
            </w:r>
          </w:p>
        </w:tc>
        <w:tc>
          <w:tcPr>
            <w:tcW w:w="170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112,500</w:t>
            </w:r>
          </w:p>
        </w:tc>
        <w:tc>
          <w:tcPr>
            <w:tcW w:w="1460" w:type="dxa"/>
            <w:vAlign w:val="bottom"/>
            <w:tcBorders>
              <w:bottom w:val="single" w:sz="8" w:color="CCEEF7"/>
            </w:tcBorders>
            <w:shd w:val="clear" w:color="auto" w:fill="CCEEF7"/>
          </w:tcPr>
          <w:p>
            <w:pPr>
              <w:jc w:val="right"/>
              <w:ind w:right="80"/>
              <w:spacing w:after="0"/>
              <w:rPr>
                <w:sz w:val="20"/>
                <w:szCs w:val="20"/>
                <w:color w:val="auto"/>
              </w:rPr>
            </w:pPr>
            <w:r>
              <w:rPr>
                <w:rFonts w:ascii="Arial" w:cs="Arial" w:eastAsia="Arial" w:hAnsi="Arial"/>
                <w:sz w:val="16"/>
                <w:szCs w:val="16"/>
                <w:color w:val="auto"/>
              </w:rPr>
              <w:t>100,000</w:t>
            </w:r>
          </w:p>
        </w:tc>
        <w:tc>
          <w:tcPr>
            <w:tcW w:w="920" w:type="dxa"/>
            <w:vAlign w:val="bottom"/>
            <w:tcBorders>
              <w:bottom w:val="single" w:sz="8" w:color="CCEEF7"/>
            </w:tcBorders>
            <w:shd w:val="clear" w:color="auto" w:fill="CCEEF7"/>
          </w:tcPr>
          <w:p>
            <w:pPr>
              <w:jc w:val="right"/>
              <w:ind w:right="100"/>
              <w:spacing w:after="0"/>
              <w:rPr>
                <w:sz w:val="20"/>
                <w:szCs w:val="20"/>
                <w:color w:val="auto"/>
              </w:rPr>
            </w:pPr>
            <w:r>
              <w:rPr>
                <w:rFonts w:ascii="Arial" w:cs="Arial" w:eastAsia="Arial" w:hAnsi="Arial"/>
                <w:sz w:val="16"/>
                <w:szCs w:val="16"/>
                <w:color w:val="auto"/>
              </w:rPr>
              <w:t>212,500</w:t>
            </w:r>
          </w:p>
        </w:tc>
      </w:tr>
      <w:tr>
        <w:trPr>
          <w:trHeight w:val="264"/>
        </w:trPr>
        <w:tc>
          <w:tcPr>
            <w:tcW w:w="6940" w:type="dxa"/>
            <w:vAlign w:val="bottom"/>
          </w:tcPr>
          <w:p>
            <w:pPr>
              <w:ind w:left="60"/>
              <w:spacing w:after="0"/>
              <w:rPr>
                <w:sz w:val="20"/>
                <w:szCs w:val="20"/>
                <w:color w:val="auto"/>
              </w:rPr>
            </w:pPr>
            <w:r>
              <w:rPr>
                <w:rFonts w:ascii="Arial" w:cs="Arial" w:eastAsia="Arial" w:hAnsi="Arial"/>
                <w:sz w:val="16"/>
                <w:szCs w:val="16"/>
                <w:color w:val="auto"/>
              </w:rPr>
              <w:t>Von Hughes</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83,333</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100,000</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183,333</w:t>
            </w:r>
          </w:p>
        </w:tc>
      </w:tr>
      <w:tr>
        <w:trPr>
          <w:trHeight w:val="60"/>
        </w:trPr>
        <w:tc>
          <w:tcPr>
            <w:tcW w:w="6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4"/>
        </w:trPr>
        <w:tc>
          <w:tcPr>
            <w:tcW w:w="694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Paula Madoff</w:t>
            </w:r>
          </w:p>
        </w:tc>
        <w:tc>
          <w:tcPr>
            <w:tcW w:w="1700" w:type="dxa"/>
            <w:vAlign w:val="bottom"/>
            <w:tcBorders>
              <w:bottom w:val="single" w:sz="8" w:color="CCEEF7"/>
            </w:tcBorders>
            <w:shd w:val="clear" w:color="auto" w:fill="CCEEF7"/>
          </w:tcPr>
          <w:p>
            <w:pPr>
              <w:jc w:val="right"/>
              <w:ind w:right="121"/>
              <w:spacing w:after="0"/>
              <w:rPr>
                <w:sz w:val="20"/>
                <w:szCs w:val="20"/>
                <w:color w:val="auto"/>
              </w:rPr>
            </w:pPr>
            <w:r>
              <w:rPr>
                <w:rFonts w:ascii="Arial" w:cs="Arial" w:eastAsia="Arial" w:hAnsi="Arial"/>
                <w:sz w:val="16"/>
                <w:szCs w:val="16"/>
                <w:color w:val="auto"/>
              </w:rPr>
              <w:t>116,500</w:t>
            </w:r>
          </w:p>
        </w:tc>
        <w:tc>
          <w:tcPr>
            <w:tcW w:w="1460" w:type="dxa"/>
            <w:vAlign w:val="bottom"/>
            <w:tcBorders>
              <w:bottom w:val="single" w:sz="8" w:color="CCEEF7"/>
            </w:tcBorders>
            <w:shd w:val="clear" w:color="auto" w:fill="CCEEF7"/>
          </w:tcPr>
          <w:p>
            <w:pPr>
              <w:jc w:val="right"/>
              <w:ind w:right="80"/>
              <w:spacing w:after="0"/>
              <w:rPr>
                <w:sz w:val="20"/>
                <w:szCs w:val="20"/>
                <w:color w:val="auto"/>
              </w:rPr>
            </w:pPr>
            <w:r>
              <w:rPr>
                <w:rFonts w:ascii="Arial" w:cs="Arial" w:eastAsia="Arial" w:hAnsi="Arial"/>
                <w:sz w:val="16"/>
                <w:szCs w:val="16"/>
                <w:color w:val="auto"/>
              </w:rPr>
              <w:t>100,000</w:t>
            </w:r>
          </w:p>
        </w:tc>
        <w:tc>
          <w:tcPr>
            <w:tcW w:w="920" w:type="dxa"/>
            <w:vAlign w:val="bottom"/>
            <w:tcBorders>
              <w:bottom w:val="single" w:sz="8" w:color="CCEEF7"/>
            </w:tcBorders>
            <w:shd w:val="clear" w:color="auto" w:fill="CCEEF7"/>
          </w:tcPr>
          <w:p>
            <w:pPr>
              <w:jc w:val="right"/>
              <w:ind w:right="100"/>
              <w:spacing w:after="0"/>
              <w:rPr>
                <w:sz w:val="20"/>
                <w:szCs w:val="20"/>
                <w:color w:val="auto"/>
              </w:rPr>
            </w:pPr>
            <w:r>
              <w:rPr>
                <w:rFonts w:ascii="Arial" w:cs="Arial" w:eastAsia="Arial" w:hAnsi="Arial"/>
                <w:sz w:val="16"/>
                <w:szCs w:val="16"/>
                <w:color w:val="auto"/>
              </w:rPr>
              <w:t>216,500</w:t>
            </w:r>
          </w:p>
        </w:tc>
      </w:tr>
      <w:tr>
        <w:trPr>
          <w:trHeight w:val="264"/>
        </w:trPr>
        <w:tc>
          <w:tcPr>
            <w:tcW w:w="6940" w:type="dxa"/>
            <w:vAlign w:val="bottom"/>
          </w:tcPr>
          <w:p>
            <w:pPr>
              <w:ind w:left="60"/>
              <w:spacing w:after="0"/>
              <w:rPr>
                <w:sz w:val="20"/>
                <w:szCs w:val="20"/>
                <w:color w:val="auto"/>
              </w:rPr>
            </w:pPr>
            <w:r>
              <w:rPr>
                <w:rFonts w:ascii="Arial" w:cs="Arial" w:eastAsia="Arial" w:hAnsi="Arial"/>
                <w:sz w:val="16"/>
                <w:szCs w:val="16"/>
                <w:color w:val="auto"/>
              </w:rPr>
              <w:t>Thomas Pluta</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100,000</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100,000</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200,000</w:t>
            </w:r>
          </w:p>
        </w:tc>
      </w:tr>
      <w:tr>
        <w:trPr>
          <w:trHeight w:val="60"/>
        </w:trPr>
        <w:tc>
          <w:tcPr>
            <w:tcW w:w="6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31"/>
        </w:trPr>
        <w:tc>
          <w:tcPr>
            <w:tcW w:w="6940" w:type="dxa"/>
            <w:vAlign w:val="bottom"/>
            <w:tcBorders>
              <w:bottom w:val="single" w:sz="8" w:color="auto"/>
            </w:tcBorders>
            <w:shd w:val="clear" w:color="auto" w:fill="CCEEF7"/>
          </w:tcPr>
          <w:p>
            <w:pPr>
              <w:ind w:left="60"/>
              <w:spacing w:after="0"/>
              <w:rPr>
                <w:sz w:val="20"/>
                <w:szCs w:val="20"/>
                <w:color w:val="auto"/>
              </w:rPr>
            </w:pPr>
            <w:r>
              <w:rPr>
                <w:rFonts w:ascii="Arial" w:cs="Arial" w:eastAsia="Arial" w:hAnsi="Arial"/>
                <w:sz w:val="16"/>
                <w:szCs w:val="16"/>
                <w:color w:val="auto"/>
              </w:rPr>
              <w:t>Murray Roos</w:t>
            </w:r>
            <w:r>
              <w:rPr>
                <w:rFonts w:ascii="Arial" w:cs="Arial" w:eastAsia="Arial" w:hAnsi="Arial"/>
                <w:sz w:val="27"/>
                <w:szCs w:val="27"/>
                <w:color w:val="auto"/>
                <w:vertAlign w:val="superscript"/>
              </w:rPr>
              <w:t>(3)</w:t>
            </w:r>
          </w:p>
        </w:tc>
        <w:tc>
          <w:tcPr>
            <w:tcW w:w="1700" w:type="dxa"/>
            <w:vAlign w:val="bottom"/>
            <w:tcBorders>
              <w:bottom w:val="single" w:sz="8" w:color="auto"/>
            </w:tcBorders>
            <w:shd w:val="clear" w:color="auto" w:fill="CCEEF7"/>
          </w:tcPr>
          <w:p>
            <w:pPr>
              <w:jc w:val="right"/>
              <w:ind w:right="12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7"/>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7"/>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48"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Fees reflect the director’s service for a partial calendar year for Von Hughes.</w:t>
      </w:r>
    </w:p>
    <w:p>
      <w:pPr>
        <w:spacing w:after="0" w:line="82" w:lineRule="exact"/>
        <w:rPr>
          <w:rFonts w:ascii="Arial" w:cs="Arial" w:eastAsia="Arial" w:hAnsi="Arial"/>
          <w:sz w:val="14"/>
          <w:szCs w:val="14"/>
          <w:color w:val="auto"/>
        </w:rPr>
      </w:pPr>
    </w:p>
    <w:p>
      <w:pPr>
        <w:ind w:left="540" w:right="100" w:hanging="424"/>
        <w:spacing w:after="0" w:line="245"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represent the grant date fair value of restricted stock unit awards computed in accordance with FASB ASC Topic 718. Details and assumptions used in calculating the grant date fair value of the restricted stock unit awards may be found in Note 13 — Stock-Based Compensation Plans to our consolidated financial statements in our Annual Report on Form 10-K for the fiscal year ended December 31, 2021. As of December 31, 2021, each of Messrs. Ganeles and Pluta and Ms. Madoff held 7,606 restricted stock units, Mr. Berns held 3,503 restricted stock units, and Mr. Hughes held 1,373 restricted stock units pursuant to the Equity Plan.</w:t>
      </w:r>
    </w:p>
    <w:p>
      <w:pPr>
        <w:spacing w:after="0" w:line="69" w:lineRule="exact"/>
        <w:rPr>
          <w:rFonts w:ascii="Arial" w:cs="Arial" w:eastAsia="Arial" w:hAnsi="Arial"/>
          <w:sz w:val="14"/>
          <w:szCs w:val="14"/>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Each of Messrs. Brand, Finley, Bakhshi and Roos did not receive any individual compensation for their service on the Board or any committees for 2021.</w:t>
      </w:r>
    </w:p>
    <w:p>
      <w:pPr>
        <w:spacing w:after="0" w:line="195"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56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051810" cy="4972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518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provides information about shares of Class A common stock authorized for issuance under all of our equity compensation plans as of December 31,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tcPr>
          <w:p>
            <w:pPr>
              <w:jc w:val="right"/>
              <w:ind w:right="266"/>
              <w:spacing w:after="0"/>
              <w:rPr>
                <w:sz w:val="20"/>
                <w:szCs w:val="20"/>
                <w:color w:val="auto"/>
              </w:rPr>
            </w:pPr>
            <w:r>
              <w:rPr>
                <w:rFonts w:ascii="Arial" w:cs="Arial" w:eastAsia="Arial" w:hAnsi="Arial"/>
                <w:sz w:val="14"/>
                <w:szCs w:val="14"/>
                <w:color w:val="auto"/>
              </w:rPr>
              <w:t>Number of</w:t>
            </w:r>
          </w:p>
        </w:tc>
        <w:tc>
          <w:tcPr>
            <w:tcW w:w="15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Number of</w:t>
            </w:r>
          </w:p>
        </w:tc>
      </w:tr>
      <w:tr>
        <w:trPr>
          <w:trHeight w:val="148"/>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securities to</w:t>
            </w:r>
          </w:p>
        </w:tc>
        <w:tc>
          <w:tcPr>
            <w:tcW w:w="15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securities remaining</w:t>
            </w:r>
          </w:p>
        </w:tc>
      </w:tr>
      <w:tr>
        <w:trPr>
          <w:trHeight w:val="149"/>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be issued</w:t>
            </w:r>
          </w:p>
        </w:tc>
        <w:tc>
          <w:tcPr>
            <w:tcW w:w="1560" w:type="dxa"/>
            <w:vAlign w:val="bottom"/>
          </w:tcPr>
          <w:p>
            <w:pPr>
              <w:jc w:val="right"/>
              <w:ind w:right="265"/>
              <w:spacing w:after="0" w:line="149" w:lineRule="exact"/>
              <w:rPr>
                <w:sz w:val="20"/>
                <w:szCs w:val="20"/>
                <w:color w:val="auto"/>
              </w:rPr>
            </w:pPr>
            <w:r>
              <w:rPr>
                <w:rFonts w:ascii="Arial" w:cs="Arial" w:eastAsia="Arial" w:hAnsi="Arial"/>
                <w:sz w:val="14"/>
                <w:szCs w:val="14"/>
                <w:color w:val="auto"/>
              </w:rPr>
              <w:t>Weighted-average</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available for future</w:t>
            </w:r>
          </w:p>
        </w:tc>
      </w:tr>
      <w:tr>
        <w:trPr>
          <w:trHeight w:val="148"/>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upon exercise</w:t>
            </w:r>
          </w:p>
        </w:tc>
        <w:tc>
          <w:tcPr>
            <w:tcW w:w="1560" w:type="dxa"/>
            <w:vAlign w:val="bottom"/>
          </w:tcPr>
          <w:p>
            <w:pPr>
              <w:jc w:val="right"/>
              <w:ind w:right="265"/>
              <w:spacing w:after="0" w:line="149" w:lineRule="exact"/>
              <w:rPr>
                <w:sz w:val="20"/>
                <w:szCs w:val="20"/>
                <w:color w:val="auto"/>
              </w:rPr>
            </w:pPr>
            <w:r>
              <w:rPr>
                <w:rFonts w:ascii="Arial" w:cs="Arial" w:eastAsia="Arial" w:hAnsi="Arial"/>
                <w:sz w:val="14"/>
                <w:szCs w:val="14"/>
                <w:color w:val="auto"/>
              </w:rPr>
              <w:t>exercise price</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issuance under equity</w:t>
            </w:r>
          </w:p>
        </w:tc>
      </w:tr>
      <w:tr>
        <w:trPr>
          <w:trHeight w:val="148"/>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of outstanding</w:t>
            </w:r>
          </w:p>
        </w:tc>
        <w:tc>
          <w:tcPr>
            <w:tcW w:w="1560" w:type="dxa"/>
            <w:vAlign w:val="bottom"/>
          </w:tcPr>
          <w:p>
            <w:pPr>
              <w:jc w:val="right"/>
              <w:ind w:right="265"/>
              <w:spacing w:after="0" w:line="149" w:lineRule="exact"/>
              <w:rPr>
                <w:sz w:val="20"/>
                <w:szCs w:val="20"/>
                <w:color w:val="auto"/>
              </w:rPr>
            </w:pPr>
            <w:r>
              <w:rPr>
                <w:rFonts w:ascii="Arial" w:cs="Arial" w:eastAsia="Arial" w:hAnsi="Arial"/>
                <w:sz w:val="14"/>
                <w:szCs w:val="14"/>
                <w:color w:val="auto"/>
              </w:rPr>
              <w:t>of outstanding</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compensation plans</w:t>
            </w:r>
          </w:p>
        </w:tc>
      </w:tr>
      <w:tr>
        <w:trPr>
          <w:trHeight w:val="148"/>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options, warrants</w:t>
            </w:r>
          </w:p>
        </w:tc>
        <w:tc>
          <w:tcPr>
            <w:tcW w:w="1560" w:type="dxa"/>
            <w:vAlign w:val="bottom"/>
          </w:tcPr>
          <w:p>
            <w:pPr>
              <w:jc w:val="right"/>
              <w:ind w:right="265"/>
              <w:spacing w:after="0" w:line="149" w:lineRule="exact"/>
              <w:rPr>
                <w:sz w:val="20"/>
                <w:szCs w:val="20"/>
                <w:color w:val="auto"/>
              </w:rPr>
            </w:pPr>
            <w:r>
              <w:rPr>
                <w:rFonts w:ascii="Arial" w:cs="Arial" w:eastAsia="Arial" w:hAnsi="Arial"/>
                <w:sz w:val="14"/>
                <w:szCs w:val="14"/>
                <w:color w:val="auto"/>
              </w:rPr>
              <w:t>options, warrants</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(excluding securities</w:t>
            </w:r>
          </w:p>
        </w:tc>
      </w:tr>
      <w:tr>
        <w:trPr>
          <w:trHeight w:val="148"/>
        </w:trPr>
        <w:tc>
          <w:tcPr>
            <w:tcW w:w="6200" w:type="dxa"/>
            <w:vAlign w:val="bottom"/>
          </w:tcPr>
          <w:p>
            <w:pPr>
              <w:spacing w:after="0"/>
              <w:rPr>
                <w:sz w:val="12"/>
                <w:szCs w:val="12"/>
                <w:color w:val="auto"/>
              </w:rPr>
            </w:pPr>
          </w:p>
        </w:tc>
        <w:tc>
          <w:tcPr>
            <w:tcW w:w="1660" w:type="dxa"/>
            <w:vAlign w:val="bottom"/>
          </w:tcPr>
          <w:p>
            <w:pPr>
              <w:jc w:val="right"/>
              <w:ind w:right="266"/>
              <w:spacing w:after="0" w:line="149" w:lineRule="exact"/>
              <w:rPr>
                <w:sz w:val="20"/>
                <w:szCs w:val="20"/>
                <w:color w:val="auto"/>
              </w:rPr>
            </w:pPr>
            <w:r>
              <w:rPr>
                <w:rFonts w:ascii="Arial" w:cs="Arial" w:eastAsia="Arial" w:hAnsi="Arial"/>
                <w:sz w:val="14"/>
                <w:szCs w:val="14"/>
                <w:color w:val="auto"/>
              </w:rPr>
              <w:t>and rights</w:t>
            </w:r>
          </w:p>
        </w:tc>
        <w:tc>
          <w:tcPr>
            <w:tcW w:w="1560" w:type="dxa"/>
            <w:vAlign w:val="bottom"/>
          </w:tcPr>
          <w:p>
            <w:pPr>
              <w:jc w:val="right"/>
              <w:ind w:right="265"/>
              <w:spacing w:after="0" w:line="149" w:lineRule="exact"/>
              <w:rPr>
                <w:sz w:val="20"/>
                <w:szCs w:val="20"/>
                <w:color w:val="auto"/>
              </w:rPr>
            </w:pPr>
            <w:r>
              <w:rPr>
                <w:rFonts w:ascii="Arial" w:cs="Arial" w:eastAsia="Arial" w:hAnsi="Arial"/>
                <w:sz w:val="14"/>
                <w:szCs w:val="14"/>
                <w:color w:val="auto"/>
              </w:rPr>
              <w:t>and rights</w:t>
            </w: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reflected in column (a))</w:t>
            </w:r>
          </w:p>
        </w:tc>
      </w:tr>
      <w:tr>
        <w:trPr>
          <w:trHeight w:val="191"/>
        </w:trPr>
        <w:tc>
          <w:tcPr>
            <w:tcW w:w="6200" w:type="dxa"/>
            <w:vAlign w:val="bottom"/>
          </w:tcPr>
          <w:p>
            <w:pPr>
              <w:ind w:left="60"/>
              <w:spacing w:after="0"/>
              <w:rPr>
                <w:sz w:val="20"/>
                <w:szCs w:val="20"/>
                <w:color w:val="auto"/>
              </w:rPr>
            </w:pPr>
            <w:r>
              <w:rPr>
                <w:rFonts w:ascii="Arial" w:cs="Arial" w:eastAsia="Arial" w:hAnsi="Arial"/>
                <w:sz w:val="14"/>
                <w:szCs w:val="14"/>
                <w:color w:val="auto"/>
              </w:rPr>
              <w:t>Plan Category</w:t>
            </w:r>
          </w:p>
        </w:tc>
        <w:tc>
          <w:tcPr>
            <w:tcW w:w="1660" w:type="dxa"/>
            <w:vAlign w:val="bottom"/>
          </w:tcPr>
          <w:p>
            <w:pPr>
              <w:jc w:val="right"/>
              <w:ind w:right="266"/>
              <w:spacing w:after="0"/>
              <w:rPr>
                <w:sz w:val="20"/>
                <w:szCs w:val="20"/>
                <w:color w:val="auto"/>
              </w:rPr>
            </w:pPr>
            <w:r>
              <w:rPr>
                <w:rFonts w:ascii="Arial" w:cs="Arial" w:eastAsia="Arial" w:hAnsi="Arial"/>
                <w:sz w:val="14"/>
                <w:szCs w:val="14"/>
                <w:color w:val="auto"/>
              </w:rPr>
              <w:t>(a)</w:t>
            </w:r>
          </w:p>
        </w:tc>
        <w:tc>
          <w:tcPr>
            <w:tcW w:w="1560" w:type="dxa"/>
            <w:vAlign w:val="bottom"/>
          </w:tcPr>
          <w:p>
            <w:pPr>
              <w:jc w:val="right"/>
              <w:ind w:right="265"/>
              <w:spacing w:after="0"/>
              <w:rPr>
                <w:sz w:val="20"/>
                <w:szCs w:val="20"/>
                <w:color w:val="auto"/>
              </w:rPr>
            </w:pPr>
            <w:r>
              <w:rPr>
                <w:rFonts w:ascii="Arial" w:cs="Arial" w:eastAsia="Arial" w:hAnsi="Arial"/>
                <w:sz w:val="14"/>
                <w:szCs w:val="14"/>
                <w:color w:val="auto"/>
              </w:rPr>
              <w:t>(b)</w:t>
            </w:r>
          </w:p>
        </w:tc>
        <w:tc>
          <w:tcPr>
            <w:tcW w:w="1600" w:type="dxa"/>
            <w:vAlign w:val="bottom"/>
          </w:tcPr>
          <w:p>
            <w:pPr>
              <w:jc w:val="right"/>
              <w:spacing w:after="0"/>
              <w:rPr>
                <w:sz w:val="20"/>
                <w:szCs w:val="20"/>
                <w:color w:val="auto"/>
              </w:rPr>
            </w:pPr>
            <w:r>
              <w:rPr>
                <w:rFonts w:ascii="Arial" w:cs="Arial" w:eastAsia="Arial" w:hAnsi="Arial"/>
                <w:sz w:val="14"/>
                <w:szCs w:val="14"/>
                <w:color w:val="auto"/>
              </w:rPr>
              <w:t>(c)</w:t>
            </w:r>
          </w:p>
        </w:tc>
      </w:tr>
      <w:tr>
        <w:trPr>
          <w:trHeight w:val="53"/>
        </w:trPr>
        <w:tc>
          <w:tcPr>
            <w:tcW w:w="62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304"/>
        </w:trPr>
        <w:tc>
          <w:tcPr>
            <w:tcW w:w="6200" w:type="dxa"/>
            <w:vAlign w:val="bottom"/>
            <w:shd w:val="clear" w:color="auto" w:fill="CCEEF7"/>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1660" w:type="dxa"/>
            <w:vAlign w:val="bottom"/>
            <w:shd w:val="clear" w:color="auto" w:fill="CCEEF7"/>
          </w:tcPr>
          <w:p>
            <w:pPr>
              <w:jc w:val="right"/>
              <w:ind w:right="106"/>
              <w:spacing w:after="0" w:line="303" w:lineRule="exact"/>
              <w:rPr>
                <w:sz w:val="20"/>
                <w:szCs w:val="20"/>
                <w:color w:val="auto"/>
              </w:rPr>
            </w:pPr>
            <w:r>
              <w:rPr>
                <w:rFonts w:ascii="Arial" w:cs="Arial" w:eastAsia="Arial" w:hAnsi="Arial"/>
                <w:sz w:val="16"/>
                <w:szCs w:val="16"/>
                <w:color w:val="auto"/>
              </w:rPr>
              <w:t>6,754,650</w:t>
            </w:r>
            <w:r>
              <w:rPr>
                <w:rFonts w:ascii="Arial" w:cs="Arial" w:eastAsia="Arial" w:hAnsi="Arial"/>
                <w:sz w:val="27"/>
                <w:szCs w:val="27"/>
                <w:color w:val="auto"/>
                <w:vertAlign w:val="superscript"/>
              </w:rPr>
              <w:t>(1)</w:t>
            </w:r>
          </w:p>
        </w:tc>
        <w:tc>
          <w:tcPr>
            <w:tcW w:w="1560" w:type="dxa"/>
            <w:vAlign w:val="bottom"/>
            <w:shd w:val="clear" w:color="auto" w:fill="CCEEF7"/>
          </w:tcPr>
          <w:p>
            <w:pPr>
              <w:jc w:val="right"/>
              <w:ind w:right="105"/>
              <w:spacing w:after="0" w:line="303" w:lineRule="exact"/>
              <w:rPr>
                <w:sz w:val="20"/>
                <w:szCs w:val="20"/>
                <w:color w:val="auto"/>
              </w:rPr>
            </w:pPr>
            <w:r>
              <w:rPr>
                <w:rFonts w:ascii="Arial" w:cs="Arial" w:eastAsia="Arial" w:hAnsi="Arial"/>
                <w:sz w:val="16"/>
                <w:szCs w:val="16"/>
                <w:color w:val="auto"/>
              </w:rPr>
              <w:t>$23.59</w:t>
            </w:r>
            <w:r>
              <w:rPr>
                <w:rFonts w:ascii="Arial" w:cs="Arial" w:eastAsia="Arial" w:hAnsi="Arial"/>
                <w:sz w:val="27"/>
                <w:szCs w:val="27"/>
                <w:color w:val="auto"/>
                <w:vertAlign w:val="superscript"/>
              </w:rPr>
              <w:t>(2)</w:t>
            </w:r>
          </w:p>
        </w:tc>
        <w:tc>
          <w:tcPr>
            <w:tcW w:w="1600" w:type="dxa"/>
            <w:vAlign w:val="bottom"/>
            <w:shd w:val="clear" w:color="auto" w:fill="CCEEF7"/>
          </w:tcPr>
          <w:p>
            <w:pPr>
              <w:jc w:val="right"/>
              <w:spacing w:after="0" w:line="303" w:lineRule="exact"/>
              <w:rPr>
                <w:sz w:val="20"/>
                <w:szCs w:val="20"/>
                <w:color w:val="auto"/>
              </w:rPr>
            </w:pPr>
            <w:r>
              <w:rPr>
                <w:rFonts w:ascii="Arial" w:cs="Arial" w:eastAsia="Arial" w:hAnsi="Arial"/>
                <w:sz w:val="16"/>
                <w:szCs w:val="16"/>
                <w:color w:val="auto"/>
              </w:rPr>
              <w:t>7,401,839</w:t>
            </w:r>
            <w:r>
              <w:rPr>
                <w:rFonts w:ascii="Arial" w:cs="Arial" w:eastAsia="Arial" w:hAnsi="Arial"/>
                <w:sz w:val="27"/>
                <w:szCs w:val="27"/>
                <w:color w:val="auto"/>
                <w:vertAlign w:val="superscript"/>
              </w:rPr>
              <w:t>(3)</w:t>
            </w:r>
          </w:p>
        </w:tc>
      </w:tr>
      <w:tr>
        <w:trPr>
          <w:trHeight w:val="264"/>
        </w:trPr>
        <w:tc>
          <w:tcPr>
            <w:tcW w:w="620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security holders</w:t>
            </w:r>
          </w:p>
        </w:tc>
        <w:tc>
          <w:tcPr>
            <w:tcW w:w="1660" w:type="dxa"/>
            <w:vAlign w:val="bottom"/>
          </w:tcPr>
          <w:p>
            <w:pPr>
              <w:jc w:val="right"/>
              <w:ind w:right="266"/>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65"/>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26"/>
              <w:spacing w:after="0"/>
              <w:rPr>
                <w:sz w:val="20"/>
                <w:szCs w:val="20"/>
                <w:color w:val="auto"/>
              </w:rPr>
            </w:pPr>
            <w:r>
              <w:rPr>
                <w:rFonts w:ascii="Arial" w:cs="Arial" w:eastAsia="Arial" w:hAnsi="Arial"/>
                <w:sz w:val="16"/>
                <w:szCs w:val="16"/>
                <w:color w:val="auto"/>
              </w:rPr>
              <w:t>—</w:t>
            </w:r>
          </w:p>
        </w:tc>
      </w:tr>
      <w:tr>
        <w:trPr>
          <w:trHeight w:val="60"/>
        </w:trPr>
        <w:tc>
          <w:tcPr>
            <w:tcW w:w="62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304"/>
        </w:trPr>
        <w:tc>
          <w:tcPr>
            <w:tcW w:w="6200" w:type="dxa"/>
            <w:vAlign w:val="bottom"/>
            <w:tcBorders>
              <w:bottom w:val="single" w:sz="8" w:color="CCEEF7"/>
            </w:tcBorders>
            <w:shd w:val="clear" w:color="auto" w:fill="CCEEF7"/>
          </w:tcPr>
          <w:p>
            <w:pPr>
              <w:ind w:left="60"/>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CCEEF7"/>
            </w:tcBorders>
            <w:shd w:val="clear" w:color="auto" w:fill="CCEEF7"/>
          </w:tcPr>
          <w:p>
            <w:pPr>
              <w:jc w:val="right"/>
              <w:ind w:right="266"/>
              <w:spacing w:after="0"/>
              <w:rPr>
                <w:sz w:val="20"/>
                <w:szCs w:val="20"/>
                <w:color w:val="auto"/>
              </w:rPr>
            </w:pPr>
            <w:r>
              <w:rPr>
                <w:rFonts w:ascii="Arial" w:cs="Arial" w:eastAsia="Arial" w:hAnsi="Arial"/>
                <w:sz w:val="16"/>
                <w:szCs w:val="16"/>
                <w:color w:val="auto"/>
              </w:rPr>
              <w:t>6,754,650</w:t>
            </w:r>
          </w:p>
        </w:tc>
        <w:tc>
          <w:tcPr>
            <w:tcW w:w="1560" w:type="dxa"/>
            <w:vAlign w:val="bottom"/>
            <w:tcBorders>
              <w:bottom w:val="single" w:sz="8" w:color="CCEEF7"/>
            </w:tcBorders>
            <w:shd w:val="clear" w:color="auto" w:fill="CCEEF7"/>
          </w:tcPr>
          <w:p>
            <w:pPr>
              <w:jc w:val="right"/>
              <w:ind w:right="265"/>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7"/>
            </w:tcBorders>
            <w:shd w:val="clear" w:color="auto" w:fill="CCEEF7"/>
          </w:tcPr>
          <w:p>
            <w:pPr>
              <w:jc w:val="right"/>
              <w:ind w:right="126"/>
              <w:spacing w:after="0"/>
              <w:rPr>
                <w:sz w:val="20"/>
                <w:szCs w:val="20"/>
                <w:color w:val="auto"/>
              </w:rPr>
            </w:pPr>
            <w:r>
              <w:rPr>
                <w:rFonts w:ascii="Arial" w:cs="Arial" w:eastAsia="Arial" w:hAnsi="Arial"/>
                <w:sz w:val="16"/>
                <w:szCs w:val="16"/>
                <w:color w:val="auto"/>
              </w:rPr>
              <w:t>7,401,839</w:t>
            </w:r>
          </w:p>
        </w:tc>
      </w:tr>
      <w:tr>
        <w:trPr>
          <w:trHeight w:val="27"/>
        </w:trPr>
        <w:tc>
          <w:tcPr>
            <w:tcW w:w="620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ind w:left="540" w:right="20" w:hanging="424"/>
        <w:spacing w:after="0" w:line="245"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683,764 shares of common stock that may be issued pursuant to outstanding RSUs and 1,129,966 shares of common stock that may be issued pursuant to outstanding PRSUs under the Equity Plan; and 3,415,288 shares of common stock that may be issued pursuant to outstanding stock options under the Option Plan; and 1,525,632 shares of common stock that may be issued pursuant to outstanding PRSUs under the PRSU Plan. The number of PRSUs set forth above includes PRSUs for which performance has already been measured (and achieved based on the highest level of performance) but, as of December 31, 2021, remained subject to time-based vesting.</w:t>
      </w:r>
    </w:p>
    <w:p>
      <w:pPr>
        <w:spacing w:after="0" w:line="69" w:lineRule="exact"/>
        <w:rPr>
          <w:rFonts w:ascii="Arial" w:cs="Arial" w:eastAsia="Arial" w:hAnsi="Arial"/>
          <w:sz w:val="14"/>
          <w:szCs w:val="14"/>
          <w:color w:val="auto"/>
        </w:rPr>
      </w:pPr>
    </w:p>
    <w:p>
      <w:pPr>
        <w:ind w:left="540" w:hanging="424"/>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 average exercise price does not take into account RSU or PRSU awards.</w:t>
      </w:r>
    </w:p>
    <w:p>
      <w:pPr>
        <w:spacing w:after="0" w:line="82" w:lineRule="exact"/>
        <w:rPr>
          <w:rFonts w:ascii="Arial" w:cs="Arial" w:eastAsia="Arial" w:hAnsi="Arial"/>
          <w:sz w:val="14"/>
          <w:szCs w:val="14"/>
          <w:color w:val="auto"/>
        </w:rPr>
      </w:pPr>
    </w:p>
    <w:p>
      <w:pPr>
        <w:ind w:left="540" w:right="120" w:hanging="424"/>
        <w:spacing w:after="0" w:line="25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6,920,217 shares of common stock that remain available for issuance under the Equity Plan; and 481,622 shares of common stock that remain available for issuance under the Option Plan. No additional awards are permitted to be issued under the PRSU Plan.</w:t>
      </w:r>
    </w:p>
    <w:p>
      <w:pPr>
        <w:spacing w:after="0" w:line="172"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4465955"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4659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following is a description of transactions since January 1, 2021 to which we were a party in which the amount involved exceeded or will exceed $120,000, and in which any of our executive officers, directors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Transactions With Refinitiv/Thomson Reuters</w:t>
      </w:r>
    </w:p>
    <w:p>
      <w:pPr>
        <w:spacing w:after="0" w:line="102"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The scope of these services changed over time, and a 2020 amendment to the shared services agreement memorialized the termination dates of certain services provided thereunder, including, among others, certain human resources, financial, accounting and sales and customer support services. We expect Refinitiv will continue to provide data, some insurance services, and, at least in the near term, certain human resources administrative support in Asia, as well as make office space and other human resources and tax services available to us as needed.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year ended December 31, 2021, we incurred fees of $3 million relating to this agreement.</w:t>
      </w:r>
    </w:p>
    <w:p>
      <w:pPr>
        <w:spacing w:after="0" w:line="4"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 ended December 31, 2021, we earned approximately $61.2 million of revenue under this agreement.</w:t>
      </w:r>
    </w:p>
    <w:p>
      <w:pPr>
        <w:spacing w:after="0" w:line="3" w:lineRule="exact"/>
        <w:rPr>
          <w:sz w:val="20"/>
          <w:szCs w:val="20"/>
          <w:color w:val="auto"/>
        </w:rPr>
      </w:pPr>
    </w:p>
    <w:p>
      <w:pPr>
        <w:ind w:left="120" w:right="280" w:firstLine="440"/>
        <w:spacing w:after="0" w:line="281" w:lineRule="auto"/>
        <w:rPr>
          <w:sz w:val="20"/>
          <w:szCs w:val="20"/>
          <w:color w:val="auto"/>
        </w:rPr>
      </w:pPr>
      <w:r>
        <w:rPr>
          <w:rFonts w:ascii="Arial" w:cs="Arial" w:eastAsia="Arial" w:hAnsi="Arial"/>
          <w:sz w:val="16"/>
          <w:szCs w:val="16"/>
          <w:color w:val="auto"/>
        </w:rPr>
        <w:t>In connection with the IPO, we entered into a restrictive covenant agreement with affiliates of Refinitiv pursuant to which certain non-compete restrictions prohibited Refinitiv from establishing, investing in, or acting as primary business operator or manager of, an electronic trade execution platform for trading in fixed income securities or equity derivatives, subject to certain exceptions. As a result of the closing of the transaction with LSEG, the non-compete period was terminated as of January 29, 2021 in accordance with the terms of the restrictive covenant agreement.</w:t>
      </w:r>
    </w:p>
    <w:p>
      <w:pPr>
        <w:spacing w:after="0" w:line="2" w:lineRule="exact"/>
        <w:rPr>
          <w:sz w:val="20"/>
          <w:szCs w:val="20"/>
          <w:color w:val="auto"/>
        </w:rPr>
      </w:pPr>
    </w:p>
    <w:p>
      <w:pPr>
        <w:ind w:left="120" w:right="360" w:firstLine="440"/>
        <w:spacing w:after="0" w:line="302" w:lineRule="auto"/>
        <w:rPr>
          <w:sz w:val="20"/>
          <w:szCs w:val="20"/>
          <w:color w:val="auto"/>
        </w:rPr>
      </w:pPr>
      <w:r>
        <w:rPr>
          <w:rFonts w:ascii="Arial" w:cs="Arial" w:eastAsia="Arial" w:hAnsi="Arial"/>
          <w:sz w:val="16"/>
          <w:szCs w:val="16"/>
          <w:color w:val="auto"/>
        </w:rPr>
        <w:t>We reimburse affiliates of Refinitiv for expenses paid on our behalf for various services including payroll, marketing, professional fees, communications, data costs and certain other administrative services. During the year ended December 31, 2021, $1.6 million of previously accrued expenses payable to affiliates of Refinitiv were waived and the liabilities were reversed through an increase to additional paid-in capital.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5"/>
          <w:szCs w:val="25"/>
          <w:color w:val="00ADD8"/>
        </w:rPr>
        <w:t>Related Party Transactions Entered Into in Connection With the IPO</w:t>
      </w:r>
    </w:p>
    <w:p>
      <w:pPr>
        <w:spacing w:after="0" w:line="10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6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58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205740</wp:posOffset>
            </wp:positionV>
            <wp:extent cx="223710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TWM LLC Agreement</w:t>
      </w:r>
    </w:p>
    <w:p>
      <w:pPr>
        <w:spacing w:after="0" w:line="20"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We operate our business through TWM LLC and its subsidiaries. In connection with the IPO, we and the owners of TWM LLC prior to the Reorganization Transactions (including the Refinitiv Owners, the Bank Members named therein (such Bank Members, the “Bank Stockholders”) and members of management, the “Original LLC Owners”) that received LLC Interests entered into TWM LLC’s fifth amended and restated limited liability company agreement, which we refer to as the “TWM LLC Agreement.” As of March 14, 2022, the only remaining Bank Stockholder was Credit Suisse Securities (USA) LLC. The operations of TWM LLC, and the rights and obligations of the holders of LLC Interests, are set forth in the TWM LLC Agreement.</w:t>
      </w:r>
    </w:p>
    <w:p>
      <w:pPr>
        <w:spacing w:after="0" w:line="1" w:lineRule="exact"/>
        <w:rPr>
          <w:sz w:val="20"/>
          <w:szCs w:val="20"/>
          <w:color w:val="auto"/>
        </w:rPr>
      </w:pPr>
    </w:p>
    <w:p>
      <w:pPr>
        <w:ind w:left="120" w:right="180" w:firstLine="440"/>
        <w:spacing w:after="0" w:line="265" w:lineRule="auto"/>
        <w:rPr>
          <w:sz w:val="20"/>
          <w:szCs w:val="20"/>
          <w:color w:val="auto"/>
        </w:rPr>
      </w:pPr>
      <w:r>
        <w:rPr>
          <w:rFonts w:ascii="Arial" w:cs="Arial" w:eastAsia="Arial" w:hAnsi="Arial"/>
          <w:sz w:val="17"/>
          <w:szCs w:val="17"/>
          <w:i w:val="1"/>
          <w:iCs w:val="1"/>
          <w:color w:val="auto"/>
        </w:rPr>
        <w:t xml:space="preserve">Appointment as Manager. </w:t>
      </w:r>
      <w:r>
        <w:rPr>
          <w:rFonts w:ascii="Arial" w:cs="Arial" w:eastAsia="Arial" w:hAnsi="Arial"/>
          <w:sz w:val="17"/>
          <w:szCs w:val="17"/>
          <w:color w:val="auto"/>
        </w:rPr>
        <w:t>Under the TWM LLC Agreement, we are a member and the sole manager of TWM LLC. As the sole manager, we are</w:t>
      </w:r>
      <w:r>
        <w:rPr>
          <w:rFonts w:ascii="Arial" w:cs="Arial" w:eastAsia="Arial" w:hAnsi="Arial"/>
          <w:sz w:val="17"/>
          <w:szCs w:val="17"/>
          <w:i w:val="1"/>
          <w:iCs w:val="1"/>
          <w:color w:val="auto"/>
        </w:rPr>
        <w:t xml:space="preserve"> </w:t>
      </w:r>
      <w:r>
        <w:rPr>
          <w:rFonts w:ascii="Arial" w:cs="Arial" w:eastAsia="Arial" w:hAnsi="Arial"/>
          <w:sz w:val="17"/>
          <w:szCs w:val="17"/>
          <w:color w:val="auto"/>
        </w:rPr>
        <w:t>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1" w:lineRule="exact"/>
        <w:rPr>
          <w:sz w:val="20"/>
          <w:szCs w:val="20"/>
          <w:color w:val="auto"/>
        </w:rPr>
      </w:pPr>
    </w:p>
    <w:p>
      <w:pPr>
        <w:ind w:left="120" w:right="380" w:firstLine="440"/>
        <w:spacing w:after="0" w:line="281"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We are not entitled to compensation for our services as manager. We are entitled to reimbursement by TWM LLC for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incurred on behalf of TWM LLC, including all expenses associated with the IPO and maintaining our existence as a separate legal entity.</w:t>
      </w:r>
    </w:p>
    <w:p>
      <w:pPr>
        <w:spacing w:after="0" w:line="1" w:lineRule="exact"/>
        <w:rPr>
          <w:sz w:val="20"/>
          <w:szCs w:val="20"/>
          <w:color w:val="auto"/>
        </w:rPr>
      </w:pPr>
    </w:p>
    <w:p>
      <w:pPr>
        <w:ind w:left="120" w:right="100" w:firstLine="440"/>
        <w:spacing w:after="0" w:line="265" w:lineRule="auto"/>
        <w:rPr>
          <w:sz w:val="20"/>
          <w:szCs w:val="20"/>
          <w:color w:val="auto"/>
        </w:rPr>
      </w:pPr>
      <w:r>
        <w:rPr>
          <w:rFonts w:ascii="Arial" w:cs="Arial" w:eastAsia="Arial" w:hAnsi="Arial"/>
          <w:sz w:val="17"/>
          <w:szCs w:val="17"/>
          <w:i w:val="1"/>
          <w:iCs w:val="1"/>
          <w:color w:val="auto"/>
        </w:rPr>
        <w:t xml:space="preserve">Recapitalization. </w:t>
      </w:r>
      <w:r>
        <w:rPr>
          <w:rFonts w:ascii="Arial" w:cs="Arial" w:eastAsia="Arial" w:hAnsi="Arial"/>
          <w:sz w:val="17"/>
          <w:szCs w:val="17"/>
          <w:color w:val="auto"/>
        </w:rPr>
        <w:t>The TWM LLC Agreement recapitalized the units held by the members of TWM LLC at the time of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1" w:lineRule="exact"/>
        <w:rPr>
          <w:sz w:val="20"/>
          <w:szCs w:val="20"/>
          <w:color w:val="auto"/>
        </w:rPr>
      </w:pPr>
    </w:p>
    <w:p>
      <w:pPr>
        <w:ind w:left="120" w:right="40" w:firstLine="440"/>
        <w:spacing w:after="0" w:line="265"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In connection with any tax period, the TWM LLC Agreement requires TWM LLC to make distributions to its members, on a pro</w:t>
      </w:r>
      <w:r>
        <w:rPr>
          <w:rFonts w:ascii="Arial" w:cs="Arial" w:eastAsia="Arial" w:hAnsi="Arial"/>
          <w:sz w:val="17"/>
          <w:szCs w:val="17"/>
          <w:i w:val="1"/>
          <w:iCs w:val="1"/>
          <w:color w:val="auto"/>
        </w:rPr>
        <w:t xml:space="preserve"> </w:t>
      </w:r>
      <w:r>
        <w:rPr>
          <w:rFonts w:ascii="Arial" w:cs="Arial" w:eastAsia="Arial" w:hAnsi="Arial"/>
          <w:sz w:val="17"/>
          <w:szCs w:val="17"/>
          <w:color w:val="auto"/>
        </w:rPr>
        <w:t>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2"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Subject to certain restrictions set forth therein, the TWM LLC Agreement provides a redemption right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w:t>
      </w:r>
    </w:p>
    <w:p>
      <w:pPr>
        <w:spacing w:after="0" w:line="179"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23710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auto"/>
        </w:rPr>
        <w:t>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7" w:lineRule="exact"/>
        <w:rPr>
          <w:sz w:val="20"/>
          <w:szCs w:val="20"/>
          <w:color w:val="auto"/>
        </w:rPr>
      </w:pPr>
    </w:p>
    <w:p>
      <w:pPr>
        <w:ind w:left="120" w:right="40" w:firstLine="440"/>
        <w:spacing w:after="0" w:line="265"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 the exercise of options issued by us,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2" w:lineRule="exact"/>
        <w:rPr>
          <w:sz w:val="20"/>
          <w:szCs w:val="20"/>
          <w:color w:val="auto"/>
        </w:rPr>
      </w:pPr>
    </w:p>
    <w:p>
      <w:pPr>
        <w:ind w:left="120" w:right="180" w:firstLine="440"/>
        <w:spacing w:after="0" w:line="250" w:lineRule="auto"/>
        <w:rPr>
          <w:sz w:val="20"/>
          <w:szCs w:val="20"/>
          <w:color w:val="auto"/>
        </w:rPr>
      </w:pPr>
      <w:r>
        <w:rPr>
          <w:rFonts w:ascii="Arial" w:cs="Arial" w:eastAsia="Arial" w:hAnsi="Arial"/>
          <w:sz w:val="18"/>
          <w:szCs w:val="18"/>
          <w:i w:val="1"/>
          <w:iCs w:val="1"/>
          <w:color w:val="auto"/>
        </w:rPr>
        <w:t xml:space="preserve">Maintenance of one-to-one ratio of shares of Class A common stock, Class B common stock and LLC Interests owned by Tradeweb. </w:t>
      </w:r>
      <w:r>
        <w:rPr>
          <w:rFonts w:ascii="Arial" w:cs="Arial" w:eastAsia="Arial" w:hAnsi="Arial"/>
          <w:sz w:val="18"/>
          <w:szCs w:val="18"/>
          <w:color w:val="auto"/>
        </w:rPr>
        <w:t>The TWM</w:t>
      </w:r>
      <w:r>
        <w:rPr>
          <w:rFonts w:ascii="Arial" w:cs="Arial" w:eastAsia="Arial" w:hAnsi="Arial"/>
          <w:sz w:val="18"/>
          <w:szCs w:val="18"/>
          <w:i w:val="1"/>
          <w:iCs w:val="1"/>
          <w:color w:val="auto"/>
        </w:rPr>
        <w:t xml:space="preserve"> </w:t>
      </w:r>
      <w:r>
        <w:rPr>
          <w:rFonts w:ascii="Arial" w:cs="Arial" w:eastAsia="Arial" w:hAnsi="Arial"/>
          <w:sz w:val="18"/>
          <w:szCs w:val="18"/>
          <w:color w:val="auto"/>
        </w:rPr>
        <w:t>LLC Agreement requires that TWM LLC at all times maintain (x) a 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2"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 members, subject to limited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Any transferee of LLC Interests must assume, by operation of law or written agreement, all of the obligations of a transferring member with respect to the transferred units, even if the transferee is not admitted as a member of TWM LLC.</w:t>
      </w:r>
    </w:p>
    <w:p>
      <w:pPr>
        <w:spacing w:after="0" w:line="1"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i w:val="1"/>
          <w:iCs w:val="1"/>
          <w:color w:val="auto"/>
        </w:rPr>
        <w:t xml:space="preserve">Dissolution. </w:t>
      </w:r>
      <w:r>
        <w:rPr>
          <w:rFonts w:ascii="Arial" w:cs="Arial" w:eastAsia="Arial" w:hAnsi="Arial"/>
          <w:sz w:val="18"/>
          <w:szCs w:val="18"/>
          <w:color w:val="auto"/>
        </w:rPr>
        <w:t>The TWM LLC Agreement provides that the decision of the manager (pursuant to a unanimous decision of our Board)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w:t>
      </w:r>
    </w:p>
    <w:p>
      <w:pPr>
        <w:spacing w:after="0" w:line="18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60</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205740</wp:posOffset>
            </wp:positionV>
            <wp:extent cx="223710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remaining assets of TWM LLC will be distributed to the members pro-rata in accordance with their respective percentage ownership interests in TWM LLC (as determined based on the number of LLC Interests held by a member relative to the aggregate number of all outstanding LLC Interests).</w:t>
      </w:r>
    </w:p>
    <w:p>
      <w:pPr>
        <w:ind w:left="560"/>
        <w:spacing w:after="0"/>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agrees to maintain the confidentiality of TWM LLC’s confidential information. This obligation excludes</w:t>
      </w:r>
    </w:p>
    <w:p>
      <w:pPr>
        <w:spacing w:after="0" w:line="9" w:lineRule="exact"/>
        <w:rPr>
          <w:sz w:val="20"/>
          <w:szCs w:val="20"/>
          <w:color w:val="auto"/>
        </w:rPr>
      </w:pPr>
    </w:p>
    <w:p>
      <w:pPr>
        <w:jc w:val="both"/>
        <w:ind w:left="120" w:right="40" w:hanging="4"/>
        <w:spacing w:after="0" w:line="250"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1" w:lineRule="exact"/>
        <w:rPr>
          <w:rFonts w:ascii="Arial" w:cs="Arial" w:eastAsia="Arial" w:hAnsi="Arial"/>
          <w:sz w:val="18"/>
          <w:szCs w:val="18"/>
          <w:color w:val="auto"/>
        </w:rPr>
      </w:pPr>
    </w:p>
    <w:p>
      <w:pPr>
        <w:ind w:left="120" w:right="160" w:firstLine="440"/>
        <w:spacing w:after="0" w:line="281" w:lineRule="auto"/>
        <w:rPr>
          <w:rFonts w:ascii="Arial" w:cs="Arial" w:eastAsia="Arial" w:hAnsi="Arial"/>
          <w:sz w:val="18"/>
          <w:szCs w:val="18"/>
          <w:color w:val="auto"/>
        </w:rPr>
      </w:pPr>
      <w:r>
        <w:rPr>
          <w:rFonts w:ascii="Arial" w:cs="Arial" w:eastAsia="Arial" w:hAnsi="Arial"/>
          <w:sz w:val="16"/>
          <w:szCs w:val="16"/>
          <w:i w:val="1"/>
          <w:iCs w:val="1"/>
          <w:color w:val="auto"/>
        </w:rPr>
        <w:t xml:space="preserve">Indemnification and Exculpation. </w:t>
      </w:r>
      <w:r>
        <w:rPr>
          <w:rFonts w:ascii="Arial" w:cs="Arial" w:eastAsia="Arial" w:hAnsi="Arial"/>
          <w:sz w:val="16"/>
          <w:szCs w:val="16"/>
          <w:color w:val="auto"/>
        </w:rPr>
        <w:t>The TWM LLC Agreement provides for indemnification of the manager and officers of TWM LLC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2" w:lineRule="exact"/>
        <w:rPr>
          <w:rFonts w:ascii="Arial" w:cs="Arial" w:eastAsia="Arial" w:hAnsi="Arial"/>
          <w:sz w:val="18"/>
          <w:szCs w:val="18"/>
          <w:color w:val="auto"/>
        </w:rPr>
      </w:pPr>
    </w:p>
    <w:p>
      <w:pPr>
        <w:ind w:left="120" w:right="100" w:firstLine="440"/>
        <w:spacing w:after="0" w:line="250" w:lineRule="auto"/>
        <w:rPr>
          <w:rFonts w:ascii="Arial" w:cs="Arial" w:eastAsia="Arial" w:hAnsi="Arial"/>
          <w:sz w:val="18"/>
          <w:szCs w:val="18"/>
          <w:color w:val="auto"/>
        </w:rPr>
      </w:pPr>
      <w:r>
        <w:rPr>
          <w:rFonts w:ascii="Arial" w:cs="Arial" w:eastAsia="Arial" w:hAnsi="Arial"/>
          <w:sz w:val="18"/>
          <w:szCs w:val="18"/>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1" w:lineRule="exact"/>
        <w:rPr>
          <w:rFonts w:ascii="Arial" w:cs="Arial" w:eastAsia="Arial" w:hAnsi="Arial"/>
          <w:sz w:val="18"/>
          <w:szCs w:val="18"/>
          <w:color w:val="auto"/>
        </w:rPr>
      </w:pPr>
    </w:p>
    <w:p>
      <w:pPr>
        <w:ind w:left="120" w:right="40" w:firstLine="440"/>
        <w:spacing w:after="0" w:line="290" w:lineRule="auto"/>
        <w:rPr>
          <w:rFonts w:ascii="Arial" w:cs="Arial" w:eastAsia="Arial" w:hAnsi="Arial"/>
          <w:sz w:val="18"/>
          <w:szCs w:val="18"/>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 voting power of the outstanding LLC</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Tax Receivable Agreement</w:t>
      </w:r>
    </w:p>
    <w:p>
      <w:pPr>
        <w:spacing w:after="0" w:line="20"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our October 2019 and April 2020 follow-on offerings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2" w:lineRule="exact"/>
        <w:rPr>
          <w:sz w:val="20"/>
          <w:szCs w:val="20"/>
          <w:color w:val="auto"/>
        </w:rPr>
      </w:pPr>
    </w:p>
    <w:p>
      <w:pPr>
        <w:ind w:left="120" w:right="20" w:firstLine="440"/>
        <w:spacing w:after="0" w:line="252" w:lineRule="auto"/>
        <w:rPr>
          <w:sz w:val="20"/>
          <w:szCs w:val="20"/>
          <w:color w:val="auto"/>
        </w:rPr>
      </w:pPr>
      <w:r>
        <w:rPr>
          <w:rFonts w:ascii="Arial" w:cs="Arial" w:eastAsia="Arial" w:hAnsi="Arial"/>
          <w:sz w:val="18"/>
          <w:szCs w:val="18"/>
          <w:color w:val="auto"/>
        </w:rPr>
        <w:t>In connection with the IPO, we entered into the Tax Receivable Agreement (the “TRA”) with TWM LLC and the Continuing LLC Owners. The TRA provides for the payment by us to the Continuing LLC 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w:t>
      </w:r>
    </w:p>
    <w:p>
      <w:pPr>
        <w:spacing w:after="0" w:line="191"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61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23710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1" w:lineRule="exact"/>
        <w:rPr>
          <w:sz w:val="20"/>
          <w:szCs w:val="20"/>
          <w:color w:val="auto"/>
        </w:rPr>
      </w:pPr>
    </w:p>
    <w:p>
      <w:pPr>
        <w:ind w:left="120" w:right="240" w:firstLine="440"/>
        <w:spacing w:after="0" w:line="260"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91" w:lineRule="exact"/>
        <w:rPr>
          <w:sz w:val="20"/>
          <w:szCs w:val="20"/>
          <w:color w:val="auto"/>
        </w:rPr>
      </w:pPr>
    </w:p>
    <w:p>
      <w:pPr>
        <w:ind w:left="540" w:right="200" w:hanging="208"/>
        <w:spacing w:after="0" w:line="274"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ind w:left="540" w:right="40" w:hanging="208"/>
        <w:spacing w:after="0" w:line="28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 w:lineRule="exact"/>
        <w:rPr>
          <w:rFonts w:ascii="Arial" w:cs="Arial" w:eastAsia="Arial" w:hAnsi="Arial"/>
          <w:sz w:val="16"/>
          <w:szCs w:val="16"/>
          <w:color w:val="auto"/>
        </w:rPr>
      </w:pPr>
    </w:p>
    <w:p>
      <w:pPr>
        <w:ind w:left="540" w:right="20" w:hanging="208"/>
        <w:spacing w:after="0" w:line="252"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8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1" w:lineRule="exact"/>
        <w:rPr>
          <w:sz w:val="20"/>
          <w:szCs w:val="20"/>
          <w:color w:val="auto"/>
        </w:rPr>
      </w:pPr>
    </w:p>
    <w:p>
      <w:pPr>
        <w:ind w:left="120" w:right="20" w:firstLine="440"/>
        <w:spacing w:after="0" w:line="250" w:lineRule="auto"/>
        <w:rPr>
          <w:sz w:val="20"/>
          <w:szCs w:val="20"/>
          <w:color w:val="auto"/>
        </w:rPr>
      </w:pPr>
      <w:r>
        <w:rPr>
          <w:rFonts w:ascii="Arial" w:cs="Arial" w:eastAsia="Arial" w:hAnsi="Arial"/>
          <w:sz w:val="18"/>
          <w:szCs w:val="18"/>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Total amounts due to the Continuing LLC Owners as of December 31, 2021 under the Tax Receivable Agreement were $412 million, substantially all due over the fifteen years following the purchase of LLC Interests from Continuing LLC Owners or redemption or exchanges by Continuing LLC Owners of LLC Interests.</w:t>
      </w:r>
    </w:p>
    <w:p>
      <w:pPr>
        <w:spacing w:after="0" w:line="3" w:lineRule="exact"/>
        <w:rPr>
          <w:sz w:val="20"/>
          <w:szCs w:val="20"/>
          <w:color w:val="auto"/>
        </w:rPr>
      </w:pPr>
    </w:p>
    <w:p>
      <w:pPr>
        <w:jc w:val="both"/>
        <w:ind w:left="120" w:right="40" w:firstLine="440"/>
        <w:spacing w:after="0" w:line="250"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w:t>
      </w:r>
    </w:p>
    <w:p>
      <w:pPr>
        <w:spacing w:after="0" w:line="187"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62</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205740</wp:posOffset>
            </wp:positionV>
            <wp:extent cx="223710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300"/>
        <w:spacing w:after="0" w:line="258" w:lineRule="auto"/>
        <w:rPr>
          <w:sz w:val="20"/>
          <w:szCs w:val="20"/>
          <w:color w:val="auto"/>
        </w:rPr>
      </w:pPr>
      <w:r>
        <w:rPr>
          <w:rFonts w:ascii="Arial" w:cs="Arial" w:eastAsia="Arial" w:hAnsi="Arial"/>
          <w:sz w:val="18"/>
          <w:szCs w:val="18"/>
          <w:color w:val="auto"/>
        </w:rPr>
        <w:t>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1" w:lineRule="exact"/>
        <w:rPr>
          <w:sz w:val="20"/>
          <w:szCs w:val="20"/>
          <w:color w:val="auto"/>
        </w:rPr>
      </w:pPr>
    </w:p>
    <w:p>
      <w:pPr>
        <w:ind w:left="120" w:right="140" w:firstLine="440"/>
        <w:spacing w:after="0" w:line="250" w:lineRule="auto"/>
        <w:rPr>
          <w:sz w:val="20"/>
          <w:szCs w:val="20"/>
          <w:color w:val="auto"/>
        </w:rPr>
      </w:pPr>
      <w:r>
        <w:rPr>
          <w:rFonts w:ascii="Arial" w:cs="Arial" w:eastAsia="Arial" w:hAnsi="Arial"/>
          <w:sz w:val="18"/>
          <w:szCs w:val="18"/>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 Payments under the TRA will be based on the tax reporting positions that we determine. We will not be reimbursed for any cash payments</w:t>
      </w:r>
    </w:p>
    <w:p>
      <w:pPr>
        <w:spacing w:after="0" w:line="2" w:lineRule="exact"/>
        <w:rPr>
          <w:sz w:val="20"/>
          <w:szCs w:val="20"/>
          <w:color w:val="auto"/>
        </w:rPr>
      </w:pPr>
    </w:p>
    <w:p>
      <w:pPr>
        <w:ind w:left="120" w:right="140"/>
        <w:spacing w:after="0" w:line="292" w:lineRule="auto"/>
        <w:rPr>
          <w:sz w:val="20"/>
          <w:szCs w:val="20"/>
          <w:color w:val="auto"/>
        </w:rPr>
      </w:pPr>
      <w:r>
        <w:rPr>
          <w:rFonts w:ascii="Arial" w:cs="Arial" w:eastAsia="Arial" w:hAnsi="Arial"/>
          <w:sz w:val="16"/>
          <w:szCs w:val="16"/>
          <w:color w:val="auto"/>
        </w:rPr>
        <w:t>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Stockholders Agreement</w:t>
      </w:r>
    </w:p>
    <w:p>
      <w:pPr>
        <w:spacing w:after="0" w:line="20"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duly-authorized committee of the Board, as a director of our company, the number of Refinitiv Directors serving as directors of our company will be equal to: (1) if the Refinitiv Owners and their affiliates together continue to hold at least 50% of the combined voting power of our outstanding common stock as of the record date for such meeting, the total number of directors comprising our entire Board;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w:t>
      </w:r>
    </w:p>
    <w:p>
      <w:pPr>
        <w:spacing w:after="0" w:line="185"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23710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Registration Rights Agreement</w:t>
      </w:r>
    </w:p>
    <w:p>
      <w:pPr>
        <w:spacing w:after="0" w:line="20"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any lock-up agreement they have entered into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Demand Rights</w:t>
      </w:r>
    </w:p>
    <w:p>
      <w:pPr>
        <w:spacing w:after="0" w:line="2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From time to time, the Refinitiv Owners may request that we register all or a portion of their registrable shares for sale under the Securities Act, including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may request that we facilitate a shelf takedown of all or a portion of their registrable shares (provided the aggregate number of registrable shares that are requested to be included in any such takedown equals at least $100.0 million). We will not be required to effect the registration as requested by any of the Refinitiv Owners if in the good 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 and exceptions.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Piggyback Registration Rights</w:t>
      </w:r>
    </w:p>
    <w:p>
      <w:pPr>
        <w:spacing w:after="0" w:line="20"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each Bank Stockholder, on an individual basis, will fall away when such Bank Stockholder, together with any other holder that is an affiliate of such Bank Stockholder, ceases to own a number of shares of our common stock, in the aggregate, that is more than 2% of the total number of shares of common stock then outstanding. As of March 14, 2022, the only remaining Bank Stockholder was Credit Suisse Securities (USA) LLC.</w:t>
      </w:r>
    </w:p>
    <w:p>
      <w:pPr>
        <w:spacing w:after="0" w:line="1" w:lineRule="exact"/>
        <w:rPr>
          <w:sz w:val="20"/>
          <w:szCs w:val="20"/>
          <w:color w:val="auto"/>
        </w:rPr>
      </w:pPr>
    </w:p>
    <w:p>
      <w:pPr>
        <w:ind w:left="120" w:right="660" w:firstLine="440"/>
        <w:spacing w:after="0" w:line="290" w:lineRule="auto"/>
        <w:rPr>
          <w:sz w:val="20"/>
          <w:szCs w:val="20"/>
          <w:color w:val="auto"/>
        </w:rPr>
      </w:pPr>
      <w:r>
        <w:rPr>
          <w:rFonts w:ascii="Arial" w:cs="Arial" w:eastAsia="Arial" w:hAnsi="Arial"/>
          <w:sz w:val="17"/>
          <w:szCs w:val="17"/>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Other Provisions</w:t>
      </w:r>
    </w:p>
    <w:p>
      <w:pPr>
        <w:spacing w:after="0" w:line="20"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Indemnification Agreements</w:t>
      </w:r>
    </w:p>
    <w:p>
      <w:pPr>
        <w:spacing w:after="0" w:line="112"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 connection with the IPO, we entered into indemnification agreements with our directors and executive officers. These agreements require us to indemnify these individuals to the fullest extent permitted by</w:t>
      </w:r>
    </w:p>
    <w:p>
      <w:pPr>
        <w:spacing w:after="0" w:line="168"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64</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205740</wp:posOffset>
            </wp:positionV>
            <wp:extent cx="223710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3710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20" w:right="240"/>
        <w:spacing w:after="0" w:line="287" w:lineRule="auto"/>
        <w:rPr>
          <w:sz w:val="20"/>
          <w:szCs w:val="20"/>
          <w:color w:val="auto"/>
        </w:rPr>
      </w:pPr>
      <w:r>
        <w:rPr>
          <w:rFonts w:ascii="Arial" w:cs="Arial" w:eastAsia="Arial" w:hAnsi="Arial"/>
          <w:sz w:val="16"/>
          <w:szCs w:val="16"/>
          <w:color w:val="auto"/>
        </w:rPr>
        <w:t>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2" w:lineRule="exact"/>
        <w:rPr>
          <w:sz w:val="20"/>
          <w:szCs w:val="20"/>
          <w:color w:val="auto"/>
        </w:rPr>
      </w:pPr>
    </w:p>
    <w:p>
      <w:pPr>
        <w:ind w:left="120" w:right="160" w:firstLine="440"/>
        <w:spacing w:after="0" w:line="260"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856"/>
        </w:rPr>
        <w:t>Policies and Procedures for Related Party Transactions</w:t>
      </w:r>
    </w:p>
    <w:p>
      <w:pPr>
        <w:spacing w:after="0" w:line="112" w:lineRule="exact"/>
        <w:rPr>
          <w:sz w:val="20"/>
          <w:szCs w:val="20"/>
          <w:color w:val="auto"/>
        </w:rPr>
      </w:pPr>
    </w:p>
    <w:p>
      <w:pPr>
        <w:ind w:left="120" w:right="60"/>
        <w:spacing w:after="0" w:line="266" w:lineRule="auto"/>
        <w:rPr>
          <w:sz w:val="20"/>
          <w:szCs w:val="20"/>
          <w:color w:val="auto"/>
        </w:rPr>
      </w:pPr>
      <w:r>
        <w:rPr>
          <w:rFonts w:ascii="Arial" w:cs="Arial" w:eastAsia="Arial" w:hAnsi="Arial"/>
          <w:sz w:val="17"/>
          <w:szCs w:val="17"/>
          <w:color w:val="auto"/>
        </w:rPr>
        <w:t>Our Board has adopted a written policy providing that the Audit Committee will review and approve or ratify transactions in excess of $120,000 of value in which we participate and in which a related party (as defined below)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In general, a “related party” is any person who is or was one of our executive officers, directors or director nominees or is a holder of more than 5% of our common stock, or an immediate family member of any of the foregoing persons. All of the pre-IPO transactions described above were entered into prior to the adoption of this policy.</w:t>
      </w:r>
    </w:p>
    <w:p>
      <w:pPr>
        <w:spacing w:after="0" w:line="7" w:lineRule="exact"/>
        <w:rPr>
          <w:sz w:val="20"/>
          <w:szCs w:val="20"/>
          <w:color w:val="auto"/>
        </w:rPr>
      </w:pPr>
    </w:p>
    <w:p>
      <w:pPr>
        <w:ind w:left="120" w:right="420" w:firstLine="44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187"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031365"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313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190"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66</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217295" cy="283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172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181"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67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202815"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02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color w:val="auto"/>
        </w:rPr>
        <w:t>Proposals of stockholders to be considered for inclusion in the proxy statement and proxy card for the 2023 Annual Meeting pursuant to Rule 14a-8 under the Exchange Act must be submitted in writing to the Secretary of Tradeweb Markets Inc., at Tradeweb Markets Inc., 1177 Avenue of the Americas, New York, New York 10036, and must be received no later than November 29, 2023.</w:t>
      </w:r>
    </w:p>
    <w:p>
      <w:pPr>
        <w:spacing w:after="0" w:line="3" w:lineRule="exact"/>
        <w:rPr>
          <w:sz w:val="20"/>
          <w:szCs w:val="20"/>
          <w:color w:val="auto"/>
        </w:rPr>
      </w:pPr>
    </w:p>
    <w:p>
      <w:pPr>
        <w:ind w:left="120" w:right="220" w:firstLine="440"/>
        <w:spacing w:after="0" w:line="265" w:lineRule="auto"/>
        <w:rPr>
          <w:sz w:val="20"/>
          <w:szCs w:val="20"/>
          <w:color w:val="auto"/>
        </w:rPr>
      </w:pPr>
      <w:r>
        <w:rPr>
          <w:rFonts w:ascii="Arial" w:cs="Arial" w:eastAsia="Arial" w:hAnsi="Arial"/>
          <w:sz w:val="17"/>
          <w:szCs w:val="17"/>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ind w:left="120" w:right="60" w:firstLine="440"/>
        <w:spacing w:after="0" w:line="281" w:lineRule="auto"/>
        <w:rPr>
          <w:sz w:val="20"/>
          <w:szCs w:val="20"/>
          <w:color w:val="auto"/>
        </w:rPr>
      </w:pPr>
      <w:r>
        <w:rPr>
          <w:rFonts w:ascii="Arial" w:cs="Arial" w:eastAsia="Arial" w:hAnsi="Arial"/>
          <w:sz w:val="16"/>
          <w:szCs w:val="16"/>
          <w:color w:val="auto"/>
        </w:rPr>
        <w:t>The Bylaws’ advance notice provisions require that, among other things, stockholders give timely written notice to the Secretary of the Company regarding such nominations or other business and provide the information and satisfy the other requirements set forth in the Bylaws. To be timely, a stockholder who intends to present nominations or a proposal at the 2023 Annual Meeting of Stockholders other than pursuant to Rule 14a-8 must provide the information set forth in the Bylaws to the Secretary of the Company no earlier than January 10, 2023 and no later than February 9, 2023. However, that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of Stockholders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of Stockholders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6" w:lineRule="exact"/>
        <w:rPr>
          <w:sz w:val="20"/>
          <w:szCs w:val="20"/>
          <w:color w:val="auto"/>
        </w:rPr>
      </w:pPr>
    </w:p>
    <w:p>
      <w:pPr>
        <w:ind w:left="120" w:right="220" w:firstLine="440"/>
        <w:spacing w:after="0" w:line="260"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nomination or proposal that does not comply with these and other applicable requirements.</w:t>
      </w:r>
    </w:p>
    <w:p>
      <w:pPr>
        <w:spacing w:after="0" w:line="183" w:lineRule="exact"/>
        <w:rPr>
          <w:sz w:val="20"/>
          <w:szCs w:val="20"/>
          <w:color w:val="auto"/>
        </w:rPr>
      </w:pPr>
    </w:p>
    <w:p>
      <w:pPr>
        <w:ind w:left="120"/>
        <w:spacing w:after="0"/>
        <w:tabs>
          <w:tab w:leader="none" w:pos="9280" w:val="left"/>
          <w:tab w:leader="none" w:pos="9720" w:val="left"/>
          <w:tab w:leader="none" w:pos="10000" w:val="left"/>
          <w:tab w:leader="none" w:pos="11000" w:val="left"/>
        </w:tabs>
        <w:rPr>
          <w:sz w:val="20"/>
          <w:szCs w:val="20"/>
          <w:color w:val="auto"/>
        </w:rPr>
      </w:pPr>
      <w:r>
        <w:rPr>
          <w:rFonts w:ascii="Arial" w:cs="Arial" w:eastAsia="Arial" w:hAnsi="Arial"/>
          <w:sz w:val="16"/>
          <w:szCs w:val="16"/>
          <w:color w:val="514F51"/>
        </w:rPr>
        <w:t>68</w:t>
      </w:r>
      <w:r>
        <w:rPr>
          <w:sz w:val="20"/>
          <w:szCs w:val="20"/>
          <w:color w:val="auto"/>
        </w:rPr>
        <w:tab/>
      </w:r>
      <w:r>
        <w:rPr>
          <w:rFonts w:ascii="Arial" w:cs="Arial" w:eastAsia="Arial" w:hAnsi="Arial"/>
          <w:sz w:val="20"/>
          <w:szCs w:val="20"/>
          <w:color w:val="D4D8D8"/>
        </w:rPr>
        <w:t>●</w:t>
      </w:r>
      <w:r>
        <w:rPr>
          <w:sz w:val="20"/>
          <w:szCs w:val="20"/>
          <w:color w:val="auto"/>
        </w:rPr>
        <w:tab/>
      </w:r>
      <w:r>
        <w:rPr>
          <w:rFonts w:ascii="Arial" w:cs="Arial" w:eastAsia="Arial" w:hAnsi="Arial"/>
          <w:sz w:val="20"/>
          <w:szCs w:val="20"/>
          <w:color w:val="AAB2B2"/>
        </w:rPr>
        <w:t>●</w:t>
      </w:r>
      <w:r>
        <w:rPr>
          <w:sz w:val="20"/>
          <w:szCs w:val="20"/>
          <w:color w:val="auto"/>
        </w:rPr>
        <w:tab/>
      </w:r>
      <w:r>
        <w:rPr>
          <w:rFonts w:ascii="Arial" w:cs="Arial" w:eastAsia="Arial" w:hAnsi="Arial"/>
          <w:sz w:val="16"/>
          <w:szCs w:val="16"/>
          <w:color w:val="002856"/>
        </w:rPr>
        <w:t>Tradeweb</w:t>
      </w:r>
      <w:r>
        <w:rPr>
          <w:sz w:val="20"/>
          <w:szCs w:val="20"/>
          <w:color w:val="auto"/>
        </w:rPr>
        <w:tab/>
      </w:r>
      <w:r>
        <w:rPr>
          <w:rFonts w:ascii="Arial" w:cs="Arial" w:eastAsia="Arial" w:hAnsi="Arial"/>
          <w:sz w:val="19"/>
          <w:szCs w:val="19"/>
          <w:color w:val="EEEFEF"/>
        </w:rPr>
        <w:t>●</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531870" cy="4972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318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A copy of the 2021 Annual Report accompanies this Proxy Statement. If you and others who share your mailing address own common stock in street name, meaning through a bank, brokerage firm, or other nominee, you may have received a notice that your household will receive only one 2021 Annual Report and Proxy Statement, or Notice of Internet Availability of Proxy Materials,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2021 Annual Report (and/or a single copy of our Notice of Internet Availability of Proxy Materials) has been sent to your address. Each street name stockholder receiving this Proxy Statement by mail will continue to receive a separate voting instruction form.</w:t>
      </w:r>
    </w:p>
    <w:p>
      <w:pPr>
        <w:spacing w:after="0" w:line="4"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6"/>
          <w:szCs w:val="16"/>
          <w:color w:val="auto"/>
        </w:rPr>
        <w:t>If you would like to revoke your consent to householding and in the future receive your own set of proxy materials (or your own Notice of Internet Availability of Proxy Materials, as applicable), or if your household is currently receiving multiple copies of the same items and you would like in the future to receive only a single copy at your address, please contact the Householding Department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3" w:lineRule="exact"/>
        <w:rPr>
          <w:sz w:val="20"/>
          <w:szCs w:val="20"/>
          <w:color w:val="auto"/>
        </w:rPr>
      </w:pPr>
    </w:p>
    <w:p>
      <w:pPr>
        <w:ind w:left="120" w:right="20" w:firstLine="440"/>
        <w:spacing w:after="0" w:line="265" w:lineRule="auto"/>
        <w:rPr>
          <w:sz w:val="20"/>
          <w:szCs w:val="20"/>
          <w:color w:val="auto"/>
        </w:rPr>
      </w:pPr>
      <w:r>
        <w:rPr>
          <w:rFonts w:ascii="Arial" w:cs="Arial" w:eastAsia="Arial" w:hAnsi="Arial"/>
          <w:sz w:val="17"/>
          <w:szCs w:val="17"/>
          <w:b w:val="1"/>
          <w:bCs w:val="1"/>
          <w:color w:val="auto"/>
        </w:rPr>
        <w:t xml:space="preserve">If you would like an additional copy of the 2021 Annual Report, this Proxy Statement, or the Notice of Internet Availability of Proxy Materials, these documents are available in digital form for download or review by visiting </w:t>
      </w:r>
      <w:r>
        <w:rPr>
          <w:rFonts w:ascii="Arial" w:cs="Arial" w:eastAsia="Arial" w:hAnsi="Arial"/>
          <w:sz w:val="17"/>
          <w:szCs w:val="17"/>
          <w:b w:val="1"/>
          <w:bCs w:val="1"/>
          <w:u w:val="single" w:color="auto"/>
          <w:color w:val="auto"/>
        </w:rPr>
        <w:t>proxyvote.com</w:t>
      </w:r>
      <w:r>
        <w:rPr>
          <w:rFonts w:ascii="Arial" w:cs="Arial" w:eastAsia="Arial" w:hAnsi="Arial"/>
          <w:sz w:val="17"/>
          <w:szCs w:val="17"/>
          <w:b w:val="1"/>
          <w:bCs w:val="1"/>
          <w:color w:val="auto"/>
        </w:rPr>
        <w:t xml:space="preserve">. Alternatively, we will promptly send a copy of these documents to you without charge upon request by email to </w:t>
      </w:r>
      <w:r>
        <w:rPr>
          <w:rFonts w:ascii="Arial" w:cs="Arial" w:eastAsia="Arial" w:hAnsi="Arial"/>
          <w:sz w:val="17"/>
          <w:szCs w:val="17"/>
          <w:b w:val="1"/>
          <w:bCs w:val="1"/>
          <w:u w:val="single" w:color="auto"/>
          <w:color w:val="auto"/>
        </w:rPr>
        <w:t>sendmaterial@proxyvote.com</w:t>
      </w:r>
      <w:r>
        <w:rPr>
          <w:rFonts w:ascii="Arial" w:cs="Arial" w:eastAsia="Arial" w:hAnsi="Arial"/>
          <w:sz w:val="17"/>
          <w:szCs w:val="17"/>
          <w:b w:val="1"/>
          <w:bCs w:val="1"/>
          <w:color w:val="auto"/>
        </w:rPr>
        <w:t>, or by calling 1-800-579-1639. Please note, however, that if you did not receive a printed copy of our proxy materials and you wish to receive a paper proxy card or voting instruction form or other proxy materials for the purposes of the Annual Meeting, you should follow the instructions included in your Notice of Internet Availability of Proxy Materials.</w:t>
      </w:r>
    </w:p>
    <w:p>
      <w:pPr>
        <w:spacing w:after="0" w:line="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If you own shares in street name, you can also register to receive all future stockholder communications electronically, instead of in print. This means that links to the 2021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pacing w:after="0" w:line="190" w:lineRule="exact"/>
        <w:rPr>
          <w:sz w:val="20"/>
          <w:szCs w:val="20"/>
          <w:color w:val="auto"/>
        </w:rPr>
      </w:pPr>
    </w:p>
    <w:p>
      <w:pPr>
        <w:ind w:left="120"/>
        <w:spacing w:after="0"/>
        <w:tabs>
          <w:tab w:leader="none" w:pos="2020" w:val="left"/>
          <w:tab w:leader="none" w:pos="2320" w:val="left"/>
          <w:tab w:leader="none" w:pos="10940" w:val="left"/>
        </w:tabs>
        <w:rPr>
          <w:sz w:val="20"/>
          <w:szCs w:val="20"/>
          <w:color w:val="auto"/>
        </w:rPr>
      </w:pPr>
      <w:r>
        <w:rPr>
          <w:rFonts w:ascii="Arial" w:cs="Arial" w:eastAsia="Arial" w:hAnsi="Arial"/>
          <w:sz w:val="16"/>
          <w:szCs w:val="16"/>
          <w:color w:val="514F51"/>
        </w:rPr>
        <w:t>2022 Proxy Statement</w:t>
      </w:r>
      <w:r>
        <w:rPr>
          <w:sz w:val="20"/>
          <w:szCs w:val="20"/>
          <w:color w:val="auto"/>
        </w:rPr>
        <w:tab/>
      </w:r>
      <w:r>
        <w:rPr>
          <w:rFonts w:ascii="Arial" w:cs="Arial" w:eastAsia="Arial" w:hAnsi="Arial"/>
          <w:sz w:val="20"/>
          <w:szCs w:val="20"/>
          <w:color w:val="EEEFEF"/>
        </w:rPr>
        <w:t>●</w:t>
        <w:tab/>
        <w:t>●</w:t>
      </w:r>
      <w:r>
        <w:rPr>
          <w:sz w:val="20"/>
          <w:szCs w:val="20"/>
          <w:color w:val="auto"/>
        </w:rPr>
        <w:tab/>
      </w:r>
      <w:r>
        <w:rPr>
          <w:rFonts w:ascii="Arial" w:cs="Arial" w:eastAsia="Arial" w:hAnsi="Arial"/>
          <w:sz w:val="16"/>
          <w:szCs w:val="16"/>
          <w:color w:val="514F51"/>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29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29450" cy="91293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40"/>
        <w:spacing w:after="0"/>
        <w:rPr>
          <w:sz w:val="20"/>
          <w:szCs w:val="20"/>
          <w:color w:val="auto"/>
        </w:rPr>
      </w:pPr>
      <w:r>
        <w:rPr>
          <w:rFonts w:ascii="Arial" w:cs="Arial" w:eastAsia="Arial" w:hAnsi="Arial"/>
          <w:sz w:val="13"/>
          <w:szCs w:val="13"/>
          <w:b w:val="1"/>
          <w:bCs w:val="1"/>
          <w:i w:val="1"/>
          <w:iCs w:val="1"/>
          <w:color w:val="auto"/>
        </w:rPr>
        <w:t>TRADEWEB MARKETS INC.</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1177 6TH AVENUE</w:t>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NEW YORK, NY 10036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 - www.proxyvote.com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-1513205</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-707390</wp:posOffset>
            </wp:positionV>
            <wp:extent cx="2048510" cy="514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48510" cy="514350"/>
                    </a:xfrm>
                    <a:prstGeom prst="rect">
                      <a:avLst/>
                    </a:prstGeom>
                    <a:noFill/>
                  </pic:spPr>
                </pic:pic>
              </a:graphicData>
            </a:graphic>
          </wp:anchor>
        </w:drawing>
      </w:r>
    </w:p>
    <w:p>
      <w:pPr>
        <w:spacing w:after="0" w:line="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Use the Internet to transmit your voting instructions and for electronic delivery of information. Vote by 11:59 P.M. ET on May 9, 2022. Have your proxy card in hand when you access the web site and follow the instructions to obtain your records and to create an electronic voting instruction form.</w:t>
      </w:r>
    </w:p>
    <w:p>
      <w:pPr>
        <w:spacing w:after="0" w:line="90" w:lineRule="exact"/>
        <w:rPr>
          <w:sz w:val="20"/>
          <w:szCs w:val="20"/>
          <w:color w:val="auto"/>
        </w:rPr>
      </w:pPr>
    </w:p>
    <w:p>
      <w:pPr>
        <w:ind w:right="300"/>
        <w:spacing w:after="0" w:line="299" w:lineRule="auto"/>
        <w:rPr>
          <w:sz w:val="20"/>
          <w:szCs w:val="20"/>
          <w:color w:val="auto"/>
        </w:rPr>
      </w:pPr>
      <w:r>
        <w:rPr>
          <w:rFonts w:ascii="Arial" w:cs="Arial" w:eastAsia="Arial" w:hAnsi="Arial"/>
          <w:sz w:val="15"/>
          <w:szCs w:val="15"/>
          <w:i w:val="1"/>
          <w:iCs w:val="1"/>
          <w:color w:val="auto"/>
        </w:rPr>
        <w:t xml:space="preserve">During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u w:val="single" w:color="auto"/>
          <w:color w:val="auto"/>
        </w:rPr>
        <w:t>www.virtualshareholdermeeting.com/TW2022</w:t>
      </w:r>
      <w:r>
        <w:rPr>
          <w:rFonts w:ascii="Arial" w:cs="Arial" w:eastAsia="Arial" w:hAnsi="Arial"/>
          <w:sz w:val="15"/>
          <w:szCs w:val="15"/>
          <w:i w:val="1"/>
          <w:iCs w:val="1"/>
          <w:color w:val="auto"/>
        </w:rPr>
        <w:t xml:space="preserve"> </w:t>
      </w:r>
      <w:r>
        <w:rPr>
          <w:rFonts w:ascii="Arial" w:cs="Arial" w:eastAsia="Arial" w:hAnsi="Arial"/>
          <w:sz w:val="15"/>
          <w:szCs w:val="15"/>
          <w:color w:val="auto"/>
        </w:rPr>
        <w:t>You may attend the meeting via the Internet and vote during the meeting. Have the information that is printed in the box marked by the arrow available and follow the instructions.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26"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Use any touch-tone telephone to transmit your voting instructions. Vote by 11:59 P.M. ET on May 9, 2022. Have your proxy card in hand when you call and then follow the instructions.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568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 VOTE, MARK BLOCKS BELOW IN BLUE OR BLACK INK AS FOLLOWS:</w:t>
      </w:r>
    </w:p>
    <w:p>
      <w:pPr>
        <w:ind w:left="8240"/>
        <w:spacing w:after="0"/>
        <w:rPr>
          <w:sz w:val="20"/>
          <w:szCs w:val="20"/>
          <w:color w:val="auto"/>
        </w:rPr>
      </w:pPr>
      <w:r>
        <w:rPr>
          <w:rFonts w:ascii="Arial" w:cs="Arial" w:eastAsia="Arial" w:hAnsi="Arial"/>
          <w:sz w:val="13"/>
          <w:szCs w:val="13"/>
          <w:color w:val="auto"/>
        </w:rPr>
        <w:t>KEEP THIS PORTION FOR YOUR RECORDS</w:t>
      </w:r>
    </w:p>
    <w:p>
      <w:pPr>
        <w:ind w:left="660"/>
        <w:spacing w:after="0" w:line="221" w:lineRule="auto"/>
        <w:rPr>
          <w:sz w:val="20"/>
          <w:szCs w:val="20"/>
          <w:color w:val="auto"/>
        </w:rPr>
      </w:pPr>
      <w:r>
        <w:rPr>
          <w:rFonts w:ascii="Arial" w:cs="Arial" w:eastAsia="Arial" w:hAnsi="Arial"/>
          <w:sz w:val="14"/>
          <w:szCs w:val="14"/>
          <w:color w:val="auto"/>
        </w:rPr>
        <w:t>— — — — — — — — — — — — — — — — — — — — — — — — — — — — — — — — — — — — — — — — — — — — — — — — — — — — –</w:t>
      </w:r>
    </w:p>
    <w:p>
      <w:pPr>
        <w:ind w:left="700"/>
        <w:spacing w:after="0" w:line="221" w:lineRule="auto"/>
        <w:rPr>
          <w:sz w:val="20"/>
          <w:szCs w:val="20"/>
          <w:color w:val="auto"/>
        </w:rPr>
      </w:pPr>
      <w:r>
        <w:rPr>
          <w:rFonts w:ascii="Arial" w:cs="Arial" w:eastAsia="Arial" w:hAnsi="Arial"/>
          <w:sz w:val="14"/>
          <w:szCs w:val="14"/>
          <w:color w:val="auto"/>
        </w:rPr>
        <w:t>— — — — —</w:t>
      </w:r>
    </w:p>
    <w:p>
      <w:pPr>
        <w:ind w:left="8100"/>
        <w:spacing w:after="0"/>
        <w:rPr>
          <w:sz w:val="20"/>
          <w:szCs w:val="20"/>
          <w:color w:val="auto"/>
        </w:rPr>
      </w:pPr>
      <w:r>
        <w:rPr>
          <w:rFonts w:ascii="Arial" w:cs="Arial" w:eastAsia="Arial" w:hAnsi="Arial"/>
          <w:sz w:val="13"/>
          <w:szCs w:val="13"/>
          <w:color w:val="auto"/>
        </w:rPr>
        <w:t>DETACH AND RETURN THIS PORTION ONLY</w:t>
      </w:r>
    </w:p>
    <w:p>
      <w:pPr>
        <w:spacing w:after="0" w:line="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THIS PROXY CARD IS VALID ONLY WHEN SIGNED AND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56515</wp:posOffset>
            </wp:positionV>
            <wp:extent cx="6643370" cy="4088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43370" cy="408876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FOR the following:</w:t>
      </w:r>
    </w:p>
    <w:p>
      <w:pPr>
        <w:spacing w:after="0" w:line="190" w:lineRule="exact"/>
        <w:rPr>
          <w:sz w:val="20"/>
          <w:szCs w:val="20"/>
          <w:color w:val="auto"/>
        </w:rPr>
      </w:pPr>
    </w:p>
    <w:p>
      <w:pPr>
        <w:ind w:left="1560" w:hanging="588"/>
        <w:spacing w:after="0"/>
        <w:tabs>
          <w:tab w:leader="none" w:pos="15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Election of Directors</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Nominees</w:t>
      </w:r>
    </w:p>
    <w:p>
      <w:pPr>
        <w:spacing w:after="0" w:line="117" w:lineRule="exact"/>
        <w:rPr>
          <w:sz w:val="20"/>
          <w:szCs w:val="20"/>
          <w:color w:val="auto"/>
        </w:rPr>
      </w:pPr>
    </w:p>
    <w:p>
      <w:pPr>
        <w:ind w:left="980"/>
        <w:spacing w:after="0"/>
        <w:tabs>
          <w:tab w:leader="none" w:pos="1580" w:val="left"/>
          <w:tab w:leader="none" w:pos="280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Steven Berns</w:t>
      </w:r>
      <w:r>
        <w:rPr>
          <w:sz w:val="20"/>
          <w:szCs w:val="20"/>
          <w:color w:val="auto"/>
        </w:rPr>
        <w:tab/>
      </w:r>
      <w:r>
        <w:rPr>
          <w:rFonts w:ascii="Arial" w:cs="Arial" w:eastAsia="Arial" w:hAnsi="Arial"/>
          <w:sz w:val="16"/>
          <w:szCs w:val="16"/>
          <w:color w:val="auto"/>
        </w:rPr>
        <w:t>02) William Hult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rPr>
              <w:t>For</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Withhold</w:t>
            </w:r>
          </w:p>
        </w:tc>
        <w:tc>
          <w:tcPr>
            <w:tcW w:w="680" w:type="dxa"/>
            <w:vAlign w:val="bottom"/>
            <w:vMerge w:val="restart"/>
          </w:tcPr>
          <w:p>
            <w:pPr>
              <w:jc w:val="center"/>
              <w:ind w:right="68"/>
              <w:spacing w:after="0"/>
              <w:rPr>
                <w:sz w:val="20"/>
                <w:szCs w:val="20"/>
                <w:color w:val="auto"/>
              </w:rPr>
            </w:pPr>
            <w:r>
              <w:rPr>
                <w:rFonts w:ascii="Arial" w:cs="Arial" w:eastAsia="Arial" w:hAnsi="Arial"/>
                <w:sz w:val="13"/>
                <w:szCs w:val="13"/>
                <w:b w:val="1"/>
                <w:bCs w:val="1"/>
                <w:color w:val="auto"/>
                <w:w w:val="92"/>
              </w:rPr>
              <w:t>For All</w:t>
            </w:r>
          </w:p>
        </w:tc>
        <w:tc>
          <w:tcPr>
            <w:tcW w:w="2520" w:type="dxa"/>
            <w:vAlign w:val="bottom"/>
          </w:tcPr>
          <w:p>
            <w:pPr>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68"/>
        </w:trPr>
        <w:tc>
          <w:tcPr>
            <w:tcW w:w="2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520" w:type="dxa"/>
            <w:vAlign w:val="bottom"/>
            <w:vMerge w:val="restart"/>
          </w:tcPr>
          <w:p>
            <w:pPr>
              <w:spacing w:after="0" w:line="149" w:lineRule="exact"/>
              <w:rPr>
                <w:sz w:val="20"/>
                <w:szCs w:val="20"/>
                <w:color w:val="auto"/>
              </w:rPr>
            </w:pPr>
            <w:r>
              <w:rPr>
                <w:rFonts w:ascii="Arial" w:cs="Arial" w:eastAsia="Arial" w:hAnsi="Arial"/>
                <w:sz w:val="14"/>
                <w:szCs w:val="14"/>
                <w:color w:val="auto"/>
              </w:rPr>
              <w:t>individual nominee(s), mark “For All</w:t>
            </w:r>
          </w:p>
        </w:tc>
        <w:tc>
          <w:tcPr>
            <w:tcW w:w="0" w:type="dxa"/>
            <w:vAlign w:val="bottom"/>
          </w:tcPr>
          <w:p>
            <w:pPr>
              <w:spacing w:after="0"/>
              <w:rPr>
                <w:sz w:val="1"/>
                <w:szCs w:val="1"/>
                <w:color w:val="auto"/>
              </w:rPr>
            </w:pPr>
          </w:p>
        </w:tc>
      </w:tr>
      <w:tr>
        <w:trPr>
          <w:trHeight w:val="81"/>
        </w:trPr>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rPr>
              <w:t>All</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All</w:t>
            </w:r>
          </w:p>
        </w:tc>
        <w:tc>
          <w:tcPr>
            <w:tcW w:w="680" w:type="dxa"/>
            <w:vAlign w:val="bottom"/>
            <w:vMerge w:val="restart"/>
          </w:tcPr>
          <w:p>
            <w:pPr>
              <w:jc w:val="center"/>
              <w:ind w:right="68"/>
              <w:spacing w:after="0"/>
              <w:rPr>
                <w:sz w:val="20"/>
                <w:szCs w:val="20"/>
                <w:color w:val="auto"/>
              </w:rPr>
            </w:pPr>
            <w:r>
              <w:rPr>
                <w:rFonts w:ascii="Arial" w:cs="Arial" w:eastAsia="Arial" w:hAnsi="Arial"/>
                <w:sz w:val="13"/>
                <w:szCs w:val="13"/>
                <w:b w:val="1"/>
                <w:bCs w:val="1"/>
                <w:color w:val="auto"/>
                <w:w w:val="89"/>
              </w:rPr>
              <w:t>Except</w:t>
            </w: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520" w:type="dxa"/>
            <w:vAlign w:val="bottom"/>
            <w:vMerge w:val="restart"/>
          </w:tcPr>
          <w:p>
            <w:pPr>
              <w:spacing w:after="0" w:line="149" w:lineRule="exact"/>
              <w:rPr>
                <w:sz w:val="20"/>
                <w:szCs w:val="20"/>
                <w:color w:val="auto"/>
              </w:rPr>
            </w:pPr>
            <w:r>
              <w:rPr>
                <w:rFonts w:ascii="Arial" w:cs="Arial" w:eastAsia="Arial" w:hAnsi="Arial"/>
                <w:sz w:val="14"/>
                <w:szCs w:val="14"/>
                <w:color w:val="auto"/>
              </w:rPr>
              <w:t>Except” and write the number(s) of the</w:t>
            </w: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ind w:right="88"/>
              <w:spacing w:after="0" w:line="181" w:lineRule="exact"/>
              <w:rPr>
                <w:sz w:val="20"/>
                <w:szCs w:val="20"/>
                <w:color w:val="auto"/>
              </w:rPr>
            </w:pPr>
            <w:r>
              <w:rPr>
                <w:rFonts w:ascii="MS PGothic" w:cs="MS PGothic" w:eastAsia="MS PGothic" w:hAnsi="MS PGothic"/>
                <w:sz w:val="18"/>
                <w:szCs w:val="18"/>
                <w:color w:val="auto"/>
                <w:w w:val="88"/>
              </w:rPr>
              <w:t>☐</w:t>
            </w:r>
          </w:p>
        </w:tc>
        <w:tc>
          <w:tcPr>
            <w:tcW w:w="2520" w:type="dxa"/>
            <w:vAlign w:val="bottom"/>
          </w:tcPr>
          <w:p>
            <w:pPr>
              <w:spacing w:after="0"/>
              <w:rPr>
                <w:sz w:val="20"/>
                <w:szCs w:val="20"/>
                <w:color w:val="auto"/>
              </w:rPr>
            </w:pPr>
            <w:r>
              <w:rPr>
                <w:rFonts w:ascii="Arial" w:cs="Arial" w:eastAsia="Arial" w:hAnsi="Arial"/>
                <w:sz w:val="14"/>
                <w:szCs w:val="14"/>
                <w:color w:val="auto"/>
              </w:rPr>
              <w:t>nominee(s) on the line below.</w:t>
            </w:r>
          </w:p>
        </w:tc>
        <w:tc>
          <w:tcPr>
            <w:tcW w:w="0" w:type="dxa"/>
            <w:vAlign w:val="bottom"/>
          </w:tcPr>
          <w:p>
            <w:pPr>
              <w:spacing w:after="0"/>
              <w:rPr>
                <w:sz w:val="1"/>
                <w:szCs w:val="1"/>
                <w:color w:val="auto"/>
              </w:rPr>
            </w:pPr>
          </w:p>
        </w:tc>
      </w:tr>
      <w:tr>
        <w:trPr>
          <w:trHeight w:val="194"/>
        </w:trPr>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03) Lee Olesky</w:t>
      </w:r>
    </w:p>
    <w:p>
      <w:pPr>
        <w:spacing w:after="0" w:line="200" w:lineRule="exact"/>
        <w:rPr>
          <w:sz w:val="20"/>
          <w:szCs w:val="20"/>
          <w:color w:val="auto"/>
        </w:rPr>
      </w:pPr>
    </w:p>
    <w:p>
      <w:pPr>
        <w:sectPr>
          <w:pgSz w:w="11900" w:h="16838" w:orient="portrait"/>
          <w:cols w:equalWidth="0" w:num="2">
            <w:col w:w="4120" w:space="280"/>
            <w:col w:w="6660"/>
          </w:cols>
          <w:pgMar w:left="320" w:top="459" w:right="519" w:bottom="1440" w:gutter="0" w:footer="0" w:header="0"/>
          <w:type w:val="continuous"/>
        </w:sectPr>
      </w:pPr>
    </w:p>
    <w:p>
      <w:pPr>
        <w:spacing w:after="0" w:line="53"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The Board of Directors recommends you vote FOR the following proposal:</w:t>
            </w:r>
          </w:p>
        </w:tc>
        <w:tc>
          <w:tcPr>
            <w:tcW w:w="1380" w:type="dxa"/>
            <w:vAlign w:val="bottom"/>
          </w:tcPr>
          <w:p>
            <w:pPr>
              <w:ind w:left="1100"/>
              <w:spacing w:after="0"/>
              <w:rPr>
                <w:sz w:val="20"/>
                <w:szCs w:val="20"/>
                <w:color w:val="auto"/>
              </w:rPr>
            </w:pPr>
            <w:r>
              <w:rPr>
                <w:rFonts w:ascii="Arial" w:cs="Arial" w:eastAsia="Arial" w:hAnsi="Arial"/>
                <w:sz w:val="13"/>
                <w:szCs w:val="13"/>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w w:val="83"/>
              </w:rPr>
              <w:t>Abstain</w:t>
            </w:r>
          </w:p>
        </w:tc>
      </w:tr>
      <w:tr>
        <w:trPr>
          <w:trHeight w:val="253"/>
        </w:trPr>
        <w:tc>
          <w:tcPr>
            <w:tcW w:w="220" w:type="dxa"/>
            <w:vAlign w:val="bottom"/>
          </w:tcPr>
          <w:p>
            <w:pPr>
              <w:spacing w:after="0"/>
              <w:rPr>
                <w:sz w:val="20"/>
                <w:szCs w:val="20"/>
                <w:color w:val="auto"/>
              </w:rPr>
            </w:pPr>
            <w:r>
              <w:rPr>
                <w:rFonts w:ascii="Arial" w:cs="Arial" w:eastAsia="Arial" w:hAnsi="Arial"/>
                <w:sz w:val="16"/>
                <w:szCs w:val="16"/>
                <w:b w:val="1"/>
                <w:bCs w:val="1"/>
                <w:color w:val="auto"/>
              </w:rPr>
              <w:t>2.</w:t>
            </w:r>
          </w:p>
        </w:tc>
        <w:tc>
          <w:tcPr>
            <w:tcW w:w="7360" w:type="dxa"/>
            <w:vAlign w:val="bottom"/>
          </w:tcPr>
          <w:p>
            <w:pPr>
              <w:ind w:left="100"/>
              <w:spacing w:after="0"/>
              <w:rPr>
                <w:sz w:val="20"/>
                <w:szCs w:val="20"/>
                <w:color w:val="auto"/>
              </w:rPr>
            </w:pPr>
            <w:r>
              <w:rPr>
                <w:rFonts w:ascii="Arial" w:cs="Arial" w:eastAsia="Arial" w:hAnsi="Arial"/>
                <w:sz w:val="16"/>
                <w:szCs w:val="16"/>
                <w:color w:val="auto"/>
              </w:rPr>
              <w:t>Ratification of the appointment of Deloitte &amp; Touche LLP as our independent registered public</w:t>
            </w:r>
          </w:p>
        </w:tc>
        <w:tc>
          <w:tcPr>
            <w:tcW w:w="13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06"/>
        </w:trPr>
        <w:tc>
          <w:tcPr>
            <w:tcW w:w="2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Arial" w:cs="Arial" w:eastAsia="Arial" w:hAnsi="Arial"/>
                <w:sz w:val="16"/>
                <w:szCs w:val="16"/>
                <w:color w:val="auto"/>
              </w:rPr>
              <w:t>accounting firm for the fiscal year ending December 31, 2022.</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91"/>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The Board of Directors recommends you vote AGAINST the following proposal:</w:t>
            </w:r>
          </w:p>
        </w:tc>
        <w:tc>
          <w:tcPr>
            <w:tcW w:w="1380" w:type="dxa"/>
            <w:vAlign w:val="bottom"/>
          </w:tcPr>
          <w:p>
            <w:pPr>
              <w:ind w:left="1100"/>
              <w:spacing w:after="0"/>
              <w:rPr>
                <w:sz w:val="20"/>
                <w:szCs w:val="20"/>
                <w:color w:val="auto"/>
              </w:rPr>
            </w:pPr>
            <w:r>
              <w:rPr>
                <w:rFonts w:ascii="Arial" w:cs="Arial" w:eastAsia="Arial" w:hAnsi="Arial"/>
                <w:sz w:val="13"/>
                <w:szCs w:val="13"/>
                <w:b w:val="1"/>
                <w:bCs w:val="1"/>
                <w:color w:val="auto"/>
              </w:rPr>
              <w:t>For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w w:val="83"/>
              </w:rPr>
              <w:t>Abstain</w:t>
            </w:r>
          </w:p>
        </w:tc>
      </w:tr>
      <w:tr>
        <w:trPr>
          <w:trHeight w:val="283"/>
        </w:trPr>
        <w:tc>
          <w:tcPr>
            <w:tcW w:w="220" w:type="dxa"/>
            <w:vAlign w:val="bottom"/>
          </w:tcPr>
          <w:p>
            <w:pPr>
              <w:spacing w:after="0"/>
              <w:rPr>
                <w:sz w:val="20"/>
                <w:szCs w:val="20"/>
                <w:color w:val="auto"/>
              </w:rPr>
            </w:pPr>
            <w:r>
              <w:rPr>
                <w:rFonts w:ascii="Arial" w:cs="Arial" w:eastAsia="Arial" w:hAnsi="Arial"/>
                <w:sz w:val="16"/>
                <w:szCs w:val="16"/>
                <w:color w:val="auto"/>
              </w:rPr>
              <w:t>3.</w:t>
            </w:r>
          </w:p>
        </w:tc>
        <w:tc>
          <w:tcPr>
            <w:tcW w:w="7360" w:type="dxa"/>
            <w:vAlign w:val="bottom"/>
          </w:tcPr>
          <w:p>
            <w:pPr>
              <w:ind w:left="100"/>
              <w:spacing w:after="0"/>
              <w:rPr>
                <w:sz w:val="20"/>
                <w:szCs w:val="20"/>
                <w:color w:val="auto"/>
              </w:rPr>
            </w:pPr>
            <w:r>
              <w:rPr>
                <w:rFonts w:ascii="Arial" w:cs="Arial" w:eastAsia="Arial" w:hAnsi="Arial"/>
                <w:sz w:val="16"/>
                <w:szCs w:val="16"/>
                <w:color w:val="auto"/>
              </w:rPr>
              <w:t>The stockholder proposal relating to the adoption of a policy on board diversity.</w:t>
            </w:r>
          </w:p>
        </w:tc>
        <w:tc>
          <w:tcPr>
            <w:tcW w:w="13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1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Please sign exactly as your name(s) appear(s) hereon. When signing as attorney,</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executor, administrator, or other fiduciary, please give full title as such. Joint</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owners should each sign personally. All holders must sign. If a corporation or</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partnership, please sign in full corporate or partnership name by authorized</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060"/>
          </w:cols>
          <w:pgMar w:left="320" w:top="459" w:right="51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1040"/>
        <w:spacing w:after="0"/>
        <w:tabs>
          <w:tab w:leader="none" w:pos="4040" w:val="left"/>
          <w:tab w:leader="none" w:pos="6800" w:val="left"/>
          <w:tab w:leader="none" w:pos="96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60"/>
          </w:cols>
          <w:pgMar w:left="320" w:top="459" w:right="51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 xml:space="preserve">The Annual Report and Notice &amp; Proxy Statement are available at </w:t>
      </w:r>
      <w:r>
        <w:rPr>
          <w:rFonts w:ascii="Arial" w:cs="Arial" w:eastAsia="Arial" w:hAnsi="Arial"/>
          <w:sz w:val="18"/>
          <w:szCs w:val="18"/>
          <w:u w:val="single" w:color="auto"/>
          <w:color w:val="auto"/>
        </w:rPr>
        <w:t>www.proxyvote.com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 — — — — — — — — — — — — — — — — — — — — — — — — — — — — — —</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160020</wp:posOffset>
            </wp:positionV>
            <wp:extent cx="6720840" cy="4337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20840" cy="4337685"/>
                    </a:xfrm>
                    <a:prstGeom prst="rect">
                      <a:avLst/>
                    </a:prstGeom>
                    <a:noFill/>
                  </pic:spPr>
                </pic:pic>
              </a:graphicData>
            </a:graphic>
          </wp:anchor>
        </w:drawing>
      </w:r>
    </w:p>
    <w:p>
      <w:pPr>
        <w:spacing w:after="0" w:line="34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May 10, 2022 12:30 PM</w:t>
      </w:r>
    </w:p>
    <w:p>
      <w:pPr>
        <w:spacing w:after="0" w:line="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42" w:lineRule="exact"/>
        <w:rPr>
          <w:sz w:val="20"/>
          <w:szCs w:val="20"/>
          <w:color w:val="auto"/>
        </w:rPr>
      </w:pPr>
    </w:p>
    <w:p>
      <w:pPr>
        <w:ind w:left="800"/>
        <w:spacing w:after="0" w:line="269" w:lineRule="auto"/>
        <w:rPr>
          <w:sz w:val="20"/>
          <w:szCs w:val="20"/>
          <w:color w:val="auto"/>
        </w:rPr>
      </w:pPr>
      <w:r>
        <w:rPr>
          <w:rFonts w:ascii="Arial" w:cs="Arial" w:eastAsia="Arial" w:hAnsi="Arial"/>
          <w:sz w:val="16"/>
          <w:szCs w:val="16"/>
          <w:color w:val="auto"/>
        </w:rPr>
        <w:t>The undersigned hereby appoint(s) Douglas Friedman and Lee Olesky, and each of them, each with full power of substitution, as proxies, and hereby authorize(s) them to represent and to vote, as designated on the reverse side of this ballot, all of the shares of Class A common stock, par value $0.00001 per share, Class B common stock, par value $0.00001 per share, Class C common stock, par value $0.00001 per share, and Class D common stock, par value $0.00001 per share, of Tradeweb Markets Inc. (the “Company”), that the undersigned is/are entitled to vote at the Annual Meeting of Stockholders to be held virtually at 12:30 PM, Eastern Time, on Tuesday, May 10, 2022, at www.virtualshareholdermeeting.com/TW2022, and at any adjournment or postponement thereof.</w:t>
      </w:r>
    </w:p>
    <w:p>
      <w:pPr>
        <w:spacing w:after="0" w:line="217" w:lineRule="exact"/>
        <w:rPr>
          <w:sz w:val="20"/>
          <w:szCs w:val="20"/>
          <w:color w:val="auto"/>
        </w:rPr>
      </w:pPr>
    </w:p>
    <w:p>
      <w:pPr>
        <w:ind w:left="800" w:right="200"/>
        <w:spacing w:after="0" w:line="281" w:lineRule="auto"/>
        <w:rPr>
          <w:sz w:val="20"/>
          <w:szCs w:val="20"/>
          <w:color w:val="auto"/>
        </w:rPr>
      </w:pPr>
      <w:r>
        <w:rPr>
          <w:rFonts w:ascii="Arial" w:cs="Arial" w:eastAsia="Arial" w:hAnsi="Arial"/>
          <w:sz w:val="16"/>
          <w:szCs w:val="16"/>
          <w:b w:val="1"/>
          <w:bCs w:val="1"/>
          <w:color w:val="auto"/>
        </w:rPr>
        <w:t>WHEN PROPERLY EXECUTED, THIS PROXY WILL BE VOTED AS DIRECTED, BUT IF NO INSTRUCTIONS ARE SPECIFIED, THIS PROXY WILL BE VOTED “FOR” THE ELECTION OF ALL LISTED NOMINEES AS DIRECTORS, “FOR” PROPOSAL 2, AND “AGAINST”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978535</wp:posOffset>
            </wp:positionV>
            <wp:extent cx="93980" cy="9855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Continued and to be signed on reverse side</w:t>
      </w:r>
    </w:p>
    <w:sectPr>
      <w:pgSz w:w="11900" w:h="16838" w:orient="portrait"/>
      <w:cols w:equalWidth="0" w:num="1">
        <w:col w:w="10880"/>
      </w:cols>
      <w:pgMar w:left="320" w:top="45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lvl w:ilvl="1">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4"/>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6"/>
    </w:lvl>
    <w:lvl w:ilvl="1">
      <w:lvlJc w:val="left"/>
      <w:lvlText w:val="(%2)"/>
      <w:numFmt w:val="lowerRoman"/>
      <w:start w:val="3"/>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upperLetter"/>
      <w:start w:val="3"/>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1)"/>
      <w:numFmt w:val="decimal"/>
      <w:start w:val="6"/>
    </w:lvl>
    <w:lvl w:ilvl="1">
      <w:lvlJc w:val="left"/>
      <w:lvlText w:val="\emdash "/>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Roman"/>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emdash "/>
      <w:numFmt w:val="bullet"/>
      <w:start w:val="1"/>
    </w:lvl>
    <w:lvl w:ilvl="1">
      <w:lvlJc w:val="left"/>
      <w:lvlText w:val="\emdash "/>
      <w:numFmt w:val="bullet"/>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2022-03-29T05:25:35Z</dcterms:created>
  <dcterms:modified xsi:type="dcterms:W3CDTF">2022-03-29T05:25:35Z</dcterms:modified>
</cp:coreProperties>
</file>