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2260"/>
        <w:spacing w:after="0"/>
        <w:rPr>
          <w:sz w:val="20"/>
          <w:szCs w:val="20"/>
          <w:color w:val="auto"/>
        </w:rPr>
      </w:pPr>
      <w:r>
        <w:rPr>
          <w:rFonts w:ascii="Arial" w:cs="Arial" w:eastAsia="Arial" w:hAnsi="Arial"/>
          <w:sz w:val="28"/>
          <w:szCs w:val="28"/>
          <w:color w:val="FFFFFF"/>
        </w:rPr>
        <w:t>2025 ANNUAL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right"/>
        <w:ind w:right="260"/>
        <w:spacing w:after="0"/>
        <w:rPr>
          <w:sz w:val="20"/>
          <w:szCs w:val="20"/>
          <w:color w:val="auto"/>
        </w:rPr>
      </w:pPr>
      <w:r>
        <w:rPr>
          <w:rFonts w:ascii="Arial" w:cs="Arial" w:eastAsia="Arial" w:hAnsi="Arial"/>
          <w:sz w:val="40"/>
          <w:szCs w:val="40"/>
          <w:color w:val="FFFFFF"/>
        </w:rPr>
        <w:t>CONV E R G E N C E</w:t>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5660"/>
        <w:spacing w:after="0" w:line="279" w:lineRule="auto"/>
        <w:rPr>
          <w:sz w:val="20"/>
          <w:szCs w:val="20"/>
          <w:color w:val="auto"/>
        </w:rPr>
      </w:pPr>
      <w:r>
        <w:rPr>
          <w:rFonts w:ascii="Arial" w:cs="Arial" w:eastAsia="Arial" w:hAnsi="Arial"/>
          <w:sz w:val="36"/>
          <w:szCs w:val="36"/>
          <w:color w:val="7DCCD1"/>
        </w:rPr>
        <w:t>THE SPEED OF MARKET EVOLUTION IS INCREASING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240"/>
        <w:spacing w:after="0" w:line="398" w:lineRule="auto"/>
        <w:rPr>
          <w:sz w:val="20"/>
          <w:szCs w:val="20"/>
          <w:color w:val="auto"/>
        </w:rPr>
      </w:pPr>
      <w:r>
        <w:rPr>
          <w:rFonts w:ascii="Arial" w:cs="Arial" w:eastAsia="Arial" w:hAnsi="Arial"/>
          <w:sz w:val="21"/>
          <w:szCs w:val="21"/>
          <w:color w:val="FFFFFF"/>
        </w:rPr>
        <w:t>In 2025, Tradeweb reinforced its position in modern financial markets. As geopolitical shifts, market structure changes and evolving sources of liquidity continued to reshape the landscape, we provided infrastructure, tools and technology that helped enable markets to adapt and grow. Clients accelerated their use of algorithmic trading, digital assets gained momentum and cross-asset workflows became even more efficient. Looking ahead, our continued focus on automation, AI and liquidity solutions positions us at the forefront of market innovation.</w:t>
      </w:r>
    </w:p>
    <w:p>
      <w:pPr>
        <w:spacing w:after="0" w:line="267" w:lineRule="exact"/>
        <w:rPr>
          <w:sz w:val="20"/>
          <w:szCs w:val="20"/>
          <w:color w:val="auto"/>
        </w:rPr>
      </w:pPr>
    </w:p>
    <w:p>
      <w:pPr>
        <w:ind w:right="3740"/>
        <w:spacing w:after="0" w:line="400" w:lineRule="auto"/>
        <w:rPr>
          <w:sz w:val="20"/>
          <w:szCs w:val="20"/>
          <w:color w:val="auto"/>
        </w:rPr>
      </w:pPr>
      <w:r>
        <w:rPr>
          <w:rFonts w:ascii="Arial" w:cs="Arial" w:eastAsia="Arial" w:hAnsi="Arial"/>
          <w:sz w:val="21"/>
          <w:szCs w:val="21"/>
          <w:color w:val="FFFFFF"/>
        </w:rPr>
        <w:t>In 2026, we will continue our work to modernize institutional market structure as we push for smarter, faster and more connected financial markets together with our clients.</w:t>
      </w:r>
      <w:r>
        <w:rPr>
          <w:rFonts w:ascii="Arial" w:cs="Arial" w:eastAsia="Arial" w:hAnsi="Arial"/>
          <w:sz w:val="21"/>
          <w:szCs w:val="21"/>
          <w:color w:val="7DCCD1"/>
        </w:rPr>
        <w: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690"/>
        </w:trPr>
        <w:tc>
          <w:tcPr>
            <w:tcW w:w="2380" w:type="dxa"/>
            <w:vAlign w:val="bottom"/>
          </w:tcPr>
          <w:p>
            <w:pPr>
              <w:spacing w:after="0"/>
              <w:rPr>
                <w:sz w:val="20"/>
                <w:szCs w:val="20"/>
                <w:color w:val="auto"/>
              </w:rPr>
            </w:pPr>
            <w:r>
              <w:rPr>
                <w:rFonts w:ascii="Arial" w:cs="Arial" w:eastAsia="Arial" w:hAnsi="Arial"/>
                <w:sz w:val="60"/>
                <w:szCs w:val="60"/>
                <w:color w:val="7DCCD1"/>
              </w:rPr>
              <w:t>$2.1B</w:t>
            </w:r>
          </w:p>
        </w:tc>
        <w:tc>
          <w:tcPr>
            <w:tcW w:w="2820" w:type="dxa"/>
            <w:vAlign w:val="bottom"/>
          </w:tcPr>
          <w:p>
            <w:pPr>
              <w:ind w:left="560"/>
              <w:spacing w:after="0"/>
              <w:rPr>
                <w:sz w:val="20"/>
                <w:szCs w:val="20"/>
                <w:color w:val="auto"/>
              </w:rPr>
            </w:pPr>
            <w:r>
              <w:rPr>
                <w:rFonts w:ascii="Arial" w:cs="Arial" w:eastAsia="Arial" w:hAnsi="Arial"/>
                <w:sz w:val="60"/>
                <w:szCs w:val="60"/>
                <w:color w:val="7DCCD1"/>
              </w:rPr>
              <w:t>$2.6T</w:t>
            </w:r>
          </w:p>
        </w:tc>
        <w:tc>
          <w:tcPr>
            <w:tcW w:w="2840" w:type="dxa"/>
            <w:vAlign w:val="bottom"/>
          </w:tcPr>
          <w:p>
            <w:pPr>
              <w:ind w:left="540"/>
              <w:spacing w:after="0"/>
              <w:rPr>
                <w:sz w:val="20"/>
                <w:szCs w:val="20"/>
                <w:color w:val="auto"/>
              </w:rPr>
            </w:pPr>
            <w:r>
              <w:rPr>
                <w:rFonts w:ascii="Arial" w:cs="Arial" w:eastAsia="Arial" w:hAnsi="Arial"/>
                <w:sz w:val="60"/>
                <w:szCs w:val="60"/>
                <w:color w:val="7DCCD1"/>
                <w:w w:val="90"/>
              </w:rPr>
              <w:t>150,000+</w:t>
            </w:r>
          </w:p>
        </w:tc>
      </w:tr>
      <w:tr>
        <w:trPr>
          <w:trHeight w:val="255"/>
        </w:trPr>
        <w:tc>
          <w:tcPr>
            <w:tcW w:w="2380" w:type="dxa"/>
            <w:vAlign w:val="bottom"/>
          </w:tcPr>
          <w:p>
            <w:pPr>
              <w:spacing w:after="0"/>
              <w:rPr>
                <w:sz w:val="20"/>
                <w:szCs w:val="20"/>
                <w:color w:val="auto"/>
              </w:rPr>
            </w:pPr>
            <w:r>
              <w:rPr>
                <w:rFonts w:ascii="Arial" w:cs="Arial" w:eastAsia="Arial" w:hAnsi="Arial"/>
                <w:sz w:val="20"/>
                <w:szCs w:val="20"/>
                <w:color w:val="FFFFFF"/>
              </w:rPr>
              <w:t>FULL-YEAR REVENUES</w:t>
            </w:r>
          </w:p>
        </w:tc>
        <w:tc>
          <w:tcPr>
            <w:tcW w:w="2820" w:type="dxa"/>
            <w:vAlign w:val="bottom"/>
          </w:tcPr>
          <w:p>
            <w:pPr>
              <w:ind w:left="560"/>
              <w:spacing w:after="0"/>
              <w:rPr>
                <w:sz w:val="20"/>
                <w:szCs w:val="20"/>
                <w:color w:val="auto"/>
              </w:rPr>
            </w:pPr>
            <w:r>
              <w:rPr>
                <w:rFonts w:ascii="Arial" w:cs="Arial" w:eastAsia="Arial" w:hAnsi="Arial"/>
                <w:sz w:val="20"/>
                <w:szCs w:val="20"/>
                <w:color w:val="FFFFFF"/>
              </w:rPr>
              <w:t>FULL-YEAR AVERAGE</w:t>
            </w:r>
          </w:p>
        </w:tc>
        <w:tc>
          <w:tcPr>
            <w:tcW w:w="2840" w:type="dxa"/>
            <w:vAlign w:val="bottom"/>
          </w:tcPr>
          <w:p>
            <w:pPr>
              <w:ind w:left="540"/>
              <w:spacing w:after="0"/>
              <w:rPr>
                <w:sz w:val="20"/>
                <w:szCs w:val="20"/>
                <w:color w:val="auto"/>
              </w:rPr>
            </w:pPr>
            <w:r>
              <w:rPr>
                <w:rFonts w:ascii="Arial" w:cs="Arial" w:eastAsia="Arial" w:hAnsi="Arial"/>
                <w:sz w:val="20"/>
                <w:szCs w:val="20"/>
                <w:color w:val="FFFFFF"/>
                <w:w w:val="80"/>
              </w:rPr>
              <w:t>DAILY TRADES ON AVERAGE</w:t>
            </w:r>
          </w:p>
        </w:tc>
      </w:tr>
      <w:tr>
        <w:trPr>
          <w:trHeight w:val="220"/>
        </w:trPr>
        <w:tc>
          <w:tcPr>
            <w:tcW w:w="2380" w:type="dxa"/>
            <w:vAlign w:val="bottom"/>
          </w:tcPr>
          <w:p>
            <w:pPr>
              <w:spacing w:after="0" w:line="220" w:lineRule="exact"/>
              <w:rPr>
                <w:sz w:val="20"/>
                <w:szCs w:val="20"/>
                <w:color w:val="auto"/>
              </w:rPr>
            </w:pPr>
            <w:r>
              <w:rPr>
                <w:rFonts w:ascii="Arial" w:cs="Arial" w:eastAsia="Arial" w:hAnsi="Arial"/>
                <w:sz w:val="20"/>
                <w:szCs w:val="20"/>
                <w:color w:val="FFFFFF"/>
              </w:rPr>
              <w:t>DECEMBER 31, 2025</w:t>
            </w:r>
          </w:p>
        </w:tc>
        <w:tc>
          <w:tcPr>
            <w:tcW w:w="2820" w:type="dxa"/>
            <w:vAlign w:val="bottom"/>
          </w:tcPr>
          <w:p>
            <w:pPr>
              <w:ind w:left="560"/>
              <w:spacing w:after="0" w:line="220" w:lineRule="exact"/>
              <w:rPr>
                <w:sz w:val="20"/>
                <w:szCs w:val="20"/>
                <w:color w:val="auto"/>
              </w:rPr>
            </w:pPr>
            <w:r>
              <w:rPr>
                <w:rFonts w:ascii="Arial" w:cs="Arial" w:eastAsia="Arial" w:hAnsi="Arial"/>
                <w:sz w:val="20"/>
                <w:szCs w:val="20"/>
                <w:color w:val="FFFFFF"/>
              </w:rPr>
              <w:t>DAILY VOLUME (ADV)</w:t>
            </w:r>
          </w:p>
        </w:tc>
        <w:tc>
          <w:tcPr>
            <w:tcW w:w="2840" w:type="dxa"/>
            <w:vAlign w:val="bottom"/>
          </w:tcPr>
          <w:p>
            <w:pPr>
              <w:ind w:left="540"/>
              <w:spacing w:after="0" w:line="220" w:lineRule="exact"/>
              <w:rPr>
                <w:sz w:val="20"/>
                <w:szCs w:val="20"/>
                <w:color w:val="auto"/>
              </w:rPr>
            </w:pPr>
            <w:r>
              <w:rPr>
                <w:rFonts w:ascii="Arial" w:cs="Arial" w:eastAsia="Arial" w:hAnsi="Arial"/>
                <w:sz w:val="20"/>
                <w:szCs w:val="20"/>
                <w:color w:val="FFFFFF"/>
              </w:rPr>
              <w:t>DECEMBER 31, 2025</w:t>
            </w:r>
          </w:p>
        </w:tc>
      </w:tr>
      <w:tr>
        <w:trPr>
          <w:trHeight w:val="220"/>
        </w:trPr>
        <w:tc>
          <w:tcPr>
            <w:tcW w:w="2380" w:type="dxa"/>
            <w:vAlign w:val="bottom"/>
          </w:tcPr>
          <w:p>
            <w:pPr>
              <w:spacing w:after="0"/>
              <w:rPr>
                <w:sz w:val="19"/>
                <w:szCs w:val="19"/>
                <w:color w:val="auto"/>
              </w:rPr>
            </w:pPr>
          </w:p>
        </w:tc>
        <w:tc>
          <w:tcPr>
            <w:tcW w:w="2820" w:type="dxa"/>
            <w:vAlign w:val="bottom"/>
          </w:tcPr>
          <w:p>
            <w:pPr>
              <w:ind w:left="560"/>
              <w:spacing w:after="0" w:line="220" w:lineRule="exact"/>
              <w:rPr>
                <w:sz w:val="20"/>
                <w:szCs w:val="20"/>
                <w:color w:val="auto"/>
              </w:rPr>
            </w:pPr>
            <w:r>
              <w:rPr>
                <w:rFonts w:ascii="Arial" w:cs="Arial" w:eastAsia="Arial" w:hAnsi="Arial"/>
                <w:sz w:val="20"/>
                <w:szCs w:val="20"/>
                <w:color w:val="FFFFFF"/>
              </w:rPr>
              <w:t>DECEMBER 31, 2025</w:t>
            </w:r>
          </w:p>
        </w:tc>
        <w:tc>
          <w:tcPr>
            <w:tcW w:w="2840" w:type="dxa"/>
            <w:vAlign w:val="bottom"/>
          </w:tcPr>
          <w:p>
            <w:pPr>
              <w:spacing w:after="0"/>
              <w:rPr>
                <w:sz w:val="19"/>
                <w:szCs w:val="19"/>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690"/>
        </w:trPr>
        <w:tc>
          <w:tcPr>
            <w:tcW w:w="2320" w:type="dxa"/>
            <w:vAlign w:val="bottom"/>
          </w:tcPr>
          <w:p>
            <w:pPr>
              <w:spacing w:after="0"/>
              <w:rPr>
                <w:sz w:val="20"/>
                <w:szCs w:val="20"/>
                <w:color w:val="auto"/>
              </w:rPr>
            </w:pPr>
            <w:r>
              <w:rPr>
                <w:rFonts w:ascii="Arial" w:cs="Arial" w:eastAsia="Arial" w:hAnsi="Arial"/>
                <w:sz w:val="60"/>
                <w:szCs w:val="60"/>
                <w:color w:val="7DCCD1"/>
              </w:rPr>
              <w:t>50+</w:t>
            </w:r>
          </w:p>
        </w:tc>
        <w:tc>
          <w:tcPr>
            <w:tcW w:w="2520" w:type="dxa"/>
            <w:vAlign w:val="bottom"/>
          </w:tcPr>
          <w:p>
            <w:pPr>
              <w:ind w:left="620"/>
              <w:spacing w:after="0"/>
              <w:rPr>
                <w:sz w:val="20"/>
                <w:szCs w:val="20"/>
                <w:color w:val="auto"/>
              </w:rPr>
            </w:pPr>
            <w:r>
              <w:rPr>
                <w:rFonts w:ascii="Arial" w:cs="Arial" w:eastAsia="Arial" w:hAnsi="Arial"/>
                <w:sz w:val="60"/>
                <w:szCs w:val="60"/>
                <w:color w:val="7DCCD1"/>
              </w:rPr>
              <w:t>85+</w:t>
            </w:r>
          </w:p>
        </w:tc>
        <w:tc>
          <w:tcPr>
            <w:tcW w:w="2340" w:type="dxa"/>
            <w:vAlign w:val="bottom"/>
          </w:tcPr>
          <w:p>
            <w:pPr>
              <w:ind w:left="900"/>
              <w:spacing w:after="0"/>
              <w:rPr>
                <w:sz w:val="20"/>
                <w:szCs w:val="20"/>
                <w:color w:val="auto"/>
              </w:rPr>
            </w:pPr>
            <w:r>
              <w:rPr>
                <w:rFonts w:ascii="Arial" w:cs="Arial" w:eastAsia="Arial" w:hAnsi="Arial"/>
                <w:sz w:val="60"/>
                <w:szCs w:val="60"/>
                <w:color w:val="7DCCD1"/>
              </w:rPr>
              <w:t>400+</w:t>
            </w:r>
          </w:p>
        </w:tc>
      </w:tr>
      <w:tr>
        <w:trPr>
          <w:trHeight w:val="255"/>
        </w:trPr>
        <w:tc>
          <w:tcPr>
            <w:tcW w:w="2320" w:type="dxa"/>
            <w:vAlign w:val="bottom"/>
          </w:tcPr>
          <w:p>
            <w:pPr>
              <w:spacing w:after="0"/>
              <w:rPr>
                <w:sz w:val="20"/>
                <w:szCs w:val="20"/>
                <w:color w:val="auto"/>
              </w:rPr>
            </w:pPr>
            <w:r>
              <w:rPr>
                <w:rFonts w:ascii="Arial" w:cs="Arial" w:eastAsia="Arial" w:hAnsi="Arial"/>
                <w:sz w:val="20"/>
                <w:szCs w:val="20"/>
                <w:color w:val="FFFFFF"/>
              </w:rPr>
              <w:t>PRODUCTS</w:t>
            </w:r>
          </w:p>
        </w:tc>
        <w:tc>
          <w:tcPr>
            <w:tcW w:w="2520" w:type="dxa"/>
            <w:vAlign w:val="bottom"/>
          </w:tcPr>
          <w:p>
            <w:pPr>
              <w:ind w:left="620"/>
              <w:spacing w:after="0"/>
              <w:rPr>
                <w:sz w:val="20"/>
                <w:szCs w:val="20"/>
                <w:color w:val="auto"/>
              </w:rPr>
            </w:pPr>
            <w:r>
              <w:rPr>
                <w:rFonts w:ascii="Arial" w:cs="Arial" w:eastAsia="Arial" w:hAnsi="Arial"/>
                <w:sz w:val="20"/>
                <w:szCs w:val="20"/>
                <w:color w:val="FFFFFF"/>
              </w:rPr>
              <w:t>COUNTRIES</w:t>
            </w:r>
          </w:p>
        </w:tc>
        <w:tc>
          <w:tcPr>
            <w:tcW w:w="2340" w:type="dxa"/>
            <w:vAlign w:val="bottom"/>
          </w:tcPr>
          <w:p>
            <w:pPr>
              <w:ind w:left="900"/>
              <w:spacing w:after="0"/>
              <w:rPr>
                <w:sz w:val="20"/>
                <w:szCs w:val="20"/>
                <w:color w:val="auto"/>
              </w:rPr>
            </w:pPr>
            <w:r>
              <w:rPr>
                <w:rFonts w:ascii="Arial" w:cs="Arial" w:eastAsia="Arial" w:hAnsi="Arial"/>
                <w:sz w:val="20"/>
                <w:szCs w:val="20"/>
                <w:color w:val="FFFFFF"/>
                <w:w w:val="82"/>
              </w:rPr>
              <w:t>TECHNOLOGISTS</w:t>
            </w:r>
          </w:p>
        </w:tc>
      </w:tr>
      <w:tr>
        <w:trPr>
          <w:trHeight w:val="1114"/>
        </w:trPr>
        <w:tc>
          <w:tcPr>
            <w:tcW w:w="2320" w:type="dxa"/>
            <w:vAlign w:val="bottom"/>
          </w:tcPr>
          <w:p>
            <w:pPr>
              <w:spacing w:after="0"/>
              <w:rPr>
                <w:sz w:val="20"/>
                <w:szCs w:val="20"/>
                <w:color w:val="auto"/>
              </w:rPr>
            </w:pPr>
            <w:r>
              <w:rPr>
                <w:rFonts w:ascii="Arial" w:cs="Arial" w:eastAsia="Arial" w:hAnsi="Arial"/>
                <w:sz w:val="60"/>
                <w:szCs w:val="60"/>
                <w:color w:val="7DCCD1"/>
              </w:rPr>
              <w:t>3,000+</w:t>
            </w:r>
          </w:p>
        </w:tc>
        <w:tc>
          <w:tcPr>
            <w:tcW w:w="252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50" w:lineRule="exact"/>
        <w:rPr>
          <w:sz w:val="20"/>
          <w:szCs w:val="20"/>
          <w:color w:val="auto"/>
        </w:rPr>
      </w:pPr>
    </w:p>
    <w:p>
      <w:pPr>
        <w:sectPr>
          <w:pgSz w:w="12240" w:h="15840" w:orient="portrait"/>
          <w:cols w:equalWidth="0" w:num="1">
            <w:col w:w="9360"/>
          </w:cols>
          <w:pgMar w:left="1440" w:top="1440" w:right="1440" w:bottom="1440" w:gutter="0" w:footer="0" w:header="0"/>
        </w:sectPr>
      </w:pPr>
    </w:p>
    <w:p>
      <w:pPr>
        <w:spacing w:after="0"/>
        <w:rPr>
          <w:sz w:val="20"/>
          <w:szCs w:val="20"/>
          <w:color w:val="auto"/>
        </w:rPr>
      </w:pPr>
      <w:r>
        <w:rPr>
          <w:rFonts w:ascii="Arial" w:cs="Arial" w:eastAsia="Arial" w:hAnsi="Arial"/>
          <w:sz w:val="16"/>
          <w:szCs w:val="16"/>
          <w:color w:val="FFFFFF"/>
        </w:rPr>
        <w:t>CLIENTS</w:t>
      </w:r>
    </w:p>
    <w:p>
      <w:pPr>
        <w:sectPr>
          <w:pgSz w:w="12240" w:h="15840" w:orient="portrait"/>
          <w:cols w:equalWidth="0" w:num="1">
            <w:col w:w="9360"/>
          </w:cols>
          <w:pgMar w:left="1440" w:top="1440"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40"/>
          <w:szCs w:val="40"/>
          <w:color w:val="auto"/>
        </w:rPr>
        <w:t>DEAR FELLOW</w:t>
      </w:r>
    </w:p>
    <w:p>
      <w:pPr>
        <w:ind w:left="120"/>
        <w:spacing w:after="0" w:line="217" w:lineRule="auto"/>
        <w:rPr>
          <w:sz w:val="20"/>
          <w:szCs w:val="20"/>
          <w:color w:val="auto"/>
        </w:rPr>
      </w:pPr>
      <w:r>
        <w:rPr>
          <w:rFonts w:ascii="Arial" w:cs="Arial" w:eastAsia="Arial" w:hAnsi="Arial"/>
          <w:sz w:val="40"/>
          <w:szCs w:val="40"/>
          <w:color w:val="auto"/>
        </w:rPr>
        <w:t>SHAREHOLDERS,</w:t>
      </w: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21"/>
          <w:szCs w:val="21"/>
          <w:color w:val="auto"/>
        </w:rPr>
        <w:t>At our core, we are a global leader in electronic</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1"/>
          <w:szCs w:val="21"/>
          <w:color w:val="auto"/>
        </w:rPr>
        <w:t>trading across asset classes. We have a unique</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1"/>
          <w:szCs w:val="21"/>
          <w:color w:val="auto"/>
        </w:rPr>
        <w:t>vantage point in understanding trading behavior</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liquidity trends across asset classes, regions and</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21"/>
          <w:szCs w:val="21"/>
          <w:color w:val="auto"/>
        </w:rPr>
        <w:t>sectors. In 2025, that approach delivered record</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1"/>
          <w:szCs w:val="21"/>
          <w:color w:val="auto"/>
        </w:rPr>
        <w:t>trading activity across most of our products and</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another very strong financial year, with revenues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1"/>
          <w:szCs w:val="21"/>
          <w:color w:val="auto"/>
        </w:rPr>
        <w:t>growing 19% year-over-year to $2.1 billion. This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marked our 26th consecutive year of record revenue</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and the first time Tradeweb surpassed the $2 billion</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milestone, a testament to our long-standing track</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record of listening closely to clients and relentlessly</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delivering technological solutions that modernize</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markets and redefine how participants trade.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Highlights in 2025 included crossing $500 million</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in swaps annual revenues, $100 million in emerging</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markets annual revenues, and $10 million in digital</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1"/>
          <w:szCs w:val="21"/>
          <w:color w:val="auto"/>
        </w:rPr>
        <w:t>asset revenues associated with the services we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provide on the Canton Network. As markets become</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more connected and increasingly data-driven,</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1"/>
          <w:szCs w:val="21"/>
          <w:color w:val="auto"/>
        </w:rPr>
        <w:t>we remain focused on investing in our strengths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1"/>
          <w:szCs w:val="21"/>
          <w:color w:val="auto"/>
        </w:rPr>
        <w:t>and building upon our leading multi-asset class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footprint across both our core and frontier markets</w:t>
      </w:r>
      <w:r>
        <w:rPr>
          <w:rFonts w:ascii="Arial" w:cs="Arial" w:eastAsia="Arial" w:hAnsi="Arial"/>
          <w:sz w:val="22"/>
          <w:szCs w:val="22"/>
          <w:color w:val="auto"/>
          <w:vertAlign w:val="superscript"/>
        </w:rPr>
        <w:t>1</w:t>
      </w:r>
      <w:r>
        <w:rPr>
          <w:rFonts w:ascii="Arial" w:cs="Arial" w:eastAsia="Arial" w:hAnsi="Arial"/>
          <w:sz w:val="19"/>
          <w:szCs w:val="19"/>
          <w:color w:val="auto"/>
        </w:rPr>
        <w: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positioning Tradeweb to continue delivering value to</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clients and shareholders alike.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5740"/>
        <w:spacing w:after="0"/>
        <w:rPr>
          <w:sz w:val="20"/>
          <w:szCs w:val="20"/>
          <w:color w:val="auto"/>
        </w:rPr>
      </w:pPr>
      <w:r>
        <w:rPr>
          <w:rFonts w:ascii="Arial" w:cs="Arial" w:eastAsia="Arial" w:hAnsi="Arial"/>
          <w:sz w:val="24"/>
          <w:szCs w:val="24"/>
          <w:color w:val="FFFFFF"/>
        </w:rPr>
        <w:t>BILLY HULT</w:t>
      </w:r>
    </w:p>
    <w:p>
      <w:pPr>
        <w:spacing w:after="0" w:line="44" w:lineRule="exact"/>
        <w:rPr>
          <w:sz w:val="20"/>
          <w:szCs w:val="20"/>
          <w:color w:val="auto"/>
        </w:rPr>
      </w:pPr>
    </w:p>
    <w:p>
      <w:pPr>
        <w:jc w:val="right"/>
        <w:ind w:right="5740"/>
        <w:spacing w:after="0"/>
        <w:rPr>
          <w:sz w:val="20"/>
          <w:szCs w:val="20"/>
          <w:color w:val="auto"/>
        </w:rPr>
      </w:pPr>
      <w:r>
        <w:rPr>
          <w:rFonts w:ascii="Arial" w:cs="Arial" w:eastAsia="Arial" w:hAnsi="Arial"/>
          <w:sz w:val="24"/>
          <w:szCs w:val="24"/>
          <w:color w:val="FFFFFF"/>
        </w:rPr>
        <w:t>Chief Executive Officer</w:t>
      </w:r>
    </w:p>
    <w:p>
      <w:pPr>
        <w:spacing w:after="0" w:line="44" w:lineRule="exact"/>
        <w:rPr>
          <w:sz w:val="20"/>
          <w:szCs w:val="20"/>
          <w:color w:val="auto"/>
        </w:rPr>
      </w:pPr>
    </w:p>
    <w:p>
      <w:pPr>
        <w:jc w:val="right"/>
        <w:ind w:right="5740"/>
        <w:spacing w:after="0"/>
        <w:rPr>
          <w:sz w:val="20"/>
          <w:szCs w:val="20"/>
          <w:color w:val="auto"/>
        </w:rPr>
      </w:pPr>
      <w:r>
        <w:rPr>
          <w:rFonts w:ascii="Arial" w:cs="Arial" w:eastAsia="Arial" w:hAnsi="Arial"/>
          <w:sz w:val="24"/>
          <w:szCs w:val="24"/>
          <w:color w:val="FFFFFF"/>
        </w:rPr>
        <w:t>Tradeweb Markets</w:t>
      </w:r>
    </w:p>
    <w:p>
      <w:pPr>
        <w:sectPr>
          <w:pgSz w:w="12240" w:h="15840" w:orient="portrait"/>
          <w:cols w:equalWidth="0" w:num="1">
            <w:col w:w="9780"/>
          </w:cols>
          <w:pgMar w:left="1440" w:top="1440" w:right="1020" w:bottom="1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340"/>
        <w:spacing w:after="0"/>
        <w:rPr>
          <w:sz w:val="20"/>
          <w:szCs w:val="20"/>
          <w:color w:val="auto"/>
        </w:rPr>
      </w:pPr>
      <w:r>
        <w:rPr>
          <w:rFonts w:ascii="Arial" w:cs="Arial" w:eastAsia="Arial" w:hAnsi="Arial"/>
          <w:sz w:val="14"/>
          <w:szCs w:val="14"/>
          <w:color w:val="FFFFFF"/>
        </w:rPr>
        <w:t>2025 Annual Report  1</w:t>
      </w:r>
    </w:p>
    <w:p>
      <w:pPr>
        <w:sectPr>
          <w:pgSz w:w="12240" w:h="15840" w:orient="portrait"/>
          <w:cols w:equalWidth="0" w:num="1">
            <w:col w:w="9780"/>
          </w:cols>
          <w:pgMar w:left="1440" w:top="1440" w:right="1020" w:bottom="198"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2201545</wp:posOffset>
            </wp:positionH>
            <wp:positionV relativeFrom="page">
              <wp:posOffset>0</wp:posOffset>
            </wp:positionV>
            <wp:extent cx="5570855" cy="10058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0855" cy="100584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80"/>
        <w:spacing w:after="0"/>
        <w:rPr>
          <w:sz w:val="20"/>
          <w:szCs w:val="20"/>
          <w:color w:val="auto"/>
        </w:rPr>
      </w:pPr>
      <w:r>
        <w:rPr>
          <w:rFonts w:ascii="Arial" w:cs="Arial" w:eastAsia="Arial" w:hAnsi="Arial"/>
          <w:sz w:val="27"/>
          <w:szCs w:val="27"/>
          <w:color w:val="00672A"/>
        </w:rPr>
        <w:t xml:space="preserve">LEADING OUR MARKETS </w:t>
      </w:r>
      <w:r>
        <w:rPr>
          <w:sz w:val="1"/>
          <w:szCs w:val="1"/>
          <w:color w:val="auto"/>
        </w:rPr>
        <w:drawing>
          <wp:inline distT="0" distB="0" distL="0" distR="0">
            <wp:extent cx="286385" cy="2305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6385" cy="230505"/>
                    </a:xfrm>
                    <a:prstGeom prst="rect">
                      <a:avLst/>
                    </a:prstGeom>
                    <a:noFill/>
                    <a:ln>
                      <a:noFill/>
                    </a:ln>
                  </pic:spPr>
                </pic:pic>
              </a:graphicData>
            </a:graphic>
          </wp:inline>
        </w:drawing>
        <w:drawing>
          <wp:inline distT="0" distB="0" distL="0" distR="0">
            <wp:extent cx="227965" cy="2305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7965" cy="230505"/>
                    </a:xfrm>
                    <a:prstGeom prst="rect">
                      <a:avLst/>
                    </a:prstGeom>
                    <a:noFill/>
                    <a:ln>
                      <a:noFill/>
                    </a:ln>
                  </pic:spPr>
                </pic:pic>
              </a:graphicData>
            </a:graphic>
          </wp:inline>
        </w:drawing>
        <w:drawing>
          <wp:inline distT="0" distB="0" distL="0" distR="0">
            <wp:extent cx="228600" cy="2305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600" cy="230505"/>
                    </a:xfrm>
                    <a:prstGeom prst="rect">
                      <a:avLst/>
                    </a:prstGeom>
                    <a:noFill/>
                    <a:ln>
                      <a:noFill/>
                    </a:ln>
                  </pic:spPr>
                </pic:pic>
              </a:graphicData>
            </a:graphic>
          </wp:inline>
        </w:drawing>
        <w:drawing>
          <wp:inline distT="0" distB="0" distL="0" distR="0">
            <wp:extent cx="227965" cy="2305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7965" cy="230505"/>
                    </a:xfrm>
                    <a:prstGeom prst="rect">
                      <a:avLst/>
                    </a:prstGeom>
                    <a:noFill/>
                    <a:ln>
                      <a:noFill/>
                    </a:ln>
                  </pic:spPr>
                </pic:pic>
              </a:graphicData>
            </a:graphic>
          </wp:inline>
        </w:drawing>
        <w:drawing>
          <wp:inline distT="0" distB="0" distL="0" distR="0">
            <wp:extent cx="229870" cy="2305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870" cy="230505"/>
                    </a:xfrm>
                    <a:prstGeom prst="rect">
                      <a:avLst/>
                    </a:prstGeom>
                    <a:noFill/>
                    <a:ln>
                      <a:noFill/>
                    </a:ln>
                  </pic:spPr>
                </pic:pic>
              </a:graphicData>
            </a:graphic>
          </wp:inline>
        </w:drawing>
        <w:drawing>
          <wp:inline distT="0" distB="0" distL="0" distR="0">
            <wp:extent cx="229235" cy="2305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9235" cy="230505"/>
                    </a:xfrm>
                    <a:prstGeom prst="rect">
                      <a:avLst/>
                    </a:prstGeom>
                    <a:noFill/>
                    <a:ln>
                      <a:noFill/>
                    </a:ln>
                  </pic:spPr>
                </pic:pic>
              </a:graphicData>
            </a:graphic>
          </wp:inline>
        </w:drawing>
        <w:drawing>
          <wp:inline distT="0" distB="0" distL="0" distR="0">
            <wp:extent cx="227330" cy="2305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330" cy="230505"/>
                    </a:xfrm>
                    <a:prstGeom prst="rect">
                      <a:avLst/>
                    </a:prstGeom>
                    <a:noFill/>
                    <a:ln>
                      <a:noFill/>
                    </a:ln>
                  </pic:spPr>
                </pic:pic>
              </a:graphicData>
            </a:graphic>
          </wp:inline>
        </w:drawing>
        <w:drawing>
          <wp:inline distT="0" distB="0" distL="0" distR="0">
            <wp:extent cx="100330" cy="1003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330" cy="100330"/>
                    </a:xfrm>
                    <a:prstGeom prst="rect">
                      <a:avLst/>
                    </a:prstGeom>
                    <a:noFill/>
                    <a:ln>
                      <a:noFill/>
                    </a:ln>
                  </pic:spPr>
                </pic:pic>
              </a:graphicData>
            </a:graphic>
          </wp:inline>
        </w:drawing>
      </w:r>
    </w:p>
    <w:p>
      <w:pPr>
        <w:sectPr>
          <w:pgSz w:w="12240" w:h="15840" w:orient="portrait"/>
          <w:cols w:equalWidth="0" w:num="1">
            <w:col w:w="9400"/>
          </w:cols>
          <w:pgMar w:left="1400" w:top="1440" w:right="1440" w:bottom="195" w:gutter="0" w:footer="0" w:header="0"/>
        </w:sectPr>
      </w:pPr>
    </w:p>
    <w:p>
      <w:pPr>
        <w:spacing w:after="0" w:line="200" w:lineRule="exact"/>
        <w:rPr>
          <w:sz w:val="20"/>
          <w:szCs w:val="20"/>
          <w:color w:val="auto"/>
        </w:rPr>
      </w:pPr>
    </w:p>
    <w:p>
      <w:pPr>
        <w:spacing w:after="0" w:line="351" w:lineRule="exact"/>
        <w:rPr>
          <w:sz w:val="20"/>
          <w:szCs w:val="20"/>
          <w:color w:val="auto"/>
        </w:rPr>
      </w:pPr>
    </w:p>
    <w:p>
      <w:pPr>
        <w:jc w:val="both"/>
        <w:ind w:left="400"/>
        <w:spacing w:after="0" w:line="286" w:lineRule="auto"/>
        <w:rPr>
          <w:sz w:val="20"/>
          <w:szCs w:val="20"/>
          <w:color w:val="auto"/>
        </w:rPr>
      </w:pPr>
      <w:r>
        <w:rPr>
          <w:rFonts w:ascii="Arial" w:cs="Arial" w:eastAsia="Arial" w:hAnsi="Arial"/>
          <w:sz w:val="18"/>
          <w:szCs w:val="18"/>
          <w:color w:val="auto"/>
        </w:rPr>
        <w:t>2025 was a landmark year for Tradeweb, marked by record performance across revenues, volumes, and profitability, underscoring the durability of our diversified, multi-asset platform. Total revenue increased by 18.9% year-over-year to $2.1 billion, or 17.5% year-over-year on a constant currency basis. Strong top-line growth translated into enhanced profitability, with adjusted EBITDA margin expanding by 64 basis points to 54.0%, adjusted diluted EPS increasing by 18.8% year-over-year and free cash flow rising 31.6% to $1.1 billion</w:t>
      </w:r>
      <w:r>
        <w:rPr>
          <w:rFonts w:ascii="Arial" w:cs="Arial" w:eastAsia="Arial" w:hAnsi="Arial"/>
          <w:sz w:val="21"/>
          <w:szCs w:val="21"/>
          <w:color w:val="auto"/>
          <w:vertAlign w:val="superscript"/>
        </w:rPr>
        <w:t>2</w:t>
      </w:r>
      <w:r>
        <w:rPr>
          <w:rFonts w:ascii="Arial" w:cs="Arial" w:eastAsia="Arial" w:hAnsi="Arial"/>
          <w:sz w:val="18"/>
          <w:szCs w:val="18"/>
          <w:color w:val="auto"/>
        </w:rPr>
        <w:t>. These results were achieved amid shifting macroeconomic conditions, highlighting the resilience of our business model and the growing importance of electronic, data-driven trading workflows.</w:t>
      </w:r>
    </w:p>
    <w:p>
      <w:pPr>
        <w:spacing w:after="0" w:line="189" w:lineRule="exact"/>
        <w:rPr>
          <w:sz w:val="20"/>
          <w:szCs w:val="20"/>
          <w:color w:val="auto"/>
        </w:rPr>
      </w:pPr>
    </w:p>
    <w:p>
      <w:pPr>
        <w:jc w:val="both"/>
        <w:ind w:left="400"/>
        <w:spacing w:after="0" w:line="307" w:lineRule="auto"/>
        <w:rPr>
          <w:sz w:val="20"/>
          <w:szCs w:val="20"/>
          <w:color w:val="auto"/>
        </w:rPr>
      </w:pPr>
      <w:r>
        <w:rPr>
          <w:rFonts w:ascii="Arial" w:cs="Arial" w:eastAsia="Arial" w:hAnsi="Arial"/>
          <w:sz w:val="17"/>
          <w:szCs w:val="17"/>
          <w:color w:val="auto"/>
        </w:rPr>
        <w:t>Revenue growth in 2025 was broad-based across asset classes, client channels and geographies. Rates remained the largest contributor, supported by record volume in swaps and swaptions, U.S. Treasuries, European government bonds, and mortgages. Importantly, 42% of total revenue growth was generated outside of rates, reflecting the continued scaling of our credit, equities, money markets, and market data businesses. Credit growth was driven by strong performance in European credit, municipal bonds, credit derivatives, and emerging market credit, while equities benefited from sustained momentum in global exchange-traded funds (ETFs) and equity derivatives. Money markets delivered record volumes in global repurchase agreements (repo), and market data revenues grew meaningfully alongside the continued expansion of our proprietary data offerings.</w:t>
      </w:r>
    </w:p>
    <w:p>
      <w:pPr>
        <w:spacing w:after="0" w:line="179" w:lineRule="exact"/>
        <w:rPr>
          <w:sz w:val="20"/>
          <w:szCs w:val="20"/>
          <w:color w:val="auto"/>
        </w:rPr>
      </w:pPr>
    </w:p>
    <w:p>
      <w:pPr>
        <w:jc w:val="both"/>
        <w:ind w:left="400"/>
        <w:spacing w:after="0" w:line="309" w:lineRule="auto"/>
        <w:rPr>
          <w:sz w:val="20"/>
          <w:szCs w:val="20"/>
          <w:color w:val="auto"/>
        </w:rPr>
      </w:pPr>
      <w:r>
        <w:rPr>
          <w:rFonts w:ascii="Arial" w:cs="Arial" w:eastAsia="Arial" w:hAnsi="Arial"/>
          <w:sz w:val="17"/>
          <w:szCs w:val="17"/>
          <w:color w:val="auto"/>
        </w:rPr>
        <w:t>We also marked several milestones that reinforced our leadership across key markets. In credit, we delivered record block share in fully electronic U.S. investment grade and high yield, achieved record Request-for-Quote (RFQ) share, and were the leading electronic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jc w:val="both"/>
        <w:ind w:right="180"/>
        <w:spacing w:after="0" w:line="285" w:lineRule="auto"/>
        <w:rPr>
          <w:sz w:val="20"/>
          <w:szCs w:val="20"/>
          <w:color w:val="auto"/>
        </w:rPr>
      </w:pPr>
      <w:r>
        <w:rPr>
          <w:rFonts w:ascii="Arial" w:cs="Arial" w:eastAsia="Arial" w:hAnsi="Arial"/>
          <w:sz w:val="18"/>
          <w:szCs w:val="18"/>
          <w:color w:val="auto"/>
        </w:rPr>
        <w:t>platform for investment grade credit for much of the year, while executing the largest portfolio trades in our history in both U.S. and international markets. In rates, we captured record risk market share</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in swaps, reinforced our leadership in global electronic swaps, expanded our presence in emerging market swaps, and maintained a leading share of U.S. Treasury trading relative to our primary competitor throughout the year. These gains were complemented by record annual revenues across multiple products, including global swaps, municipals, repo, and emerging markets, reflecting the breadth and scalability of our platform.</w:t>
      </w: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Arial" w:cs="Arial" w:eastAsia="Arial" w:hAnsi="Arial"/>
          <w:sz w:val="15"/>
          <w:szCs w:val="15"/>
          <w:color w:val="00002F"/>
        </w:rPr>
        <w:t>EMERGING MARKETS SWAPS AVERAGE DAILY VOLUME</w:t>
      </w:r>
    </w:p>
    <w:tbl>
      <w:tblPr>
        <w:tblLayout w:type="fixed"/>
        <w:tblInd w:w="40" w:type="dxa"/>
        <w:tblCellMar>
          <w:top w:w="0" w:type="dxa"/>
          <w:left w:w="0" w:type="dxa"/>
          <w:bottom w:w="0" w:type="dxa"/>
          <w:right w:w="0" w:type="dxa"/>
        </w:tblCellMar>
      </w:tblPr>
      <w:tr>
        <w:trPr>
          <w:trHeight w:val="141"/>
        </w:trPr>
        <w:tc>
          <w:tcPr>
            <w:tcW w:w="1220" w:type="dxa"/>
            <w:vAlign w:val="bottom"/>
            <w:gridSpan w:val="3"/>
          </w:tcPr>
          <w:p>
            <w:pPr>
              <w:ind w:left="20"/>
              <w:spacing w:after="0" w:line="141" w:lineRule="exact"/>
              <w:rPr>
                <w:sz w:val="20"/>
                <w:szCs w:val="20"/>
                <w:color w:val="auto"/>
              </w:rPr>
            </w:pPr>
            <w:r>
              <w:rPr>
                <w:rFonts w:ascii="Arial" w:cs="Arial" w:eastAsia="Arial" w:hAnsi="Arial"/>
                <w:sz w:val="14"/>
                <w:szCs w:val="14"/>
                <w:color w:val="00002F"/>
              </w:rPr>
              <w:t>$ IN MILLIONS</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17"/>
                <w:szCs w:val="17"/>
                <w:color w:val="auto"/>
              </w:rPr>
            </w:pPr>
          </w:p>
        </w:tc>
        <w:tc>
          <w:tcPr>
            <w:tcW w:w="60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0" w:type="dxa"/>
            <w:vAlign w:val="bottom"/>
          </w:tcPr>
          <w:p>
            <w:pPr>
              <w:spacing w:after="0"/>
              <w:rPr>
                <w:sz w:val="1"/>
                <w:szCs w:val="1"/>
                <w:color w:val="auto"/>
              </w:rPr>
            </w:pPr>
          </w:p>
        </w:tc>
      </w:tr>
      <w:tr>
        <w:trPr>
          <w:trHeight w:val="47"/>
        </w:trPr>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5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24"/>
                <w:szCs w:val="24"/>
                <w:color w:val="auto"/>
              </w:rPr>
            </w:pPr>
          </w:p>
        </w:tc>
        <w:tc>
          <w:tcPr>
            <w:tcW w:w="600" w:type="dxa"/>
            <w:vAlign w:val="bottom"/>
            <w:vMerge w:val="restart"/>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4"/>
                <w:szCs w:val="14"/>
                <w:color w:val="00002F"/>
              </w:rPr>
              <w:t xml:space="preserve">$  ,   </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14"/>
                <w:szCs w:val="14"/>
                <w:color w:val="auto"/>
              </w:rPr>
            </w:pPr>
          </w:p>
        </w:tc>
        <w:tc>
          <w:tcPr>
            <w:tcW w:w="60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4"/>
                <w:szCs w:val="14"/>
                <w:color w:val="00002F"/>
              </w:rPr>
              <w:t xml:space="preserve">$  ,   </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5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24"/>
                <w:szCs w:val="24"/>
                <w:color w:val="auto"/>
              </w:rPr>
            </w:pPr>
          </w:p>
        </w:tc>
        <w:tc>
          <w:tcPr>
            <w:tcW w:w="600" w:type="dxa"/>
            <w:vAlign w:val="bottom"/>
            <w:vMerge w:val="restart"/>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vMerge w:val="restart"/>
          </w:tcPr>
          <w:p>
            <w:pPr>
              <w:jc w:val="right"/>
              <w:ind w:right="11"/>
              <w:spacing w:after="0"/>
              <w:rPr>
                <w:sz w:val="20"/>
                <w:szCs w:val="20"/>
                <w:color w:val="auto"/>
              </w:rPr>
            </w:pPr>
            <w:r>
              <w:rPr>
                <w:rFonts w:ascii="Arial" w:cs="Arial" w:eastAsia="Arial" w:hAnsi="Arial"/>
                <w:sz w:val="14"/>
                <w:szCs w:val="14"/>
                <w:color w:val="00002F"/>
              </w:rPr>
              <w:t xml:space="preserve">$ ,   </w:t>
            </w:r>
          </w:p>
        </w:tc>
        <w:tc>
          <w:tcPr>
            <w:tcW w:w="6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5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vMerge w:val="restart"/>
          </w:tcPr>
          <w:p>
            <w:pPr>
              <w:jc w:val="right"/>
              <w:ind w:right="31"/>
              <w:spacing w:after="0"/>
              <w:rPr>
                <w:sz w:val="20"/>
                <w:szCs w:val="20"/>
                <w:color w:val="auto"/>
              </w:rPr>
            </w:pPr>
            <w:r>
              <w:rPr>
                <w:rFonts w:ascii="Arial" w:cs="Arial" w:eastAsia="Arial" w:hAnsi="Arial"/>
                <w:sz w:val="14"/>
                <w:szCs w:val="14"/>
                <w:color w:val="00002F"/>
              </w:rPr>
              <w:t xml:space="preserve">$ ,   </w:t>
            </w:r>
          </w:p>
        </w:tc>
        <w:tc>
          <w:tcPr>
            <w:tcW w:w="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6"/>
        </w:trPr>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1"/>
              <w:spacing w:after="0" w:line="146" w:lineRule="exact"/>
              <w:rPr>
                <w:sz w:val="20"/>
                <w:szCs w:val="20"/>
                <w:color w:val="auto"/>
              </w:rPr>
            </w:pPr>
            <w:r>
              <w:rPr>
                <w:rFonts w:ascii="Arial" w:cs="Arial" w:eastAsia="Arial" w:hAnsi="Arial"/>
                <w:sz w:val="14"/>
                <w:szCs w:val="14"/>
                <w:color w:val="00002F"/>
              </w:rPr>
              <w:t xml:space="preserve">$ ,   </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Borders>
              <w:bottom w:val="single" w:sz="8" w:color="00002F"/>
            </w:tcBorders>
          </w:tcPr>
          <w:p>
            <w:pPr>
              <w:spacing w:after="0"/>
              <w:rPr>
                <w:sz w:val="10"/>
                <w:szCs w:val="10"/>
                <w:color w:val="auto"/>
              </w:rPr>
            </w:pPr>
          </w:p>
        </w:tc>
        <w:tc>
          <w:tcPr>
            <w:tcW w:w="600" w:type="dxa"/>
            <w:vAlign w:val="bottom"/>
            <w:vMerge w:val="restart"/>
          </w:tcPr>
          <w:p>
            <w:pPr>
              <w:spacing w:after="0"/>
              <w:rPr>
                <w:sz w:val="10"/>
                <w:szCs w:val="10"/>
                <w:color w:val="auto"/>
              </w:rPr>
            </w:pPr>
          </w:p>
        </w:tc>
        <w:tc>
          <w:tcPr>
            <w:tcW w:w="600" w:type="dxa"/>
            <w:vAlign w:val="bottom"/>
            <w:vMerge w:val="restart"/>
          </w:tcPr>
          <w:p>
            <w:pPr>
              <w:spacing w:after="0"/>
              <w:rPr>
                <w:sz w:val="10"/>
                <w:szCs w:val="10"/>
                <w:color w:val="auto"/>
              </w:rPr>
            </w:pPr>
          </w:p>
        </w:tc>
        <w:tc>
          <w:tcPr>
            <w:tcW w:w="580" w:type="dxa"/>
            <w:vAlign w:val="bottom"/>
            <w:vMerge w:val="restart"/>
          </w:tcPr>
          <w:p>
            <w:pPr>
              <w:spacing w:after="0"/>
              <w:rPr>
                <w:sz w:val="10"/>
                <w:szCs w:val="10"/>
                <w:color w:val="auto"/>
              </w:rPr>
            </w:pPr>
          </w:p>
        </w:tc>
        <w:tc>
          <w:tcPr>
            <w:tcW w:w="620" w:type="dxa"/>
            <w:vAlign w:val="bottom"/>
            <w:vMerge w:val="restart"/>
          </w:tcPr>
          <w:p>
            <w:pPr>
              <w:spacing w:after="0"/>
              <w:rPr>
                <w:sz w:val="10"/>
                <w:szCs w:val="10"/>
                <w:color w:val="auto"/>
              </w:rPr>
            </w:pPr>
          </w:p>
        </w:tc>
        <w:tc>
          <w:tcPr>
            <w:tcW w:w="620" w:type="dxa"/>
            <w:vAlign w:val="bottom"/>
            <w:vMerge w:val="restart"/>
          </w:tcPr>
          <w:p>
            <w:pPr>
              <w:spacing w:after="0"/>
              <w:rPr>
                <w:sz w:val="10"/>
                <w:szCs w:val="10"/>
                <w:color w:val="auto"/>
              </w:rPr>
            </w:pPr>
          </w:p>
        </w:tc>
        <w:tc>
          <w:tcPr>
            <w:tcW w:w="5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720"/>
        <w:spacing w:after="0"/>
        <w:rPr>
          <w:sz w:val="20"/>
          <w:szCs w:val="20"/>
          <w:color w:val="auto"/>
        </w:rPr>
      </w:pPr>
      <w:r>
        <w:rPr>
          <w:rFonts w:ascii="Arial" w:cs="Arial" w:eastAsia="Arial" w:hAnsi="Arial"/>
          <w:sz w:val="7"/>
          <w:szCs w:val="7"/>
          <w:color w:val="0C5593"/>
        </w:rPr>
        <w:t>SOURCE: TRADEWEB INTERNAL DATA</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6"/>
          <w:szCs w:val="16"/>
          <w:color w:val="00002F"/>
        </w:rPr>
        <w:t>FULLY ELECTRONIC SHARE OF TRACE</w:t>
      </w:r>
    </w:p>
    <w:p>
      <w:pPr>
        <w:spacing w:after="0" w:line="238" w:lineRule="exact"/>
        <w:rPr>
          <w:sz w:val="20"/>
          <w:szCs w:val="20"/>
          <w:color w:val="auto"/>
        </w:rPr>
      </w:pPr>
    </w:p>
    <w:p>
      <w:pPr>
        <w:jc w:val="right"/>
        <w:ind w:right="4080"/>
        <w:spacing w:after="0"/>
        <w:rPr>
          <w:sz w:val="20"/>
          <w:szCs w:val="20"/>
          <w:color w:val="auto"/>
        </w:rPr>
      </w:pPr>
      <w:r>
        <w:rPr>
          <w:rFonts w:ascii="Arial" w:cs="Arial" w:eastAsia="Arial" w:hAnsi="Arial"/>
          <w:sz w:val="14"/>
          <w:szCs w:val="14"/>
          <w:color w:val="00002F"/>
        </w:rPr>
        <w:t xml:space="preserve">  %</w:t>
      </w:r>
    </w:p>
    <w:p>
      <w:pPr>
        <w:spacing w:after="0" w:line="30" w:lineRule="exact"/>
        <w:rPr>
          <w:sz w:val="20"/>
          <w:szCs w:val="20"/>
          <w:color w:val="auto"/>
        </w:rPr>
      </w:pPr>
    </w:p>
    <w:p>
      <w:pPr>
        <w:jc w:val="right"/>
        <w:ind w:right="4080"/>
        <w:spacing w:after="0"/>
        <w:rPr>
          <w:sz w:val="20"/>
          <w:szCs w:val="20"/>
          <w:color w:val="auto"/>
        </w:rPr>
      </w:pPr>
      <w:r>
        <w:rPr>
          <w:rFonts w:ascii="Arial" w:cs="Arial" w:eastAsia="Arial" w:hAnsi="Arial"/>
          <w:sz w:val="14"/>
          <w:szCs w:val="14"/>
          <w:color w:val="00002F"/>
        </w:rPr>
        <w:t xml:space="preserve">  %</w:t>
      </w:r>
    </w:p>
    <w:p>
      <w:pPr>
        <w:spacing w:after="0" w:line="30" w:lineRule="exact"/>
        <w:rPr>
          <w:sz w:val="20"/>
          <w:szCs w:val="20"/>
          <w:color w:val="auto"/>
        </w:rPr>
      </w:pPr>
    </w:p>
    <w:p>
      <w:pPr>
        <w:jc w:val="right"/>
        <w:ind w:right="4080"/>
        <w:spacing w:after="0"/>
        <w:rPr>
          <w:sz w:val="20"/>
          <w:szCs w:val="20"/>
          <w:color w:val="auto"/>
        </w:rPr>
      </w:pPr>
      <w:r>
        <w:rPr>
          <w:rFonts w:ascii="Arial" w:cs="Arial" w:eastAsia="Arial" w:hAnsi="Arial"/>
          <w:sz w:val="14"/>
          <w:szCs w:val="14"/>
          <w:color w:val="00002F"/>
        </w:rPr>
        <w:t xml:space="preserve">  %</w:t>
      </w:r>
    </w:p>
    <w:p>
      <w:pPr>
        <w:spacing w:after="0" w:line="30" w:lineRule="exact"/>
        <w:rPr>
          <w:sz w:val="20"/>
          <w:szCs w:val="20"/>
          <w:color w:val="auto"/>
        </w:rPr>
      </w:pPr>
    </w:p>
    <w:p>
      <w:pPr>
        <w:jc w:val="right"/>
        <w:ind w:right="4080"/>
        <w:spacing w:after="0"/>
        <w:rPr>
          <w:sz w:val="20"/>
          <w:szCs w:val="20"/>
          <w:color w:val="auto"/>
        </w:rPr>
      </w:pPr>
      <w:r>
        <w:rPr>
          <w:rFonts w:ascii="Arial" w:cs="Arial" w:eastAsia="Arial" w:hAnsi="Arial"/>
          <w:sz w:val="14"/>
          <w:szCs w:val="14"/>
          <w:color w:val="00002F"/>
        </w:rPr>
        <w:t xml:space="preserve">  %</w:t>
      </w:r>
    </w:p>
    <w:p>
      <w:pPr>
        <w:spacing w:after="0" w:line="30" w:lineRule="exact"/>
        <w:rPr>
          <w:sz w:val="20"/>
          <w:szCs w:val="20"/>
          <w:color w:val="auto"/>
        </w:rPr>
      </w:pPr>
    </w:p>
    <w:p>
      <w:pPr>
        <w:jc w:val="right"/>
        <w:ind w:right="4080"/>
        <w:spacing w:after="0"/>
        <w:rPr>
          <w:sz w:val="20"/>
          <w:szCs w:val="20"/>
          <w:color w:val="auto"/>
        </w:rPr>
      </w:pPr>
      <w:r>
        <w:rPr>
          <w:rFonts w:ascii="Arial" w:cs="Arial" w:eastAsia="Arial" w:hAnsi="Arial"/>
          <w:sz w:val="14"/>
          <w:szCs w:val="14"/>
          <w:color w:val="00002F"/>
        </w:rPr>
        <w:t xml:space="preserve">  %</w:t>
      </w:r>
    </w:p>
    <w:p>
      <w:pPr>
        <w:spacing w:after="0" w:line="30" w:lineRule="exact"/>
        <w:rPr>
          <w:sz w:val="20"/>
          <w:szCs w:val="20"/>
          <w:color w:val="auto"/>
        </w:rPr>
      </w:pPr>
    </w:p>
    <w:p>
      <w:pPr>
        <w:jc w:val="right"/>
        <w:ind w:right="4080"/>
        <w:spacing w:after="0"/>
        <w:rPr>
          <w:sz w:val="20"/>
          <w:szCs w:val="20"/>
          <w:color w:val="auto"/>
        </w:rPr>
      </w:pPr>
      <w:r>
        <w:rPr>
          <w:rFonts w:ascii="Arial" w:cs="Arial" w:eastAsia="Arial" w:hAnsi="Arial"/>
          <w:sz w:val="14"/>
          <w:szCs w:val="14"/>
          <w:color w:val="00002F"/>
        </w:rPr>
        <w:t xml:space="preserve">  %</w:t>
      </w:r>
    </w:p>
    <w:p>
      <w:pPr>
        <w:spacing w:after="0" w:line="30" w:lineRule="exact"/>
        <w:rPr>
          <w:sz w:val="20"/>
          <w:szCs w:val="20"/>
          <w:color w:val="auto"/>
        </w:rPr>
      </w:pPr>
    </w:p>
    <w:p>
      <w:pPr>
        <w:jc w:val="right"/>
        <w:ind w:right="4080"/>
        <w:spacing w:after="0"/>
        <w:rPr>
          <w:sz w:val="20"/>
          <w:szCs w:val="20"/>
          <w:color w:val="auto"/>
        </w:rPr>
      </w:pPr>
      <w:r>
        <w:rPr>
          <w:rFonts w:ascii="Arial" w:cs="Arial" w:eastAsia="Arial" w:hAnsi="Arial"/>
          <w:sz w:val="14"/>
          <w:szCs w:val="14"/>
          <w:color w:val="00002F"/>
        </w:rPr>
        <w:t xml:space="preserve"> %</w:t>
      </w:r>
    </w:p>
    <w:p>
      <w:pPr>
        <w:spacing w:after="0" w:line="30" w:lineRule="exact"/>
        <w:rPr>
          <w:sz w:val="20"/>
          <w:szCs w:val="20"/>
          <w:color w:val="auto"/>
        </w:rPr>
      </w:pPr>
    </w:p>
    <w:p>
      <w:pPr>
        <w:jc w:val="right"/>
        <w:ind w:right="4080"/>
        <w:spacing w:after="0"/>
        <w:rPr>
          <w:sz w:val="20"/>
          <w:szCs w:val="20"/>
          <w:color w:val="auto"/>
        </w:rPr>
      </w:pPr>
      <w:r>
        <w:rPr>
          <w:rFonts w:ascii="Arial" w:cs="Arial" w:eastAsia="Arial" w:hAnsi="Arial"/>
          <w:sz w:val="14"/>
          <w:szCs w:val="14"/>
          <w:color w:val="00002F"/>
        </w:rPr>
        <w:t xml:space="preserve"> %</w:t>
      </w:r>
    </w:p>
    <w:p>
      <w:pPr>
        <w:spacing w:after="0" w:line="30" w:lineRule="exact"/>
        <w:rPr>
          <w:sz w:val="20"/>
          <w:szCs w:val="20"/>
          <w:color w:val="auto"/>
        </w:rPr>
      </w:pPr>
    </w:p>
    <w:p>
      <w:pPr>
        <w:jc w:val="right"/>
        <w:ind w:right="4080"/>
        <w:spacing w:after="0"/>
        <w:rPr>
          <w:sz w:val="20"/>
          <w:szCs w:val="20"/>
          <w:color w:val="auto"/>
        </w:rPr>
      </w:pPr>
      <w:r>
        <w:rPr>
          <w:rFonts w:ascii="Arial" w:cs="Arial" w:eastAsia="Arial" w:hAnsi="Arial"/>
          <w:sz w:val="14"/>
          <w:szCs w:val="14"/>
          <w:color w:val="00002F"/>
        </w:rPr>
        <w:t xml:space="preserve"> %</w:t>
      </w:r>
    </w:p>
    <w:p>
      <w:pPr>
        <w:spacing w:after="0" w:line="30" w:lineRule="exact"/>
        <w:rPr>
          <w:sz w:val="20"/>
          <w:szCs w:val="20"/>
          <w:color w:val="auto"/>
        </w:rPr>
      </w:pPr>
    </w:p>
    <w:p>
      <w:pPr>
        <w:jc w:val="right"/>
        <w:ind w:right="4080"/>
        <w:spacing w:after="0"/>
        <w:rPr>
          <w:sz w:val="20"/>
          <w:szCs w:val="20"/>
          <w:color w:val="auto"/>
        </w:rPr>
      </w:pPr>
      <w:r>
        <w:rPr>
          <w:rFonts w:ascii="Arial" w:cs="Arial" w:eastAsia="Arial" w:hAnsi="Arial"/>
          <w:sz w:val="14"/>
          <w:szCs w:val="14"/>
          <w:color w:val="00002F"/>
        </w:rPr>
        <w:t xml:space="preserve"> %</w:t>
      </w:r>
    </w:p>
    <w:p>
      <w:pPr>
        <w:spacing w:after="0" w:line="30" w:lineRule="exact"/>
        <w:rPr>
          <w:sz w:val="20"/>
          <w:szCs w:val="20"/>
          <w:color w:val="auto"/>
        </w:rPr>
      </w:pPr>
    </w:p>
    <w:tbl>
      <w:tblPr>
        <w:tblLayout w:type="fixed"/>
        <w:tblInd w:w="100" w:type="dxa"/>
        <w:tblCellMar>
          <w:top w:w="0" w:type="dxa"/>
          <w:left w:w="0" w:type="dxa"/>
          <w:bottom w:w="0" w:type="dxa"/>
          <w:right w:w="0" w:type="dxa"/>
        </w:tblCellMar>
      </w:tblPr>
      <w:tr>
        <w:trPr>
          <w:trHeight w:val="89"/>
        </w:trPr>
        <w:tc>
          <w:tcPr>
            <w:tcW w:w="280" w:type="dxa"/>
            <w:vAlign w:val="bottom"/>
            <w:gridSpan w:val="2"/>
            <w:vMerge w:val="restart"/>
          </w:tcPr>
          <w:p>
            <w:pPr>
              <w:ind w:left="40"/>
              <w:spacing w:after="0"/>
              <w:rPr>
                <w:sz w:val="20"/>
                <w:szCs w:val="20"/>
                <w:color w:val="auto"/>
              </w:rPr>
            </w:pPr>
            <w:r>
              <w:rPr>
                <w:rFonts w:ascii="Arial" w:cs="Arial" w:eastAsia="Arial" w:hAnsi="Arial"/>
                <w:sz w:val="14"/>
                <w:szCs w:val="14"/>
                <w:color w:val="00002F"/>
              </w:rPr>
              <w:t xml:space="preserve"> %</w:t>
            </w:r>
          </w:p>
        </w:tc>
        <w:tc>
          <w:tcPr>
            <w:tcW w:w="100" w:type="dxa"/>
            <w:vAlign w:val="bottom"/>
            <w:tcBorders>
              <w:bottom w:val="single" w:sz="8" w:color="00002F"/>
            </w:tcBorders>
          </w:tcPr>
          <w:p>
            <w:pPr>
              <w:spacing w:after="0"/>
              <w:rPr>
                <w:sz w:val="7"/>
                <w:szCs w:val="7"/>
                <w:color w:val="auto"/>
              </w:rPr>
            </w:pPr>
          </w:p>
        </w:tc>
        <w:tc>
          <w:tcPr>
            <w:tcW w:w="780" w:type="dxa"/>
            <w:vAlign w:val="bottom"/>
            <w:vMerge w:val="restart"/>
          </w:tcPr>
          <w:p>
            <w:pPr>
              <w:spacing w:after="0"/>
              <w:rPr>
                <w:sz w:val="7"/>
                <w:szCs w:val="7"/>
                <w:color w:val="auto"/>
              </w:rPr>
            </w:pPr>
          </w:p>
        </w:tc>
        <w:tc>
          <w:tcPr>
            <w:tcW w:w="480" w:type="dxa"/>
            <w:vAlign w:val="bottom"/>
            <w:gridSpan w:val="2"/>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660" w:type="dxa"/>
            <w:vAlign w:val="bottom"/>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0C5593"/>
            </w:tcBorders>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2"/>
                <w:szCs w:val="12"/>
                <w:color w:val="00002F"/>
                <w:w w:val="79"/>
              </w:rPr>
              <w:t>U.S. HIGH GRADE</w:t>
            </w:r>
          </w:p>
        </w:tc>
        <w:tc>
          <w:tcPr>
            <w:tcW w:w="220" w:type="dxa"/>
            <w:vAlign w:val="bottom"/>
          </w:tcPr>
          <w:p>
            <w:pPr>
              <w:spacing w:after="0"/>
              <w:rPr>
                <w:sz w:val="15"/>
                <w:szCs w:val="15"/>
                <w:color w:val="auto"/>
              </w:rPr>
            </w:pPr>
          </w:p>
        </w:tc>
        <w:tc>
          <w:tcPr>
            <w:tcW w:w="260" w:type="dxa"/>
            <w:vAlign w:val="bottom"/>
            <w:tcBorders>
              <w:bottom w:val="single" w:sz="8" w:color="59AF23"/>
            </w:tcBorders>
          </w:tcPr>
          <w:p>
            <w:pPr>
              <w:spacing w:after="0"/>
              <w:rPr>
                <w:sz w:val="15"/>
                <w:szCs w:val="15"/>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2"/>
                <w:szCs w:val="12"/>
                <w:color w:val="00002F"/>
              </w:rPr>
              <w:t>U.S. HIGH YIELD</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420"/>
        <w:spacing w:after="0"/>
        <w:rPr>
          <w:sz w:val="20"/>
          <w:szCs w:val="20"/>
          <w:color w:val="auto"/>
        </w:rPr>
      </w:pPr>
      <w:r>
        <w:rPr>
          <w:rFonts w:ascii="Arial" w:cs="Arial" w:eastAsia="Arial" w:hAnsi="Arial"/>
          <w:sz w:val="7"/>
          <w:szCs w:val="7"/>
          <w:color w:val="0C5593"/>
        </w:rPr>
        <w:t>SOURCE: TRADEWEB INTERNAL DATA, TRACE</w:t>
      </w:r>
    </w:p>
    <w:p>
      <w:pPr>
        <w:spacing w:after="0" w:line="200" w:lineRule="exact"/>
        <w:rPr>
          <w:sz w:val="20"/>
          <w:szCs w:val="20"/>
          <w:color w:val="auto"/>
        </w:rPr>
      </w:pPr>
    </w:p>
    <w:p>
      <w:pPr>
        <w:sectPr>
          <w:pgSz w:w="12240" w:h="15840" w:orient="portrait"/>
          <w:cols w:equalWidth="0" w:num="2">
            <w:col w:w="4620" w:space="380"/>
            <w:col w:w="4400"/>
          </w:cols>
          <w:pgMar w:left="1400" w:top="1440" w:right="1440" w:bottom="1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00002F"/>
        </w:rPr>
        <w:t>2</w:t>
      </w:r>
      <w:r>
        <w:rPr>
          <w:sz w:val="20"/>
          <w:szCs w:val="20"/>
          <w:color w:val="auto"/>
        </w:rPr>
        <w:tab/>
      </w:r>
      <w:r>
        <w:rPr>
          <w:rFonts w:ascii="Arial" w:cs="Arial" w:eastAsia="Arial" w:hAnsi="Arial"/>
          <w:sz w:val="13"/>
          <w:szCs w:val="13"/>
          <w:color w:val="00002F"/>
        </w:rPr>
        <w:t>Tradeweb Markets</w:t>
      </w:r>
    </w:p>
    <w:p>
      <w:pPr>
        <w:sectPr>
          <w:pgSz w:w="12240" w:h="15840" w:orient="portrait"/>
          <w:cols w:equalWidth="0" w:num="1">
            <w:col w:w="9400"/>
          </w:cols>
          <w:pgMar w:left="1400" w:top="1440" w:right="1440" w:bottom="195"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38"/>
          <w:szCs w:val="38"/>
          <w:color w:val="00672A"/>
        </w:rPr>
        <w:t>DURABLE EARNINGS</w:t>
      </w:r>
    </w:p>
    <w:p>
      <w:pPr>
        <w:spacing w:after="0" w:line="217" w:lineRule="auto"/>
        <w:rPr>
          <w:sz w:val="20"/>
          <w:szCs w:val="20"/>
          <w:color w:val="auto"/>
        </w:rPr>
      </w:pPr>
      <w:r>
        <w:rPr>
          <w:rFonts w:ascii="Arial" w:cs="Arial" w:eastAsia="Arial" w:hAnsi="Arial"/>
          <w:sz w:val="40"/>
          <w:szCs w:val="40"/>
          <w:color w:val="00672A"/>
        </w:rPr>
        <w:t>KEY TO GROWTH</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3"/>
          <w:szCs w:val="23"/>
          <w:color w:val="auto"/>
        </w:rPr>
        <w:t>2025 was a strong year for Tradeweb,</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underpinned by the durability of our</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color w:val="auto"/>
        </w:rPr>
        <w:t>earnings and the breadth of our platform.</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color w:val="auto"/>
        </w:rPr>
        <w:t>We delivered record revenue, profits and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free cash flow while expanding margins,</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even amid shifting market conditions.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Our diversified mix of asset classes, clients</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color w:val="auto"/>
        </w:rPr>
        <w:t>and geographies continues to support</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color w:val="auto"/>
        </w:rPr>
        <w:t>consistent performance across cycles.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That durability gives us confidence to keep</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investing in the business, returning capital</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to shareholders, and positioning Tradeweb</w:t>
      </w:r>
    </w:p>
    <w:p>
      <w:pPr>
        <w:spacing w:after="0" w:line="100" w:lineRule="exact"/>
        <w:rPr>
          <w:sz w:val="20"/>
          <w:szCs w:val="20"/>
          <w:color w:val="auto"/>
        </w:rPr>
      </w:pPr>
    </w:p>
    <w:p>
      <w:pPr>
        <w:spacing w:after="0"/>
        <w:rPr>
          <w:sz w:val="20"/>
          <w:szCs w:val="20"/>
          <w:color w:val="auto"/>
        </w:rPr>
      </w:pPr>
      <w:r>
        <w:rPr>
          <w:rFonts w:ascii="Arial" w:cs="Arial" w:eastAsia="Arial" w:hAnsi="Arial"/>
          <w:sz w:val="24"/>
          <w:szCs w:val="24"/>
          <w:color w:val="auto"/>
        </w:rPr>
        <w:t>for sustainable long-term growth.</w:t>
      </w:r>
      <w:r>
        <w:rPr>
          <w:rFonts w:ascii="Arial" w:cs="Arial" w:eastAsia="Arial" w:hAnsi="Arial"/>
          <w:sz w:val="24"/>
          <w:szCs w:val="24"/>
          <w:color w:val="00672A"/>
        </w:rPr>
        <w: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4"/>
          <w:szCs w:val="24"/>
          <w:color w:val="auto"/>
        </w:rPr>
        <w:t>SARA FURBER</w:t>
      </w:r>
    </w:p>
    <w:p>
      <w:pPr>
        <w:spacing w:after="0" w:line="44" w:lineRule="exact"/>
        <w:rPr>
          <w:sz w:val="20"/>
          <w:szCs w:val="20"/>
          <w:color w:val="auto"/>
        </w:rPr>
      </w:pPr>
    </w:p>
    <w:p>
      <w:pPr>
        <w:spacing w:after="0"/>
        <w:rPr>
          <w:sz w:val="20"/>
          <w:szCs w:val="20"/>
          <w:color w:val="auto"/>
        </w:rPr>
      </w:pPr>
      <w:r>
        <w:rPr>
          <w:rFonts w:ascii="Arial" w:cs="Arial" w:eastAsia="Arial" w:hAnsi="Arial"/>
          <w:sz w:val="24"/>
          <w:szCs w:val="24"/>
          <w:color w:val="auto"/>
        </w:rPr>
        <w:t>Chief Financial Officer</w:t>
      </w:r>
    </w:p>
    <w:p>
      <w:pPr>
        <w:spacing w:after="0" w:line="44" w:lineRule="exact"/>
        <w:rPr>
          <w:sz w:val="20"/>
          <w:szCs w:val="20"/>
          <w:color w:val="auto"/>
        </w:rPr>
      </w:pPr>
    </w:p>
    <w:p>
      <w:pPr>
        <w:spacing w:after="0"/>
        <w:rPr>
          <w:sz w:val="20"/>
          <w:szCs w:val="20"/>
          <w:color w:val="auto"/>
        </w:rPr>
      </w:pPr>
      <w:r>
        <w:rPr>
          <w:rFonts w:ascii="Arial" w:cs="Arial" w:eastAsia="Arial" w:hAnsi="Arial"/>
          <w:sz w:val="24"/>
          <w:szCs w:val="24"/>
          <w:color w:val="auto"/>
        </w:rPr>
        <w:t>Tradeweb Markets</w:t>
      </w:r>
    </w:p>
    <w:p>
      <w:pPr>
        <w:sectPr>
          <w:pgSz w:w="12240" w:h="15840" w:orient="portrait"/>
          <w:cols w:equalWidth="0" w:num="1">
            <w:col w:w="9660"/>
          </w:cols>
          <w:pgMar w:left="1380" w:top="1440" w:right="1200" w:bottom="1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200"/>
        <w:spacing w:after="0"/>
        <w:tabs>
          <w:tab w:leader="none" w:pos="9560" w:val="left"/>
        </w:tabs>
        <w:rPr>
          <w:sz w:val="20"/>
          <w:szCs w:val="20"/>
          <w:color w:val="auto"/>
        </w:rPr>
      </w:pPr>
      <w:r>
        <w:rPr>
          <w:rFonts w:ascii="Arial" w:cs="Arial" w:eastAsia="Arial" w:hAnsi="Arial"/>
          <w:sz w:val="16"/>
          <w:szCs w:val="16"/>
          <w:color w:val="FFFFFF"/>
        </w:rPr>
        <w:t>2025 Annual Report</w:t>
      </w:r>
      <w:r>
        <w:rPr>
          <w:sz w:val="20"/>
          <w:szCs w:val="20"/>
          <w:color w:val="auto"/>
        </w:rPr>
        <w:tab/>
      </w:r>
      <w:r>
        <w:rPr>
          <w:rFonts w:ascii="Arial" w:cs="Arial" w:eastAsia="Arial" w:hAnsi="Arial"/>
          <w:sz w:val="14"/>
          <w:szCs w:val="14"/>
          <w:color w:val="FFFFFF"/>
        </w:rPr>
        <w:t>3</w:t>
      </w:r>
    </w:p>
    <w:p>
      <w:pPr>
        <w:sectPr>
          <w:pgSz w:w="12240" w:h="15840" w:orient="portrait"/>
          <w:cols w:equalWidth="0" w:num="1">
            <w:col w:w="9660"/>
          </w:cols>
          <w:pgMar w:left="1380" w:top="1440" w:right="1200" w:bottom="195" w:gutter="0" w:footer="0" w:header="0"/>
          <w:type w:val="continuous"/>
        </w:sectPr>
      </w:pPr>
    </w:p>
    <w:bookmarkStart w:id="5" w:name="page6"/>
    <w:bookmarkEnd w:id="5"/>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ind w:left="600"/>
        <w:spacing w:after="0"/>
        <w:rPr>
          <w:sz w:val="20"/>
          <w:szCs w:val="20"/>
          <w:color w:val="auto"/>
        </w:rPr>
      </w:pPr>
      <w:r>
        <w:rPr>
          <w:rFonts w:ascii="Arial" w:cs="Arial" w:eastAsia="Arial" w:hAnsi="Arial"/>
          <w:sz w:val="22"/>
          <w:szCs w:val="22"/>
          <w:color w:val="00568F"/>
        </w:rPr>
        <w:t>EXTENDING OUR REACH</w:t>
      </w:r>
    </w:p>
    <w:p>
      <w:pPr>
        <w:spacing w:after="0" w:line="221" w:lineRule="exact"/>
        <w:rPr>
          <w:sz w:val="20"/>
          <w:szCs w:val="20"/>
          <w:color w:val="auto"/>
        </w:rPr>
      </w:pPr>
    </w:p>
    <w:p>
      <w:pPr>
        <w:jc w:val="both"/>
        <w:ind w:left="600"/>
        <w:spacing w:after="0" w:line="308" w:lineRule="auto"/>
        <w:rPr>
          <w:sz w:val="20"/>
          <w:szCs w:val="20"/>
          <w:color w:val="auto"/>
        </w:rPr>
      </w:pPr>
      <w:r>
        <w:rPr>
          <w:rFonts w:ascii="Arial" w:cs="Arial" w:eastAsia="Arial" w:hAnsi="Arial"/>
          <w:sz w:val="17"/>
          <w:szCs w:val="17"/>
          <w:color w:val="auto"/>
        </w:rPr>
        <w:t>During the year, we continued to extend our leadership across markets by delivering a series of industry firsts that expanded our platform’s capabilities. In swaps, we completed the first-ever fully electronic bilateral swaptions trade and a U.S. multi-asset packaged trade. In government bonds, we continued to have strong client engagement with the launch of portfolio trading for European government bonds and dealer algorithmic solutions within U.S. Treasuries, while also enhancing our RFQ offering across U.S. credit and ETFs.</w:t>
      </w:r>
    </w:p>
    <w:p>
      <w:pPr>
        <w:spacing w:after="0" w:line="135" w:lineRule="exact"/>
        <w:rPr>
          <w:sz w:val="20"/>
          <w:szCs w:val="20"/>
          <w:color w:val="auto"/>
        </w:rPr>
      </w:pPr>
    </w:p>
    <w:p>
      <w:pPr>
        <w:jc w:val="both"/>
        <w:ind w:left="600"/>
        <w:spacing w:after="0" w:line="308" w:lineRule="auto"/>
        <w:rPr>
          <w:sz w:val="20"/>
          <w:szCs w:val="20"/>
          <w:color w:val="auto"/>
        </w:rPr>
      </w:pPr>
      <w:r>
        <w:rPr>
          <w:rFonts w:ascii="Arial" w:cs="Arial" w:eastAsia="Arial" w:hAnsi="Arial"/>
          <w:sz w:val="17"/>
          <w:szCs w:val="17"/>
          <w:color w:val="auto"/>
        </w:rPr>
        <w:t>We also made meaningful progress across emerging markets and integration initiatives. We launched the first electronic platform to facilitate trading of Saudi Riyal bonds and Mexican repos and executed on our integration strategy by enabling ICD clients to buy U.S. Treasury bills via a direct connection to our institutional trading marketplace — further simplifying access to liquidity across cash and short-term markets.</w:t>
      </w:r>
    </w:p>
    <w:p>
      <w:pPr>
        <w:spacing w:after="0" w:line="137" w:lineRule="exact"/>
        <w:rPr>
          <w:sz w:val="20"/>
          <w:szCs w:val="20"/>
          <w:color w:val="auto"/>
        </w:rPr>
      </w:pPr>
    </w:p>
    <w:p>
      <w:pPr>
        <w:jc w:val="both"/>
        <w:ind w:left="600"/>
        <w:spacing w:after="0" w:line="308" w:lineRule="auto"/>
        <w:rPr>
          <w:sz w:val="20"/>
          <w:szCs w:val="20"/>
          <w:color w:val="auto"/>
        </w:rPr>
      </w:pPr>
      <w:r>
        <w:rPr>
          <w:rFonts w:ascii="Arial" w:cs="Arial" w:eastAsia="Arial" w:hAnsi="Arial"/>
          <w:sz w:val="17"/>
          <w:szCs w:val="17"/>
          <w:color w:val="auto"/>
        </w:rPr>
        <w:t>Beyond our core markets, we remained focused on the future of market structure, particularly in digital assets. Through partnerships with leading startups and thought leaders, we completed the first-ever on-chain U.S. Treasury repo transaction executed over a weekend, and the first on-chain auction for brokered certificates of deposit (“CDs”), while deepening our involvement in the Canton Network, underscoring our commitment to innovation and helping shaping the next generation of electronic markets.</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22"/>
          <w:szCs w:val="22"/>
          <w:color w:val="00568F"/>
        </w:rPr>
        <w:t>MARKETS UNDER STRESS</w:t>
      </w:r>
    </w:p>
    <w:p>
      <w:pPr>
        <w:spacing w:after="0" w:line="185" w:lineRule="exact"/>
        <w:rPr>
          <w:sz w:val="20"/>
          <w:szCs w:val="20"/>
          <w:color w:val="auto"/>
        </w:rPr>
      </w:pPr>
    </w:p>
    <w:p>
      <w:pPr>
        <w:jc w:val="both"/>
        <w:ind w:left="600"/>
        <w:spacing w:after="0" w:line="332" w:lineRule="auto"/>
        <w:rPr>
          <w:sz w:val="20"/>
          <w:szCs w:val="20"/>
          <w:color w:val="auto"/>
        </w:rPr>
      </w:pPr>
      <w:r>
        <w:rPr>
          <w:rFonts w:ascii="Arial" w:cs="Arial" w:eastAsia="Arial" w:hAnsi="Arial"/>
          <w:sz w:val="16"/>
          <w:szCs w:val="16"/>
          <w:color w:val="auto"/>
        </w:rPr>
        <w:t>Periods of heightened volatility continue to provide the most effective test of market infrastructure. In 2025, global markets experienced several episodes of dislocation driven by geopolitical uncertainty, shifting policy expectations, and rapid changes in risk sentiment.</w:t>
      </w:r>
    </w:p>
    <w:p>
      <w:pPr>
        <w:spacing w:after="0" w:line="121" w:lineRule="exact"/>
        <w:rPr>
          <w:sz w:val="20"/>
          <w:szCs w:val="20"/>
          <w:color w:val="auto"/>
        </w:rPr>
      </w:pPr>
    </w:p>
    <w:p>
      <w:pPr>
        <w:jc w:val="both"/>
        <w:ind w:left="600"/>
        <w:spacing w:after="0" w:line="328" w:lineRule="auto"/>
        <w:rPr>
          <w:sz w:val="20"/>
          <w:szCs w:val="20"/>
          <w:color w:val="auto"/>
        </w:rPr>
      </w:pPr>
      <w:r>
        <w:rPr>
          <w:rFonts w:ascii="Arial" w:cs="Arial" w:eastAsia="Arial" w:hAnsi="Arial"/>
          <w:sz w:val="16"/>
          <w:szCs w:val="16"/>
          <w:color w:val="auto"/>
        </w:rPr>
        <w:t>During these periods, electronic execution remained central to client activity. In asset classes that historically reverted to voice execution under stress, clients continued to transact electronically, supported by automation, data-driven pricing, and a broad set of execution protocols. In fact, as volatility increased, U.S. credit clients turned to portfolio trading to levels we’ve never seen before, as they looked to more efficiently manage risk and gain greater certainty of execution. Our ability to support diverse execution across asset classes — backed by analytics that provide transparency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5"/>
          <w:szCs w:val="15"/>
          <w:color w:val="00002F"/>
        </w:rPr>
        <w:t>BALANCING INVESTMENTS &amp; ADJ. EBITDA MARGINS</w:t>
      </w:r>
      <w:r>
        <w:rPr>
          <w:rFonts w:ascii="Arial" w:cs="Arial" w:eastAsia="Arial" w:hAnsi="Arial"/>
          <w:sz w:val="17"/>
          <w:szCs w:val="17"/>
          <w:color w:val="00002F"/>
          <w:vertAlign w:val="superscript"/>
        </w:rPr>
        <w:t xml:space="preserve"> , •</w:t>
      </w:r>
    </w:p>
    <w:tbl>
      <w:tblPr>
        <w:tblLayout w:type="fixed"/>
        <w:tblInd w:w="40" w:type="dxa"/>
        <w:tblCellMar>
          <w:top w:w="0" w:type="dxa"/>
          <w:left w:w="0" w:type="dxa"/>
          <w:bottom w:w="0" w:type="dxa"/>
          <w:right w:w="0" w:type="dxa"/>
        </w:tblCellMar>
      </w:tblPr>
      <w:tr>
        <w:trPr>
          <w:trHeight w:val="141"/>
        </w:trPr>
        <w:tc>
          <w:tcPr>
            <w:tcW w:w="1020" w:type="dxa"/>
            <w:vAlign w:val="bottom"/>
            <w:gridSpan w:val="3"/>
          </w:tcPr>
          <w:p>
            <w:pPr>
              <w:spacing w:after="0" w:line="141" w:lineRule="exact"/>
              <w:rPr>
                <w:sz w:val="20"/>
                <w:szCs w:val="20"/>
                <w:color w:val="auto"/>
              </w:rPr>
            </w:pPr>
            <w:r>
              <w:rPr>
                <w:rFonts w:ascii="Arial" w:cs="Arial" w:eastAsia="Arial" w:hAnsi="Arial"/>
                <w:sz w:val="14"/>
                <w:szCs w:val="14"/>
                <w:color w:val="00002F"/>
              </w:rPr>
              <w:t>$ IN MILLIONS</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Borders>
              <w:bottom w:val="single" w:sz="8" w:color="00002F"/>
            </w:tcBorders>
          </w:tcPr>
          <w:p>
            <w:pPr>
              <w:spacing w:after="0"/>
              <w:rPr>
                <w:sz w:val="17"/>
                <w:szCs w:val="17"/>
                <w:color w:val="auto"/>
              </w:rPr>
            </w:pPr>
          </w:p>
        </w:tc>
        <w:tc>
          <w:tcPr>
            <w:tcW w:w="600" w:type="dxa"/>
            <w:vAlign w:val="bottom"/>
            <w:vMerge w:val="restart"/>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vMerge w:val="restart"/>
          </w:tcPr>
          <w:p>
            <w:pPr>
              <w:spacing w:after="0"/>
              <w:rPr>
                <w:sz w:val="17"/>
                <w:szCs w:val="17"/>
                <w:color w:val="auto"/>
              </w:rPr>
            </w:pPr>
          </w:p>
        </w:tc>
        <w:tc>
          <w:tcPr>
            <w:tcW w:w="100" w:type="dxa"/>
            <w:vAlign w:val="bottom"/>
            <w:tcBorders>
              <w:bottom w:val="single" w:sz="8" w:color="00672A"/>
            </w:tcBorders>
          </w:tcPr>
          <w:p>
            <w:pPr>
              <w:spacing w:after="0"/>
              <w:rPr>
                <w:sz w:val="17"/>
                <w:szCs w:val="17"/>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47"/>
        </w:trPr>
        <w:tc>
          <w:tcPr>
            <w:tcW w:w="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672A"/>
            </w:tcBorders>
          </w:tcPr>
          <w:p>
            <w:pPr>
              <w:spacing w:after="0"/>
              <w:rPr>
                <w:sz w:val="21"/>
                <w:szCs w:val="21"/>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46"/>
        </w:trPr>
        <w:tc>
          <w:tcPr>
            <w:tcW w:w="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320" w:type="dxa"/>
            <w:vAlign w:val="bottom"/>
            <w:vMerge w:val="continue"/>
          </w:tcPr>
          <w:p>
            <w:pPr>
              <w:spacing w:after="0"/>
              <w:rPr>
                <w:sz w:val="7"/>
                <w:szCs w:val="7"/>
                <w:color w:val="auto"/>
              </w:rPr>
            </w:pPr>
          </w:p>
        </w:tc>
        <w:tc>
          <w:tcPr>
            <w:tcW w:w="100" w:type="dxa"/>
            <w:vAlign w:val="bottom"/>
            <w:tcBorders>
              <w:bottom w:val="single" w:sz="8" w:color="00002F"/>
            </w:tcBorders>
          </w:tcPr>
          <w:p>
            <w:pPr>
              <w:spacing w:after="0"/>
              <w:rPr>
                <w:sz w:val="7"/>
                <w:szCs w:val="7"/>
                <w:color w:val="auto"/>
              </w:rPr>
            </w:pPr>
          </w:p>
        </w:tc>
        <w:tc>
          <w:tcPr>
            <w:tcW w:w="60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54"/>
        </w:trPr>
        <w:tc>
          <w:tcPr>
            <w:tcW w:w="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00672A"/>
            </w:tcBorders>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3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Borders>
              <w:bottom w:val="single" w:sz="8" w:color="00002F"/>
            </w:tcBorders>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Borders>
              <w:bottom w:val="single" w:sz="8" w:color="00672A"/>
            </w:tcBorders>
          </w:tcPr>
          <w:p>
            <w:pPr>
              <w:spacing w:after="0"/>
              <w:rPr>
                <w:sz w:val="23"/>
                <w:szCs w:val="23"/>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33"/>
        </w:trPr>
        <w:tc>
          <w:tcPr>
            <w:tcW w:w="3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3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672A"/>
            </w:tcBorders>
          </w:tcPr>
          <w:p>
            <w:pPr>
              <w:spacing w:after="0"/>
              <w:rPr>
                <w:sz w:val="21"/>
                <w:szCs w:val="21"/>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45"/>
        </w:trPr>
        <w:tc>
          <w:tcPr>
            <w:tcW w:w="3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320" w:type="dxa"/>
            <w:vAlign w:val="bottom"/>
            <w:vMerge w:val="continue"/>
          </w:tcPr>
          <w:p>
            <w:pPr>
              <w:spacing w:after="0"/>
              <w:rPr>
                <w:sz w:val="7"/>
                <w:szCs w:val="7"/>
                <w:color w:val="auto"/>
              </w:rPr>
            </w:pPr>
          </w:p>
        </w:tc>
        <w:tc>
          <w:tcPr>
            <w:tcW w:w="100" w:type="dxa"/>
            <w:vAlign w:val="bottom"/>
            <w:tcBorders>
              <w:bottom w:val="single" w:sz="8" w:color="00002F"/>
            </w:tcBorders>
          </w:tcPr>
          <w:p>
            <w:pPr>
              <w:spacing w:after="0"/>
              <w:rPr>
                <w:sz w:val="7"/>
                <w:szCs w:val="7"/>
                <w:color w:val="auto"/>
              </w:rPr>
            </w:pPr>
          </w:p>
        </w:tc>
        <w:tc>
          <w:tcPr>
            <w:tcW w:w="60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52"/>
        </w:trPr>
        <w:tc>
          <w:tcPr>
            <w:tcW w:w="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00672A"/>
            </w:tcBorders>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3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Borders>
              <w:bottom w:val="single" w:sz="8" w:color="00002F"/>
            </w:tcBorders>
          </w:tcPr>
          <w:p>
            <w:pPr>
              <w:spacing w:after="0"/>
              <w:rPr>
                <w:sz w:val="22"/>
                <w:szCs w:val="22"/>
                <w:color w:val="auto"/>
              </w:rPr>
            </w:pPr>
          </w:p>
        </w:tc>
        <w:tc>
          <w:tcPr>
            <w:tcW w:w="600" w:type="dxa"/>
            <w:vAlign w:val="bottom"/>
            <w:vMerge w:val="restart"/>
          </w:tcPr>
          <w:p>
            <w:pPr>
              <w:spacing w:after="0"/>
              <w:rPr>
                <w:sz w:val="22"/>
                <w:szCs w:val="22"/>
                <w:color w:val="auto"/>
              </w:rPr>
            </w:pPr>
          </w:p>
        </w:tc>
        <w:tc>
          <w:tcPr>
            <w:tcW w:w="540" w:type="dxa"/>
            <w:vAlign w:val="bottom"/>
            <w:vMerge w:val="restart"/>
          </w:tcPr>
          <w:p>
            <w:pPr>
              <w:spacing w:after="0"/>
              <w:rPr>
                <w:sz w:val="22"/>
                <w:szCs w:val="22"/>
                <w:color w:val="auto"/>
              </w:rPr>
            </w:pPr>
          </w:p>
        </w:tc>
        <w:tc>
          <w:tcPr>
            <w:tcW w:w="600" w:type="dxa"/>
            <w:vAlign w:val="bottom"/>
            <w:gridSpan w:val="2"/>
            <w:vMerge w:val="restart"/>
          </w:tcPr>
          <w:p>
            <w:pPr>
              <w:spacing w:after="0"/>
              <w:rPr>
                <w:sz w:val="22"/>
                <w:szCs w:val="22"/>
                <w:color w:val="auto"/>
              </w:rPr>
            </w:pPr>
          </w:p>
        </w:tc>
        <w:tc>
          <w:tcPr>
            <w:tcW w:w="420" w:type="dxa"/>
            <w:vAlign w:val="bottom"/>
            <w:vMerge w:val="restart"/>
          </w:tcPr>
          <w:p>
            <w:pPr>
              <w:spacing w:after="0"/>
              <w:rPr>
                <w:sz w:val="22"/>
                <w:szCs w:val="22"/>
                <w:color w:val="auto"/>
              </w:rPr>
            </w:pPr>
          </w:p>
        </w:tc>
        <w:tc>
          <w:tcPr>
            <w:tcW w:w="700" w:type="dxa"/>
            <w:vAlign w:val="bottom"/>
            <w:vMerge w:val="restart"/>
          </w:tcPr>
          <w:p>
            <w:pPr>
              <w:spacing w:after="0"/>
              <w:rPr>
                <w:sz w:val="22"/>
                <w:szCs w:val="22"/>
                <w:color w:val="auto"/>
              </w:rPr>
            </w:pPr>
          </w:p>
        </w:tc>
        <w:tc>
          <w:tcPr>
            <w:tcW w:w="480" w:type="dxa"/>
            <w:vAlign w:val="bottom"/>
            <w:vMerge w:val="restart"/>
          </w:tcPr>
          <w:p>
            <w:pPr>
              <w:spacing w:after="0"/>
              <w:rPr>
                <w:sz w:val="22"/>
                <w:szCs w:val="22"/>
                <w:color w:val="auto"/>
              </w:rPr>
            </w:pPr>
          </w:p>
        </w:tc>
        <w:tc>
          <w:tcPr>
            <w:tcW w:w="100" w:type="dxa"/>
            <w:vAlign w:val="bottom"/>
            <w:tcBorders>
              <w:bottom w:val="single" w:sz="8" w:color="00672A"/>
            </w:tcBorders>
          </w:tcPr>
          <w:p>
            <w:pPr>
              <w:spacing w:after="0"/>
              <w:rPr>
                <w:sz w:val="22"/>
                <w:szCs w:val="22"/>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21"/>
        </w:trPr>
        <w:tc>
          <w:tcPr>
            <w:tcW w:w="3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560" w:type="dxa"/>
            <w:vAlign w:val="bottom"/>
            <w:gridSpan w:val="4"/>
            <w:vMerge w:val="restart"/>
          </w:tcPr>
          <w:p>
            <w:pPr>
              <w:ind w:left="160"/>
              <w:spacing w:after="0"/>
              <w:rPr>
                <w:sz w:val="20"/>
                <w:szCs w:val="20"/>
                <w:color w:val="auto"/>
              </w:rPr>
            </w:pPr>
            <w:r>
              <w:rPr>
                <w:rFonts w:ascii="Arial" w:cs="Arial" w:eastAsia="Arial" w:hAnsi="Arial"/>
                <w:sz w:val="12"/>
                <w:szCs w:val="12"/>
                <w:color w:val="00002F"/>
                <w:w w:val="84"/>
              </w:rPr>
              <w:t>TOTAL TECH INVESTMENTS</w:t>
            </w:r>
          </w:p>
        </w:tc>
        <w:tc>
          <w:tcPr>
            <w:tcW w:w="320" w:type="dxa"/>
            <w:vAlign w:val="bottom"/>
          </w:tcPr>
          <w:p>
            <w:pPr>
              <w:spacing w:after="0"/>
              <w:rPr>
                <w:sz w:val="14"/>
                <w:szCs w:val="14"/>
                <w:color w:val="auto"/>
              </w:rPr>
            </w:pPr>
          </w:p>
        </w:tc>
        <w:tc>
          <w:tcPr>
            <w:tcW w:w="280" w:type="dxa"/>
            <w:vAlign w:val="bottom"/>
            <w:tcBorders>
              <w:bottom w:val="single" w:sz="8" w:color="59AF23"/>
            </w:tcBorders>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00002F"/>
                <w:w w:val="85"/>
              </w:rPr>
              <w:t>ADJ. EBITDA MARGIN</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560" w:type="dxa"/>
            <w:vAlign w:val="bottom"/>
            <w:gridSpan w:val="4"/>
            <w:vMerge w:val="continue"/>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4"/>
          </w:tcPr>
          <w:p>
            <w:pPr>
              <w:ind w:left="80"/>
              <w:spacing w:after="0"/>
              <w:rPr>
                <w:sz w:val="20"/>
                <w:szCs w:val="20"/>
                <w:color w:val="auto"/>
              </w:rPr>
            </w:pPr>
            <w:r>
              <w:rPr>
                <w:rFonts w:ascii="Arial" w:cs="Arial" w:eastAsia="Arial" w:hAnsi="Arial"/>
                <w:sz w:val="10"/>
                <w:szCs w:val="10"/>
                <w:color w:val="0C5593"/>
                <w:w w:val="79"/>
              </w:rPr>
              <w:t>SOURCE: TRADEWEB INTERNAL DATA</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color w:val="00002F"/>
        </w:rPr>
        <w:t>REVENUE BY ASSET CLASS</w:t>
      </w:r>
    </w:p>
    <w:p>
      <w:pPr>
        <w:ind w:left="40"/>
        <w:spacing w:after="0" w:line="210" w:lineRule="auto"/>
        <w:rPr>
          <w:sz w:val="20"/>
          <w:szCs w:val="20"/>
          <w:color w:val="auto"/>
        </w:rPr>
      </w:pPr>
      <w:r>
        <w:rPr>
          <w:rFonts w:ascii="Arial" w:cs="Arial" w:eastAsia="Arial" w:hAnsi="Arial"/>
          <w:sz w:val="14"/>
          <w:szCs w:val="14"/>
          <w:color w:val="00002F"/>
        </w:rPr>
        <w:t>$ IN MILLIONS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4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0" w:type="dxa"/>
            <w:vAlign w:val="bottom"/>
          </w:tcPr>
          <w:p>
            <w:pPr>
              <w:spacing w:after="0"/>
              <w:rPr>
                <w:sz w:val="1"/>
                <w:szCs w:val="1"/>
                <w:color w:val="auto"/>
              </w:rPr>
            </w:pPr>
          </w:p>
        </w:tc>
      </w:tr>
      <w:tr>
        <w:trPr>
          <w:trHeight w:val="46"/>
        </w:trPr>
        <w:tc>
          <w:tcPr>
            <w:tcW w:w="4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420" w:type="dxa"/>
            <w:vAlign w:val="bottom"/>
            <w:vMerge w:val="restart"/>
          </w:tcPr>
          <w:p>
            <w:pPr>
              <w:jc w:val="right"/>
              <w:spacing w:after="0" w:line="143" w:lineRule="exact"/>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color w:val="00002F"/>
              </w:rPr>
              <w:t xml:space="preserve">$ ,   </w:t>
            </w: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4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4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00002F"/>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160" w:type="dxa"/>
            <w:vAlign w:val="bottom"/>
          </w:tcPr>
          <w:p>
            <w:pPr>
              <w:spacing w:after="0"/>
              <w:rPr>
                <w:sz w:val="3"/>
                <w:szCs w:val="3"/>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4"/>
                <w:szCs w:val="14"/>
                <w:color w:val="00002F"/>
              </w:rPr>
              <w:t xml:space="preserve">$ ,   </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160" w:type="dxa"/>
            <w:vAlign w:val="bottom"/>
          </w:tcPr>
          <w:p>
            <w:pPr>
              <w:spacing w:after="0"/>
              <w:rPr>
                <w:sz w:val="3"/>
                <w:szCs w:val="3"/>
                <w:color w:val="auto"/>
              </w:rPr>
            </w:pPr>
          </w:p>
        </w:tc>
        <w:tc>
          <w:tcPr>
            <w:tcW w:w="460" w:type="dxa"/>
            <w:vAlign w:val="bottom"/>
            <w:tcBorders>
              <w:bottom w:val="single" w:sz="8" w:color="BFE012"/>
            </w:tcBorders>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420" w:type="dxa"/>
            <w:vAlign w:val="bottom"/>
            <w:vMerge w:val="continue"/>
          </w:tcPr>
          <w:p>
            <w:pPr>
              <w:spacing w:after="0"/>
              <w:rPr>
                <w:sz w:val="12"/>
                <w:szCs w:val="12"/>
                <w:color w:val="auto"/>
              </w:rPr>
            </w:pPr>
          </w:p>
        </w:tc>
        <w:tc>
          <w:tcPr>
            <w:tcW w:w="100" w:type="dxa"/>
            <w:vAlign w:val="bottom"/>
            <w:tcBorders>
              <w:bottom w:val="single" w:sz="8" w:color="00002F"/>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4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460" w:type="dxa"/>
            <w:vAlign w:val="bottom"/>
            <w:tcBorders>
              <w:bottom w:val="single" w:sz="8" w:color="BFE012"/>
            </w:tcBorders>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4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Borders>
              <w:bottom w:val="single" w:sz="8" w:color="BFE012"/>
            </w:tcBorders>
          </w:tcPr>
          <w:p>
            <w:pPr>
              <w:spacing w:after="0"/>
              <w:rPr>
                <w:sz w:val="3"/>
                <w:szCs w:val="3"/>
                <w:color w:val="auto"/>
              </w:rPr>
            </w:pPr>
          </w:p>
        </w:tc>
        <w:tc>
          <w:tcPr>
            <w:tcW w:w="80" w:type="dxa"/>
            <w:vAlign w:val="bottom"/>
            <w:tcBorders>
              <w:bottom w:val="single" w:sz="8" w:color="BFE012"/>
            </w:tcBorders>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4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60" w:type="dxa"/>
            <w:vAlign w:val="bottom"/>
            <w:tcBorders>
              <w:bottom w:val="single" w:sz="8" w:color="BFE012"/>
            </w:tcBorders>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20" w:type="dxa"/>
            <w:vAlign w:val="bottom"/>
            <w:vMerge w:val="continue"/>
          </w:tcPr>
          <w:p>
            <w:pPr>
              <w:spacing w:after="0"/>
              <w:rPr>
                <w:sz w:val="2"/>
                <w:szCs w:val="2"/>
                <w:color w:val="auto"/>
              </w:rPr>
            </w:pPr>
          </w:p>
        </w:tc>
        <w:tc>
          <w:tcPr>
            <w:tcW w:w="100" w:type="dxa"/>
            <w:vAlign w:val="bottom"/>
            <w:tcBorders>
              <w:bottom w:val="single" w:sz="8" w:color="00002F"/>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4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Borders>
              <w:bottom w:val="single" w:sz="8" w:color="00002F"/>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BFE012"/>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4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Borders>
              <w:bottom w:val="single" w:sz="8" w:color="00002F"/>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vMerge w:val="restart"/>
          </w:tcPr>
          <w:p>
            <w:pPr>
              <w:spacing w:after="0"/>
              <w:rPr>
                <w:sz w:val="24"/>
                <w:szCs w:val="24"/>
                <w:color w:val="auto"/>
              </w:rPr>
            </w:pPr>
          </w:p>
        </w:tc>
        <w:tc>
          <w:tcPr>
            <w:tcW w:w="46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vMerge w:val="restart"/>
          </w:tcPr>
          <w:p>
            <w:pPr>
              <w:spacing w:after="0"/>
              <w:rPr>
                <w:sz w:val="24"/>
                <w:szCs w:val="24"/>
                <w:color w:val="auto"/>
              </w:rPr>
            </w:pPr>
          </w:p>
        </w:tc>
        <w:tc>
          <w:tcPr>
            <w:tcW w:w="6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520" w:type="dxa"/>
            <w:vAlign w:val="bottom"/>
            <w:gridSpan w:val="2"/>
          </w:tcPr>
          <w:p>
            <w:pPr>
              <w:ind w:left="160"/>
              <w:spacing w:after="0"/>
              <w:rPr>
                <w:sz w:val="20"/>
                <w:szCs w:val="20"/>
                <w:color w:val="auto"/>
              </w:rPr>
            </w:pPr>
            <w:r>
              <w:rPr>
                <w:rFonts w:ascii="Arial" w:cs="Arial" w:eastAsia="Arial" w:hAnsi="Arial"/>
                <w:sz w:val="12"/>
                <w:szCs w:val="12"/>
                <w:color w:val="00002F"/>
                <w:w w:val="84"/>
              </w:rPr>
              <w:t>RATES</w:t>
            </w:r>
          </w:p>
        </w:tc>
        <w:tc>
          <w:tcPr>
            <w:tcW w:w="60" w:type="dxa"/>
            <w:vAlign w:val="bottom"/>
          </w:tcPr>
          <w:p>
            <w:pPr>
              <w:spacing w:after="0"/>
              <w:rPr>
                <w:sz w:val="17"/>
                <w:szCs w:val="17"/>
                <w:color w:val="auto"/>
              </w:rPr>
            </w:pPr>
          </w:p>
        </w:tc>
        <w:tc>
          <w:tcPr>
            <w:tcW w:w="620" w:type="dxa"/>
            <w:vAlign w:val="bottom"/>
            <w:gridSpan w:val="2"/>
          </w:tcPr>
          <w:p>
            <w:pPr>
              <w:ind w:left="200"/>
              <w:spacing w:after="0"/>
              <w:rPr>
                <w:sz w:val="20"/>
                <w:szCs w:val="20"/>
                <w:color w:val="auto"/>
              </w:rPr>
            </w:pPr>
            <w:r>
              <w:rPr>
                <w:rFonts w:ascii="Arial" w:cs="Arial" w:eastAsia="Arial" w:hAnsi="Arial"/>
                <w:sz w:val="12"/>
                <w:szCs w:val="12"/>
                <w:color w:val="00002F"/>
                <w:w w:val="89"/>
              </w:rPr>
              <w:t>CREDIT</w:t>
            </w:r>
          </w:p>
        </w:tc>
        <w:tc>
          <w:tcPr>
            <w:tcW w:w="1000" w:type="dxa"/>
            <w:vAlign w:val="bottom"/>
            <w:gridSpan w:val="3"/>
          </w:tcPr>
          <w:p>
            <w:pPr>
              <w:ind w:left="260"/>
              <w:spacing w:after="0"/>
              <w:rPr>
                <w:sz w:val="20"/>
                <w:szCs w:val="20"/>
                <w:color w:val="auto"/>
              </w:rPr>
            </w:pPr>
            <w:r>
              <w:rPr>
                <w:rFonts w:ascii="Arial" w:cs="Arial" w:eastAsia="Arial" w:hAnsi="Arial"/>
                <w:sz w:val="12"/>
                <w:szCs w:val="12"/>
                <w:color w:val="00002F"/>
              </w:rPr>
              <w:t>EQUITIES</w:t>
            </w:r>
          </w:p>
        </w:tc>
        <w:tc>
          <w:tcPr>
            <w:tcW w:w="700" w:type="dxa"/>
            <w:vAlign w:val="bottom"/>
            <w:gridSpan w:val="3"/>
          </w:tcPr>
          <w:p>
            <w:pPr>
              <w:ind w:left="20"/>
              <w:spacing w:after="0"/>
              <w:rPr>
                <w:sz w:val="20"/>
                <w:szCs w:val="20"/>
                <w:color w:val="auto"/>
              </w:rPr>
            </w:pPr>
            <w:r>
              <w:rPr>
                <w:rFonts w:ascii="Arial" w:cs="Arial" w:eastAsia="Arial" w:hAnsi="Arial"/>
                <w:sz w:val="12"/>
                <w:szCs w:val="12"/>
                <w:color w:val="00002F"/>
              </w:rPr>
              <w:t>MONEY</w:t>
            </w:r>
          </w:p>
        </w:tc>
        <w:tc>
          <w:tcPr>
            <w:tcW w:w="620" w:type="dxa"/>
            <w:vAlign w:val="bottom"/>
            <w:gridSpan w:val="2"/>
          </w:tcPr>
          <w:p>
            <w:pPr>
              <w:ind w:left="120"/>
              <w:spacing w:after="0"/>
              <w:rPr>
                <w:sz w:val="20"/>
                <w:szCs w:val="20"/>
                <w:color w:val="auto"/>
              </w:rPr>
            </w:pPr>
            <w:r>
              <w:rPr>
                <w:rFonts w:ascii="Arial" w:cs="Arial" w:eastAsia="Arial" w:hAnsi="Arial"/>
                <w:sz w:val="12"/>
                <w:szCs w:val="12"/>
                <w:color w:val="00002F"/>
                <w:w w:val="95"/>
              </w:rPr>
              <w:t>MARKET</w:t>
            </w:r>
          </w:p>
        </w:tc>
        <w:tc>
          <w:tcPr>
            <w:tcW w:w="640" w:type="dxa"/>
            <w:vAlign w:val="bottom"/>
          </w:tcPr>
          <w:p>
            <w:pPr>
              <w:jc w:val="right"/>
              <w:spacing w:after="0"/>
              <w:rPr>
                <w:sz w:val="20"/>
                <w:szCs w:val="20"/>
                <w:color w:val="auto"/>
              </w:rPr>
            </w:pPr>
            <w:r>
              <w:rPr>
                <w:rFonts w:ascii="Arial" w:cs="Arial" w:eastAsia="Arial" w:hAnsi="Arial"/>
                <w:sz w:val="12"/>
                <w:szCs w:val="12"/>
                <w:color w:val="00002F"/>
              </w:rPr>
              <w:t>OTHER</w:t>
            </w:r>
          </w:p>
        </w:tc>
        <w:tc>
          <w:tcPr>
            <w:tcW w:w="0" w:type="dxa"/>
            <w:vAlign w:val="bottom"/>
          </w:tcPr>
          <w:p>
            <w:pPr>
              <w:spacing w:after="0"/>
              <w:rPr>
                <w:sz w:val="1"/>
                <w:szCs w:val="1"/>
                <w:color w:val="auto"/>
              </w:rPr>
            </w:pPr>
          </w:p>
        </w:tc>
      </w:tr>
      <w:tr>
        <w:trPr>
          <w:trHeight w:val="121"/>
        </w:trPr>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gridSpan w:val="3"/>
          </w:tcPr>
          <w:p>
            <w:pPr>
              <w:ind w:left="20"/>
              <w:spacing w:after="0" w:line="121" w:lineRule="exact"/>
              <w:rPr>
                <w:sz w:val="20"/>
                <w:szCs w:val="20"/>
                <w:color w:val="auto"/>
              </w:rPr>
            </w:pPr>
            <w:r>
              <w:rPr>
                <w:rFonts w:ascii="Arial" w:cs="Arial" w:eastAsia="Arial" w:hAnsi="Arial"/>
                <w:sz w:val="12"/>
                <w:szCs w:val="12"/>
                <w:color w:val="00002F"/>
              </w:rPr>
              <w:t>MARKETS</w:t>
            </w:r>
          </w:p>
        </w:tc>
        <w:tc>
          <w:tcPr>
            <w:tcW w:w="620" w:type="dxa"/>
            <w:vAlign w:val="bottom"/>
            <w:gridSpan w:val="2"/>
          </w:tcPr>
          <w:p>
            <w:pPr>
              <w:ind w:left="120"/>
              <w:spacing w:after="0" w:line="121" w:lineRule="exact"/>
              <w:rPr>
                <w:sz w:val="20"/>
                <w:szCs w:val="20"/>
                <w:color w:val="auto"/>
              </w:rPr>
            </w:pPr>
            <w:r>
              <w:rPr>
                <w:rFonts w:ascii="Arial" w:cs="Arial" w:eastAsia="Arial" w:hAnsi="Arial"/>
                <w:sz w:val="12"/>
                <w:szCs w:val="12"/>
                <w:color w:val="00002F"/>
              </w:rPr>
              <w:t>DATA</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4"/>
          </w:tcPr>
          <w:p>
            <w:pPr>
              <w:jc w:val="right"/>
              <w:spacing w:after="0"/>
              <w:rPr>
                <w:sz w:val="20"/>
                <w:szCs w:val="20"/>
                <w:color w:val="auto"/>
              </w:rPr>
            </w:pPr>
            <w:r>
              <w:rPr>
                <w:rFonts w:ascii="Arial" w:cs="Arial" w:eastAsia="Arial" w:hAnsi="Arial"/>
                <w:sz w:val="10"/>
                <w:szCs w:val="10"/>
                <w:color w:val="0C5593"/>
                <w:w w:val="99"/>
              </w:rPr>
              <w:t>SOURCE: BASED ON TW REVENUE</w:t>
            </w:r>
          </w:p>
        </w:tc>
        <w:tc>
          <w:tcPr>
            <w:tcW w:w="0" w:type="dxa"/>
            <w:vAlign w:val="bottom"/>
          </w:tcPr>
          <w:p>
            <w:pPr>
              <w:spacing w:after="0"/>
              <w:rPr>
                <w:sz w:val="1"/>
                <w:szCs w:val="1"/>
                <w:color w:val="auto"/>
              </w:rPr>
            </w:pPr>
          </w:p>
        </w:tc>
      </w:tr>
      <w:tr>
        <w:trPr>
          <w:trHeight w:val="138"/>
        </w:trPr>
        <w:tc>
          <w:tcPr>
            <w:tcW w:w="2200" w:type="dxa"/>
            <w:vAlign w:val="bottom"/>
            <w:tcBorders>
              <w:bottom w:val="single" w:sz="8" w:color="00477D"/>
            </w:tcBorders>
            <w:gridSpan w:val="8"/>
          </w:tcPr>
          <w:p>
            <w:pPr>
              <w:spacing w:after="0"/>
              <w:rPr>
                <w:sz w:val="11"/>
                <w:szCs w:val="11"/>
                <w:color w:val="auto"/>
              </w:rPr>
            </w:pPr>
          </w:p>
        </w:tc>
        <w:tc>
          <w:tcPr>
            <w:tcW w:w="80" w:type="dxa"/>
            <w:vAlign w:val="bottom"/>
            <w:tcBorders>
              <w:bottom w:val="single" w:sz="8" w:color="00477D"/>
            </w:tcBorders>
          </w:tcPr>
          <w:p>
            <w:pPr>
              <w:spacing w:after="0"/>
              <w:rPr>
                <w:sz w:val="11"/>
                <w:szCs w:val="11"/>
                <w:color w:val="auto"/>
              </w:rPr>
            </w:pPr>
          </w:p>
        </w:tc>
        <w:tc>
          <w:tcPr>
            <w:tcW w:w="160" w:type="dxa"/>
            <w:vAlign w:val="bottom"/>
            <w:tcBorders>
              <w:bottom w:val="single" w:sz="8" w:color="00477D"/>
            </w:tcBorders>
          </w:tcPr>
          <w:p>
            <w:pPr>
              <w:spacing w:after="0"/>
              <w:rPr>
                <w:sz w:val="11"/>
                <w:szCs w:val="11"/>
                <w:color w:val="auto"/>
              </w:rPr>
            </w:pPr>
          </w:p>
        </w:tc>
        <w:tc>
          <w:tcPr>
            <w:tcW w:w="460" w:type="dxa"/>
            <w:vAlign w:val="bottom"/>
            <w:tcBorders>
              <w:bottom w:val="single" w:sz="8" w:color="00477D"/>
            </w:tcBorders>
          </w:tcPr>
          <w:p>
            <w:pPr>
              <w:spacing w:after="0"/>
              <w:rPr>
                <w:sz w:val="11"/>
                <w:szCs w:val="11"/>
                <w:color w:val="auto"/>
              </w:rPr>
            </w:pPr>
          </w:p>
        </w:tc>
        <w:tc>
          <w:tcPr>
            <w:tcW w:w="160" w:type="dxa"/>
            <w:vAlign w:val="bottom"/>
            <w:tcBorders>
              <w:bottom w:val="single" w:sz="8" w:color="00477D"/>
            </w:tcBorders>
          </w:tcPr>
          <w:p>
            <w:pPr>
              <w:spacing w:after="0"/>
              <w:rPr>
                <w:sz w:val="11"/>
                <w:szCs w:val="11"/>
                <w:color w:val="auto"/>
              </w:rPr>
            </w:pPr>
          </w:p>
        </w:tc>
        <w:tc>
          <w:tcPr>
            <w:tcW w:w="460" w:type="dxa"/>
            <w:vAlign w:val="bottom"/>
            <w:tcBorders>
              <w:bottom w:val="single" w:sz="8" w:color="00477D"/>
            </w:tcBorders>
          </w:tcPr>
          <w:p>
            <w:pPr>
              <w:spacing w:after="0"/>
              <w:rPr>
                <w:sz w:val="11"/>
                <w:szCs w:val="11"/>
                <w:color w:val="auto"/>
              </w:rPr>
            </w:pPr>
          </w:p>
        </w:tc>
        <w:tc>
          <w:tcPr>
            <w:tcW w:w="640" w:type="dxa"/>
            <w:vAlign w:val="bottom"/>
            <w:tcBorders>
              <w:bottom w:val="single" w:sz="8" w:color="00477D"/>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200" w:type="dxa"/>
            <w:vAlign w:val="bottom"/>
            <w:gridSpan w:val="8"/>
          </w:tcPr>
          <w:p>
            <w:pPr>
              <w:spacing w:after="0"/>
              <w:rPr>
                <w:sz w:val="20"/>
                <w:szCs w:val="20"/>
                <w:color w:val="auto"/>
              </w:rPr>
            </w:pPr>
            <w:r>
              <w:rPr>
                <w:rFonts w:ascii="Arial" w:cs="Arial" w:eastAsia="Arial" w:hAnsi="Arial"/>
                <w:sz w:val="16"/>
                <w:szCs w:val="16"/>
                <w:color w:val="00002F"/>
                <w:w w:val="98"/>
              </w:rPr>
              <w:t>INTERNATIONAL REVENUES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200" w:type="dxa"/>
            <w:vAlign w:val="bottom"/>
            <w:gridSpan w:val="5"/>
          </w:tcPr>
          <w:p>
            <w:pPr>
              <w:spacing w:after="0" w:line="141" w:lineRule="exact"/>
              <w:rPr>
                <w:sz w:val="20"/>
                <w:szCs w:val="20"/>
                <w:color w:val="auto"/>
              </w:rPr>
            </w:pPr>
            <w:r>
              <w:rPr>
                <w:rFonts w:ascii="Arial" w:cs="Arial" w:eastAsia="Arial" w:hAnsi="Arial"/>
                <w:sz w:val="14"/>
                <w:szCs w:val="14"/>
                <w:color w:val="00002F"/>
              </w:rPr>
              <w:t>$ IN MILLIONS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vMerge w:val="restart"/>
          </w:tcPr>
          <w:p>
            <w:pPr>
              <w:jc w:val="right"/>
              <w:ind w:right="54"/>
              <w:spacing w:after="0"/>
              <w:rPr>
                <w:sz w:val="20"/>
                <w:szCs w:val="20"/>
                <w:color w:val="auto"/>
              </w:rPr>
            </w:pPr>
            <w:r>
              <w:rPr>
                <w:rFonts w:ascii="Arial" w:cs="Arial" w:eastAsia="Arial" w:hAnsi="Arial"/>
                <w:sz w:val="14"/>
                <w:szCs w:val="14"/>
                <w:color w:val="00002F"/>
              </w:rPr>
              <w:t>$</w:t>
            </w:r>
          </w:p>
        </w:tc>
        <w:tc>
          <w:tcPr>
            <w:tcW w:w="0" w:type="dxa"/>
            <w:vAlign w:val="bottom"/>
          </w:tcPr>
          <w:p>
            <w:pPr>
              <w:spacing w:after="0"/>
              <w:rPr>
                <w:sz w:val="1"/>
                <w:szCs w:val="1"/>
                <w:color w:val="auto"/>
              </w:rPr>
            </w:pPr>
          </w:p>
        </w:tc>
      </w:tr>
      <w:tr>
        <w:trPr>
          <w:trHeight w:val="47"/>
        </w:trPr>
        <w:tc>
          <w:tcPr>
            <w:tcW w:w="4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Borders>
              <w:bottom w:val="single" w:sz="8" w:color="00002F"/>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color w:val="00002F"/>
              </w:rPr>
              <w:t>$</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Borders>
              <w:bottom w:val="single" w:sz="8" w:color="00002F"/>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vMerge w:val="restart"/>
          </w:tcPr>
          <w:p>
            <w:pPr>
              <w:ind w:left="80"/>
              <w:spacing w:after="0"/>
              <w:rPr>
                <w:sz w:val="20"/>
                <w:szCs w:val="20"/>
                <w:color w:val="auto"/>
              </w:rPr>
            </w:pPr>
            <w:r>
              <w:rPr>
                <w:rFonts w:ascii="Arial" w:cs="Arial" w:eastAsia="Arial" w:hAnsi="Arial"/>
                <w:sz w:val="14"/>
                <w:szCs w:val="14"/>
                <w:color w:val="00002F"/>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restart"/>
          </w:tcPr>
          <w:p>
            <w:pPr>
              <w:jc w:val="right"/>
              <w:ind w:right="18"/>
              <w:spacing w:after="0"/>
              <w:rPr>
                <w:sz w:val="20"/>
                <w:szCs w:val="20"/>
                <w:color w:val="auto"/>
              </w:rPr>
            </w:pPr>
            <w:r>
              <w:rPr>
                <w:rFonts w:ascii="Arial" w:cs="Arial" w:eastAsia="Arial" w:hAnsi="Arial"/>
                <w:sz w:val="14"/>
                <w:szCs w:val="14"/>
                <w:color w:val="00002F"/>
              </w:rPr>
              <w:t>$</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vMerge w:val="restart"/>
          </w:tcPr>
          <w:p>
            <w:pPr>
              <w:jc w:val="right"/>
              <w:ind w:right="14"/>
              <w:spacing w:after="0" w:line="158" w:lineRule="exact"/>
              <w:rPr>
                <w:sz w:val="20"/>
                <w:szCs w:val="20"/>
                <w:color w:val="auto"/>
              </w:rPr>
            </w:pPr>
            <w:r>
              <w:rPr>
                <w:rFonts w:ascii="Arial" w:cs="Arial" w:eastAsia="Arial" w:hAnsi="Arial"/>
                <w:sz w:val="14"/>
                <w:szCs w:val="14"/>
                <w:color w:val="00002F"/>
              </w:rPr>
              <w:t>$</w:t>
            </w:r>
          </w:p>
        </w:tc>
        <w:tc>
          <w:tcPr>
            <w:tcW w:w="1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420" w:type="dxa"/>
            <w:vAlign w:val="bottom"/>
            <w:vMerge w:val="restart"/>
          </w:tcPr>
          <w:p>
            <w:pPr>
              <w:jc w:val="right"/>
              <w:spacing w:after="0" w:line="152" w:lineRule="exact"/>
              <w:rPr>
                <w:sz w:val="20"/>
                <w:szCs w:val="20"/>
                <w:color w:val="auto"/>
              </w:rPr>
            </w:pPr>
            <w:r>
              <w:rPr>
                <w:rFonts w:ascii="Arial" w:cs="Arial" w:eastAsia="Arial" w:hAnsi="Arial"/>
                <w:sz w:val="14"/>
                <w:szCs w:val="14"/>
                <w:color w:val="00002F"/>
              </w:rPr>
              <w:t>$</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20" w:type="dxa"/>
            <w:vAlign w:val="bottom"/>
            <w:vMerge w:val="continue"/>
          </w:tcPr>
          <w:p>
            <w:pPr>
              <w:spacing w:after="0"/>
              <w:rPr>
                <w:sz w:val="3"/>
                <w:szCs w:val="3"/>
                <w:color w:val="auto"/>
              </w:rPr>
            </w:pPr>
          </w:p>
        </w:tc>
        <w:tc>
          <w:tcPr>
            <w:tcW w:w="100" w:type="dxa"/>
            <w:vAlign w:val="bottom"/>
            <w:tcBorders>
              <w:bottom w:val="single" w:sz="8" w:color="00002F"/>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2"/>
            <w:vMerge w:val="restart"/>
          </w:tcPr>
          <w:p>
            <w:pPr>
              <w:jc w:val="right"/>
              <w:ind w:right="240"/>
              <w:spacing w:after="0" w:line="152" w:lineRule="exact"/>
              <w:rPr>
                <w:sz w:val="20"/>
                <w:szCs w:val="20"/>
                <w:color w:val="auto"/>
              </w:rPr>
            </w:pPr>
            <w:r>
              <w:rPr>
                <w:rFonts w:ascii="Arial" w:cs="Arial" w:eastAsia="Arial" w:hAnsi="Arial"/>
                <w:sz w:val="14"/>
                <w:szCs w:val="14"/>
                <w:color w:val="00002F"/>
              </w:rPr>
              <w:t>$</w:t>
            </w: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Borders>
              <w:bottom w:val="single" w:sz="8" w:color="00002F"/>
            </w:tcBorders>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420" w:type="dxa"/>
            <w:vAlign w:val="bottom"/>
            <w:vMerge w:val="restart"/>
          </w:tcPr>
          <w:p>
            <w:pPr>
              <w:jc w:val="right"/>
              <w:spacing w:after="0"/>
              <w:rPr>
                <w:sz w:val="20"/>
                <w:szCs w:val="20"/>
                <w:color w:val="auto"/>
              </w:rPr>
            </w:pPr>
            <w:r>
              <w:rPr>
                <w:rFonts w:ascii="Arial" w:cs="Arial" w:eastAsia="Arial" w:hAnsi="Arial"/>
                <w:sz w:val="14"/>
                <w:szCs w:val="14"/>
                <w:color w:val="00002F"/>
              </w:rPr>
              <w:t>$</w:t>
            </w:r>
          </w:p>
        </w:tc>
        <w:tc>
          <w:tcPr>
            <w:tcW w:w="100" w:type="dxa"/>
            <w:vAlign w:val="bottom"/>
            <w:tcBorders>
              <w:bottom w:val="single" w:sz="8" w:color="00002F"/>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vMerge w:val="restart"/>
          </w:tcPr>
          <w:p>
            <w:pPr>
              <w:spacing w:after="0"/>
              <w:rPr>
                <w:sz w:val="24"/>
                <w:szCs w:val="24"/>
                <w:color w:val="auto"/>
              </w:rPr>
            </w:pPr>
          </w:p>
        </w:tc>
        <w:tc>
          <w:tcPr>
            <w:tcW w:w="46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vMerge w:val="restart"/>
          </w:tcPr>
          <w:p>
            <w:pPr>
              <w:spacing w:after="0"/>
              <w:rPr>
                <w:sz w:val="24"/>
                <w:szCs w:val="24"/>
                <w:color w:val="auto"/>
              </w:rPr>
            </w:pPr>
          </w:p>
        </w:tc>
        <w:tc>
          <w:tcPr>
            <w:tcW w:w="6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820"/>
        <w:spacing w:after="0"/>
        <w:rPr>
          <w:sz w:val="20"/>
          <w:szCs w:val="20"/>
          <w:color w:val="auto"/>
        </w:rPr>
      </w:pPr>
      <w:r>
        <w:rPr>
          <w:rFonts w:ascii="Arial" w:cs="Arial" w:eastAsia="Arial" w:hAnsi="Arial"/>
          <w:sz w:val="7"/>
          <w:szCs w:val="7"/>
          <w:color w:val="0C5593"/>
        </w:rPr>
        <w:t>SOURCE: BASED ON TW REVENUE</w:t>
      </w:r>
    </w:p>
    <w:p>
      <w:pPr>
        <w:spacing w:after="0" w:line="200" w:lineRule="exact"/>
        <w:rPr>
          <w:sz w:val="20"/>
          <w:szCs w:val="20"/>
          <w:color w:val="auto"/>
        </w:rPr>
      </w:pPr>
    </w:p>
    <w:p>
      <w:pPr>
        <w:spacing w:after="0" w:line="318" w:lineRule="exact"/>
        <w:rPr>
          <w:sz w:val="20"/>
          <w:szCs w:val="20"/>
          <w:color w:val="auto"/>
        </w:rPr>
      </w:pPr>
    </w:p>
    <w:p>
      <w:pPr>
        <w:jc w:val="both"/>
        <w:ind w:right="180"/>
        <w:spacing w:after="0" w:line="312" w:lineRule="auto"/>
        <w:rPr>
          <w:sz w:val="20"/>
          <w:szCs w:val="20"/>
          <w:color w:val="auto"/>
        </w:rPr>
      </w:pPr>
      <w:r>
        <w:rPr>
          <w:rFonts w:ascii="Arial" w:cs="Arial" w:eastAsia="Arial" w:hAnsi="Arial"/>
          <w:sz w:val="17"/>
          <w:szCs w:val="17"/>
          <w:color w:val="auto"/>
        </w:rPr>
        <w:t>into pricing, liquidity, and execution outcomes — helped markets continue to function in conditions that would have been more challenging in prior cycles.</w:t>
      </w:r>
    </w:p>
    <w:p>
      <w:pPr>
        <w:spacing w:after="0" w:line="132" w:lineRule="exact"/>
        <w:rPr>
          <w:sz w:val="20"/>
          <w:szCs w:val="20"/>
          <w:color w:val="auto"/>
        </w:rPr>
      </w:pPr>
    </w:p>
    <w:p>
      <w:pPr>
        <w:jc w:val="both"/>
        <w:ind w:right="180"/>
        <w:spacing w:after="0" w:line="289" w:lineRule="auto"/>
        <w:rPr>
          <w:sz w:val="20"/>
          <w:szCs w:val="20"/>
          <w:color w:val="auto"/>
        </w:rPr>
      </w:pPr>
      <w:r>
        <w:rPr>
          <w:rFonts w:ascii="Arial" w:cs="Arial" w:eastAsia="Arial" w:hAnsi="Arial"/>
          <w:sz w:val="18"/>
          <w:szCs w:val="18"/>
          <w:color w:val="auto"/>
        </w:rPr>
        <w:t>We view this continued evolution in client behavior, including the growing use of portfolio trading, as evidence of a broader shift in market structure. Beyond efficiency, electronification has also become essential to maintaining access, transparency, and execution continuity during periods of turbulence.</w:t>
      </w:r>
    </w:p>
    <w:p>
      <w:pPr>
        <w:spacing w:after="0" w:line="219" w:lineRule="exact"/>
        <w:rPr>
          <w:sz w:val="20"/>
          <w:szCs w:val="20"/>
          <w:color w:val="auto"/>
        </w:rPr>
      </w:pPr>
    </w:p>
    <w:p>
      <w:pPr>
        <w:sectPr>
          <w:pgSz w:w="12240" w:h="15840" w:orient="portrait"/>
          <w:cols w:equalWidth="0" w:num="2">
            <w:col w:w="4820" w:space="400"/>
            <w:col w:w="4380"/>
          </w:cols>
          <w:pgMar w:left="1200" w:top="1440" w:right="1440" w:bottom="195" w:gutter="0" w:footer="0" w:header="0"/>
        </w:sectPr>
      </w:pPr>
    </w:p>
    <w:p>
      <w:pPr>
        <w:spacing w:after="0" w:line="363"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00002F"/>
        </w:rPr>
        <w:t>4</w:t>
      </w:r>
      <w:r>
        <w:rPr>
          <w:sz w:val="20"/>
          <w:szCs w:val="20"/>
          <w:color w:val="auto"/>
        </w:rPr>
        <w:tab/>
      </w:r>
      <w:r>
        <w:rPr>
          <w:rFonts w:ascii="Arial" w:cs="Arial" w:eastAsia="Arial" w:hAnsi="Arial"/>
          <w:sz w:val="13"/>
          <w:szCs w:val="13"/>
          <w:color w:val="00002F"/>
        </w:rPr>
        <w:t>Tradeweb Markets</w:t>
      </w:r>
    </w:p>
    <w:p>
      <w:pPr>
        <w:sectPr>
          <w:pgSz w:w="12240" w:h="15840" w:orient="portrait"/>
          <w:cols w:equalWidth="0" w:num="1">
            <w:col w:w="9600"/>
          </w:cols>
          <w:pgMar w:left="1200" w:top="1440" w:right="1440" w:bottom="195" w:gutter="0" w:footer="0" w:header="0"/>
          <w:type w:val="continuous"/>
        </w:sectPr>
      </w:pPr>
    </w:p>
    <w:bookmarkStart w:id="6" w:name="page7"/>
    <w:bookmarkEnd w:id="6"/>
    <w:p>
      <w:pPr>
        <w:spacing w:after="0" w:line="223" w:lineRule="exact"/>
        <w:rPr>
          <w:sz w:val="20"/>
          <w:szCs w:val="20"/>
          <w:color w:val="auto"/>
        </w:rPr>
      </w:pPr>
    </w:p>
    <w:p>
      <w:pPr>
        <w:ind w:left="180"/>
        <w:spacing w:after="0"/>
        <w:rPr>
          <w:sz w:val="20"/>
          <w:szCs w:val="20"/>
          <w:color w:val="auto"/>
        </w:rPr>
      </w:pPr>
      <w:r>
        <w:rPr>
          <w:rFonts w:ascii="Arial" w:cs="Arial" w:eastAsia="Arial" w:hAnsi="Arial"/>
          <w:sz w:val="22"/>
          <w:szCs w:val="22"/>
          <w:color w:val="00568F"/>
        </w:rPr>
        <w:t>AUTOMATION</w:t>
      </w:r>
    </w:p>
    <w:p>
      <w:pPr>
        <w:spacing w:after="0" w:line="231" w:lineRule="exact"/>
        <w:rPr>
          <w:sz w:val="20"/>
          <w:szCs w:val="20"/>
          <w:color w:val="auto"/>
        </w:rPr>
      </w:pPr>
    </w:p>
    <w:p>
      <w:pPr>
        <w:jc w:val="both"/>
        <w:ind w:left="180"/>
        <w:spacing w:after="0" w:line="319" w:lineRule="auto"/>
        <w:rPr>
          <w:sz w:val="20"/>
          <w:szCs w:val="20"/>
          <w:color w:val="auto"/>
        </w:rPr>
      </w:pPr>
      <w:r>
        <w:rPr>
          <w:rFonts w:ascii="Arial" w:cs="Arial" w:eastAsia="Arial" w:hAnsi="Arial"/>
          <w:sz w:val="17"/>
          <w:szCs w:val="17"/>
          <w:color w:val="auto"/>
        </w:rPr>
        <w:t>Automation has long been part of Tradeweb’s DNA, and its role continues to deepen as markets, liquidity, and client behavior evolve. Since launching Tradeweb’s Automated Intelligent Execution (AiEX) tool more than a decade ago, automation on our platform has expanded across more than 25 product groups spanning rates, credit, equities, and money markets, reflecting both advances in technology and the changing demands of our clients. By partnering closely with clients, we continue to enhance existing processes — embedding automation in ways that improve efficiency, reduce friction across global markets, and support better execution outcomes without disrupting how clients operate. This philosophy continues to guide the expansion of Tradeweb AiEX as clients look to apply automation more broadly while preserving flexibility, transparency, and accountability in execution.</w:t>
      </w:r>
    </w:p>
    <w:p>
      <w:pPr>
        <w:spacing w:after="0" w:line="183" w:lineRule="exact"/>
        <w:rPr>
          <w:sz w:val="20"/>
          <w:szCs w:val="20"/>
          <w:color w:val="auto"/>
        </w:rPr>
      </w:pPr>
    </w:p>
    <w:p>
      <w:pPr>
        <w:jc w:val="both"/>
        <w:ind w:left="180"/>
        <w:spacing w:after="0" w:line="319" w:lineRule="auto"/>
        <w:rPr>
          <w:sz w:val="20"/>
          <w:szCs w:val="20"/>
          <w:color w:val="auto"/>
        </w:rPr>
      </w:pPr>
      <w:r>
        <w:rPr>
          <w:rFonts w:ascii="Arial" w:cs="Arial" w:eastAsia="Arial" w:hAnsi="Arial"/>
          <w:sz w:val="17"/>
          <w:szCs w:val="17"/>
          <w:color w:val="auto"/>
        </w:rPr>
        <w:t>Experience has shown that automation adoption is evolutionary, and our central position in this ecosystem and across global markets allows us to progress alongside our clients. This has been most evident in ETFs, where Europe led automation adoption for many years. As adoption now accelerates in the U.S., we can draw on those earlier experiences, applying insights from more established markets to support the next phase of growth. That continuity reflects the depth of our relationships and our ability to leverage how products and workflows mature across regions. We apply the same discipline to how we operate internally, using AI and automation to improve productivity, streamline development, and shorten delivery cycles — enabling us to respond more quickly and deliver value with greater efficiency. Through it all, our objective remains consistent: to remain deeply embedded in client workflows, evolve alongside them as markets change, and build durable solutions that support efficiency, resilience, and long-term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00002F"/>
        </w:rPr>
        <w:t>TOTAL AiEX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-1509395</wp:posOffset>
            </wp:positionV>
            <wp:extent cx="7772400" cy="10058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80" w:type="dxa"/>
            <w:vAlign w:val="bottom"/>
            <w:vMerge w:val="restart"/>
          </w:tcPr>
          <w:p>
            <w:pPr>
              <w:spacing w:after="0"/>
              <w:rPr>
                <w:sz w:val="21"/>
                <w:szCs w:val="21"/>
                <w:color w:val="auto"/>
              </w:rPr>
            </w:pPr>
          </w:p>
        </w:tc>
        <w:tc>
          <w:tcPr>
            <w:tcW w:w="80" w:type="dxa"/>
            <w:vAlign w:val="bottom"/>
            <w:tcBorders>
              <w:bottom w:val="single" w:sz="8" w:color="00002F"/>
            </w:tcBorders>
          </w:tcPr>
          <w:p>
            <w:pPr>
              <w:spacing w:after="0"/>
              <w:rPr>
                <w:sz w:val="21"/>
                <w:szCs w:val="21"/>
                <w:color w:val="auto"/>
              </w:rPr>
            </w:pPr>
          </w:p>
        </w:tc>
        <w:tc>
          <w:tcPr>
            <w:tcW w:w="20" w:type="dxa"/>
            <w:vAlign w:val="bottom"/>
            <w:tcBorders>
              <w:bottom w:val="single" w:sz="8" w:color="00002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271"/>
              <w:spacing w:after="0"/>
              <w:rPr>
                <w:sz w:val="20"/>
                <w:szCs w:val="20"/>
                <w:color w:val="auto"/>
              </w:rPr>
            </w:pPr>
            <w:r>
              <w:rPr>
                <w:rFonts w:ascii="Arial" w:cs="Arial" w:eastAsia="Arial" w:hAnsi="Arial"/>
                <w:sz w:val="14"/>
                <w:szCs w:val="14"/>
                <w:color w:val="00002F"/>
              </w:rPr>
              <w:t xml:space="preserve"> •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2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vMerge w:val="restart"/>
          </w:tcPr>
          <w:p>
            <w:pPr>
              <w:spacing w:after="0"/>
              <w:rPr>
                <w:sz w:val="3"/>
                <w:szCs w:val="3"/>
                <w:color w:val="auto"/>
              </w:rPr>
            </w:pPr>
          </w:p>
        </w:tc>
        <w:tc>
          <w:tcPr>
            <w:tcW w:w="980" w:type="dxa"/>
            <w:vAlign w:val="bottom"/>
            <w:vMerge w:val="restart"/>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spacing w:after="0"/>
              <w:rPr>
                <w:sz w:val="10"/>
                <w:szCs w:val="10"/>
                <w:color w:val="auto"/>
              </w:rPr>
            </w:pPr>
          </w:p>
        </w:tc>
        <w:tc>
          <w:tcPr>
            <w:tcW w:w="4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80" w:type="dxa"/>
            <w:vAlign w:val="bottom"/>
            <w:vMerge w:val="restart"/>
          </w:tcPr>
          <w:p>
            <w:pPr>
              <w:spacing w:after="0"/>
              <w:rPr>
                <w:sz w:val="9"/>
                <w:szCs w:val="9"/>
                <w:color w:val="auto"/>
              </w:rPr>
            </w:pPr>
          </w:p>
        </w:tc>
        <w:tc>
          <w:tcPr>
            <w:tcW w:w="80" w:type="dxa"/>
            <w:vAlign w:val="bottom"/>
            <w:tcBorders>
              <w:bottom w:val="single" w:sz="8" w:color="00002F"/>
            </w:tcBorders>
          </w:tcPr>
          <w:p>
            <w:pPr>
              <w:spacing w:after="0"/>
              <w:rPr>
                <w:sz w:val="9"/>
                <w:szCs w:val="9"/>
                <w:color w:val="auto"/>
              </w:rPr>
            </w:pPr>
          </w:p>
        </w:tc>
        <w:tc>
          <w:tcPr>
            <w:tcW w:w="20" w:type="dxa"/>
            <w:vAlign w:val="bottom"/>
            <w:tcBorders>
              <w:bottom w:val="single" w:sz="8" w:color="00002F"/>
            </w:tcBorders>
          </w:tcPr>
          <w:p>
            <w:pPr>
              <w:spacing w:after="0"/>
              <w:rPr>
                <w:sz w:val="9"/>
                <w:szCs w:val="9"/>
                <w:color w:val="auto"/>
              </w:rPr>
            </w:pPr>
          </w:p>
        </w:tc>
        <w:tc>
          <w:tcPr>
            <w:tcW w:w="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4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7"/>
        </w:trPr>
        <w:tc>
          <w:tcPr>
            <w:tcW w:w="280" w:type="dxa"/>
            <w:vAlign w:val="bottom"/>
            <w:vMerge w:val="restart"/>
          </w:tcPr>
          <w:p>
            <w:pPr>
              <w:spacing w:after="0"/>
              <w:rPr>
                <w:sz w:val="24"/>
                <w:szCs w:val="24"/>
                <w:color w:val="auto"/>
              </w:rPr>
            </w:pPr>
          </w:p>
        </w:tc>
        <w:tc>
          <w:tcPr>
            <w:tcW w:w="80" w:type="dxa"/>
            <w:vAlign w:val="bottom"/>
            <w:tcBorders>
              <w:bottom w:val="single" w:sz="8" w:color="00002F"/>
            </w:tcBorders>
          </w:tcPr>
          <w:p>
            <w:pPr>
              <w:spacing w:after="0"/>
              <w:rPr>
                <w:sz w:val="24"/>
                <w:szCs w:val="24"/>
                <w:color w:val="auto"/>
              </w:rPr>
            </w:pPr>
          </w:p>
        </w:tc>
        <w:tc>
          <w:tcPr>
            <w:tcW w:w="20" w:type="dxa"/>
            <w:vAlign w:val="bottom"/>
            <w:tcBorders>
              <w:bottom w:val="single" w:sz="8" w:color="00002F"/>
            </w:tcBorders>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7"/>
        </w:trPr>
        <w:tc>
          <w:tcPr>
            <w:tcW w:w="280" w:type="dxa"/>
            <w:vAlign w:val="bottom"/>
            <w:vMerge w:val="restart"/>
          </w:tcPr>
          <w:p>
            <w:pPr>
              <w:spacing w:after="0"/>
              <w:rPr>
                <w:sz w:val="24"/>
                <w:szCs w:val="24"/>
                <w:color w:val="auto"/>
              </w:rPr>
            </w:pPr>
          </w:p>
        </w:tc>
        <w:tc>
          <w:tcPr>
            <w:tcW w:w="80" w:type="dxa"/>
            <w:vAlign w:val="bottom"/>
            <w:tcBorders>
              <w:bottom w:val="single" w:sz="8" w:color="00002F"/>
            </w:tcBorders>
          </w:tcPr>
          <w:p>
            <w:pPr>
              <w:spacing w:after="0"/>
              <w:rPr>
                <w:sz w:val="24"/>
                <w:szCs w:val="24"/>
                <w:color w:val="auto"/>
              </w:rPr>
            </w:pPr>
          </w:p>
        </w:tc>
        <w:tc>
          <w:tcPr>
            <w:tcW w:w="20" w:type="dxa"/>
            <w:vAlign w:val="bottom"/>
            <w:tcBorders>
              <w:bottom w:val="single" w:sz="8" w:color="00002F"/>
            </w:tcBorders>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58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vMerge w:val="restart"/>
          </w:tcPr>
          <w:p>
            <w:pPr>
              <w:spacing w:after="0"/>
              <w:rPr>
                <w:sz w:val="24"/>
                <w:szCs w:val="24"/>
                <w:color w:val="auto"/>
              </w:rPr>
            </w:pPr>
          </w:p>
        </w:tc>
        <w:tc>
          <w:tcPr>
            <w:tcW w:w="460" w:type="dxa"/>
            <w:vAlign w:val="bottom"/>
            <w:vMerge w:val="restart"/>
          </w:tcPr>
          <w:p>
            <w:pPr>
              <w:spacing w:after="0"/>
              <w:rPr>
                <w:sz w:val="24"/>
                <w:szCs w:val="24"/>
                <w:color w:val="auto"/>
              </w:rPr>
            </w:pPr>
          </w:p>
        </w:tc>
        <w:tc>
          <w:tcPr>
            <w:tcW w:w="98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20" w:type="dxa"/>
            <w:vAlign w:val="bottom"/>
            <w:gridSpan w:val="5"/>
          </w:tcPr>
          <w:p>
            <w:pPr>
              <w:ind w:left="520"/>
              <w:spacing w:after="0"/>
              <w:rPr>
                <w:sz w:val="20"/>
                <w:szCs w:val="20"/>
                <w:color w:val="auto"/>
              </w:rPr>
            </w:pPr>
            <w:r>
              <w:rPr>
                <w:rFonts w:ascii="Arial" w:cs="Arial" w:eastAsia="Arial" w:hAnsi="Arial"/>
                <w:sz w:val="10"/>
                <w:szCs w:val="10"/>
                <w:color w:val="0C5593"/>
                <w:w w:val="79"/>
              </w:rPr>
              <w:t>SOURCE: TRADEWEB INTERNAL DATA</w:t>
            </w:r>
          </w:p>
        </w:tc>
        <w:tc>
          <w:tcPr>
            <w:tcW w:w="0" w:type="dxa"/>
            <w:vAlign w:val="bottom"/>
          </w:tcPr>
          <w:p>
            <w:pPr>
              <w:spacing w:after="0"/>
              <w:rPr>
                <w:sz w:val="1"/>
                <w:szCs w:val="1"/>
                <w:color w:val="auto"/>
              </w:rPr>
            </w:pPr>
          </w:p>
        </w:tc>
      </w:tr>
      <w:tr>
        <w:trPr>
          <w:trHeight w:val="141"/>
        </w:trPr>
        <w:tc>
          <w:tcPr>
            <w:tcW w:w="360" w:type="dxa"/>
            <w:vAlign w:val="bottom"/>
            <w:tcBorders>
              <w:bottom w:val="single" w:sz="8" w:color="00477D"/>
            </w:tcBorders>
            <w:gridSpan w:val="2"/>
          </w:tcPr>
          <w:p>
            <w:pPr>
              <w:spacing w:after="0"/>
              <w:rPr>
                <w:sz w:val="12"/>
                <w:szCs w:val="12"/>
                <w:color w:val="auto"/>
              </w:rPr>
            </w:pPr>
          </w:p>
        </w:tc>
        <w:tc>
          <w:tcPr>
            <w:tcW w:w="100" w:type="dxa"/>
            <w:vAlign w:val="bottom"/>
            <w:tcBorders>
              <w:bottom w:val="single" w:sz="8" w:color="00477D"/>
            </w:tcBorders>
            <w:gridSpan w:val="2"/>
          </w:tcPr>
          <w:p>
            <w:pPr>
              <w:spacing w:after="0"/>
              <w:rPr>
                <w:sz w:val="12"/>
                <w:szCs w:val="12"/>
                <w:color w:val="auto"/>
              </w:rPr>
            </w:pPr>
          </w:p>
        </w:tc>
        <w:tc>
          <w:tcPr>
            <w:tcW w:w="120" w:type="dxa"/>
            <w:vAlign w:val="bottom"/>
            <w:tcBorders>
              <w:bottom w:val="single" w:sz="8" w:color="00477D"/>
            </w:tcBorders>
            <w:gridSpan w:val="2"/>
          </w:tcPr>
          <w:p>
            <w:pPr>
              <w:spacing w:after="0"/>
              <w:rPr>
                <w:sz w:val="12"/>
                <w:szCs w:val="12"/>
                <w:color w:val="auto"/>
              </w:rPr>
            </w:pPr>
          </w:p>
        </w:tc>
        <w:tc>
          <w:tcPr>
            <w:tcW w:w="1100" w:type="dxa"/>
            <w:vAlign w:val="bottom"/>
            <w:tcBorders>
              <w:bottom w:val="single" w:sz="8" w:color="00477D"/>
            </w:tcBorders>
            <w:gridSpan w:val="3"/>
          </w:tcPr>
          <w:p>
            <w:pPr>
              <w:spacing w:after="0"/>
              <w:rPr>
                <w:sz w:val="12"/>
                <w:szCs w:val="12"/>
                <w:color w:val="auto"/>
              </w:rPr>
            </w:pPr>
          </w:p>
        </w:tc>
        <w:tc>
          <w:tcPr>
            <w:tcW w:w="460" w:type="dxa"/>
            <w:vAlign w:val="bottom"/>
            <w:tcBorders>
              <w:bottom w:val="single" w:sz="8" w:color="00477D"/>
            </w:tcBorders>
          </w:tcPr>
          <w:p>
            <w:pPr>
              <w:spacing w:after="0"/>
              <w:rPr>
                <w:sz w:val="12"/>
                <w:szCs w:val="12"/>
                <w:color w:val="auto"/>
              </w:rPr>
            </w:pPr>
          </w:p>
        </w:tc>
        <w:tc>
          <w:tcPr>
            <w:tcW w:w="980" w:type="dxa"/>
            <w:vAlign w:val="bottom"/>
            <w:tcBorders>
              <w:bottom w:val="single" w:sz="8" w:color="00477D"/>
            </w:tcBorders>
          </w:tcPr>
          <w:p>
            <w:pPr>
              <w:spacing w:after="0"/>
              <w:rPr>
                <w:sz w:val="12"/>
                <w:szCs w:val="12"/>
                <w:color w:val="auto"/>
              </w:rPr>
            </w:pPr>
          </w:p>
        </w:tc>
        <w:tc>
          <w:tcPr>
            <w:tcW w:w="620" w:type="dxa"/>
            <w:vAlign w:val="bottom"/>
            <w:tcBorders>
              <w:bottom w:val="single" w:sz="8" w:color="00477D"/>
            </w:tcBorders>
          </w:tcPr>
          <w:p>
            <w:pPr>
              <w:spacing w:after="0"/>
              <w:rPr>
                <w:sz w:val="12"/>
                <w:szCs w:val="12"/>
                <w:color w:val="auto"/>
              </w:rPr>
            </w:pPr>
          </w:p>
        </w:tc>
        <w:tc>
          <w:tcPr>
            <w:tcW w:w="40" w:type="dxa"/>
            <w:vAlign w:val="bottom"/>
            <w:tcBorders>
              <w:bottom w:val="single" w:sz="8" w:color="00477D"/>
            </w:tcBorders>
          </w:tcPr>
          <w:p>
            <w:pPr>
              <w:spacing w:after="0"/>
              <w:rPr>
                <w:sz w:val="12"/>
                <w:szCs w:val="12"/>
                <w:color w:val="auto"/>
              </w:rPr>
            </w:pPr>
          </w:p>
        </w:tc>
        <w:tc>
          <w:tcPr>
            <w:tcW w:w="80" w:type="dxa"/>
            <w:vAlign w:val="bottom"/>
            <w:tcBorders>
              <w:bottom w:val="single" w:sz="8" w:color="00477D"/>
            </w:tcBorders>
          </w:tcPr>
          <w:p>
            <w:pPr>
              <w:spacing w:after="0"/>
              <w:rPr>
                <w:sz w:val="12"/>
                <w:szCs w:val="12"/>
                <w:color w:val="auto"/>
              </w:rPr>
            </w:pPr>
          </w:p>
        </w:tc>
        <w:tc>
          <w:tcPr>
            <w:tcW w:w="300" w:type="dxa"/>
            <w:vAlign w:val="bottom"/>
            <w:tcBorders>
              <w:bottom w:val="single" w:sz="8" w:color="00477D"/>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680" w:type="dxa"/>
            <w:vAlign w:val="bottom"/>
            <w:gridSpan w:val="9"/>
          </w:tcPr>
          <w:p>
            <w:pPr>
              <w:spacing w:after="0"/>
              <w:rPr>
                <w:sz w:val="20"/>
                <w:szCs w:val="20"/>
                <w:color w:val="auto"/>
              </w:rPr>
            </w:pPr>
            <w:r>
              <w:rPr>
                <w:rFonts w:ascii="Arial" w:cs="Arial" w:eastAsia="Arial" w:hAnsi="Arial"/>
                <w:sz w:val="16"/>
                <w:szCs w:val="16"/>
                <w:color w:val="00002F"/>
              </w:rPr>
              <w:t>AiEX TRADE STATS</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480" w:type="dxa"/>
            <w:vAlign w:val="bottom"/>
            <w:gridSpan w:val="5"/>
            <w:vMerge w:val="restart"/>
          </w:tcPr>
          <w:p>
            <w:pPr>
              <w:jc w:val="right"/>
              <w:ind w:right="40"/>
              <w:spacing w:after="0"/>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40" w:type="dxa"/>
            <w:vAlign w:val="bottom"/>
            <w:vMerge w:val="restart"/>
          </w:tcPr>
          <w:p>
            <w:pPr>
              <w:spacing w:after="0"/>
              <w:rPr>
                <w:sz w:val="24"/>
                <w:szCs w:val="24"/>
                <w:color w:val="auto"/>
              </w:rPr>
            </w:pPr>
          </w:p>
        </w:tc>
        <w:tc>
          <w:tcPr>
            <w:tcW w:w="80" w:type="dxa"/>
            <w:vAlign w:val="bottom"/>
            <w:tcBorders>
              <w:bottom w:val="single" w:sz="8" w:color="00672A"/>
            </w:tcBorders>
          </w:tcPr>
          <w:p>
            <w:pPr>
              <w:spacing w:after="0"/>
              <w:rPr>
                <w:sz w:val="24"/>
                <w:szCs w:val="24"/>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60"/>
        </w:trPr>
        <w:tc>
          <w:tcPr>
            <w:tcW w:w="4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0" w:type="dxa"/>
            <w:vAlign w:val="bottom"/>
            <w:gridSpan w:val="5"/>
            <w:vMerge w:val="restart"/>
          </w:tcPr>
          <w:p>
            <w:pPr>
              <w:jc w:val="right"/>
              <w:ind w:right="40"/>
              <w:spacing w:after="0"/>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48"/>
        </w:trPr>
        <w:tc>
          <w:tcPr>
            <w:tcW w:w="4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480" w:type="dxa"/>
            <w:vAlign w:val="bottom"/>
            <w:gridSpan w:val="5"/>
            <w:vMerge w:val="restart"/>
          </w:tcPr>
          <w:p>
            <w:pPr>
              <w:jc w:val="right"/>
              <w:ind w:right="40"/>
              <w:spacing w:after="0"/>
              <w:rPr>
                <w:sz w:val="20"/>
                <w:szCs w:val="20"/>
                <w:color w:val="auto"/>
              </w:rPr>
            </w:pPr>
            <w:r>
              <w:rPr>
                <w:rFonts w:ascii="Arial" w:cs="Arial" w:eastAsia="Arial" w:hAnsi="Arial"/>
                <w:sz w:val="14"/>
                <w:szCs w:val="14"/>
                <w:color w:val="00002F"/>
              </w:rPr>
              <w:t xml:space="preserve">  ,   </w:t>
            </w: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0" w:type="dxa"/>
            <w:vAlign w:val="bottom"/>
            <w:gridSpan w:val="2"/>
            <w:vMerge w:val="restart"/>
          </w:tcPr>
          <w:p>
            <w:pPr>
              <w:ind w:left="620"/>
              <w:spacing w:after="0"/>
              <w:rPr>
                <w:sz w:val="20"/>
                <w:szCs w:val="20"/>
                <w:color w:val="auto"/>
              </w:rPr>
            </w:pPr>
            <w:r>
              <w:rPr>
                <w:rFonts w:ascii="Arial" w:cs="Arial" w:eastAsia="Arial" w:hAnsi="Arial"/>
                <w:sz w:val="14"/>
                <w:szCs w:val="14"/>
                <w:color w:val="FFFFFF"/>
              </w:rPr>
              <w:t xml:space="preserve">  ,   </w:t>
            </w:r>
          </w:p>
        </w:tc>
        <w:tc>
          <w:tcPr>
            <w:tcW w:w="40" w:type="dxa"/>
            <w:vAlign w:val="bottom"/>
          </w:tcPr>
          <w:p>
            <w:pPr>
              <w:spacing w:after="0"/>
              <w:rPr>
                <w:sz w:val="3"/>
                <w:szCs w:val="3"/>
                <w:color w:val="auto"/>
              </w:rPr>
            </w:pPr>
          </w:p>
        </w:tc>
        <w:tc>
          <w:tcPr>
            <w:tcW w:w="80" w:type="dxa"/>
            <w:vAlign w:val="bottom"/>
            <w:tcBorders>
              <w:bottom w:val="single" w:sz="8" w:color="00672A"/>
            </w:tcBorders>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4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480" w:type="dxa"/>
            <w:vAlign w:val="bottom"/>
            <w:gridSpan w:val="5"/>
            <w:vMerge w:val="continue"/>
          </w:tcPr>
          <w:p>
            <w:pPr>
              <w:spacing w:after="0"/>
              <w:rPr>
                <w:sz w:val="7"/>
                <w:szCs w:val="7"/>
                <w:color w:val="auto"/>
              </w:rPr>
            </w:pPr>
          </w:p>
        </w:tc>
        <w:tc>
          <w:tcPr>
            <w:tcW w:w="100" w:type="dxa"/>
            <w:vAlign w:val="bottom"/>
            <w:tcBorders>
              <w:bottom w:val="single" w:sz="8" w:color="00002F"/>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4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480" w:type="dxa"/>
            <w:vAlign w:val="bottom"/>
            <w:gridSpan w:val="5"/>
            <w:vMerge w:val="restart"/>
          </w:tcPr>
          <w:p>
            <w:pPr>
              <w:jc w:val="right"/>
              <w:ind w:right="40"/>
              <w:spacing w:after="0"/>
              <w:rPr>
                <w:sz w:val="20"/>
                <w:szCs w:val="20"/>
                <w:color w:val="auto"/>
              </w:rPr>
            </w:pPr>
            <w:r>
              <w:rPr>
                <w:rFonts w:ascii="Arial" w:cs="Arial" w:eastAsia="Arial" w:hAnsi="Arial"/>
                <w:sz w:val="14"/>
                <w:szCs w:val="14"/>
                <w:color w:val="00002F"/>
              </w:rPr>
              <w:t xml:space="preserve">  ,   </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vMerge w:val="restart"/>
          </w:tcPr>
          <w:p>
            <w:pPr>
              <w:ind w:left="120"/>
              <w:spacing w:after="0"/>
              <w:rPr>
                <w:sz w:val="20"/>
                <w:szCs w:val="20"/>
                <w:color w:val="auto"/>
              </w:rPr>
            </w:pPr>
            <w:r>
              <w:rPr>
                <w:rFonts w:ascii="Arial" w:cs="Arial" w:eastAsia="Arial" w:hAnsi="Arial"/>
                <w:sz w:val="14"/>
                <w:szCs w:val="14"/>
                <w:color w:val="00002F"/>
              </w:rPr>
              <w:t xml:space="preserve">  ,   </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00672A"/>
            </w:tcBorders>
          </w:tcPr>
          <w:p>
            <w:pPr>
              <w:spacing w:after="0"/>
              <w:rPr>
                <w:sz w:val="11"/>
                <w:szCs w:val="11"/>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33"/>
        </w:trPr>
        <w:tc>
          <w:tcPr>
            <w:tcW w:w="480" w:type="dxa"/>
            <w:vAlign w:val="bottom"/>
            <w:gridSpan w:val="5"/>
            <w:vMerge w:val="continue"/>
          </w:tcPr>
          <w:p>
            <w:pPr>
              <w:spacing w:after="0"/>
              <w:rPr>
                <w:sz w:val="2"/>
                <w:szCs w:val="2"/>
                <w:color w:val="auto"/>
              </w:rPr>
            </w:pPr>
          </w:p>
        </w:tc>
        <w:tc>
          <w:tcPr>
            <w:tcW w:w="100" w:type="dxa"/>
            <w:vAlign w:val="bottom"/>
            <w:tcBorders>
              <w:bottom w:val="single" w:sz="8" w:color="00002F"/>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5"/>
        </w:trPr>
        <w:tc>
          <w:tcPr>
            <w:tcW w:w="4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80" w:type="dxa"/>
            <w:vAlign w:val="bottom"/>
            <w:gridSpan w:val="5"/>
            <w:vMerge w:val="restart"/>
          </w:tcPr>
          <w:p>
            <w:pPr>
              <w:jc w:val="right"/>
              <w:ind w:right="40"/>
              <w:spacing w:after="0"/>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restart"/>
          </w:tcPr>
          <w:p>
            <w:pPr>
              <w:ind w:left="80"/>
              <w:spacing w:after="0"/>
              <w:rPr>
                <w:sz w:val="20"/>
                <w:szCs w:val="20"/>
                <w:color w:val="auto"/>
              </w:rPr>
            </w:pPr>
            <w:r>
              <w:rPr>
                <w:rFonts w:ascii="Arial" w:cs="Arial" w:eastAsia="Arial" w:hAnsi="Arial"/>
                <w:sz w:val="14"/>
                <w:szCs w:val="14"/>
                <w:color w:val="00002F"/>
              </w:rPr>
              <w:t xml:space="preserve"> ,   </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37"/>
        </w:trPr>
        <w:tc>
          <w:tcPr>
            <w:tcW w:w="480" w:type="dxa"/>
            <w:vAlign w:val="bottom"/>
            <w:gridSpan w:val="5"/>
            <w:vMerge w:val="continue"/>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tcBorders>
              <w:bottom w:val="single" w:sz="8" w:color="00672A"/>
            </w:tcBorders>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80" w:type="dxa"/>
            <w:vAlign w:val="bottom"/>
            <w:gridSpan w:val="5"/>
            <w:vMerge w:val="restart"/>
          </w:tcPr>
          <w:p>
            <w:pPr>
              <w:jc w:val="right"/>
              <w:ind w:right="40"/>
              <w:spacing w:after="0"/>
              <w:rPr>
                <w:sz w:val="20"/>
                <w:szCs w:val="20"/>
                <w:color w:val="auto"/>
              </w:rPr>
            </w:pPr>
            <w:r>
              <w:rPr>
                <w:rFonts w:ascii="Arial" w:cs="Arial" w:eastAsia="Arial" w:hAnsi="Arial"/>
                <w:sz w:val="14"/>
                <w:szCs w:val="14"/>
                <w:color w:val="00002F"/>
              </w:rPr>
              <w:t xml:space="preserve">  ,   </w:t>
            </w:r>
          </w:p>
        </w:tc>
        <w:tc>
          <w:tcPr>
            <w:tcW w:w="100" w:type="dxa"/>
            <w:vAlign w:val="bottom"/>
            <w:tcBorders>
              <w:bottom w:val="single" w:sz="8" w:color="00002F"/>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4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vMerge w:val="restart"/>
          </w:tcPr>
          <w:p>
            <w:pPr>
              <w:jc w:val="right"/>
              <w:spacing w:after="0" w:line="134" w:lineRule="exact"/>
              <w:rPr>
                <w:sz w:val="20"/>
                <w:szCs w:val="20"/>
                <w:color w:val="auto"/>
              </w:rPr>
            </w:pPr>
            <w:r>
              <w:rPr>
                <w:rFonts w:ascii="Arial" w:cs="Arial" w:eastAsia="Arial" w:hAnsi="Arial"/>
                <w:sz w:val="14"/>
                <w:szCs w:val="14"/>
                <w:color w:val="00002F"/>
              </w:rPr>
              <w:t xml:space="preserve"> ,   </w:t>
            </w: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82"/>
        </w:trPr>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00672A"/>
            </w:tcBorders>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80" w:type="dxa"/>
            <w:vAlign w:val="bottom"/>
            <w:gridSpan w:val="5"/>
            <w:vMerge w:val="restart"/>
          </w:tcPr>
          <w:p>
            <w:pPr>
              <w:jc w:val="right"/>
              <w:ind w:right="40"/>
              <w:spacing w:after="0"/>
              <w:rPr>
                <w:sz w:val="20"/>
                <w:szCs w:val="20"/>
                <w:color w:val="auto"/>
              </w:rPr>
            </w:pPr>
            <w:r>
              <w:rPr>
                <w:rFonts w:ascii="Arial" w:cs="Arial" w:eastAsia="Arial" w:hAnsi="Arial"/>
                <w:sz w:val="14"/>
                <w:szCs w:val="14"/>
                <w:color w:val="00002F"/>
              </w:rPr>
              <w:t xml:space="preserve"> ,   </w:t>
            </w: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480" w:type="dxa"/>
            <w:vAlign w:val="bottom"/>
            <w:gridSpan w:val="5"/>
            <w:vMerge w:val="continue"/>
          </w:tcPr>
          <w:p>
            <w:pPr>
              <w:spacing w:after="0"/>
              <w:rPr>
                <w:sz w:val="3"/>
                <w:szCs w:val="3"/>
                <w:color w:val="auto"/>
              </w:rPr>
            </w:pPr>
          </w:p>
        </w:tc>
        <w:tc>
          <w:tcPr>
            <w:tcW w:w="100" w:type="dxa"/>
            <w:vAlign w:val="bottom"/>
            <w:tcBorders>
              <w:bottom w:val="single" w:sz="8" w:color="00002F"/>
            </w:tcBorders>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color w:val="00672A"/>
              </w:rPr>
              <w:t xml:space="preserve"> %</w:t>
            </w:r>
          </w:p>
        </w:tc>
        <w:tc>
          <w:tcPr>
            <w:tcW w:w="0" w:type="dxa"/>
            <w:vAlign w:val="bottom"/>
          </w:tcPr>
          <w:p>
            <w:pPr>
              <w:spacing w:after="0"/>
              <w:rPr>
                <w:sz w:val="1"/>
                <w:szCs w:val="1"/>
                <w:color w:val="auto"/>
              </w:rPr>
            </w:pPr>
          </w:p>
        </w:tc>
      </w:tr>
      <w:tr>
        <w:trPr>
          <w:trHeight w:val="55"/>
        </w:trPr>
        <w:tc>
          <w:tcPr>
            <w:tcW w:w="4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120" w:type="dxa"/>
            <w:vAlign w:val="bottom"/>
            <w:gridSpan w:val="3"/>
            <w:vMerge w:val="restart"/>
          </w:tcPr>
          <w:p>
            <w:pPr>
              <w:spacing w:after="0"/>
              <w:rPr>
                <w:sz w:val="17"/>
                <w:szCs w:val="17"/>
                <w:color w:val="auto"/>
              </w:rPr>
            </w:pPr>
          </w:p>
        </w:tc>
        <w:tc>
          <w:tcPr>
            <w:tcW w:w="100" w:type="dxa"/>
            <w:vAlign w:val="bottom"/>
            <w:tcBorders>
              <w:bottom w:val="single" w:sz="8" w:color="00002F"/>
            </w:tcBorders>
          </w:tcPr>
          <w:p>
            <w:pPr>
              <w:spacing w:after="0"/>
              <w:rPr>
                <w:sz w:val="17"/>
                <w:szCs w:val="17"/>
                <w:color w:val="auto"/>
              </w:rPr>
            </w:pPr>
          </w:p>
        </w:tc>
        <w:tc>
          <w:tcPr>
            <w:tcW w:w="4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460" w:type="dxa"/>
            <w:vAlign w:val="bottom"/>
            <w:vMerge w:val="restart"/>
          </w:tcPr>
          <w:p>
            <w:pPr>
              <w:spacing w:after="0"/>
              <w:rPr>
                <w:sz w:val="17"/>
                <w:szCs w:val="17"/>
                <w:color w:val="auto"/>
              </w:rPr>
            </w:pPr>
          </w:p>
        </w:tc>
        <w:tc>
          <w:tcPr>
            <w:tcW w:w="980" w:type="dxa"/>
            <w:vAlign w:val="bottom"/>
            <w:vMerge w:val="restart"/>
          </w:tcPr>
          <w:p>
            <w:pPr>
              <w:spacing w:after="0"/>
              <w:rPr>
                <w:sz w:val="17"/>
                <w:szCs w:val="17"/>
                <w:color w:val="auto"/>
              </w:rPr>
            </w:pPr>
          </w:p>
        </w:tc>
        <w:tc>
          <w:tcPr>
            <w:tcW w:w="6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80" w:type="dxa"/>
            <w:vAlign w:val="bottom"/>
            <w:tcBorders>
              <w:bottom w:val="single" w:sz="8" w:color="00672A"/>
            </w:tcBorders>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680" w:type="dxa"/>
            <w:vAlign w:val="bottom"/>
            <w:gridSpan w:val="9"/>
          </w:tcPr>
          <w:p>
            <w:pPr>
              <w:ind w:left="200"/>
              <w:spacing w:after="0"/>
              <w:rPr>
                <w:sz w:val="20"/>
                <w:szCs w:val="20"/>
                <w:color w:val="auto"/>
              </w:rPr>
            </w:pPr>
            <w:r>
              <w:rPr>
                <w:rFonts w:ascii="Arial" w:cs="Arial" w:eastAsia="Arial" w:hAnsi="Arial"/>
                <w:sz w:val="12"/>
                <w:szCs w:val="12"/>
                <w:color w:val="00002F"/>
                <w:w w:val="81"/>
              </w:rPr>
              <w:t>AVERAGE DAILY AiEX TRADES</w:t>
            </w:r>
          </w:p>
        </w:tc>
        <w:tc>
          <w:tcPr>
            <w:tcW w:w="46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Arial" w:cs="Arial" w:eastAsia="Arial" w:hAnsi="Arial"/>
                <w:sz w:val="12"/>
                <w:szCs w:val="12"/>
                <w:color w:val="00002F"/>
                <w:w w:val="80"/>
              </w:rPr>
              <w:t>% OF INSTITUTIONAL TRADES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gridSpan w:val="5"/>
          </w:tcPr>
          <w:p>
            <w:pPr>
              <w:ind w:left="520"/>
              <w:spacing w:after="0"/>
              <w:rPr>
                <w:sz w:val="20"/>
                <w:szCs w:val="20"/>
                <w:color w:val="auto"/>
              </w:rPr>
            </w:pPr>
            <w:r>
              <w:rPr>
                <w:rFonts w:ascii="Arial" w:cs="Arial" w:eastAsia="Arial" w:hAnsi="Arial"/>
                <w:sz w:val="10"/>
                <w:szCs w:val="10"/>
                <w:color w:val="0C5593"/>
                <w:w w:val="79"/>
              </w:rPr>
              <w:t>SOURCE: TRADEWEB INTERNAL DATA</w:t>
            </w:r>
          </w:p>
        </w:tc>
        <w:tc>
          <w:tcPr>
            <w:tcW w:w="0" w:type="dxa"/>
            <w:vAlign w:val="bottom"/>
          </w:tcPr>
          <w:p>
            <w:pPr>
              <w:spacing w:after="0"/>
              <w:rPr>
                <w:sz w:val="1"/>
                <w:szCs w:val="1"/>
                <w:color w:val="auto"/>
              </w:rPr>
            </w:pPr>
          </w:p>
        </w:tc>
      </w:tr>
      <w:tr>
        <w:trPr>
          <w:trHeight w:val="138"/>
        </w:trPr>
        <w:tc>
          <w:tcPr>
            <w:tcW w:w="1680" w:type="dxa"/>
            <w:vAlign w:val="bottom"/>
            <w:tcBorders>
              <w:bottom w:val="single" w:sz="8" w:color="00477D"/>
            </w:tcBorders>
            <w:gridSpan w:val="9"/>
          </w:tcPr>
          <w:p>
            <w:pPr>
              <w:spacing w:after="0"/>
              <w:rPr>
                <w:sz w:val="12"/>
                <w:szCs w:val="12"/>
                <w:color w:val="auto"/>
              </w:rPr>
            </w:pPr>
          </w:p>
        </w:tc>
        <w:tc>
          <w:tcPr>
            <w:tcW w:w="460" w:type="dxa"/>
            <w:vAlign w:val="bottom"/>
            <w:tcBorders>
              <w:bottom w:val="single" w:sz="8" w:color="00477D"/>
            </w:tcBorders>
          </w:tcPr>
          <w:p>
            <w:pPr>
              <w:spacing w:after="0"/>
              <w:rPr>
                <w:sz w:val="12"/>
                <w:szCs w:val="12"/>
                <w:color w:val="auto"/>
              </w:rPr>
            </w:pPr>
          </w:p>
        </w:tc>
        <w:tc>
          <w:tcPr>
            <w:tcW w:w="980" w:type="dxa"/>
            <w:vAlign w:val="bottom"/>
            <w:tcBorders>
              <w:bottom w:val="single" w:sz="8" w:color="00477D"/>
            </w:tcBorders>
          </w:tcPr>
          <w:p>
            <w:pPr>
              <w:spacing w:after="0"/>
              <w:rPr>
                <w:sz w:val="12"/>
                <w:szCs w:val="12"/>
                <w:color w:val="auto"/>
              </w:rPr>
            </w:pPr>
          </w:p>
        </w:tc>
        <w:tc>
          <w:tcPr>
            <w:tcW w:w="620" w:type="dxa"/>
            <w:vAlign w:val="bottom"/>
            <w:tcBorders>
              <w:bottom w:val="single" w:sz="8" w:color="00477D"/>
            </w:tcBorders>
          </w:tcPr>
          <w:p>
            <w:pPr>
              <w:spacing w:after="0"/>
              <w:rPr>
                <w:sz w:val="12"/>
                <w:szCs w:val="12"/>
                <w:color w:val="auto"/>
              </w:rPr>
            </w:pPr>
          </w:p>
        </w:tc>
        <w:tc>
          <w:tcPr>
            <w:tcW w:w="40" w:type="dxa"/>
            <w:vAlign w:val="bottom"/>
            <w:tcBorders>
              <w:bottom w:val="single" w:sz="8" w:color="00477D"/>
            </w:tcBorders>
          </w:tcPr>
          <w:p>
            <w:pPr>
              <w:spacing w:after="0"/>
              <w:rPr>
                <w:sz w:val="12"/>
                <w:szCs w:val="12"/>
                <w:color w:val="auto"/>
              </w:rPr>
            </w:pPr>
          </w:p>
        </w:tc>
        <w:tc>
          <w:tcPr>
            <w:tcW w:w="80" w:type="dxa"/>
            <w:vAlign w:val="bottom"/>
            <w:tcBorders>
              <w:bottom w:val="single" w:sz="8" w:color="00477D"/>
            </w:tcBorders>
          </w:tcPr>
          <w:p>
            <w:pPr>
              <w:spacing w:after="0"/>
              <w:rPr>
                <w:sz w:val="12"/>
                <w:szCs w:val="12"/>
                <w:color w:val="auto"/>
              </w:rPr>
            </w:pPr>
          </w:p>
        </w:tc>
        <w:tc>
          <w:tcPr>
            <w:tcW w:w="300" w:type="dxa"/>
            <w:vAlign w:val="bottom"/>
            <w:tcBorders>
              <w:bottom w:val="single" w:sz="8" w:color="00477D"/>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680" w:type="dxa"/>
            <w:vAlign w:val="bottom"/>
            <w:gridSpan w:val="9"/>
          </w:tcPr>
          <w:p>
            <w:pPr>
              <w:spacing w:after="0"/>
              <w:rPr>
                <w:sz w:val="20"/>
                <w:szCs w:val="20"/>
                <w:color w:val="auto"/>
              </w:rPr>
            </w:pPr>
            <w:r>
              <w:rPr>
                <w:rFonts w:ascii="Arial" w:cs="Arial" w:eastAsia="Arial" w:hAnsi="Arial"/>
                <w:sz w:val="16"/>
                <w:szCs w:val="16"/>
                <w:color w:val="00002F"/>
              </w:rPr>
              <w:t>AiEX BY PRODUCT</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3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2F"/>
              </w:rPr>
              <w:t xml:space="preserve">   %</w:t>
            </w:r>
          </w:p>
        </w:tc>
        <w:tc>
          <w:tcPr>
            <w:tcW w:w="100" w:type="dxa"/>
            <w:vAlign w:val="bottom"/>
            <w:tcBorders>
              <w:bottom w:val="single" w:sz="8" w:color="00002F"/>
            </w:tcBorders>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gridSpan w:val="3"/>
            <w:vMerge w:val="restart"/>
          </w:tcPr>
          <w:p>
            <w:pPr>
              <w:ind w:left="20"/>
              <w:spacing w:after="0"/>
              <w:rPr>
                <w:sz w:val="20"/>
                <w:szCs w:val="20"/>
                <w:color w:val="auto"/>
              </w:rPr>
            </w:pPr>
            <w:r>
              <w:rPr>
                <w:rFonts w:ascii="Arial" w:cs="Arial" w:eastAsia="Arial" w:hAnsi="Arial"/>
                <w:sz w:val="14"/>
                <w:szCs w:val="14"/>
                <w:color w:val="00002F"/>
              </w:rPr>
              <w:t xml:space="preserve">  %</w:t>
            </w:r>
          </w:p>
        </w:tc>
        <w:tc>
          <w:tcPr>
            <w:tcW w:w="0" w:type="dxa"/>
            <w:vAlign w:val="bottom"/>
          </w:tcPr>
          <w:p>
            <w:pPr>
              <w:spacing w:after="0"/>
              <w:rPr>
                <w:sz w:val="1"/>
                <w:szCs w:val="1"/>
                <w:color w:val="auto"/>
              </w:rPr>
            </w:pPr>
          </w:p>
        </w:tc>
      </w:tr>
      <w:tr>
        <w:trPr>
          <w:trHeight w:val="54"/>
        </w:trPr>
        <w:tc>
          <w:tcPr>
            <w:tcW w:w="360" w:type="dxa"/>
            <w:vAlign w:val="bottom"/>
            <w:gridSpan w:val="2"/>
            <w:vMerge w:val="continue"/>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3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2F"/>
              </w:rPr>
              <w:t xml:space="preserve">  %</w:t>
            </w:r>
          </w:p>
        </w:tc>
        <w:tc>
          <w:tcPr>
            <w:tcW w:w="100" w:type="dxa"/>
            <w:vAlign w:val="bottom"/>
            <w:tcBorders>
              <w:bottom w:val="single" w:sz="8" w:color="00002F"/>
            </w:tcBorders>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 %</w:t>
            </w:r>
          </w:p>
        </w:tc>
        <w:tc>
          <w:tcPr>
            <w:tcW w:w="98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00002F"/>
              </w:rPr>
              <w:t xml:space="preserve">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60" w:type="dxa"/>
            <w:vAlign w:val="bottom"/>
            <w:gridSpan w:val="2"/>
            <w:vMerge w:val="continue"/>
          </w:tcPr>
          <w:p>
            <w:pPr>
              <w:spacing w:after="0"/>
              <w:rPr>
                <w:sz w:val="6"/>
                <w:szCs w:val="6"/>
                <w:color w:val="auto"/>
              </w:rPr>
            </w:pPr>
          </w:p>
        </w:tc>
        <w:tc>
          <w:tcPr>
            <w:tcW w:w="100" w:type="dxa"/>
            <w:vAlign w:val="bottom"/>
            <w:gridSpan w:val="2"/>
          </w:tcPr>
          <w:p>
            <w:pPr>
              <w:spacing w:after="0"/>
              <w:rPr>
                <w:sz w:val="6"/>
                <w:szCs w:val="6"/>
                <w:color w:val="auto"/>
              </w:rPr>
            </w:pPr>
          </w:p>
        </w:tc>
        <w:tc>
          <w:tcPr>
            <w:tcW w:w="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2F"/>
              </w:rPr>
              <w:t xml:space="preserve">  %</w:t>
            </w:r>
          </w:p>
        </w:tc>
        <w:tc>
          <w:tcPr>
            <w:tcW w:w="20" w:type="dxa"/>
            <w:vAlign w:val="bottom"/>
            <w:tcBorders>
              <w:bottom w:val="single" w:sz="8" w:color="00002F"/>
            </w:tcBorders>
          </w:tcPr>
          <w:p>
            <w:pPr>
              <w:spacing w:after="0"/>
              <w:rPr>
                <w:sz w:val="11"/>
                <w:szCs w:val="11"/>
                <w:color w:val="auto"/>
              </w:rPr>
            </w:pPr>
          </w:p>
        </w:tc>
        <w:tc>
          <w:tcPr>
            <w:tcW w:w="80" w:type="dxa"/>
            <w:vAlign w:val="bottom"/>
            <w:tcBorders>
              <w:bottom w:val="single" w:sz="8" w:color="00002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vMerge w:val="restart"/>
          </w:tcPr>
          <w:p>
            <w:pPr>
              <w:ind w:left="680"/>
              <w:spacing w:after="0"/>
              <w:rPr>
                <w:sz w:val="20"/>
                <w:szCs w:val="20"/>
                <w:color w:val="auto"/>
              </w:rPr>
            </w:pPr>
            <w:r>
              <w:rPr>
                <w:rFonts w:ascii="Arial" w:cs="Arial" w:eastAsia="Arial" w:hAnsi="Arial"/>
                <w:sz w:val="14"/>
                <w:szCs w:val="14"/>
                <w:color w:val="00002F"/>
              </w:rPr>
              <w:t xml:space="preserve">  %</w:t>
            </w:r>
          </w:p>
        </w:tc>
        <w:tc>
          <w:tcPr>
            <w:tcW w:w="620" w:type="dxa"/>
            <w:vAlign w:val="bottom"/>
          </w:tcPr>
          <w:p>
            <w:pPr>
              <w:ind w:left="20"/>
              <w:spacing w:after="0" w:line="131" w:lineRule="exact"/>
              <w:rPr>
                <w:sz w:val="20"/>
                <w:szCs w:val="20"/>
                <w:color w:val="auto"/>
              </w:rPr>
            </w:pPr>
            <w:r>
              <w:rPr>
                <w:rFonts w:ascii="Arial" w:cs="Arial" w:eastAsia="Arial" w:hAnsi="Arial"/>
                <w:sz w:val="14"/>
                <w:szCs w:val="14"/>
                <w:color w:val="00002F"/>
              </w:rPr>
              <w:t xml:space="preserve">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360" w:type="dxa"/>
            <w:vAlign w:val="bottom"/>
            <w:gridSpan w:val="2"/>
            <w:vMerge w:val="continue"/>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00002F"/>
              </w:rPr>
              <w:t xml:space="preserve">  . %</w:t>
            </w:r>
          </w:p>
        </w:tc>
        <w:tc>
          <w:tcPr>
            <w:tcW w:w="960" w:type="dxa"/>
            <w:vAlign w:val="bottom"/>
            <w:gridSpan w:val="2"/>
            <w:vMerge w:val="restart"/>
          </w:tcPr>
          <w:p>
            <w:pPr>
              <w:jc w:val="right"/>
              <w:ind w:right="271"/>
              <w:spacing w:after="0"/>
              <w:rPr>
                <w:sz w:val="20"/>
                <w:szCs w:val="20"/>
                <w:color w:val="auto"/>
              </w:rPr>
            </w:pPr>
            <w:r>
              <w:rPr>
                <w:rFonts w:ascii="Arial" w:cs="Arial" w:eastAsia="Arial" w:hAnsi="Arial"/>
                <w:sz w:val="14"/>
                <w:szCs w:val="14"/>
                <w:color w:val="00002F"/>
              </w:rPr>
              <w:t xml:space="preserve">  . %</w:t>
            </w: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360" w:type="dxa"/>
            <w:vAlign w:val="bottom"/>
            <w:gridSpan w:val="2"/>
            <w:vMerge w:val="restart"/>
          </w:tcPr>
          <w:p>
            <w:pPr>
              <w:jc w:val="right"/>
              <w:ind w:right="40"/>
              <w:spacing w:after="0" w:line="153" w:lineRule="exact"/>
              <w:rPr>
                <w:sz w:val="20"/>
                <w:szCs w:val="20"/>
                <w:color w:val="auto"/>
              </w:rPr>
            </w:pPr>
            <w:r>
              <w:rPr>
                <w:rFonts w:ascii="Arial" w:cs="Arial" w:eastAsia="Arial" w:hAnsi="Arial"/>
                <w:sz w:val="14"/>
                <w:szCs w:val="14"/>
                <w:color w:val="00002F"/>
              </w:rPr>
              <w:t xml:space="preserve">  %</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360" w:type="dxa"/>
            <w:vAlign w:val="bottom"/>
            <w:gridSpan w:val="2"/>
            <w:vMerge w:val="continue"/>
          </w:tcPr>
          <w:p>
            <w:pPr>
              <w:spacing w:after="0"/>
              <w:rPr>
                <w:sz w:val="3"/>
                <w:szCs w:val="3"/>
                <w:color w:val="auto"/>
              </w:rPr>
            </w:pPr>
          </w:p>
        </w:tc>
        <w:tc>
          <w:tcPr>
            <w:tcW w:w="100" w:type="dxa"/>
            <w:vAlign w:val="bottom"/>
            <w:tcBorders>
              <w:bottom w:val="single" w:sz="8" w:color="00002F"/>
            </w:tcBorders>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gridSpan w:val="2"/>
            <w:vMerge w:val="restart"/>
          </w:tcPr>
          <w:p>
            <w:pPr>
              <w:jc w:val="right"/>
              <w:ind w:right="131"/>
              <w:spacing w:after="0"/>
              <w:rPr>
                <w:sz w:val="20"/>
                <w:szCs w:val="20"/>
                <w:color w:val="auto"/>
              </w:rPr>
            </w:pPr>
            <w:r>
              <w:rPr>
                <w:rFonts w:ascii="Arial" w:cs="Arial" w:eastAsia="Arial" w:hAnsi="Arial"/>
                <w:sz w:val="14"/>
                <w:szCs w:val="14"/>
                <w:color w:val="00002F"/>
              </w:rPr>
              <w:t xml:space="preserve">  . %</w:t>
            </w:r>
          </w:p>
        </w:tc>
        <w:tc>
          <w:tcPr>
            <w:tcW w:w="460" w:type="dxa"/>
            <w:vAlign w:val="bottom"/>
          </w:tcPr>
          <w:p>
            <w:pPr>
              <w:spacing w:after="0"/>
              <w:rPr>
                <w:sz w:val="3"/>
                <w:szCs w:val="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00002F"/>
              </w:rPr>
              <w:t xml:space="preserve">  %</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360" w:type="dxa"/>
            <w:vAlign w:val="bottom"/>
            <w:gridSpan w:val="2"/>
            <w:vMerge w:val="continue"/>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vMerge w:val="restart"/>
          </w:tcPr>
          <w:p>
            <w:pPr>
              <w:jc w:val="right"/>
              <w:ind w:right="191"/>
              <w:spacing w:after="0"/>
              <w:rPr>
                <w:sz w:val="20"/>
                <w:szCs w:val="20"/>
                <w:color w:val="auto"/>
              </w:rPr>
            </w:pPr>
            <w:r>
              <w:rPr>
                <w:rFonts w:ascii="Arial" w:cs="Arial" w:eastAsia="Arial" w:hAnsi="Arial"/>
                <w:sz w:val="14"/>
                <w:szCs w:val="14"/>
                <w:color w:val="00002F"/>
              </w:rPr>
              <w:t xml:space="preserve">  %</w:t>
            </w:r>
          </w:p>
        </w:tc>
        <w:tc>
          <w:tcPr>
            <w:tcW w:w="62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2F"/>
              </w:rPr>
              <w:t xml:space="preserve">  %</w:t>
            </w:r>
          </w:p>
        </w:tc>
        <w:tc>
          <w:tcPr>
            <w:tcW w:w="20" w:type="dxa"/>
            <w:vAlign w:val="bottom"/>
            <w:tcBorders>
              <w:bottom w:val="single" w:sz="8" w:color="00002F"/>
            </w:tcBorders>
          </w:tcPr>
          <w:p>
            <w:pPr>
              <w:spacing w:after="0"/>
              <w:rPr>
                <w:sz w:val="8"/>
                <w:szCs w:val="8"/>
                <w:color w:val="auto"/>
              </w:rPr>
            </w:pPr>
          </w:p>
        </w:tc>
        <w:tc>
          <w:tcPr>
            <w:tcW w:w="80" w:type="dxa"/>
            <w:vAlign w:val="bottom"/>
            <w:tcBorders>
              <w:bottom w:val="single" w:sz="8" w:color="00002F"/>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360" w:type="dxa"/>
            <w:vAlign w:val="bottom"/>
            <w:gridSpan w:val="2"/>
            <w:vMerge w:val="continue"/>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3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2F"/>
              </w:rPr>
              <w:t xml:space="preserve"> %</w:t>
            </w:r>
          </w:p>
        </w:tc>
        <w:tc>
          <w:tcPr>
            <w:tcW w:w="100" w:type="dxa"/>
            <w:vAlign w:val="bottom"/>
            <w:tcBorders>
              <w:bottom w:val="single" w:sz="8" w:color="00002F"/>
            </w:tcBorders>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gridSpan w:val="2"/>
            <w:vMerge w:val="restart"/>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0" w:type="dxa"/>
            <w:vAlign w:val="bottom"/>
            <w:gridSpan w:val="2"/>
            <w:vMerge w:val="continue"/>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060" w:type="dxa"/>
            <w:vAlign w:val="bottom"/>
            <w:gridSpan w:val="7"/>
          </w:tcPr>
          <w:p>
            <w:pPr>
              <w:ind w:left="180"/>
              <w:spacing w:after="0"/>
              <w:rPr>
                <w:sz w:val="20"/>
                <w:szCs w:val="20"/>
                <w:color w:val="auto"/>
              </w:rPr>
            </w:pPr>
            <w:r>
              <w:rPr>
                <w:rFonts w:ascii="Arial" w:cs="Arial" w:eastAsia="Arial" w:hAnsi="Arial"/>
                <w:sz w:val="12"/>
                <w:szCs w:val="12"/>
                <w:color w:val="00002F"/>
              </w:rPr>
              <w:t>U.S. CREDIT</w:t>
            </w:r>
          </w:p>
        </w:tc>
        <w:tc>
          <w:tcPr>
            <w:tcW w:w="1080" w:type="dxa"/>
            <w:vAlign w:val="bottom"/>
            <w:gridSpan w:val="3"/>
          </w:tcPr>
          <w:p>
            <w:pPr>
              <w:jc w:val="right"/>
              <w:ind w:right="91"/>
              <w:spacing w:after="0"/>
              <w:rPr>
                <w:sz w:val="20"/>
                <w:szCs w:val="20"/>
                <w:color w:val="auto"/>
              </w:rPr>
            </w:pPr>
            <w:r>
              <w:rPr>
                <w:rFonts w:ascii="Arial" w:cs="Arial" w:eastAsia="Arial" w:hAnsi="Arial"/>
                <w:sz w:val="12"/>
                <w:szCs w:val="12"/>
                <w:color w:val="00002F"/>
                <w:w w:val="77"/>
              </w:rPr>
              <w:t>EUROPEAN CREDIT</w:t>
            </w:r>
          </w:p>
        </w:tc>
        <w:tc>
          <w:tcPr>
            <w:tcW w:w="1600" w:type="dxa"/>
            <w:vAlign w:val="bottom"/>
            <w:gridSpan w:val="2"/>
          </w:tcPr>
          <w:p>
            <w:pPr>
              <w:jc w:val="right"/>
              <w:ind w:right="31"/>
              <w:spacing w:after="0"/>
              <w:rPr>
                <w:sz w:val="20"/>
                <w:szCs w:val="20"/>
                <w:color w:val="auto"/>
              </w:rPr>
            </w:pPr>
            <w:r>
              <w:rPr>
                <w:rFonts w:ascii="Arial" w:cs="Arial" w:eastAsia="Arial" w:hAnsi="Arial"/>
                <w:sz w:val="12"/>
                <w:szCs w:val="12"/>
                <w:color w:val="00002F"/>
                <w:w w:val="93"/>
              </w:rPr>
              <w:t>U.S. GOVERNMENT BONDS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140" w:type="dxa"/>
            <w:vAlign w:val="bottom"/>
            <w:gridSpan w:val="10"/>
          </w:tcPr>
          <w:p>
            <w:pPr>
              <w:ind w:left="180"/>
              <w:spacing w:after="0"/>
              <w:rPr>
                <w:sz w:val="20"/>
                <w:szCs w:val="20"/>
                <w:color w:val="auto"/>
              </w:rPr>
            </w:pPr>
            <w:r>
              <w:rPr>
                <w:rFonts w:ascii="Arial" w:cs="Arial" w:eastAsia="Arial" w:hAnsi="Arial"/>
                <w:sz w:val="12"/>
                <w:szCs w:val="12"/>
                <w:color w:val="00002F"/>
                <w:w w:val="95"/>
              </w:rPr>
              <w:t>EUROPEAN GOVERNMENT BONDS</w:t>
            </w:r>
          </w:p>
        </w:tc>
        <w:tc>
          <w:tcPr>
            <w:tcW w:w="980" w:type="dxa"/>
            <w:vAlign w:val="bottom"/>
          </w:tcPr>
          <w:p>
            <w:pPr>
              <w:spacing w:after="0"/>
              <w:rPr>
                <w:sz w:val="20"/>
                <w:szCs w:val="20"/>
                <w:color w:val="auto"/>
              </w:rPr>
            </w:pPr>
            <w:r>
              <w:rPr>
                <w:rFonts w:ascii="Arial" w:cs="Arial" w:eastAsia="Arial" w:hAnsi="Arial"/>
                <w:sz w:val="12"/>
                <w:szCs w:val="12"/>
                <w:color w:val="00002F"/>
                <w:w w:val="96"/>
              </w:rPr>
              <w:t>EUROPEAN ETFs</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gridSpan w:val="5"/>
          </w:tcPr>
          <w:p>
            <w:pPr>
              <w:ind w:left="520"/>
              <w:spacing w:after="0"/>
              <w:rPr>
                <w:sz w:val="20"/>
                <w:szCs w:val="20"/>
                <w:color w:val="auto"/>
              </w:rPr>
            </w:pPr>
            <w:r>
              <w:rPr>
                <w:rFonts w:ascii="Arial" w:cs="Arial" w:eastAsia="Arial" w:hAnsi="Arial"/>
                <w:sz w:val="10"/>
                <w:szCs w:val="10"/>
                <w:color w:val="0C5593"/>
                <w:w w:val="79"/>
              </w:rPr>
              <w:t>SOURCE: TRADEWEB INTERNAL DATA</w:t>
            </w:r>
          </w:p>
        </w:tc>
        <w:tc>
          <w:tcPr>
            <w:tcW w:w="0" w:type="dxa"/>
            <w:vAlign w:val="bottom"/>
          </w:tcPr>
          <w:p>
            <w:pPr>
              <w:spacing w:after="0"/>
              <w:rPr>
                <w:sz w:val="1"/>
                <w:szCs w:val="1"/>
                <w:color w:val="auto"/>
              </w:rPr>
            </w:pPr>
          </w:p>
        </w:tc>
      </w:tr>
    </w:tbl>
    <w:p>
      <w:pPr>
        <w:spacing w:after="0" w:line="607" w:lineRule="exact"/>
        <w:rPr>
          <w:sz w:val="20"/>
          <w:szCs w:val="20"/>
          <w:color w:val="auto"/>
        </w:rPr>
      </w:pPr>
    </w:p>
    <w:p>
      <w:pPr>
        <w:sectPr>
          <w:pgSz w:w="12240" w:h="15840" w:orient="portrait"/>
          <w:cols w:equalWidth="0" w:num="2">
            <w:col w:w="4400" w:space="440"/>
            <w:col w:w="4760"/>
          </w:cols>
          <w:pgMar w:left="1440" w:top="1440" w:right="1200" w:bottom="1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140"/>
        <w:spacing w:after="0"/>
        <w:tabs>
          <w:tab w:leader="none" w:pos="9500" w:val="left"/>
        </w:tabs>
        <w:rPr>
          <w:sz w:val="20"/>
          <w:szCs w:val="20"/>
          <w:color w:val="auto"/>
        </w:rPr>
      </w:pPr>
      <w:r>
        <w:rPr>
          <w:rFonts w:ascii="Arial" w:cs="Arial" w:eastAsia="Arial" w:hAnsi="Arial"/>
          <w:sz w:val="16"/>
          <w:szCs w:val="16"/>
          <w:color w:val="00002F"/>
        </w:rPr>
        <w:t>2025 Annual Report</w:t>
      </w:r>
      <w:r>
        <w:rPr>
          <w:sz w:val="20"/>
          <w:szCs w:val="20"/>
          <w:color w:val="auto"/>
        </w:rPr>
        <w:tab/>
      </w:r>
      <w:r>
        <w:rPr>
          <w:rFonts w:ascii="Arial" w:cs="Arial" w:eastAsia="Arial" w:hAnsi="Arial"/>
          <w:sz w:val="14"/>
          <w:szCs w:val="14"/>
          <w:color w:val="00002F"/>
        </w:rPr>
        <w:t>5</w:t>
      </w:r>
    </w:p>
    <w:p>
      <w:pPr>
        <w:sectPr>
          <w:pgSz w:w="12240" w:h="15840" w:orient="portrait"/>
          <w:cols w:equalWidth="0" w:num="1">
            <w:col w:w="9600"/>
          </w:cols>
          <w:pgMar w:left="1440" w:top="1440" w:right="1200" w:bottom="195" w:gutter="0" w:footer="0" w:header="0"/>
          <w:type w:val="continuous"/>
        </w:sectPr>
      </w:pPr>
    </w:p>
    <w:bookmarkStart w:id="7" w:name="page8"/>
    <w:bookmarkEnd w:id="7"/>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ind w:left="600"/>
        <w:spacing w:after="0"/>
        <w:rPr>
          <w:sz w:val="20"/>
          <w:szCs w:val="20"/>
          <w:color w:val="auto"/>
        </w:rPr>
      </w:pPr>
      <w:r>
        <w:rPr>
          <w:rFonts w:ascii="Arial" w:cs="Arial" w:eastAsia="Arial" w:hAnsi="Arial"/>
          <w:sz w:val="22"/>
          <w:szCs w:val="22"/>
          <w:color w:val="00568F"/>
        </w:rPr>
        <w:t>LOOKING AHEAD</w:t>
      </w:r>
    </w:p>
    <w:p>
      <w:pPr>
        <w:spacing w:after="0" w:line="231" w:lineRule="exact"/>
        <w:rPr>
          <w:sz w:val="20"/>
          <w:szCs w:val="20"/>
          <w:color w:val="auto"/>
        </w:rPr>
      </w:pPr>
    </w:p>
    <w:p>
      <w:pPr>
        <w:jc w:val="both"/>
        <w:ind w:left="600"/>
        <w:spacing w:after="0" w:line="321" w:lineRule="auto"/>
        <w:rPr>
          <w:sz w:val="20"/>
          <w:szCs w:val="20"/>
          <w:color w:val="auto"/>
        </w:rPr>
      </w:pPr>
      <w:r>
        <w:rPr>
          <w:rFonts w:ascii="Arial" w:cs="Arial" w:eastAsia="Arial" w:hAnsi="Arial"/>
          <w:sz w:val="17"/>
          <w:szCs w:val="17"/>
          <w:color w:val="auto"/>
        </w:rPr>
        <w:t>We expect markets to continue moving toward a model in which traditional and digital workflows operate in parallel, connected through shared data, execution, and settlement layers. Electronification is likely to extend further into historically manual asset classes, while AI plays a growing role in execution and analytics.</w:t>
      </w:r>
    </w:p>
    <w:p>
      <w:pPr>
        <w:spacing w:after="0" w:line="171" w:lineRule="exact"/>
        <w:rPr>
          <w:sz w:val="20"/>
          <w:szCs w:val="20"/>
          <w:color w:val="auto"/>
        </w:rPr>
      </w:pPr>
    </w:p>
    <w:p>
      <w:pPr>
        <w:jc w:val="both"/>
        <w:ind w:left="600"/>
        <w:spacing w:after="0" w:line="321" w:lineRule="auto"/>
        <w:rPr>
          <w:sz w:val="20"/>
          <w:szCs w:val="20"/>
          <w:color w:val="auto"/>
        </w:rPr>
      </w:pPr>
      <w:r>
        <w:rPr>
          <w:rFonts w:ascii="Arial" w:cs="Arial" w:eastAsia="Arial" w:hAnsi="Arial"/>
          <w:sz w:val="17"/>
          <w:szCs w:val="17"/>
          <w:color w:val="auto"/>
        </w:rPr>
        <w:t>Tokenization and digital settlement may support more continuous and synchronized markets, while private credit and other less standardized asset classes will increasingly require improved infrastructure and connectivity. Across these developments, trust in market structure and execution will remain essential.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spacing w:after="0" w:line="301" w:lineRule="auto"/>
        <w:rPr>
          <w:sz w:val="20"/>
          <w:szCs w:val="20"/>
          <w:color w:val="auto"/>
        </w:rPr>
      </w:pPr>
      <w:r>
        <w:rPr>
          <w:rFonts w:ascii="Arial" w:cs="Arial" w:eastAsia="Arial" w:hAnsi="Arial"/>
          <w:sz w:val="18"/>
          <w:szCs w:val="18"/>
          <w:color w:val="auto"/>
        </w:rPr>
        <w:t>Our objective is not only to digitize existing markets, but to help shape the next generation of market infrastructure. With our scale, multi-asset reach, and focus on transparency and resilience, we believe we are well positioned to contribute meaningfully to this next phase of market development.</w:t>
      </w:r>
    </w:p>
    <w:p>
      <w:pPr>
        <w:spacing w:after="0" w:line="182" w:lineRule="exact"/>
        <w:rPr>
          <w:sz w:val="20"/>
          <w:szCs w:val="20"/>
          <w:color w:val="auto"/>
        </w:rPr>
      </w:pPr>
    </w:p>
    <w:p>
      <w:pPr>
        <w:jc w:val="both"/>
        <w:ind w:right="180"/>
        <w:spacing w:after="0" w:line="299" w:lineRule="auto"/>
        <w:rPr>
          <w:sz w:val="20"/>
          <w:szCs w:val="20"/>
          <w:color w:val="auto"/>
        </w:rPr>
      </w:pPr>
      <w:r>
        <w:rPr>
          <w:rFonts w:ascii="Arial" w:cs="Arial" w:eastAsia="Arial" w:hAnsi="Arial"/>
          <w:sz w:val="18"/>
          <w:szCs w:val="18"/>
          <w:color w:val="auto"/>
        </w:rPr>
        <w:t>On behalf of our management team and employees, thank you for your continued trust and support.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BILLY HULT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Tradeweb Markets</w:t>
      </w:r>
    </w:p>
    <w:p>
      <w:pPr>
        <w:spacing w:after="0" w:line="200" w:lineRule="exact"/>
        <w:rPr>
          <w:sz w:val="20"/>
          <w:szCs w:val="20"/>
          <w:color w:val="auto"/>
        </w:rPr>
      </w:pPr>
    </w:p>
    <w:p>
      <w:pPr>
        <w:sectPr>
          <w:pgSz w:w="12240" w:h="15840" w:orient="portrait"/>
          <w:cols w:equalWidth="0" w:num="2">
            <w:col w:w="4820" w:space="380"/>
            <w:col w:w="4400"/>
          </w:cols>
          <w:pgMar w:left="1200" w:top="1440" w:right="1440" w:bottom="1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right="460" w:hanging="120"/>
        <w:spacing w:after="0" w:line="219" w:lineRule="auto"/>
        <w:tabs>
          <w:tab w:leader="none" w:pos="720" w:val="left"/>
        </w:tabs>
        <w:numPr>
          <w:ilvl w:val="0"/>
          <w:numId w:val="1"/>
        </w:numPr>
        <w:rPr>
          <w:rFonts w:ascii="Arial" w:cs="Arial" w:eastAsia="Arial" w:hAnsi="Arial"/>
          <w:sz w:val="12"/>
          <w:szCs w:val="12"/>
          <w:color w:val="auto"/>
        </w:rPr>
      </w:pPr>
      <w:r>
        <w:rPr>
          <w:rFonts w:ascii="Arial" w:cs="Arial" w:eastAsia="Arial" w:hAnsi="Arial"/>
          <w:sz w:val="12"/>
          <w:szCs w:val="12"/>
          <w:color w:val="auto"/>
        </w:rPr>
        <w:t>Frontier markets references our potential expansion into digital assets (tokenization, stablecoins, crypto), prediction markets, and private markets, which would complement our core product and asset class exposure.</w:t>
      </w:r>
    </w:p>
    <w:p>
      <w:pPr>
        <w:spacing w:after="0" w:line="36" w:lineRule="exact"/>
        <w:rPr>
          <w:rFonts w:ascii="Arial" w:cs="Arial" w:eastAsia="Arial" w:hAnsi="Arial"/>
          <w:sz w:val="12"/>
          <w:szCs w:val="12"/>
          <w:color w:val="auto"/>
        </w:rPr>
      </w:pPr>
    </w:p>
    <w:p>
      <w:pPr>
        <w:ind w:left="720" w:right="340" w:hanging="120"/>
        <w:spacing w:after="0" w:line="286" w:lineRule="auto"/>
        <w:tabs>
          <w:tab w:leader="none" w:pos="720" w:val="left"/>
        </w:tabs>
        <w:numPr>
          <w:ilvl w:val="0"/>
          <w:numId w:val="1"/>
        </w:numPr>
        <w:rPr>
          <w:rFonts w:ascii="Arial" w:cs="Arial" w:eastAsia="Arial" w:hAnsi="Arial"/>
          <w:sz w:val="10"/>
          <w:szCs w:val="10"/>
          <w:color w:val="auto"/>
        </w:rPr>
      </w:pPr>
      <w:r>
        <w:rPr>
          <w:rFonts w:ascii="Arial" w:cs="Arial" w:eastAsia="Arial" w:hAnsi="Arial"/>
          <w:sz w:val="10"/>
          <w:szCs w:val="10"/>
          <w:color w:val="auto"/>
        </w:rPr>
        <w:t>Change in revenue on a constant currency basis, Adjusted EBITDA margin, Adjusted Diluted EPS and Free Cash Flow are non-GAAP measures. See pp. 5-6, 80 and 91-96 of the Tradeweb Markets Inc. Annual Report on Form 10-K for the year ended December 31, 2025 (“2025 10-K”), for a discussion of these non-GAAP measures, including, as applicable, reconciliations.</w:t>
      </w:r>
    </w:p>
    <w:p>
      <w:pPr>
        <w:ind w:left="720" w:hanging="120"/>
        <w:spacing w:after="0"/>
        <w:tabs>
          <w:tab w:leader="none" w:pos="720" w:val="left"/>
        </w:tabs>
        <w:numPr>
          <w:ilvl w:val="0"/>
          <w:numId w:val="1"/>
        </w:numPr>
        <w:rPr>
          <w:rFonts w:ascii="Arial" w:cs="Arial" w:eastAsia="Arial" w:hAnsi="Arial"/>
          <w:sz w:val="12"/>
          <w:szCs w:val="12"/>
          <w:color w:val="auto"/>
        </w:rPr>
      </w:pPr>
      <w:r>
        <w:rPr>
          <w:rFonts w:ascii="Arial" w:cs="Arial" w:eastAsia="Arial" w:hAnsi="Arial"/>
          <w:sz w:val="12"/>
          <w:szCs w:val="12"/>
          <w:color w:val="auto"/>
        </w:rPr>
        <w:t>TW Risk Market Share excludes Compression activity.</w:t>
      </w:r>
    </w:p>
    <w:p>
      <w:pPr>
        <w:spacing w:after="0" w:line="32" w:lineRule="exact"/>
        <w:rPr>
          <w:rFonts w:ascii="Arial" w:cs="Arial" w:eastAsia="Arial" w:hAnsi="Arial"/>
          <w:sz w:val="12"/>
          <w:szCs w:val="12"/>
          <w:color w:val="auto"/>
        </w:rPr>
      </w:pPr>
    </w:p>
    <w:p>
      <w:pPr>
        <w:ind w:left="720" w:hanging="120"/>
        <w:spacing w:after="0"/>
        <w:tabs>
          <w:tab w:leader="none" w:pos="720" w:val="left"/>
        </w:tabs>
        <w:numPr>
          <w:ilvl w:val="0"/>
          <w:numId w:val="1"/>
        </w:numPr>
        <w:rPr>
          <w:rFonts w:ascii="Arial" w:cs="Arial" w:eastAsia="Arial" w:hAnsi="Arial"/>
          <w:sz w:val="11"/>
          <w:szCs w:val="11"/>
          <w:color w:val="auto"/>
        </w:rPr>
      </w:pPr>
      <w:r>
        <w:rPr>
          <w:rFonts w:ascii="Arial" w:cs="Arial" w:eastAsia="Arial" w:hAnsi="Arial"/>
          <w:sz w:val="11"/>
          <w:szCs w:val="11"/>
          <w:color w:val="auto"/>
        </w:rPr>
        <w:t>Share reflects TW High Grade and High Yield volume, divided by TRACE volume, adjusted by Tradeweb management to exclude emerging market and convertible bond volumes.</w:t>
      </w:r>
    </w:p>
    <w:p>
      <w:pPr>
        <w:spacing w:after="0" w:line="36" w:lineRule="exact"/>
        <w:rPr>
          <w:rFonts w:ascii="Arial" w:cs="Arial" w:eastAsia="Arial" w:hAnsi="Arial"/>
          <w:sz w:val="11"/>
          <w:szCs w:val="11"/>
          <w:color w:val="auto"/>
        </w:rPr>
      </w:pPr>
    </w:p>
    <w:p>
      <w:pPr>
        <w:ind w:left="720" w:right="180" w:hanging="120"/>
        <w:spacing w:after="0" w:line="221" w:lineRule="auto"/>
        <w:tabs>
          <w:tab w:leader="none" w:pos="720" w:val="left"/>
        </w:tabs>
        <w:numPr>
          <w:ilvl w:val="0"/>
          <w:numId w:val="1"/>
        </w:numPr>
        <w:rPr>
          <w:rFonts w:ascii="Arial" w:cs="Arial" w:eastAsia="Arial" w:hAnsi="Arial"/>
          <w:sz w:val="12"/>
          <w:szCs w:val="12"/>
          <w:color w:val="auto"/>
        </w:rPr>
      </w:pPr>
      <w:r>
        <w:rPr>
          <w:rFonts w:ascii="Arial" w:cs="Arial" w:eastAsia="Arial" w:hAnsi="Arial"/>
          <w:sz w:val="12"/>
          <w:szCs w:val="12"/>
          <w:color w:val="auto"/>
        </w:rPr>
        <w:t>Adjusted EBITDA margin is a non-GAAP measure. See pp. 5-6 and 92-95 of the 2025 10-K for a discussion of this non-GAAP measure, including, reconciliations for the years ended December 31, 2023, 2024 and 2025. For reconciliations for the years ended December 31, 2020, 2021 and 2022, see p. 86 of the Tradeweb Markets Inc. Annual Report on Form 10-K for the year ended December 31, 2022.</w:t>
      </w:r>
    </w:p>
    <w:p>
      <w:pPr>
        <w:spacing w:after="0" w:line="37" w:lineRule="exact"/>
        <w:rPr>
          <w:rFonts w:ascii="Arial" w:cs="Arial" w:eastAsia="Arial" w:hAnsi="Arial"/>
          <w:sz w:val="12"/>
          <w:szCs w:val="12"/>
          <w:color w:val="auto"/>
        </w:rPr>
      </w:pPr>
    </w:p>
    <w:p>
      <w:pPr>
        <w:ind w:left="720" w:right="440" w:hanging="120"/>
        <w:spacing w:after="0" w:line="239" w:lineRule="auto"/>
        <w:tabs>
          <w:tab w:leader="none" w:pos="720" w:val="left"/>
        </w:tabs>
        <w:numPr>
          <w:ilvl w:val="0"/>
          <w:numId w:val="1"/>
        </w:numPr>
        <w:rPr>
          <w:rFonts w:ascii="Arial" w:cs="Arial" w:eastAsia="Arial" w:hAnsi="Arial"/>
          <w:sz w:val="11"/>
          <w:szCs w:val="11"/>
          <w:color w:val="auto"/>
        </w:rPr>
      </w:pPr>
      <w:r>
        <w:rPr>
          <w:rFonts w:ascii="Arial" w:cs="Arial" w:eastAsia="Arial" w:hAnsi="Arial"/>
          <w:sz w:val="11"/>
          <w:szCs w:val="11"/>
          <w:color w:val="auto"/>
        </w:rPr>
        <w:t>Tech investments include technology compensation related to development and other investment areas, technology-related non-compensation costs in investment areas, and capital expenditures and excludes tech infrastructure operating expenses, maintenance spend, and technology acquired in business acquisitions.</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0"/>
          <w:szCs w:val="10"/>
          <w:color w:val="auto"/>
        </w:rPr>
        <w:t>Note: This letter includes certain forward-looking statements within the meaning of the federal securities laws. Please see “Cautionary Note Regarding Forward-Looking Statements” on pp.</w:t>
      </w:r>
    </w:p>
    <w:p>
      <w:pPr>
        <w:spacing w:after="0" w:line="29" w:lineRule="exact"/>
        <w:rPr>
          <w:sz w:val="20"/>
          <w:szCs w:val="20"/>
          <w:color w:val="auto"/>
        </w:rPr>
      </w:pPr>
    </w:p>
    <w:p>
      <w:pPr>
        <w:ind w:left="600"/>
        <w:spacing w:after="0"/>
        <w:rPr>
          <w:sz w:val="20"/>
          <w:szCs w:val="20"/>
          <w:color w:val="auto"/>
        </w:rPr>
      </w:pPr>
      <w:r>
        <w:rPr>
          <w:rFonts w:ascii="Arial" w:cs="Arial" w:eastAsia="Arial" w:hAnsi="Arial"/>
          <w:sz w:val="10"/>
          <w:szCs w:val="10"/>
          <w:color w:val="auto"/>
        </w:rPr>
        <w:t>7-8 of the 2025 10-K. In addition, this letter includes certain estimates regarding market and industry data. Please see “Introductory Note - Market and Industry Data” on p. 4 of the 2025 10-K.</w:t>
      </w:r>
    </w:p>
    <w:p>
      <w:pPr>
        <w:sectPr>
          <w:pgSz w:w="12240" w:h="15840" w:orient="portrait"/>
          <w:cols w:equalWidth="0" w:num="1">
            <w:col w:w="9600"/>
          </w:cols>
          <w:pgMar w:left="1200" w:top="1440" w:right="1440" w:bottom="1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00002F"/>
        </w:rPr>
        <w:t>6</w:t>
      </w:r>
      <w:r>
        <w:rPr>
          <w:sz w:val="20"/>
          <w:szCs w:val="20"/>
          <w:color w:val="auto"/>
        </w:rPr>
        <w:tab/>
      </w:r>
      <w:r>
        <w:rPr>
          <w:rFonts w:ascii="Arial" w:cs="Arial" w:eastAsia="Arial" w:hAnsi="Arial"/>
          <w:sz w:val="13"/>
          <w:szCs w:val="13"/>
          <w:color w:val="00002F"/>
        </w:rPr>
        <w:t>Tradeweb Markets</w:t>
      </w:r>
    </w:p>
    <w:p>
      <w:pPr>
        <w:sectPr>
          <w:pgSz w:w="12240" w:h="15840" w:orient="portrait"/>
          <w:cols w:equalWidth="0" w:num="1">
            <w:col w:w="9600"/>
          </w:cols>
          <w:pgMar w:left="1200" w:top="1440" w:right="1440" w:bottom="195" w:gutter="0" w:footer="0" w:header="0"/>
          <w:type w:val="continuous"/>
        </w:sectPr>
      </w:pPr>
    </w:p>
    <w:bookmarkStart w:id="8" w:name="page9"/>
    <w:bookmarkEnd w:id="8"/>
    <w:p>
      <w:pPr>
        <w:ind w:left="160"/>
        <w:spacing w:after="0"/>
        <w:rPr>
          <w:sz w:val="20"/>
          <w:szCs w:val="20"/>
          <w:color w:val="auto"/>
        </w:rPr>
      </w:pPr>
      <w:r>
        <w:rPr>
          <w:rFonts w:ascii="Arial" w:cs="Arial" w:eastAsia="Arial" w:hAnsi="Arial"/>
          <w:sz w:val="40"/>
          <w:szCs w:val="40"/>
          <w:color w:val="00568F"/>
        </w:rPr>
        <w:drawing>
          <wp:anchor simplePos="0" relativeHeight="251657728" behindDoc="1" locked="0" layoutInCell="0" allowOverlap="1">
            <wp:simplePos x="0" y="0"/>
            <wp:positionH relativeFrom="page">
              <wp:posOffset>0</wp:posOffset>
            </wp:positionH>
            <wp:positionV relativeFrom="page">
              <wp:posOffset>0</wp:posOffset>
            </wp:positionV>
            <wp:extent cx="605790" cy="10058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5790" cy="10058400"/>
                    </a:xfrm>
                    <a:prstGeom prst="rect">
                      <a:avLst/>
                    </a:prstGeom>
                    <a:noFill/>
                  </pic:spPr>
                </pic:pic>
              </a:graphicData>
            </a:graphic>
          </wp:anchor>
        </w:drawing>
        <w:drawing>
          <wp:anchor simplePos="0" relativeHeight="251657728" behindDoc="1" locked="0" layoutInCell="0" allowOverlap="1">
            <wp:simplePos x="0" y="0"/>
            <wp:positionH relativeFrom="page">
              <wp:posOffset>7768590</wp:posOffset>
            </wp:positionH>
            <wp:positionV relativeFrom="page">
              <wp:posOffset>0</wp:posOffset>
            </wp:positionV>
            <wp:extent cx="4763" cy="4763"/>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3" cy="4763"/>
                    </a:xfrm>
                    <a:prstGeom prst="rect">
                      <a:avLst/>
                    </a:prstGeom>
                    <a:noFill/>
                  </pic:spPr>
                </pic:pic>
              </a:graphicData>
            </a:graphic>
          </wp:anchor>
        </w:drawing>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172720</wp:posOffset>
            </wp:positionV>
            <wp:extent cx="68580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0" cy="68580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172720</wp:posOffset>
            </wp:positionV>
            <wp:extent cx="685800" cy="685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0" cy="68580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172720</wp:posOffset>
            </wp:positionV>
            <wp:extent cx="685800" cy="68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0" cy="68580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-256540</wp:posOffset>
            </wp:positionV>
            <wp:extent cx="1179830" cy="230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9830" cy="230505"/>
                    </a:xfrm>
                    <a:prstGeom prst="rect">
                      <a:avLst/>
                    </a:prstGeom>
                    <a:noFill/>
                  </pic:spPr>
                </pic:pic>
              </a:graphicData>
            </a:graphic>
          </wp:anchor>
        </w:drawing>
      </w:r>
    </w:p>
    <w:p>
      <w:pPr>
        <w:spacing w:after="0" w:line="252" w:lineRule="exact"/>
        <w:rPr>
          <w:sz w:val="20"/>
          <w:szCs w:val="20"/>
          <w:color w:val="auto"/>
        </w:rPr>
      </w:pPr>
    </w:p>
    <w:tbl>
      <w:tblPr>
        <w:tblLayout w:type="fixed"/>
        <w:tblInd w:w="180" w:type="dxa"/>
        <w:tblCellMar>
          <w:top w:w="0" w:type="dxa"/>
          <w:left w:w="0" w:type="dxa"/>
          <w:bottom w:w="0" w:type="dxa"/>
          <w:right w:w="0" w:type="dxa"/>
        </w:tblCellMar>
      </w:tblPr>
      <w:tr>
        <w:trPr>
          <w:trHeight w:val="255"/>
        </w:trPr>
        <w:tc>
          <w:tcPr>
            <w:tcW w:w="2260" w:type="dxa"/>
            <w:vAlign w:val="bottom"/>
            <w:shd w:val="clear" w:color="auto" w:fill="E6EBF1"/>
          </w:tcPr>
          <w:p>
            <w:pPr>
              <w:ind w:left="80"/>
              <w:spacing w:after="0"/>
              <w:rPr>
                <w:sz w:val="20"/>
                <w:szCs w:val="20"/>
                <w:color w:val="auto"/>
              </w:rPr>
            </w:pPr>
            <w:r>
              <w:rPr>
                <w:rFonts w:ascii="Arial" w:cs="Arial" w:eastAsia="Arial" w:hAnsi="Arial"/>
                <w:sz w:val="18"/>
                <w:szCs w:val="18"/>
                <w:color w:val="auto"/>
              </w:rPr>
              <w:t>BILLY HULT</w:t>
            </w:r>
          </w:p>
        </w:tc>
        <w:tc>
          <w:tcPr>
            <w:tcW w:w="760" w:type="dxa"/>
            <w:vAlign w:val="bottom"/>
          </w:tcPr>
          <w:p>
            <w:pPr>
              <w:spacing w:after="0"/>
              <w:rPr>
                <w:sz w:val="22"/>
                <w:szCs w:val="22"/>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8"/>
                <w:szCs w:val="18"/>
                <w:color w:val="auto"/>
              </w:rPr>
              <w:t>SARA FURBER</w:t>
            </w:r>
          </w:p>
        </w:tc>
        <w:tc>
          <w:tcPr>
            <w:tcW w:w="780" w:type="dxa"/>
            <w:vAlign w:val="bottom"/>
          </w:tcPr>
          <w:p>
            <w:pPr>
              <w:spacing w:after="0"/>
              <w:rPr>
                <w:sz w:val="22"/>
                <w:szCs w:val="22"/>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8"/>
                <w:szCs w:val="18"/>
                <w:color w:val="auto"/>
              </w:rPr>
              <w:t>CHRIS BRUNER</w:t>
            </w:r>
          </w:p>
        </w:tc>
      </w:tr>
      <w:tr>
        <w:trPr>
          <w:trHeight w:val="205"/>
        </w:trPr>
        <w:tc>
          <w:tcPr>
            <w:tcW w:w="2260" w:type="dxa"/>
            <w:vAlign w:val="bottom"/>
            <w:shd w:val="clear" w:color="auto" w:fill="E6EBF1"/>
          </w:tcPr>
          <w:p>
            <w:pPr>
              <w:ind w:left="80"/>
              <w:spacing w:after="0"/>
              <w:rPr>
                <w:sz w:val="20"/>
                <w:szCs w:val="20"/>
                <w:color w:val="auto"/>
              </w:rPr>
            </w:pPr>
            <w:r>
              <w:rPr>
                <w:rFonts w:ascii="Arial" w:cs="Arial" w:eastAsia="Arial" w:hAnsi="Arial"/>
                <w:sz w:val="16"/>
                <w:szCs w:val="16"/>
                <w:color w:val="auto"/>
              </w:rPr>
              <w:t>Chief Executive Officer</w:t>
            </w:r>
          </w:p>
        </w:tc>
        <w:tc>
          <w:tcPr>
            <w:tcW w:w="760" w:type="dxa"/>
            <w:vAlign w:val="bottom"/>
          </w:tcPr>
          <w:p>
            <w:pPr>
              <w:spacing w:after="0"/>
              <w:rPr>
                <w:sz w:val="17"/>
                <w:szCs w:val="17"/>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6"/>
                <w:szCs w:val="16"/>
                <w:color w:val="auto"/>
              </w:rPr>
              <w:t>Chief Financial Officer</w:t>
            </w:r>
          </w:p>
        </w:tc>
        <w:tc>
          <w:tcPr>
            <w:tcW w:w="780" w:type="dxa"/>
            <w:vAlign w:val="bottom"/>
          </w:tcPr>
          <w:p>
            <w:pPr>
              <w:spacing w:after="0"/>
              <w:rPr>
                <w:sz w:val="17"/>
                <w:szCs w:val="17"/>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6"/>
                <w:szCs w:val="16"/>
                <w:color w:val="auto"/>
              </w:rPr>
              <w:t>Chief Product Officer</w:t>
            </w:r>
          </w:p>
        </w:tc>
      </w:tr>
      <w:tr>
        <w:trPr>
          <w:trHeight w:val="621"/>
        </w:trPr>
        <w:tc>
          <w:tcPr>
            <w:tcW w:w="2260" w:type="dxa"/>
            <w:vAlign w:val="bottom"/>
            <w:shd w:val="clear" w:color="auto" w:fill="E6EBF1"/>
          </w:tcPr>
          <w:p>
            <w:pPr>
              <w:spacing w:after="0"/>
              <w:rPr>
                <w:sz w:val="24"/>
                <w:szCs w:val="24"/>
                <w:color w:val="auto"/>
              </w:rPr>
            </w:pPr>
          </w:p>
        </w:tc>
        <w:tc>
          <w:tcPr>
            <w:tcW w:w="760" w:type="dxa"/>
            <w:vAlign w:val="bottom"/>
          </w:tcPr>
          <w:p>
            <w:pPr>
              <w:spacing w:after="0"/>
              <w:rPr>
                <w:sz w:val="24"/>
                <w:szCs w:val="24"/>
                <w:color w:val="auto"/>
              </w:rPr>
            </w:pPr>
          </w:p>
        </w:tc>
        <w:tc>
          <w:tcPr>
            <w:tcW w:w="2240" w:type="dxa"/>
            <w:vAlign w:val="bottom"/>
            <w:shd w:val="clear" w:color="auto" w:fill="E6EBF1"/>
          </w:tcPr>
          <w:p>
            <w:pPr>
              <w:spacing w:after="0"/>
              <w:rPr>
                <w:sz w:val="24"/>
                <w:szCs w:val="24"/>
                <w:color w:val="auto"/>
              </w:rPr>
            </w:pPr>
          </w:p>
        </w:tc>
        <w:tc>
          <w:tcPr>
            <w:tcW w:w="780" w:type="dxa"/>
            <w:vAlign w:val="bottom"/>
          </w:tcPr>
          <w:p>
            <w:pPr>
              <w:spacing w:after="0"/>
              <w:rPr>
                <w:sz w:val="24"/>
                <w:szCs w:val="24"/>
                <w:color w:val="auto"/>
              </w:rPr>
            </w:pPr>
          </w:p>
        </w:tc>
        <w:tc>
          <w:tcPr>
            <w:tcW w:w="2240" w:type="dxa"/>
            <w:vAlign w:val="bottom"/>
            <w:shd w:val="clear" w:color="auto" w:fill="E6EBF1"/>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131445</wp:posOffset>
            </wp:positionV>
            <wp:extent cx="685800" cy="685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0" cy="68580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131445</wp:posOffset>
            </wp:positionV>
            <wp:extent cx="685800" cy="685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0" cy="68580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131445</wp:posOffset>
            </wp:positionV>
            <wp:extent cx="685800" cy="685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255"/>
        </w:trPr>
        <w:tc>
          <w:tcPr>
            <w:tcW w:w="2260" w:type="dxa"/>
            <w:vAlign w:val="bottom"/>
            <w:shd w:val="clear" w:color="auto" w:fill="E6EBF1"/>
          </w:tcPr>
          <w:p>
            <w:pPr>
              <w:ind w:left="80"/>
              <w:spacing w:after="0"/>
              <w:rPr>
                <w:sz w:val="20"/>
                <w:szCs w:val="20"/>
                <w:color w:val="auto"/>
              </w:rPr>
            </w:pPr>
            <w:r>
              <w:rPr>
                <w:rFonts w:ascii="Arial" w:cs="Arial" w:eastAsia="Arial" w:hAnsi="Arial"/>
                <w:sz w:val="18"/>
                <w:szCs w:val="18"/>
                <w:color w:val="auto"/>
              </w:rPr>
              <w:t>ENRICO BRUNI</w:t>
            </w:r>
          </w:p>
        </w:tc>
        <w:tc>
          <w:tcPr>
            <w:tcW w:w="760" w:type="dxa"/>
            <w:vAlign w:val="bottom"/>
          </w:tcPr>
          <w:p>
            <w:pPr>
              <w:spacing w:after="0"/>
              <w:rPr>
                <w:sz w:val="22"/>
                <w:szCs w:val="22"/>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8"/>
                <w:szCs w:val="18"/>
                <w:color w:val="auto"/>
              </w:rPr>
              <w:t>SANDRA BUCHANAN</w:t>
            </w:r>
          </w:p>
        </w:tc>
        <w:tc>
          <w:tcPr>
            <w:tcW w:w="780" w:type="dxa"/>
            <w:vAlign w:val="bottom"/>
          </w:tcPr>
          <w:p>
            <w:pPr>
              <w:spacing w:after="0"/>
              <w:rPr>
                <w:sz w:val="22"/>
                <w:szCs w:val="22"/>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8"/>
                <w:szCs w:val="18"/>
                <w:color w:val="auto"/>
              </w:rPr>
              <w:t>AMY CLACK</w:t>
            </w:r>
          </w:p>
        </w:tc>
      </w:tr>
      <w:tr>
        <w:trPr>
          <w:trHeight w:val="205"/>
        </w:trPr>
        <w:tc>
          <w:tcPr>
            <w:tcW w:w="2260" w:type="dxa"/>
            <w:vAlign w:val="bottom"/>
            <w:shd w:val="clear" w:color="auto" w:fill="E6EBF1"/>
          </w:tcPr>
          <w:p>
            <w:pPr>
              <w:ind w:left="80"/>
              <w:spacing w:after="0"/>
              <w:rPr>
                <w:sz w:val="20"/>
                <w:szCs w:val="20"/>
                <w:color w:val="auto"/>
              </w:rPr>
            </w:pPr>
            <w:r>
              <w:rPr>
                <w:rFonts w:ascii="Arial" w:cs="Arial" w:eastAsia="Arial" w:hAnsi="Arial"/>
                <w:sz w:val="16"/>
                <w:szCs w:val="16"/>
                <w:color w:val="auto"/>
              </w:rPr>
              <w:t>Managing Director,</w:t>
            </w:r>
          </w:p>
        </w:tc>
        <w:tc>
          <w:tcPr>
            <w:tcW w:w="760" w:type="dxa"/>
            <w:vAlign w:val="bottom"/>
          </w:tcPr>
          <w:p>
            <w:pPr>
              <w:spacing w:after="0"/>
              <w:rPr>
                <w:sz w:val="17"/>
                <w:szCs w:val="17"/>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6"/>
                <w:szCs w:val="16"/>
                <w:color w:val="auto"/>
              </w:rPr>
              <w:t>Chief People Officer</w:t>
            </w:r>
          </w:p>
        </w:tc>
        <w:tc>
          <w:tcPr>
            <w:tcW w:w="780" w:type="dxa"/>
            <w:vAlign w:val="bottom"/>
          </w:tcPr>
          <w:p>
            <w:pPr>
              <w:spacing w:after="0"/>
              <w:rPr>
                <w:sz w:val="17"/>
                <w:szCs w:val="17"/>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6"/>
                <w:szCs w:val="16"/>
                <w:color w:val="auto"/>
              </w:rPr>
              <w:t>Chief Administrative</w:t>
            </w:r>
          </w:p>
        </w:tc>
      </w:tr>
      <w:tr>
        <w:trPr>
          <w:trHeight w:val="180"/>
        </w:trPr>
        <w:tc>
          <w:tcPr>
            <w:tcW w:w="2260" w:type="dxa"/>
            <w:vAlign w:val="bottom"/>
            <w:shd w:val="clear" w:color="auto" w:fill="E6EBF1"/>
          </w:tcPr>
          <w:p>
            <w:pPr>
              <w:ind w:left="80"/>
              <w:spacing w:after="0" w:line="180" w:lineRule="exact"/>
              <w:rPr>
                <w:sz w:val="20"/>
                <w:szCs w:val="20"/>
                <w:color w:val="auto"/>
              </w:rPr>
            </w:pPr>
            <w:r>
              <w:rPr>
                <w:rFonts w:ascii="Arial" w:cs="Arial" w:eastAsia="Arial" w:hAnsi="Arial"/>
                <w:sz w:val="16"/>
                <w:szCs w:val="16"/>
                <w:color w:val="auto"/>
              </w:rPr>
              <w:t>Co-Head of Global</w:t>
            </w:r>
          </w:p>
        </w:tc>
        <w:tc>
          <w:tcPr>
            <w:tcW w:w="760" w:type="dxa"/>
            <w:vAlign w:val="bottom"/>
          </w:tcPr>
          <w:p>
            <w:pPr>
              <w:spacing w:after="0"/>
              <w:rPr>
                <w:sz w:val="15"/>
                <w:szCs w:val="15"/>
                <w:color w:val="auto"/>
              </w:rPr>
            </w:pPr>
          </w:p>
        </w:tc>
        <w:tc>
          <w:tcPr>
            <w:tcW w:w="2240" w:type="dxa"/>
            <w:vAlign w:val="bottom"/>
            <w:shd w:val="clear" w:color="auto" w:fill="E6EBF1"/>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shd w:val="clear" w:color="auto" w:fill="E6EBF1"/>
          </w:tcPr>
          <w:p>
            <w:pPr>
              <w:ind w:left="80"/>
              <w:spacing w:after="0" w:line="180" w:lineRule="exact"/>
              <w:rPr>
                <w:sz w:val="20"/>
                <w:szCs w:val="20"/>
                <w:color w:val="auto"/>
              </w:rPr>
            </w:pPr>
            <w:r>
              <w:rPr>
                <w:rFonts w:ascii="Arial" w:cs="Arial" w:eastAsia="Arial" w:hAnsi="Arial"/>
                <w:sz w:val="16"/>
                <w:szCs w:val="16"/>
                <w:color w:val="auto"/>
              </w:rPr>
              <w:t>Officer</w:t>
            </w:r>
          </w:p>
        </w:tc>
      </w:tr>
      <w:tr>
        <w:trPr>
          <w:trHeight w:val="180"/>
        </w:trPr>
        <w:tc>
          <w:tcPr>
            <w:tcW w:w="2260" w:type="dxa"/>
            <w:vAlign w:val="bottom"/>
            <w:shd w:val="clear" w:color="auto" w:fill="E6EBF1"/>
          </w:tcPr>
          <w:p>
            <w:pPr>
              <w:ind w:left="80"/>
              <w:spacing w:after="0" w:line="180" w:lineRule="exact"/>
              <w:rPr>
                <w:sz w:val="20"/>
                <w:szCs w:val="20"/>
                <w:color w:val="auto"/>
              </w:rPr>
            </w:pPr>
            <w:r>
              <w:rPr>
                <w:rFonts w:ascii="Arial" w:cs="Arial" w:eastAsia="Arial" w:hAnsi="Arial"/>
                <w:sz w:val="16"/>
                <w:szCs w:val="16"/>
                <w:color w:val="auto"/>
              </w:rPr>
              <w:t>Markets</w:t>
            </w:r>
          </w:p>
        </w:tc>
        <w:tc>
          <w:tcPr>
            <w:tcW w:w="760" w:type="dxa"/>
            <w:vAlign w:val="bottom"/>
          </w:tcPr>
          <w:p>
            <w:pPr>
              <w:spacing w:after="0"/>
              <w:rPr>
                <w:sz w:val="15"/>
                <w:szCs w:val="15"/>
                <w:color w:val="auto"/>
              </w:rPr>
            </w:pPr>
          </w:p>
        </w:tc>
        <w:tc>
          <w:tcPr>
            <w:tcW w:w="2240" w:type="dxa"/>
            <w:vAlign w:val="bottom"/>
            <w:shd w:val="clear" w:color="auto" w:fill="E6EBF1"/>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shd w:val="clear" w:color="auto" w:fill="E6EBF1"/>
          </w:tcPr>
          <w:p>
            <w:pPr>
              <w:spacing w:after="0"/>
              <w:rPr>
                <w:sz w:val="15"/>
                <w:szCs w:val="15"/>
                <w:color w:val="auto"/>
              </w:rPr>
            </w:pPr>
          </w:p>
        </w:tc>
      </w:tr>
      <w:tr>
        <w:trPr>
          <w:trHeight w:val="261"/>
        </w:trPr>
        <w:tc>
          <w:tcPr>
            <w:tcW w:w="2260" w:type="dxa"/>
            <w:vAlign w:val="bottom"/>
            <w:shd w:val="clear" w:color="auto" w:fill="E6EBF1"/>
          </w:tcPr>
          <w:p>
            <w:pPr>
              <w:spacing w:after="0"/>
              <w:rPr>
                <w:sz w:val="22"/>
                <w:szCs w:val="22"/>
                <w:color w:val="auto"/>
              </w:rPr>
            </w:pPr>
          </w:p>
        </w:tc>
        <w:tc>
          <w:tcPr>
            <w:tcW w:w="760" w:type="dxa"/>
            <w:vAlign w:val="bottom"/>
          </w:tcPr>
          <w:p>
            <w:pPr>
              <w:spacing w:after="0"/>
              <w:rPr>
                <w:sz w:val="22"/>
                <w:szCs w:val="22"/>
                <w:color w:val="auto"/>
              </w:rPr>
            </w:pPr>
          </w:p>
        </w:tc>
        <w:tc>
          <w:tcPr>
            <w:tcW w:w="2240" w:type="dxa"/>
            <w:vAlign w:val="bottom"/>
            <w:shd w:val="clear" w:color="auto" w:fill="E6EBF1"/>
          </w:tcPr>
          <w:p>
            <w:pPr>
              <w:spacing w:after="0"/>
              <w:rPr>
                <w:sz w:val="22"/>
                <w:szCs w:val="22"/>
                <w:color w:val="auto"/>
              </w:rPr>
            </w:pPr>
          </w:p>
        </w:tc>
        <w:tc>
          <w:tcPr>
            <w:tcW w:w="780" w:type="dxa"/>
            <w:vAlign w:val="bottom"/>
          </w:tcPr>
          <w:p>
            <w:pPr>
              <w:spacing w:after="0"/>
              <w:rPr>
                <w:sz w:val="22"/>
                <w:szCs w:val="22"/>
                <w:color w:val="auto"/>
              </w:rPr>
            </w:pPr>
          </w:p>
        </w:tc>
        <w:tc>
          <w:tcPr>
            <w:tcW w:w="2240" w:type="dxa"/>
            <w:vAlign w:val="bottom"/>
            <w:shd w:val="clear" w:color="auto" w:fill="E6EBF1"/>
          </w:tcPr>
          <w:p>
            <w:pPr>
              <w:spacing w:after="0"/>
              <w:rPr>
                <w:sz w:val="22"/>
                <w:szCs w:val="22"/>
                <w:color w:val="auto"/>
              </w:rPr>
            </w:pPr>
          </w:p>
        </w:tc>
      </w:tr>
      <w:tr>
        <w:trPr>
          <w:trHeight w:val="209"/>
        </w:trPr>
        <w:tc>
          <w:tcPr>
            <w:tcW w:w="2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55"/>
        </w:trPr>
        <w:tc>
          <w:tcPr>
            <w:tcW w:w="2260" w:type="dxa"/>
            <w:vAlign w:val="bottom"/>
            <w:shd w:val="clear" w:color="auto" w:fill="E6EBF1"/>
          </w:tcPr>
          <w:p>
            <w:pPr>
              <w:ind w:left="80"/>
              <w:spacing w:after="0"/>
              <w:rPr>
                <w:sz w:val="20"/>
                <w:szCs w:val="20"/>
                <w:color w:val="auto"/>
              </w:rPr>
            </w:pPr>
            <w:r>
              <w:rPr>
                <w:rFonts w:ascii="Arial" w:cs="Arial" w:eastAsia="Arial" w:hAnsi="Arial"/>
                <w:sz w:val="18"/>
                <w:szCs w:val="18"/>
                <w:color w:val="auto"/>
              </w:rPr>
              <w:t>TROY DIXON</w:t>
            </w:r>
          </w:p>
        </w:tc>
        <w:tc>
          <w:tcPr>
            <w:tcW w:w="760" w:type="dxa"/>
            <w:vAlign w:val="bottom"/>
          </w:tcPr>
          <w:p>
            <w:pPr>
              <w:spacing w:after="0"/>
              <w:rPr>
                <w:sz w:val="22"/>
                <w:szCs w:val="22"/>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8"/>
                <w:szCs w:val="18"/>
                <w:color w:val="auto"/>
              </w:rPr>
              <w:t>DOUGLAS FRIEDMAN</w:t>
            </w:r>
          </w:p>
        </w:tc>
        <w:tc>
          <w:tcPr>
            <w:tcW w:w="780" w:type="dxa"/>
            <w:vAlign w:val="bottom"/>
          </w:tcPr>
          <w:p>
            <w:pPr>
              <w:spacing w:after="0"/>
              <w:rPr>
                <w:sz w:val="22"/>
                <w:szCs w:val="22"/>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8"/>
                <w:szCs w:val="18"/>
                <w:color w:val="auto"/>
              </w:rPr>
              <w:t>JUSTIN PETERSON</w:t>
            </w:r>
          </w:p>
        </w:tc>
      </w:tr>
      <w:tr>
        <w:trPr>
          <w:trHeight w:val="205"/>
        </w:trPr>
        <w:tc>
          <w:tcPr>
            <w:tcW w:w="2260" w:type="dxa"/>
            <w:vAlign w:val="bottom"/>
            <w:shd w:val="clear" w:color="auto" w:fill="E6EBF1"/>
          </w:tcPr>
          <w:p>
            <w:pPr>
              <w:ind w:left="80"/>
              <w:spacing w:after="0"/>
              <w:rPr>
                <w:sz w:val="20"/>
                <w:szCs w:val="20"/>
                <w:color w:val="auto"/>
              </w:rPr>
            </w:pPr>
            <w:r>
              <w:rPr>
                <w:rFonts w:ascii="Arial" w:cs="Arial" w:eastAsia="Arial" w:hAnsi="Arial"/>
                <w:sz w:val="16"/>
                <w:szCs w:val="16"/>
                <w:color w:val="auto"/>
              </w:rPr>
              <w:t>Managing Director,</w:t>
            </w:r>
          </w:p>
        </w:tc>
        <w:tc>
          <w:tcPr>
            <w:tcW w:w="760" w:type="dxa"/>
            <w:vAlign w:val="bottom"/>
          </w:tcPr>
          <w:p>
            <w:pPr>
              <w:spacing w:after="0"/>
              <w:rPr>
                <w:sz w:val="17"/>
                <w:szCs w:val="17"/>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6"/>
                <w:szCs w:val="16"/>
                <w:color w:val="auto"/>
              </w:rPr>
              <w:t>Chief Legal Officer</w:t>
            </w:r>
          </w:p>
        </w:tc>
        <w:tc>
          <w:tcPr>
            <w:tcW w:w="780" w:type="dxa"/>
            <w:vAlign w:val="bottom"/>
          </w:tcPr>
          <w:p>
            <w:pPr>
              <w:spacing w:after="0"/>
              <w:rPr>
                <w:sz w:val="17"/>
                <w:szCs w:val="17"/>
                <w:color w:val="auto"/>
              </w:rPr>
            </w:pPr>
          </w:p>
        </w:tc>
        <w:tc>
          <w:tcPr>
            <w:tcW w:w="2240" w:type="dxa"/>
            <w:vAlign w:val="bottom"/>
            <w:shd w:val="clear" w:color="auto" w:fill="E6EBF1"/>
          </w:tcPr>
          <w:p>
            <w:pPr>
              <w:ind w:left="80"/>
              <w:spacing w:after="0"/>
              <w:rPr>
                <w:sz w:val="20"/>
                <w:szCs w:val="20"/>
                <w:color w:val="auto"/>
              </w:rPr>
            </w:pPr>
            <w:r>
              <w:rPr>
                <w:rFonts w:ascii="Arial" w:cs="Arial" w:eastAsia="Arial" w:hAnsi="Arial"/>
                <w:sz w:val="16"/>
                <w:szCs w:val="16"/>
                <w:color w:val="auto"/>
              </w:rPr>
              <w:t>Chief Technology Officer</w:t>
            </w:r>
          </w:p>
        </w:tc>
      </w:tr>
      <w:tr>
        <w:trPr>
          <w:trHeight w:val="180"/>
        </w:trPr>
        <w:tc>
          <w:tcPr>
            <w:tcW w:w="2260" w:type="dxa"/>
            <w:vAlign w:val="bottom"/>
            <w:shd w:val="clear" w:color="auto" w:fill="E6EBF1"/>
          </w:tcPr>
          <w:p>
            <w:pPr>
              <w:ind w:left="80"/>
              <w:spacing w:after="0" w:line="180" w:lineRule="exact"/>
              <w:rPr>
                <w:sz w:val="20"/>
                <w:szCs w:val="20"/>
                <w:color w:val="auto"/>
              </w:rPr>
            </w:pPr>
            <w:r>
              <w:rPr>
                <w:rFonts w:ascii="Arial" w:cs="Arial" w:eastAsia="Arial" w:hAnsi="Arial"/>
                <w:sz w:val="16"/>
                <w:szCs w:val="16"/>
                <w:color w:val="auto"/>
              </w:rPr>
              <w:t>Co-Head of Global</w:t>
            </w:r>
          </w:p>
        </w:tc>
        <w:tc>
          <w:tcPr>
            <w:tcW w:w="760" w:type="dxa"/>
            <w:vAlign w:val="bottom"/>
          </w:tcPr>
          <w:p>
            <w:pPr>
              <w:spacing w:after="0"/>
              <w:rPr>
                <w:sz w:val="15"/>
                <w:szCs w:val="15"/>
                <w:color w:val="auto"/>
              </w:rPr>
            </w:pPr>
          </w:p>
        </w:tc>
        <w:tc>
          <w:tcPr>
            <w:tcW w:w="2240" w:type="dxa"/>
            <w:vAlign w:val="bottom"/>
            <w:shd w:val="clear" w:color="auto" w:fill="E6EBF1"/>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shd w:val="clear" w:color="auto" w:fill="E6EBF1"/>
          </w:tcPr>
          <w:p>
            <w:pPr>
              <w:spacing w:after="0"/>
              <w:rPr>
                <w:sz w:val="15"/>
                <w:szCs w:val="15"/>
                <w:color w:val="auto"/>
              </w:rPr>
            </w:pPr>
          </w:p>
        </w:tc>
      </w:tr>
      <w:tr>
        <w:trPr>
          <w:trHeight w:val="180"/>
        </w:trPr>
        <w:tc>
          <w:tcPr>
            <w:tcW w:w="2260" w:type="dxa"/>
            <w:vAlign w:val="bottom"/>
            <w:shd w:val="clear" w:color="auto" w:fill="E6EBF1"/>
          </w:tcPr>
          <w:p>
            <w:pPr>
              <w:ind w:left="80"/>
              <w:spacing w:after="0" w:line="180" w:lineRule="exact"/>
              <w:rPr>
                <w:sz w:val="20"/>
                <w:szCs w:val="20"/>
                <w:color w:val="auto"/>
              </w:rPr>
            </w:pPr>
            <w:r>
              <w:rPr>
                <w:rFonts w:ascii="Arial" w:cs="Arial" w:eastAsia="Arial" w:hAnsi="Arial"/>
                <w:sz w:val="16"/>
                <w:szCs w:val="16"/>
                <w:color w:val="auto"/>
              </w:rPr>
              <w:t>Markets</w:t>
            </w:r>
          </w:p>
        </w:tc>
        <w:tc>
          <w:tcPr>
            <w:tcW w:w="760" w:type="dxa"/>
            <w:vAlign w:val="bottom"/>
          </w:tcPr>
          <w:p>
            <w:pPr>
              <w:spacing w:after="0"/>
              <w:rPr>
                <w:sz w:val="15"/>
                <w:szCs w:val="15"/>
                <w:color w:val="auto"/>
              </w:rPr>
            </w:pPr>
          </w:p>
        </w:tc>
        <w:tc>
          <w:tcPr>
            <w:tcW w:w="2240" w:type="dxa"/>
            <w:vAlign w:val="bottom"/>
            <w:shd w:val="clear" w:color="auto" w:fill="E6EBF1"/>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shd w:val="clear" w:color="auto" w:fill="E6EBF1"/>
          </w:tcPr>
          <w:p>
            <w:pPr>
              <w:spacing w:after="0"/>
              <w:rPr>
                <w:sz w:val="15"/>
                <w:szCs w:val="15"/>
                <w:color w:val="auto"/>
              </w:rPr>
            </w:pPr>
          </w:p>
        </w:tc>
      </w:tr>
      <w:tr>
        <w:trPr>
          <w:trHeight w:val="261"/>
        </w:trPr>
        <w:tc>
          <w:tcPr>
            <w:tcW w:w="2260" w:type="dxa"/>
            <w:vAlign w:val="bottom"/>
            <w:shd w:val="clear" w:color="auto" w:fill="E6EBF1"/>
          </w:tcPr>
          <w:p>
            <w:pPr>
              <w:spacing w:after="0"/>
              <w:rPr>
                <w:sz w:val="22"/>
                <w:szCs w:val="22"/>
                <w:color w:val="auto"/>
              </w:rPr>
            </w:pPr>
          </w:p>
        </w:tc>
        <w:tc>
          <w:tcPr>
            <w:tcW w:w="760" w:type="dxa"/>
            <w:vAlign w:val="bottom"/>
          </w:tcPr>
          <w:p>
            <w:pPr>
              <w:spacing w:after="0"/>
              <w:rPr>
                <w:sz w:val="22"/>
                <w:szCs w:val="22"/>
                <w:color w:val="auto"/>
              </w:rPr>
            </w:pPr>
          </w:p>
        </w:tc>
        <w:tc>
          <w:tcPr>
            <w:tcW w:w="2240" w:type="dxa"/>
            <w:vAlign w:val="bottom"/>
            <w:shd w:val="clear" w:color="auto" w:fill="E6EBF1"/>
          </w:tcPr>
          <w:p>
            <w:pPr>
              <w:spacing w:after="0"/>
              <w:rPr>
                <w:sz w:val="22"/>
                <w:szCs w:val="22"/>
                <w:color w:val="auto"/>
              </w:rPr>
            </w:pPr>
          </w:p>
        </w:tc>
        <w:tc>
          <w:tcPr>
            <w:tcW w:w="780" w:type="dxa"/>
            <w:vAlign w:val="bottom"/>
          </w:tcPr>
          <w:p>
            <w:pPr>
              <w:spacing w:after="0"/>
              <w:rPr>
                <w:sz w:val="22"/>
                <w:szCs w:val="22"/>
                <w:color w:val="auto"/>
              </w:rPr>
            </w:pPr>
          </w:p>
        </w:tc>
        <w:tc>
          <w:tcPr>
            <w:tcW w:w="2240" w:type="dxa"/>
            <w:vAlign w:val="bottom"/>
            <w:shd w:val="clear" w:color="auto" w:fill="E6EBF1"/>
          </w:tcPr>
          <w:p>
            <w:pPr>
              <w:spacing w:after="0"/>
              <w:rPr>
                <w:sz w:val="22"/>
                <w:szCs w:val="22"/>
                <w:color w:val="auto"/>
              </w:rPr>
            </w:pPr>
          </w:p>
        </w:tc>
      </w:tr>
      <w:tr>
        <w:trPr>
          <w:trHeight w:val="202"/>
        </w:trPr>
        <w:tc>
          <w:tcPr>
            <w:tcW w:w="2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55"/>
        </w:trPr>
        <w:tc>
          <w:tcPr>
            <w:tcW w:w="2260" w:type="dxa"/>
            <w:vAlign w:val="bottom"/>
            <w:shd w:val="clear" w:color="auto" w:fill="E6EBF1"/>
          </w:tcPr>
          <w:p>
            <w:pPr>
              <w:ind w:left="80"/>
              <w:spacing w:after="0"/>
              <w:rPr>
                <w:sz w:val="20"/>
                <w:szCs w:val="20"/>
                <w:color w:val="auto"/>
              </w:rPr>
            </w:pPr>
            <w:r>
              <w:rPr>
                <w:rFonts w:ascii="Arial" w:cs="Arial" w:eastAsia="Arial" w:hAnsi="Arial"/>
                <w:sz w:val="18"/>
                <w:szCs w:val="18"/>
                <w:color w:val="auto"/>
              </w:rPr>
              <w:t>ASHLEY SERRAO</w:t>
            </w:r>
          </w:p>
        </w:tc>
        <w:tc>
          <w:tcPr>
            <w:tcW w:w="7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05"/>
        </w:trPr>
        <w:tc>
          <w:tcPr>
            <w:tcW w:w="2260" w:type="dxa"/>
            <w:vAlign w:val="bottom"/>
            <w:shd w:val="clear" w:color="auto" w:fill="E6EBF1"/>
          </w:tcPr>
          <w:p>
            <w:pPr>
              <w:ind w:left="80"/>
              <w:spacing w:after="0"/>
              <w:rPr>
                <w:sz w:val="20"/>
                <w:szCs w:val="20"/>
                <w:color w:val="auto"/>
              </w:rPr>
            </w:pPr>
            <w:r>
              <w:rPr>
                <w:rFonts w:ascii="Arial" w:cs="Arial" w:eastAsia="Arial" w:hAnsi="Arial"/>
                <w:sz w:val="16"/>
                <w:szCs w:val="16"/>
                <w:color w:val="auto"/>
              </w:rPr>
              <w:t>Managing Director,</w:t>
            </w: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80"/>
        </w:trPr>
        <w:tc>
          <w:tcPr>
            <w:tcW w:w="2260" w:type="dxa"/>
            <w:vAlign w:val="bottom"/>
            <w:shd w:val="clear" w:color="auto" w:fill="E6EBF1"/>
          </w:tcPr>
          <w:p>
            <w:pPr>
              <w:ind w:left="80"/>
              <w:spacing w:after="0" w:line="180" w:lineRule="exact"/>
              <w:rPr>
                <w:sz w:val="20"/>
                <w:szCs w:val="20"/>
                <w:color w:val="auto"/>
              </w:rPr>
            </w:pPr>
            <w:r>
              <w:rPr>
                <w:rFonts w:ascii="Arial" w:cs="Arial" w:eastAsia="Arial" w:hAnsi="Arial"/>
                <w:sz w:val="16"/>
                <w:szCs w:val="16"/>
                <w:color w:val="auto"/>
              </w:rPr>
              <w:t>Head of Treasury, FP&amp;A</w:t>
            </w:r>
          </w:p>
        </w:tc>
        <w:tc>
          <w:tcPr>
            <w:tcW w:w="7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2260" w:type="dxa"/>
            <w:vAlign w:val="bottom"/>
            <w:shd w:val="clear" w:color="auto" w:fill="E6EBF1"/>
          </w:tcPr>
          <w:p>
            <w:pPr>
              <w:ind w:left="80"/>
              <w:spacing w:after="0" w:line="180" w:lineRule="exact"/>
              <w:rPr>
                <w:sz w:val="20"/>
                <w:szCs w:val="20"/>
                <w:color w:val="auto"/>
              </w:rPr>
            </w:pPr>
            <w:r>
              <w:rPr>
                <w:rFonts w:ascii="Arial" w:cs="Arial" w:eastAsia="Arial" w:hAnsi="Arial"/>
                <w:sz w:val="16"/>
                <w:szCs w:val="16"/>
                <w:color w:val="auto"/>
              </w:rPr>
              <w:t>and Investor Relations</w:t>
            </w:r>
          </w:p>
        </w:tc>
        <w:tc>
          <w:tcPr>
            <w:tcW w:w="7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61"/>
        </w:trPr>
        <w:tc>
          <w:tcPr>
            <w:tcW w:w="2260" w:type="dxa"/>
            <w:vAlign w:val="bottom"/>
            <w:shd w:val="clear" w:color="auto" w:fill="E6EBF1"/>
          </w:tcPr>
          <w:p>
            <w:pPr>
              <w:spacing w:after="0"/>
              <w:rPr>
                <w:sz w:val="22"/>
                <w:szCs w:val="22"/>
                <w:color w:val="auto"/>
              </w:rPr>
            </w:pPr>
          </w:p>
        </w:tc>
        <w:tc>
          <w:tcPr>
            <w:tcW w:w="7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-1499235</wp:posOffset>
            </wp:positionV>
            <wp:extent cx="685800" cy="1499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0" cy="149987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-1499235</wp:posOffset>
            </wp:positionV>
            <wp:extent cx="685800" cy="685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0" cy="68580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-1499235</wp:posOffset>
            </wp:positionV>
            <wp:extent cx="685800" cy="685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40"/>
          <w:szCs w:val="40"/>
          <w:color w:val="00002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-256540</wp:posOffset>
            </wp:positionV>
            <wp:extent cx="1179830" cy="230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79830" cy="23050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160020</wp:posOffset>
            </wp:positionV>
            <wp:extent cx="711200" cy="711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711200"/>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160020</wp:posOffset>
            </wp:positionV>
            <wp:extent cx="711200" cy="711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711200"/>
                    </a:xfrm>
                    <a:prstGeom prst="rect">
                      <a:avLst/>
                    </a:prstGeom>
                    <a:noFill/>
                  </pic:spPr>
                </pic:pic>
              </a:graphicData>
            </a:graphic>
          </wp:anchor>
        </w:drawing>
        <w:drawing>
          <wp:anchor simplePos="0" relativeHeight="251657728" behindDoc="1" locked="0" layoutInCell="0" allowOverlap="1">
            <wp:simplePos x="0" y="0"/>
            <wp:positionH relativeFrom="column">
              <wp:posOffset>1184910</wp:posOffset>
            </wp:positionH>
            <wp:positionV relativeFrom="paragraph">
              <wp:posOffset>160020</wp:posOffset>
            </wp:positionV>
            <wp:extent cx="711200" cy="711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200" cy="711200"/>
                    </a:xfrm>
                    <a:prstGeom prst="rect">
                      <a:avLst/>
                    </a:prstGeom>
                    <a:noFill/>
                  </pic:spPr>
                </pic:pic>
              </a:graphicData>
            </a:graphic>
          </wp:anchor>
        </w:drawing>
      </w:r>
    </w:p>
    <w:p>
      <w:pPr>
        <w:spacing w:after="0" w:line="252" w:lineRule="exact"/>
        <w:rPr>
          <w:sz w:val="20"/>
          <w:szCs w:val="20"/>
          <w:color w:val="auto"/>
        </w:rPr>
      </w:pPr>
    </w:p>
    <w:tbl>
      <w:tblPr>
        <w:tblLayout w:type="fixed"/>
        <w:tblInd w:w="180" w:type="dxa"/>
        <w:tblCellMar>
          <w:top w:w="0" w:type="dxa"/>
          <w:left w:w="0" w:type="dxa"/>
          <w:bottom w:w="0" w:type="dxa"/>
          <w:right w:w="0" w:type="dxa"/>
        </w:tblCellMar>
      </w:tblPr>
      <w:tr>
        <w:trPr>
          <w:trHeight w:val="255"/>
        </w:trPr>
        <w:tc>
          <w:tcPr>
            <w:tcW w:w="2260" w:type="dxa"/>
            <w:vAlign w:val="bottom"/>
            <w:shd w:val="clear" w:color="auto" w:fill="EAE8EC"/>
          </w:tcPr>
          <w:p>
            <w:pPr>
              <w:ind w:left="80"/>
              <w:spacing w:after="0"/>
              <w:rPr>
                <w:sz w:val="20"/>
                <w:szCs w:val="20"/>
                <w:color w:val="auto"/>
              </w:rPr>
            </w:pPr>
            <w:r>
              <w:rPr>
                <w:rFonts w:ascii="Arial" w:cs="Arial" w:eastAsia="Arial" w:hAnsi="Arial"/>
                <w:sz w:val="18"/>
                <w:szCs w:val="18"/>
                <w:color w:val="auto"/>
              </w:rPr>
              <w:t>JACQUES AIGRAIN</w:t>
            </w:r>
          </w:p>
        </w:tc>
        <w:tc>
          <w:tcPr>
            <w:tcW w:w="760" w:type="dxa"/>
            <w:vAlign w:val="bottom"/>
          </w:tcPr>
          <w:p>
            <w:pPr>
              <w:spacing w:after="0"/>
              <w:rPr>
                <w:sz w:val="22"/>
                <w:szCs w:val="22"/>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8"/>
                <w:szCs w:val="18"/>
                <w:color w:val="auto"/>
              </w:rPr>
              <w:t>BALBIR BAKHSHI</w:t>
            </w:r>
          </w:p>
        </w:tc>
        <w:tc>
          <w:tcPr>
            <w:tcW w:w="780" w:type="dxa"/>
            <w:vAlign w:val="bottom"/>
          </w:tcPr>
          <w:p>
            <w:pPr>
              <w:spacing w:after="0"/>
              <w:rPr>
                <w:sz w:val="22"/>
                <w:szCs w:val="22"/>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8"/>
                <w:szCs w:val="18"/>
                <w:color w:val="auto"/>
              </w:rPr>
              <w:t>STEVEN BERNS</w:t>
            </w:r>
          </w:p>
        </w:tc>
      </w:tr>
      <w:tr>
        <w:trPr>
          <w:trHeight w:val="205"/>
        </w:trPr>
        <w:tc>
          <w:tcPr>
            <w:tcW w:w="2260" w:type="dxa"/>
            <w:vAlign w:val="bottom"/>
            <w:shd w:val="clear" w:color="auto" w:fill="EAE8EC"/>
          </w:tcPr>
          <w:p>
            <w:pPr>
              <w:ind w:left="80"/>
              <w:spacing w:after="0"/>
              <w:rPr>
                <w:sz w:val="20"/>
                <w:szCs w:val="20"/>
                <w:color w:val="auto"/>
              </w:rPr>
            </w:pPr>
            <w:r>
              <w:rPr>
                <w:rFonts w:ascii="Arial" w:cs="Arial" w:eastAsia="Arial" w:hAnsi="Arial"/>
                <w:sz w:val="16"/>
                <w:szCs w:val="16"/>
                <w:color w:val="auto"/>
              </w:rPr>
              <w:t>Chairman of the Board,</w:t>
            </w:r>
          </w:p>
        </w:tc>
        <w:tc>
          <w:tcPr>
            <w:tcW w:w="760" w:type="dxa"/>
            <w:vAlign w:val="bottom"/>
          </w:tcPr>
          <w:p>
            <w:pPr>
              <w:spacing w:after="0"/>
              <w:rPr>
                <w:sz w:val="17"/>
                <w:szCs w:val="17"/>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6"/>
                <w:szCs w:val="16"/>
                <w:color w:val="auto"/>
              </w:rPr>
              <w:t>Chief Risk Officer,</w:t>
            </w:r>
          </w:p>
        </w:tc>
        <w:tc>
          <w:tcPr>
            <w:tcW w:w="780" w:type="dxa"/>
            <w:vAlign w:val="bottom"/>
          </w:tcPr>
          <w:p>
            <w:pPr>
              <w:spacing w:after="0"/>
              <w:rPr>
                <w:sz w:val="17"/>
                <w:szCs w:val="17"/>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6"/>
                <w:szCs w:val="16"/>
                <w:color w:val="auto"/>
              </w:rPr>
              <w:t>Chief Financial Officer,</w:t>
            </w:r>
          </w:p>
        </w:tc>
      </w:tr>
      <w:tr>
        <w:trPr>
          <w:trHeight w:val="180"/>
        </w:trPr>
        <w:tc>
          <w:tcPr>
            <w:tcW w:w="226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Tradeweb Markets</w:t>
            </w:r>
          </w:p>
        </w:tc>
        <w:tc>
          <w:tcPr>
            <w:tcW w:w="760" w:type="dxa"/>
            <w:vAlign w:val="bottom"/>
          </w:tcPr>
          <w:p>
            <w:pPr>
              <w:spacing w:after="0"/>
              <w:rPr>
                <w:sz w:val="15"/>
                <w:szCs w:val="15"/>
                <w:color w:val="auto"/>
              </w:rPr>
            </w:pPr>
          </w:p>
        </w:tc>
        <w:tc>
          <w:tcPr>
            <w:tcW w:w="224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London Stock Exchange</w:t>
            </w:r>
          </w:p>
        </w:tc>
        <w:tc>
          <w:tcPr>
            <w:tcW w:w="780" w:type="dxa"/>
            <w:vAlign w:val="bottom"/>
          </w:tcPr>
          <w:p>
            <w:pPr>
              <w:spacing w:after="0"/>
              <w:rPr>
                <w:sz w:val="15"/>
                <w:szCs w:val="15"/>
                <w:color w:val="auto"/>
              </w:rPr>
            </w:pPr>
          </w:p>
        </w:tc>
        <w:tc>
          <w:tcPr>
            <w:tcW w:w="224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Access Fintech</w:t>
            </w:r>
          </w:p>
        </w:tc>
      </w:tr>
      <w:tr>
        <w:trPr>
          <w:trHeight w:val="180"/>
        </w:trPr>
        <w:tc>
          <w:tcPr>
            <w:tcW w:w="2260" w:type="dxa"/>
            <w:vAlign w:val="bottom"/>
            <w:shd w:val="clear" w:color="auto" w:fill="EAE8EC"/>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Group plc (LSEG)</w:t>
            </w:r>
          </w:p>
        </w:tc>
        <w:tc>
          <w:tcPr>
            <w:tcW w:w="780" w:type="dxa"/>
            <w:vAlign w:val="bottom"/>
          </w:tcPr>
          <w:p>
            <w:pPr>
              <w:spacing w:after="0"/>
              <w:rPr>
                <w:sz w:val="15"/>
                <w:szCs w:val="15"/>
                <w:color w:val="auto"/>
              </w:rPr>
            </w:pPr>
          </w:p>
        </w:tc>
        <w:tc>
          <w:tcPr>
            <w:tcW w:w="2240" w:type="dxa"/>
            <w:vAlign w:val="bottom"/>
            <w:shd w:val="clear" w:color="auto" w:fill="EAE8EC"/>
          </w:tcPr>
          <w:p>
            <w:pPr>
              <w:spacing w:after="0"/>
              <w:rPr>
                <w:sz w:val="15"/>
                <w:szCs w:val="15"/>
                <w:color w:val="auto"/>
              </w:rPr>
            </w:pPr>
          </w:p>
        </w:tc>
      </w:tr>
      <w:tr>
        <w:trPr>
          <w:trHeight w:val="261"/>
        </w:trPr>
        <w:tc>
          <w:tcPr>
            <w:tcW w:w="2260" w:type="dxa"/>
            <w:vAlign w:val="bottom"/>
            <w:shd w:val="clear" w:color="auto" w:fill="EAE8EC"/>
          </w:tcPr>
          <w:p>
            <w:pPr>
              <w:spacing w:after="0"/>
              <w:rPr>
                <w:sz w:val="22"/>
                <w:szCs w:val="22"/>
                <w:color w:val="auto"/>
              </w:rPr>
            </w:pPr>
          </w:p>
        </w:tc>
        <w:tc>
          <w:tcPr>
            <w:tcW w:w="760" w:type="dxa"/>
            <w:vAlign w:val="bottom"/>
          </w:tcPr>
          <w:p>
            <w:pPr>
              <w:spacing w:after="0"/>
              <w:rPr>
                <w:sz w:val="22"/>
                <w:szCs w:val="22"/>
                <w:color w:val="auto"/>
              </w:rPr>
            </w:pPr>
          </w:p>
        </w:tc>
        <w:tc>
          <w:tcPr>
            <w:tcW w:w="2240" w:type="dxa"/>
            <w:vAlign w:val="bottom"/>
            <w:shd w:val="clear" w:color="auto" w:fill="EAE8EC"/>
          </w:tcPr>
          <w:p>
            <w:pPr>
              <w:spacing w:after="0"/>
              <w:rPr>
                <w:sz w:val="22"/>
                <w:szCs w:val="22"/>
                <w:color w:val="auto"/>
              </w:rPr>
            </w:pPr>
          </w:p>
        </w:tc>
        <w:tc>
          <w:tcPr>
            <w:tcW w:w="780" w:type="dxa"/>
            <w:vAlign w:val="bottom"/>
          </w:tcPr>
          <w:p>
            <w:pPr>
              <w:spacing w:after="0"/>
              <w:rPr>
                <w:sz w:val="22"/>
                <w:szCs w:val="22"/>
                <w:color w:val="auto"/>
              </w:rPr>
            </w:pPr>
          </w:p>
        </w:tc>
        <w:tc>
          <w:tcPr>
            <w:tcW w:w="2240" w:type="dxa"/>
            <w:vAlign w:val="bottom"/>
            <w:shd w:val="clear" w:color="auto" w:fill="EAE8EC"/>
          </w:tcPr>
          <w:p>
            <w:pPr>
              <w:spacing w:after="0"/>
              <w:rPr>
                <w:sz w:val="22"/>
                <w:szCs w:val="22"/>
                <w:color w:val="auto"/>
              </w:rPr>
            </w:pPr>
          </w:p>
        </w:tc>
      </w:tr>
      <w:tr>
        <w:trPr>
          <w:trHeight w:val="204"/>
        </w:trPr>
        <w:tc>
          <w:tcPr>
            <w:tcW w:w="2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48"/>
        </w:trPr>
        <w:tc>
          <w:tcPr>
            <w:tcW w:w="2260" w:type="dxa"/>
            <w:vAlign w:val="bottom"/>
            <w:shd w:val="clear" w:color="auto" w:fill="EAE8EC"/>
          </w:tcPr>
          <w:p>
            <w:pPr>
              <w:ind w:left="80"/>
              <w:spacing w:after="0"/>
              <w:rPr>
                <w:sz w:val="20"/>
                <w:szCs w:val="20"/>
                <w:color w:val="auto"/>
              </w:rPr>
            </w:pPr>
            <w:r>
              <w:rPr>
                <w:rFonts w:ascii="Arial" w:cs="Arial" w:eastAsia="Arial" w:hAnsi="Arial"/>
                <w:sz w:val="18"/>
                <w:szCs w:val="18"/>
                <w:color w:val="auto"/>
              </w:rPr>
              <w:t>SCOTT C. GANELES</w:t>
            </w:r>
          </w:p>
        </w:tc>
        <w:tc>
          <w:tcPr>
            <w:tcW w:w="760" w:type="dxa"/>
            <w:vAlign w:val="bottom"/>
          </w:tcPr>
          <w:p>
            <w:pPr>
              <w:spacing w:after="0"/>
              <w:rPr>
                <w:sz w:val="21"/>
                <w:szCs w:val="21"/>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8"/>
                <w:szCs w:val="18"/>
                <w:color w:val="auto"/>
              </w:rPr>
              <w:t>BILLY HULT</w:t>
            </w:r>
          </w:p>
        </w:tc>
        <w:tc>
          <w:tcPr>
            <w:tcW w:w="780" w:type="dxa"/>
            <w:vAlign w:val="bottom"/>
          </w:tcPr>
          <w:p>
            <w:pPr>
              <w:spacing w:after="0"/>
              <w:rPr>
                <w:sz w:val="21"/>
                <w:szCs w:val="21"/>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8"/>
                <w:szCs w:val="18"/>
                <w:color w:val="auto"/>
              </w:rPr>
              <w:t>CATHERINE</w:t>
            </w:r>
          </w:p>
        </w:tc>
      </w:tr>
      <w:tr>
        <w:trPr>
          <w:trHeight w:val="212"/>
        </w:trPr>
        <w:tc>
          <w:tcPr>
            <w:tcW w:w="2260" w:type="dxa"/>
            <w:vAlign w:val="bottom"/>
            <w:shd w:val="clear" w:color="auto" w:fill="EAE8EC"/>
          </w:tcPr>
          <w:p>
            <w:pPr>
              <w:ind w:left="80"/>
              <w:spacing w:after="0"/>
              <w:rPr>
                <w:sz w:val="20"/>
                <w:szCs w:val="20"/>
                <w:color w:val="auto"/>
              </w:rPr>
            </w:pPr>
            <w:r>
              <w:rPr>
                <w:rFonts w:ascii="Arial" w:cs="Arial" w:eastAsia="Arial" w:hAnsi="Arial"/>
                <w:sz w:val="16"/>
                <w:szCs w:val="16"/>
                <w:color w:val="auto"/>
              </w:rPr>
              <w:t>Chief Executive Officer,</w:t>
            </w:r>
          </w:p>
        </w:tc>
        <w:tc>
          <w:tcPr>
            <w:tcW w:w="760" w:type="dxa"/>
            <w:vAlign w:val="bottom"/>
          </w:tcPr>
          <w:p>
            <w:pPr>
              <w:spacing w:after="0"/>
              <w:rPr>
                <w:sz w:val="18"/>
                <w:szCs w:val="18"/>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6"/>
                <w:szCs w:val="16"/>
                <w:color w:val="auto"/>
              </w:rPr>
              <w:t>Chief Executive Officer,</w:t>
            </w:r>
          </w:p>
        </w:tc>
        <w:tc>
          <w:tcPr>
            <w:tcW w:w="780" w:type="dxa"/>
            <w:vAlign w:val="bottom"/>
          </w:tcPr>
          <w:p>
            <w:pPr>
              <w:spacing w:after="0"/>
              <w:rPr>
                <w:sz w:val="18"/>
                <w:szCs w:val="18"/>
                <w:color w:val="auto"/>
              </w:rPr>
            </w:pPr>
          </w:p>
        </w:tc>
        <w:tc>
          <w:tcPr>
            <w:tcW w:w="2240" w:type="dxa"/>
            <w:vAlign w:val="bottom"/>
            <w:shd w:val="clear" w:color="auto" w:fill="EAE8EC"/>
          </w:tcPr>
          <w:p>
            <w:pPr>
              <w:ind w:left="80"/>
              <w:spacing w:after="0" w:line="187" w:lineRule="exact"/>
              <w:rPr>
                <w:sz w:val="20"/>
                <w:szCs w:val="20"/>
                <w:color w:val="auto"/>
              </w:rPr>
            </w:pPr>
            <w:r>
              <w:rPr>
                <w:rFonts w:ascii="Arial" w:cs="Arial" w:eastAsia="Arial" w:hAnsi="Arial"/>
                <w:sz w:val="18"/>
                <w:szCs w:val="18"/>
                <w:color w:val="auto"/>
              </w:rPr>
              <w:t>JOHNSON</w:t>
            </w:r>
          </w:p>
        </w:tc>
      </w:tr>
      <w:tr>
        <w:trPr>
          <w:trHeight w:val="180"/>
        </w:trPr>
        <w:tc>
          <w:tcPr>
            <w:tcW w:w="226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iAltA</w:t>
            </w:r>
          </w:p>
        </w:tc>
        <w:tc>
          <w:tcPr>
            <w:tcW w:w="760" w:type="dxa"/>
            <w:vAlign w:val="bottom"/>
          </w:tcPr>
          <w:p>
            <w:pPr>
              <w:spacing w:after="0"/>
              <w:rPr>
                <w:sz w:val="15"/>
                <w:szCs w:val="15"/>
                <w:color w:val="auto"/>
              </w:rPr>
            </w:pPr>
          </w:p>
        </w:tc>
        <w:tc>
          <w:tcPr>
            <w:tcW w:w="224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Tradeweb Markets</w:t>
            </w:r>
          </w:p>
        </w:tc>
        <w:tc>
          <w:tcPr>
            <w:tcW w:w="780" w:type="dxa"/>
            <w:vAlign w:val="bottom"/>
          </w:tcPr>
          <w:p>
            <w:pPr>
              <w:spacing w:after="0"/>
              <w:rPr>
                <w:sz w:val="15"/>
                <w:szCs w:val="15"/>
                <w:color w:val="auto"/>
              </w:rPr>
            </w:pPr>
          </w:p>
        </w:tc>
        <w:tc>
          <w:tcPr>
            <w:tcW w:w="224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Group General Counsel,</w:t>
            </w:r>
          </w:p>
        </w:tc>
      </w:tr>
      <w:tr>
        <w:trPr>
          <w:trHeight w:val="180"/>
        </w:trPr>
        <w:tc>
          <w:tcPr>
            <w:tcW w:w="2260" w:type="dxa"/>
            <w:vAlign w:val="bottom"/>
            <w:shd w:val="clear" w:color="auto" w:fill="EAE8EC"/>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shd w:val="clear" w:color="auto" w:fill="EAE8EC"/>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LSEG</w:t>
            </w:r>
          </w:p>
        </w:tc>
      </w:tr>
      <w:tr>
        <w:trPr>
          <w:trHeight w:val="261"/>
        </w:trPr>
        <w:tc>
          <w:tcPr>
            <w:tcW w:w="2260" w:type="dxa"/>
            <w:vAlign w:val="bottom"/>
            <w:shd w:val="clear" w:color="auto" w:fill="EAE8EC"/>
          </w:tcPr>
          <w:p>
            <w:pPr>
              <w:spacing w:after="0"/>
              <w:rPr>
                <w:sz w:val="22"/>
                <w:szCs w:val="22"/>
                <w:color w:val="auto"/>
              </w:rPr>
            </w:pPr>
          </w:p>
        </w:tc>
        <w:tc>
          <w:tcPr>
            <w:tcW w:w="760" w:type="dxa"/>
            <w:vAlign w:val="bottom"/>
          </w:tcPr>
          <w:p>
            <w:pPr>
              <w:spacing w:after="0"/>
              <w:rPr>
                <w:sz w:val="22"/>
                <w:szCs w:val="22"/>
                <w:color w:val="auto"/>
              </w:rPr>
            </w:pPr>
          </w:p>
        </w:tc>
        <w:tc>
          <w:tcPr>
            <w:tcW w:w="2240" w:type="dxa"/>
            <w:vAlign w:val="bottom"/>
            <w:shd w:val="clear" w:color="auto" w:fill="EAE8EC"/>
          </w:tcPr>
          <w:p>
            <w:pPr>
              <w:spacing w:after="0"/>
              <w:rPr>
                <w:sz w:val="22"/>
                <w:szCs w:val="22"/>
                <w:color w:val="auto"/>
              </w:rPr>
            </w:pPr>
          </w:p>
        </w:tc>
        <w:tc>
          <w:tcPr>
            <w:tcW w:w="780" w:type="dxa"/>
            <w:vAlign w:val="bottom"/>
          </w:tcPr>
          <w:p>
            <w:pPr>
              <w:spacing w:after="0"/>
              <w:rPr>
                <w:sz w:val="22"/>
                <w:szCs w:val="22"/>
                <w:color w:val="auto"/>
              </w:rPr>
            </w:pPr>
          </w:p>
        </w:tc>
        <w:tc>
          <w:tcPr>
            <w:tcW w:w="2240" w:type="dxa"/>
            <w:vAlign w:val="bottom"/>
            <w:shd w:val="clear" w:color="auto" w:fill="EAE8EC"/>
          </w:tcPr>
          <w:p>
            <w:pPr>
              <w:spacing w:after="0"/>
              <w:rPr>
                <w:sz w:val="22"/>
                <w:szCs w:val="22"/>
                <w:color w:val="auto"/>
              </w:rPr>
            </w:pPr>
          </w:p>
        </w:tc>
      </w:tr>
      <w:tr>
        <w:trPr>
          <w:trHeight w:val="198"/>
        </w:trPr>
        <w:tc>
          <w:tcPr>
            <w:tcW w:w="2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55"/>
        </w:trPr>
        <w:tc>
          <w:tcPr>
            <w:tcW w:w="2260" w:type="dxa"/>
            <w:vAlign w:val="bottom"/>
            <w:shd w:val="clear" w:color="auto" w:fill="EAE8EC"/>
          </w:tcPr>
          <w:p>
            <w:pPr>
              <w:ind w:left="80"/>
              <w:spacing w:after="0"/>
              <w:rPr>
                <w:sz w:val="20"/>
                <w:szCs w:val="20"/>
                <w:color w:val="auto"/>
              </w:rPr>
            </w:pPr>
            <w:r>
              <w:rPr>
                <w:rFonts w:ascii="Arial" w:cs="Arial" w:eastAsia="Arial" w:hAnsi="Arial"/>
                <w:sz w:val="18"/>
                <w:szCs w:val="18"/>
                <w:color w:val="auto"/>
              </w:rPr>
              <w:t>PAULA B. MADOFF</w:t>
            </w:r>
          </w:p>
        </w:tc>
        <w:tc>
          <w:tcPr>
            <w:tcW w:w="760" w:type="dxa"/>
            <w:vAlign w:val="bottom"/>
          </w:tcPr>
          <w:p>
            <w:pPr>
              <w:spacing w:after="0"/>
              <w:rPr>
                <w:sz w:val="22"/>
                <w:szCs w:val="22"/>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8"/>
                <w:szCs w:val="18"/>
                <w:color w:val="auto"/>
              </w:rPr>
              <w:t>DANIEL MAGUIRE</w:t>
            </w:r>
          </w:p>
        </w:tc>
        <w:tc>
          <w:tcPr>
            <w:tcW w:w="780" w:type="dxa"/>
            <w:vAlign w:val="bottom"/>
          </w:tcPr>
          <w:p>
            <w:pPr>
              <w:spacing w:after="0"/>
              <w:rPr>
                <w:sz w:val="22"/>
                <w:szCs w:val="22"/>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8"/>
                <w:szCs w:val="18"/>
                <w:color w:val="auto"/>
              </w:rPr>
              <w:t>LISA OPOKU</w:t>
            </w:r>
          </w:p>
        </w:tc>
      </w:tr>
      <w:tr>
        <w:trPr>
          <w:trHeight w:val="205"/>
        </w:trPr>
        <w:tc>
          <w:tcPr>
            <w:tcW w:w="2260" w:type="dxa"/>
            <w:vAlign w:val="bottom"/>
            <w:shd w:val="clear" w:color="auto" w:fill="EAE8EC"/>
          </w:tcPr>
          <w:p>
            <w:pPr>
              <w:ind w:left="80"/>
              <w:spacing w:after="0"/>
              <w:rPr>
                <w:sz w:val="20"/>
                <w:szCs w:val="20"/>
                <w:color w:val="auto"/>
              </w:rPr>
            </w:pPr>
            <w:r>
              <w:rPr>
                <w:rFonts w:ascii="Arial" w:cs="Arial" w:eastAsia="Arial" w:hAnsi="Arial"/>
                <w:sz w:val="16"/>
                <w:szCs w:val="16"/>
                <w:color w:val="auto"/>
              </w:rPr>
              <w:t>Lead Independent</w:t>
            </w:r>
          </w:p>
        </w:tc>
        <w:tc>
          <w:tcPr>
            <w:tcW w:w="760" w:type="dxa"/>
            <w:vAlign w:val="bottom"/>
          </w:tcPr>
          <w:p>
            <w:pPr>
              <w:spacing w:after="0"/>
              <w:rPr>
                <w:sz w:val="17"/>
                <w:szCs w:val="17"/>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6"/>
                <w:szCs w:val="16"/>
                <w:color w:val="auto"/>
              </w:rPr>
              <w:t>Group Head, LSEG</w:t>
            </w:r>
          </w:p>
        </w:tc>
        <w:tc>
          <w:tcPr>
            <w:tcW w:w="780" w:type="dxa"/>
            <w:vAlign w:val="bottom"/>
          </w:tcPr>
          <w:p>
            <w:pPr>
              <w:spacing w:after="0"/>
              <w:rPr>
                <w:sz w:val="17"/>
                <w:szCs w:val="17"/>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6"/>
                <w:szCs w:val="16"/>
                <w:color w:val="auto"/>
              </w:rPr>
              <w:t>Chief Operating Officer,</w:t>
            </w:r>
          </w:p>
        </w:tc>
      </w:tr>
      <w:tr>
        <w:trPr>
          <w:trHeight w:val="180"/>
        </w:trPr>
        <w:tc>
          <w:tcPr>
            <w:tcW w:w="226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Director, Tradeweb</w:t>
            </w:r>
          </w:p>
        </w:tc>
        <w:tc>
          <w:tcPr>
            <w:tcW w:w="760" w:type="dxa"/>
            <w:vAlign w:val="bottom"/>
          </w:tcPr>
          <w:p>
            <w:pPr>
              <w:spacing w:after="0"/>
              <w:rPr>
                <w:sz w:val="15"/>
                <w:szCs w:val="15"/>
                <w:color w:val="auto"/>
              </w:rPr>
            </w:pPr>
          </w:p>
        </w:tc>
        <w:tc>
          <w:tcPr>
            <w:tcW w:w="224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Markets | Chief Executive</w:t>
            </w:r>
          </w:p>
        </w:tc>
        <w:tc>
          <w:tcPr>
            <w:tcW w:w="780" w:type="dxa"/>
            <w:vAlign w:val="bottom"/>
          </w:tcPr>
          <w:p>
            <w:pPr>
              <w:spacing w:after="0"/>
              <w:rPr>
                <w:sz w:val="15"/>
                <w:szCs w:val="15"/>
                <w:color w:val="auto"/>
              </w:rPr>
            </w:pPr>
          </w:p>
        </w:tc>
        <w:tc>
          <w:tcPr>
            <w:tcW w:w="224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Future Standard</w:t>
            </w:r>
          </w:p>
        </w:tc>
      </w:tr>
      <w:tr>
        <w:trPr>
          <w:trHeight w:val="180"/>
        </w:trPr>
        <w:tc>
          <w:tcPr>
            <w:tcW w:w="226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Markets | Advisor, The</w:t>
            </w:r>
          </w:p>
        </w:tc>
        <w:tc>
          <w:tcPr>
            <w:tcW w:w="760" w:type="dxa"/>
            <w:vAlign w:val="bottom"/>
          </w:tcPr>
          <w:p>
            <w:pPr>
              <w:spacing w:after="0"/>
              <w:rPr>
                <w:sz w:val="15"/>
                <w:szCs w:val="15"/>
                <w:color w:val="auto"/>
              </w:rPr>
            </w:pPr>
          </w:p>
        </w:tc>
        <w:tc>
          <w:tcPr>
            <w:tcW w:w="224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Officer, LCH Group</w:t>
            </w:r>
          </w:p>
        </w:tc>
        <w:tc>
          <w:tcPr>
            <w:tcW w:w="780" w:type="dxa"/>
            <w:vAlign w:val="bottom"/>
          </w:tcPr>
          <w:p>
            <w:pPr>
              <w:spacing w:after="0"/>
              <w:rPr>
                <w:sz w:val="15"/>
                <w:szCs w:val="15"/>
                <w:color w:val="auto"/>
              </w:rPr>
            </w:pPr>
          </w:p>
        </w:tc>
        <w:tc>
          <w:tcPr>
            <w:tcW w:w="2240" w:type="dxa"/>
            <w:vAlign w:val="bottom"/>
            <w:shd w:val="clear" w:color="auto" w:fill="EAE8EC"/>
          </w:tcPr>
          <w:p>
            <w:pPr>
              <w:spacing w:after="0"/>
              <w:rPr>
                <w:sz w:val="15"/>
                <w:szCs w:val="15"/>
                <w:color w:val="auto"/>
              </w:rPr>
            </w:pPr>
          </w:p>
        </w:tc>
      </w:tr>
      <w:tr>
        <w:trPr>
          <w:trHeight w:val="180"/>
        </w:trPr>
        <w:tc>
          <w:tcPr>
            <w:tcW w:w="226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Goldman Sachs Group, Inc.</w:t>
            </w:r>
          </w:p>
        </w:tc>
        <w:tc>
          <w:tcPr>
            <w:tcW w:w="760" w:type="dxa"/>
            <w:vAlign w:val="bottom"/>
          </w:tcPr>
          <w:p>
            <w:pPr>
              <w:spacing w:after="0"/>
              <w:rPr>
                <w:sz w:val="15"/>
                <w:szCs w:val="15"/>
                <w:color w:val="auto"/>
              </w:rPr>
            </w:pPr>
          </w:p>
        </w:tc>
        <w:tc>
          <w:tcPr>
            <w:tcW w:w="2240" w:type="dxa"/>
            <w:vAlign w:val="bottom"/>
            <w:shd w:val="clear" w:color="auto" w:fill="EAE8EC"/>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shd w:val="clear" w:color="auto" w:fill="EAE8EC"/>
          </w:tcPr>
          <w:p>
            <w:pPr>
              <w:spacing w:after="0"/>
              <w:rPr>
                <w:sz w:val="15"/>
                <w:szCs w:val="15"/>
                <w:color w:val="auto"/>
              </w:rPr>
            </w:pPr>
          </w:p>
        </w:tc>
      </w:tr>
      <w:tr>
        <w:trPr>
          <w:trHeight w:val="81"/>
        </w:trPr>
        <w:tc>
          <w:tcPr>
            <w:tcW w:w="2260" w:type="dxa"/>
            <w:vAlign w:val="bottom"/>
            <w:shd w:val="clear" w:color="auto" w:fill="EAE8EC"/>
          </w:tcPr>
          <w:p>
            <w:pPr>
              <w:spacing w:after="0"/>
              <w:rPr>
                <w:sz w:val="7"/>
                <w:szCs w:val="7"/>
                <w:color w:val="auto"/>
              </w:rPr>
            </w:pPr>
          </w:p>
        </w:tc>
        <w:tc>
          <w:tcPr>
            <w:tcW w:w="760" w:type="dxa"/>
            <w:vAlign w:val="bottom"/>
          </w:tcPr>
          <w:p>
            <w:pPr>
              <w:spacing w:after="0"/>
              <w:rPr>
                <w:sz w:val="7"/>
                <w:szCs w:val="7"/>
                <w:color w:val="auto"/>
              </w:rPr>
            </w:pPr>
          </w:p>
        </w:tc>
        <w:tc>
          <w:tcPr>
            <w:tcW w:w="2240" w:type="dxa"/>
            <w:vAlign w:val="bottom"/>
            <w:shd w:val="clear" w:color="auto" w:fill="EAE8EC"/>
          </w:tcPr>
          <w:p>
            <w:pPr>
              <w:spacing w:after="0"/>
              <w:rPr>
                <w:sz w:val="7"/>
                <w:szCs w:val="7"/>
                <w:color w:val="auto"/>
              </w:rPr>
            </w:pPr>
          </w:p>
        </w:tc>
        <w:tc>
          <w:tcPr>
            <w:tcW w:w="780" w:type="dxa"/>
            <w:vAlign w:val="bottom"/>
          </w:tcPr>
          <w:p>
            <w:pPr>
              <w:spacing w:after="0"/>
              <w:rPr>
                <w:sz w:val="7"/>
                <w:szCs w:val="7"/>
                <w:color w:val="auto"/>
              </w:rPr>
            </w:pPr>
          </w:p>
        </w:tc>
        <w:tc>
          <w:tcPr>
            <w:tcW w:w="2240" w:type="dxa"/>
            <w:vAlign w:val="bottom"/>
            <w:shd w:val="clear" w:color="auto" w:fill="EAE8EC"/>
          </w:tcPr>
          <w:p>
            <w:pPr>
              <w:spacing w:after="0"/>
              <w:rPr>
                <w:sz w:val="7"/>
                <w:szCs w:val="7"/>
                <w:color w:val="auto"/>
              </w:rPr>
            </w:pPr>
          </w:p>
        </w:tc>
      </w:tr>
      <w:tr>
        <w:trPr>
          <w:trHeight w:val="202"/>
        </w:trPr>
        <w:tc>
          <w:tcPr>
            <w:tcW w:w="2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55"/>
        </w:trPr>
        <w:tc>
          <w:tcPr>
            <w:tcW w:w="2260" w:type="dxa"/>
            <w:vAlign w:val="bottom"/>
            <w:shd w:val="clear" w:color="auto" w:fill="EAE8EC"/>
          </w:tcPr>
          <w:p>
            <w:pPr>
              <w:ind w:left="80"/>
              <w:spacing w:after="0"/>
              <w:rPr>
                <w:sz w:val="20"/>
                <w:szCs w:val="20"/>
                <w:color w:val="auto"/>
              </w:rPr>
            </w:pPr>
            <w:r>
              <w:rPr>
                <w:rFonts w:ascii="Arial" w:cs="Arial" w:eastAsia="Arial" w:hAnsi="Arial"/>
                <w:sz w:val="18"/>
                <w:szCs w:val="18"/>
                <w:color w:val="auto"/>
              </w:rPr>
              <w:t>RICH REPETTO</w:t>
            </w:r>
          </w:p>
        </w:tc>
        <w:tc>
          <w:tcPr>
            <w:tcW w:w="760" w:type="dxa"/>
            <w:vAlign w:val="bottom"/>
          </w:tcPr>
          <w:p>
            <w:pPr>
              <w:spacing w:after="0"/>
              <w:rPr>
                <w:sz w:val="22"/>
                <w:szCs w:val="22"/>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8"/>
                <w:szCs w:val="18"/>
                <w:color w:val="auto"/>
              </w:rPr>
              <w:t>RANA YARED</w:t>
            </w:r>
          </w:p>
        </w:tc>
        <w:tc>
          <w:tcPr>
            <w:tcW w:w="7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05"/>
        </w:trPr>
        <w:tc>
          <w:tcPr>
            <w:tcW w:w="2260" w:type="dxa"/>
            <w:vAlign w:val="bottom"/>
            <w:shd w:val="clear" w:color="auto" w:fill="EAE8EC"/>
          </w:tcPr>
          <w:p>
            <w:pPr>
              <w:ind w:left="80"/>
              <w:spacing w:after="0"/>
              <w:rPr>
                <w:sz w:val="20"/>
                <w:szCs w:val="20"/>
                <w:color w:val="auto"/>
              </w:rPr>
            </w:pPr>
            <w:r>
              <w:rPr>
                <w:rFonts w:ascii="Arial" w:cs="Arial" w:eastAsia="Arial" w:hAnsi="Arial"/>
                <w:sz w:val="16"/>
                <w:szCs w:val="16"/>
                <w:color w:val="auto"/>
              </w:rPr>
              <w:t>Former Managing</w:t>
            </w:r>
          </w:p>
        </w:tc>
        <w:tc>
          <w:tcPr>
            <w:tcW w:w="760" w:type="dxa"/>
            <w:vAlign w:val="bottom"/>
          </w:tcPr>
          <w:p>
            <w:pPr>
              <w:spacing w:after="0"/>
              <w:rPr>
                <w:sz w:val="17"/>
                <w:szCs w:val="17"/>
                <w:color w:val="auto"/>
              </w:rPr>
            </w:pPr>
          </w:p>
        </w:tc>
        <w:tc>
          <w:tcPr>
            <w:tcW w:w="2240" w:type="dxa"/>
            <w:vAlign w:val="bottom"/>
            <w:shd w:val="clear" w:color="auto" w:fill="EAE8EC"/>
          </w:tcPr>
          <w:p>
            <w:pPr>
              <w:ind w:left="80"/>
              <w:spacing w:after="0"/>
              <w:rPr>
                <w:sz w:val="20"/>
                <w:szCs w:val="20"/>
                <w:color w:val="auto"/>
              </w:rPr>
            </w:pPr>
            <w:r>
              <w:rPr>
                <w:rFonts w:ascii="Arial" w:cs="Arial" w:eastAsia="Arial" w:hAnsi="Arial"/>
                <w:sz w:val="16"/>
                <w:szCs w:val="16"/>
                <w:color w:val="auto"/>
              </w:rPr>
              <w:t>General Partner,</w:t>
            </w:r>
          </w:p>
        </w:tc>
        <w:tc>
          <w:tcPr>
            <w:tcW w:w="7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80"/>
        </w:trPr>
        <w:tc>
          <w:tcPr>
            <w:tcW w:w="226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Director and Research</w:t>
            </w:r>
          </w:p>
        </w:tc>
        <w:tc>
          <w:tcPr>
            <w:tcW w:w="760" w:type="dxa"/>
            <w:vAlign w:val="bottom"/>
          </w:tcPr>
          <w:p>
            <w:pPr>
              <w:spacing w:after="0"/>
              <w:rPr>
                <w:sz w:val="15"/>
                <w:szCs w:val="15"/>
                <w:color w:val="auto"/>
              </w:rPr>
            </w:pPr>
          </w:p>
        </w:tc>
        <w:tc>
          <w:tcPr>
            <w:tcW w:w="224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Balderton Capital</w:t>
            </w:r>
          </w:p>
        </w:tc>
        <w:tc>
          <w:tcPr>
            <w:tcW w:w="7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226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Analyst, Piper Sandler</w:t>
            </w:r>
          </w:p>
        </w:tc>
        <w:tc>
          <w:tcPr>
            <w:tcW w:w="760" w:type="dxa"/>
            <w:vAlign w:val="bottom"/>
          </w:tcPr>
          <w:p>
            <w:pPr>
              <w:spacing w:after="0"/>
              <w:rPr>
                <w:sz w:val="15"/>
                <w:szCs w:val="15"/>
                <w:color w:val="auto"/>
              </w:rPr>
            </w:pPr>
          </w:p>
        </w:tc>
        <w:tc>
          <w:tcPr>
            <w:tcW w:w="2240" w:type="dxa"/>
            <w:vAlign w:val="bottom"/>
            <w:shd w:val="clear" w:color="auto" w:fill="EAE8EC"/>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0"/>
        </w:trPr>
        <w:tc>
          <w:tcPr>
            <w:tcW w:w="2260" w:type="dxa"/>
            <w:vAlign w:val="bottom"/>
            <w:shd w:val="clear" w:color="auto" w:fill="EAE8EC"/>
          </w:tcPr>
          <w:p>
            <w:pPr>
              <w:ind w:left="80"/>
              <w:spacing w:after="0" w:line="180" w:lineRule="exact"/>
              <w:rPr>
                <w:sz w:val="20"/>
                <w:szCs w:val="20"/>
                <w:color w:val="auto"/>
              </w:rPr>
            </w:pPr>
            <w:r>
              <w:rPr>
                <w:rFonts w:ascii="Arial" w:cs="Arial" w:eastAsia="Arial" w:hAnsi="Arial"/>
                <w:sz w:val="16"/>
                <w:szCs w:val="16"/>
                <w:color w:val="auto"/>
              </w:rPr>
              <w:t>Corporation</w:t>
            </w:r>
          </w:p>
        </w:tc>
        <w:tc>
          <w:tcPr>
            <w:tcW w:w="760" w:type="dxa"/>
            <w:vAlign w:val="bottom"/>
          </w:tcPr>
          <w:p>
            <w:pPr>
              <w:spacing w:after="0"/>
              <w:rPr>
                <w:sz w:val="15"/>
                <w:szCs w:val="15"/>
                <w:color w:val="auto"/>
              </w:rPr>
            </w:pPr>
          </w:p>
        </w:tc>
        <w:tc>
          <w:tcPr>
            <w:tcW w:w="2240" w:type="dxa"/>
            <w:vAlign w:val="bottom"/>
            <w:shd w:val="clear" w:color="auto" w:fill="EAE8EC"/>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81"/>
        </w:trPr>
        <w:tc>
          <w:tcPr>
            <w:tcW w:w="2260" w:type="dxa"/>
            <w:vAlign w:val="bottom"/>
            <w:shd w:val="clear" w:color="auto" w:fill="EAE8EC"/>
          </w:tcPr>
          <w:p>
            <w:pPr>
              <w:spacing w:after="0"/>
              <w:rPr>
                <w:sz w:val="7"/>
                <w:szCs w:val="7"/>
                <w:color w:val="auto"/>
              </w:rPr>
            </w:pPr>
          </w:p>
        </w:tc>
        <w:tc>
          <w:tcPr>
            <w:tcW w:w="760" w:type="dxa"/>
            <w:vAlign w:val="bottom"/>
          </w:tcPr>
          <w:p>
            <w:pPr>
              <w:spacing w:after="0"/>
              <w:rPr>
                <w:sz w:val="7"/>
                <w:szCs w:val="7"/>
                <w:color w:val="auto"/>
              </w:rPr>
            </w:pPr>
          </w:p>
        </w:tc>
        <w:tc>
          <w:tcPr>
            <w:tcW w:w="2240" w:type="dxa"/>
            <w:vAlign w:val="bottom"/>
            <w:shd w:val="clear" w:color="auto" w:fill="EAE8EC"/>
          </w:tcPr>
          <w:p>
            <w:pPr>
              <w:spacing w:after="0"/>
              <w:rPr>
                <w:sz w:val="7"/>
                <w:szCs w:val="7"/>
                <w:color w:val="auto"/>
              </w:rPr>
            </w:pPr>
          </w:p>
        </w:tc>
        <w:tc>
          <w:tcPr>
            <w:tcW w:w="780" w:type="dxa"/>
            <w:vAlign w:val="bottom"/>
          </w:tcPr>
          <w:p>
            <w:pPr>
              <w:spacing w:after="0"/>
              <w:rPr>
                <w:sz w:val="7"/>
                <w:szCs w:val="7"/>
                <w:color w:val="auto"/>
              </w:rPr>
            </w:pPr>
          </w:p>
        </w:tc>
        <w:tc>
          <w:tcPr>
            <w:tcW w:w="22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-2323465</wp:posOffset>
            </wp:positionV>
            <wp:extent cx="2627630" cy="2336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27630" cy="2336800"/>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-2323465</wp:posOffset>
            </wp:positionV>
            <wp:extent cx="711200" cy="15227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200" cy="1522730"/>
                    </a:xfrm>
                    <a:prstGeom prst="rect">
                      <a:avLst/>
                    </a:prstGeom>
                    <a:noFill/>
                  </pic:spPr>
                </pic:pic>
              </a:graphicData>
            </a:graphic>
          </wp:anchor>
        </w:drawing>
      </w:r>
    </w:p>
    <w:p>
      <w:pPr>
        <w:sectPr>
          <w:pgSz w:w="12240" w:h="15840" w:orient="portrait"/>
          <w:cols w:equalWidth="0" w:num="1">
            <w:col w:w="9600"/>
          </w:cols>
          <w:pgMar w:left="1440" w:top="1313" w:right="120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140"/>
        <w:spacing w:after="0"/>
        <w:tabs>
          <w:tab w:leader="none" w:pos="9500" w:val="left"/>
        </w:tabs>
        <w:rPr>
          <w:sz w:val="20"/>
          <w:szCs w:val="20"/>
          <w:color w:val="auto"/>
        </w:rPr>
      </w:pPr>
      <w:r>
        <w:rPr>
          <w:rFonts w:ascii="Arial" w:cs="Arial" w:eastAsia="Arial" w:hAnsi="Arial"/>
          <w:sz w:val="16"/>
          <w:szCs w:val="16"/>
          <w:color w:val="00002F"/>
        </w:rPr>
        <w:t>2025 Annual Report</w:t>
      </w:r>
      <w:r>
        <w:rPr>
          <w:sz w:val="20"/>
          <w:szCs w:val="20"/>
          <w:color w:val="auto"/>
        </w:rPr>
        <w:tab/>
      </w:r>
      <w:r>
        <w:rPr>
          <w:rFonts w:ascii="Arial" w:cs="Arial" w:eastAsia="Arial" w:hAnsi="Arial"/>
          <w:sz w:val="14"/>
          <w:szCs w:val="14"/>
          <w:color w:val="00002F"/>
        </w:rPr>
        <w:t>7</w:t>
      </w:r>
    </w:p>
    <w:p>
      <w:pPr>
        <w:sectPr>
          <w:pgSz w:w="12240" w:h="15840" w:orient="portrait"/>
          <w:cols w:equalWidth="0" w:num="1">
            <w:col w:w="9600"/>
          </w:cols>
          <w:pgMar w:left="1440" w:top="1313" w:right="1200" w:bottom="196"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2240" w:h="15840" w:orient="portrait"/>
          <w:cols w:equalWidth="0" w:num="1">
            <w:col w:w="9360"/>
          </w:cols>
          <w:pgMar w:left="1440" w:top="1440" w:right="1440" w:bottom="1440" w:gutter="0" w:footer="0" w:header="0"/>
        </w:sectPr>
      </w:pPr>
    </w:p>
    <w:bookmarkStart w:id="10" w:name="page11"/>
    <w:bookmarkEnd w:id="10"/>
    <w:p>
      <w:pPr>
        <w:ind w:left="46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574675</wp:posOffset>
            </wp:positionH>
            <wp:positionV relativeFrom="page">
              <wp:posOffset>520065</wp:posOffset>
            </wp:positionV>
            <wp:extent cx="665480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54800" cy="50800"/>
                    </a:xfrm>
                    <a:prstGeom prst="rect">
                      <a:avLst/>
                    </a:prstGeom>
                    <a:noFill/>
                  </pic:spPr>
                </pic:pic>
              </a:graphicData>
            </a:graphic>
          </wp:anchor>
        </w:drawing>
        <w:t>UNITED STATES</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89" w:lineRule="exact"/>
        <w:rPr>
          <w:sz w:val="20"/>
          <w:szCs w:val="20"/>
          <w:color w:val="auto"/>
        </w:rPr>
      </w:pPr>
    </w:p>
    <w:p>
      <w:pPr>
        <w:ind w:left="360" w:hanging="307"/>
        <w:spacing w:after="0"/>
        <w:tabs>
          <w:tab w:leader="none" w:pos="360" w:val="left"/>
        </w:tabs>
        <w:numPr>
          <w:ilvl w:val="0"/>
          <w:numId w:val="2"/>
        </w:numPr>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45" w:lineRule="exact"/>
        <w:rPr>
          <w:sz w:val="20"/>
          <w:szCs w:val="20"/>
          <w:color w:val="auto"/>
        </w:rPr>
      </w:pPr>
    </w:p>
    <w:p>
      <w:pPr>
        <w:ind w:left="360" w:hanging="307"/>
        <w:spacing w:after="0"/>
        <w:tabs>
          <w:tab w:leader="none" w:pos="360" w:val="left"/>
        </w:tabs>
        <w:numPr>
          <w:ilvl w:val="0"/>
          <w:numId w:val="3"/>
        </w:numPr>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001-38860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jc w:val="center"/>
              <w:ind w:left="159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60" w:type="dxa"/>
            <w:vAlign w:val="bottom"/>
            <w:gridSpan w:val="3"/>
          </w:tcPr>
          <w:p>
            <w:pPr>
              <w:jc w:val="right"/>
              <w:ind w:right="2337"/>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300"/>
        </w:trPr>
        <w:tc>
          <w:tcPr>
            <w:tcW w:w="6340" w:type="dxa"/>
            <w:vAlign w:val="bottom"/>
            <w:gridSpan w:val="4"/>
          </w:tcPr>
          <w:p>
            <w:pPr>
              <w:jc w:val="center"/>
              <w:ind w:right="1220"/>
              <w:spacing w:after="0"/>
              <w:rPr>
                <w:sz w:val="20"/>
                <w:szCs w:val="20"/>
                <w:color w:val="auto"/>
              </w:rPr>
            </w:pPr>
            <w:r>
              <w:rPr>
                <w:rFonts w:ascii="Times New Roman" w:cs="Times New Roman" w:eastAsia="Times New Roman" w:hAnsi="Times New Roman"/>
                <w:sz w:val="18"/>
                <w:szCs w:val="18"/>
                <w:color w:val="auto"/>
              </w:rPr>
              <w:t>(State of other jurisdiction of incorporation or organization)</w:t>
            </w:r>
          </w:p>
        </w:tc>
        <w:tc>
          <w:tcPr>
            <w:tcW w:w="4460" w:type="dxa"/>
            <w:vAlign w:val="bottom"/>
            <w:gridSpan w:val="3"/>
          </w:tcPr>
          <w:p>
            <w:pPr>
              <w:jc w:val="center"/>
              <w:ind w:right="1197"/>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47"/>
        </w:trPr>
        <w:tc>
          <w:tcPr>
            <w:tcW w:w="3360" w:type="dxa"/>
            <w:vAlign w:val="bottom"/>
          </w:tcPr>
          <w:p>
            <w:pPr>
              <w:jc w:val="center"/>
              <w:ind w:left="1593"/>
              <w:spacing w:after="0"/>
              <w:rPr>
                <w:sz w:val="20"/>
                <w:szCs w:val="20"/>
                <w:color w:val="auto"/>
              </w:rPr>
            </w:pPr>
            <w:r>
              <w:rPr>
                <w:rFonts w:ascii="Times New Roman" w:cs="Times New Roman" w:eastAsia="Times New Roman" w:hAnsi="Times New Roman"/>
                <w:sz w:val="18"/>
                <w:szCs w:val="18"/>
                <w:b w:val="1"/>
                <w:bCs w:val="1"/>
                <w:color w:val="auto"/>
                <w:w w:val="99"/>
              </w:rPr>
              <w:t>245 Park Avenue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8"/>
        </w:trPr>
        <w:tc>
          <w:tcPr>
            <w:tcW w:w="3360" w:type="dxa"/>
            <w:vAlign w:val="bottom"/>
          </w:tcPr>
          <w:p>
            <w:pPr>
              <w:jc w:val="center"/>
              <w:ind w:left="1593"/>
              <w:spacing w:after="0"/>
              <w:rPr>
                <w:sz w:val="20"/>
                <w:szCs w:val="20"/>
                <w:color w:val="auto"/>
              </w:rPr>
            </w:pPr>
            <w:r>
              <w:rPr>
                <w:rFonts w:ascii="Times New Roman" w:cs="Times New Roman" w:eastAsia="Times New Roman" w:hAnsi="Times New Roman"/>
                <w:sz w:val="18"/>
                <w:szCs w:val="18"/>
                <w:b w:val="1"/>
                <w:bCs w:val="1"/>
                <w:color w:val="auto"/>
                <w:w w:val="98"/>
              </w:rPr>
              <w:t>New York, New York</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60" w:type="dxa"/>
            <w:vAlign w:val="bottom"/>
            <w:gridSpan w:val="3"/>
          </w:tcPr>
          <w:p>
            <w:pPr>
              <w:jc w:val="right"/>
              <w:ind w:right="2557"/>
              <w:spacing w:after="0"/>
              <w:rPr>
                <w:sz w:val="20"/>
                <w:szCs w:val="20"/>
                <w:color w:val="auto"/>
              </w:rPr>
            </w:pPr>
            <w:r>
              <w:rPr>
                <w:rFonts w:ascii="Times New Roman" w:cs="Times New Roman" w:eastAsia="Times New Roman" w:hAnsi="Times New Roman"/>
                <w:sz w:val="18"/>
                <w:szCs w:val="18"/>
                <w:b w:val="1"/>
                <w:bCs w:val="1"/>
                <w:color w:val="auto"/>
              </w:rPr>
              <w:t>10167</w:t>
            </w:r>
          </w:p>
        </w:tc>
      </w:tr>
      <w:tr>
        <w:trPr>
          <w:trHeight w:val="285"/>
        </w:trPr>
        <w:tc>
          <w:tcPr>
            <w:tcW w:w="6340" w:type="dxa"/>
            <w:vAlign w:val="bottom"/>
            <w:gridSpan w:val="4"/>
          </w:tcPr>
          <w:p>
            <w:pPr>
              <w:jc w:val="center"/>
              <w:ind w:right="12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jc w:val="center"/>
              <w:ind w:right="2197"/>
              <w:spacing w:after="0"/>
              <w:rPr>
                <w:sz w:val="20"/>
                <w:szCs w:val="20"/>
                <w:color w:val="auto"/>
              </w:rPr>
            </w:pPr>
            <w:r>
              <w:rPr>
                <w:rFonts w:ascii="Times New Roman" w:cs="Times New Roman" w:eastAsia="Times New Roman" w:hAnsi="Times New Roman"/>
                <w:sz w:val="18"/>
                <w:szCs w:val="18"/>
                <w:color w:val="auto"/>
              </w:rPr>
              <w:t>(Zip Code)</w:t>
            </w:r>
          </w:p>
        </w:tc>
      </w:tr>
      <w:tr>
        <w:trPr>
          <w:trHeight w:val="311"/>
        </w:trPr>
        <w:tc>
          <w:tcPr>
            <w:tcW w:w="3360" w:type="dxa"/>
            <w:vAlign w:val="bottom"/>
          </w:tcPr>
          <w:p>
            <w:pPr>
              <w:spacing w:after="0"/>
              <w:rPr>
                <w:sz w:val="24"/>
                <w:szCs w:val="24"/>
                <w:color w:val="auto"/>
              </w:rPr>
            </w:pPr>
          </w:p>
        </w:tc>
        <w:tc>
          <w:tcPr>
            <w:tcW w:w="2980" w:type="dxa"/>
            <w:vAlign w:val="bottom"/>
            <w:gridSpan w:val="3"/>
          </w:tcPr>
          <w:p>
            <w:pPr>
              <w:jc w:val="center"/>
              <w:ind w:left="1018"/>
              <w:spacing w:after="0"/>
              <w:rPr>
                <w:sz w:val="20"/>
                <w:szCs w:val="20"/>
                <w:color w:val="auto"/>
              </w:rPr>
            </w:pPr>
            <w:r>
              <w:rPr>
                <w:rFonts w:ascii="Times New Roman" w:cs="Times New Roman" w:eastAsia="Times New Roman" w:hAnsi="Times New Roman"/>
                <w:sz w:val="18"/>
                <w:szCs w:val="18"/>
                <w:b w:val="1"/>
                <w:bCs w:val="1"/>
                <w:color w:val="auto"/>
                <w:w w:val="99"/>
              </w:rPr>
              <w:t>(646) 430-6000</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9"/>
        </w:trPr>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360" w:type="dxa"/>
            <w:vAlign w:val="bottom"/>
            <w:gridSpan w:val="5"/>
          </w:tcPr>
          <w:p>
            <w:pPr>
              <w:jc w:val="center"/>
              <w:ind w:right="3357"/>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r>
      <w:tr>
        <w:trPr>
          <w:trHeight w:val="213"/>
        </w:trPr>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360" w:type="dxa"/>
            <w:vAlign w:val="bottom"/>
            <w:gridSpan w:val="5"/>
          </w:tcPr>
          <w:p>
            <w:pPr>
              <w:jc w:val="center"/>
              <w:ind w:right="3357"/>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86"/>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tcPr>
          <w:p>
            <w:pPr>
              <w:jc w:val="center"/>
              <w:ind w:left="680"/>
              <w:spacing w:after="0"/>
              <w:rPr>
                <w:sz w:val="20"/>
                <w:szCs w:val="20"/>
                <w:color w:val="auto"/>
              </w:rPr>
            </w:pPr>
            <w:r>
              <w:rPr>
                <w:rFonts w:ascii="Times New Roman" w:cs="Times New Roman" w:eastAsia="Times New Roman" w:hAnsi="Times New Roman"/>
                <w:sz w:val="16"/>
                <w:szCs w:val="16"/>
                <w:color w:val="auto"/>
              </w:rPr>
              <w:t>TW</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r>
        <w:trPr>
          <w:trHeight w:val="289"/>
        </w:trPr>
        <w:tc>
          <w:tcPr>
            <w:tcW w:w="3360" w:type="dxa"/>
            <w:vAlign w:val="bottom"/>
          </w:tcPr>
          <w:p>
            <w:pPr>
              <w:spacing w:after="0"/>
              <w:rPr>
                <w:sz w:val="24"/>
                <w:szCs w:val="24"/>
                <w:color w:val="auto"/>
              </w:rPr>
            </w:pPr>
          </w:p>
        </w:tc>
        <w:tc>
          <w:tcPr>
            <w:tcW w:w="7440" w:type="dxa"/>
            <w:vAlign w:val="bottom"/>
            <w:gridSpan w:val="6"/>
          </w:tcPr>
          <w:p>
            <w:pPr>
              <w:jc w:val="center"/>
              <w:ind w:right="3277"/>
              <w:spacing w:after="0"/>
              <w:rPr>
                <w:sz w:val="20"/>
                <w:szCs w:val="20"/>
                <w:color w:val="auto"/>
              </w:rPr>
            </w:pPr>
            <w:r>
              <w:rPr>
                <w:rFonts w:ascii="Times New Roman" w:cs="Times New Roman" w:eastAsia="Times New Roman" w:hAnsi="Times New Roman"/>
                <w:sz w:val="15"/>
                <w:szCs w:val="15"/>
                <w:b w:val="1"/>
                <w:bCs w:val="1"/>
                <w:color w:val="auto"/>
              </w:rPr>
              <w:t xml:space="preserve">Securities registered pursuant to Section 12(g) of the Act: </w:t>
            </w:r>
            <w:r>
              <w:rPr>
                <w:rFonts w:ascii="Times New Roman" w:cs="Times New Roman" w:eastAsia="Times New Roman" w:hAnsi="Times New Roman"/>
                <w:sz w:val="15"/>
                <w:szCs w:val="15"/>
                <w:color w:val="auto"/>
              </w:rPr>
              <w:t>None</w:t>
            </w:r>
          </w:p>
        </w:tc>
      </w:tr>
    </w:tbl>
    <w:p>
      <w:pPr>
        <w:spacing w:after="0" w:line="7" w:lineRule="exact"/>
        <w:rPr>
          <w:sz w:val="20"/>
          <w:szCs w:val="20"/>
          <w:color w:val="auto"/>
        </w:rPr>
      </w:pPr>
    </w:p>
    <w:p>
      <w:pPr>
        <w:ind w:right="2840"/>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ind w:right="140"/>
        <w:spacing w:after="0" w:line="18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w:t>
      </w:r>
    </w:p>
    <w:p>
      <w:pPr>
        <w:spacing w:after="0" w:line="1" w:lineRule="exact"/>
        <w:rPr>
          <w:sz w:val="20"/>
          <w:szCs w:val="20"/>
          <w:color w:val="auto"/>
        </w:rPr>
      </w:pPr>
    </w:p>
    <w:p>
      <w:pPr>
        <w:ind w:right="240"/>
        <w:spacing w:after="0" w:line="30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800"/>
          </w:cols>
          <w:pgMar w:left="720" w:top="917" w:right="720" w:bottom="1440" w:gutter="0" w:footer="0" w:header="0"/>
        </w:sectPr>
      </w:pPr>
    </w:p>
    <w:p>
      <w:pPr>
        <w:spacing w:after="0" w:line="16" w:lineRule="exact"/>
        <w:rPr>
          <w:sz w:val="20"/>
          <w:szCs w:val="20"/>
          <w:color w:val="auto"/>
        </w:rPr>
      </w:pPr>
    </w:p>
    <w:p>
      <w:pPr>
        <w:ind w:left="60"/>
        <w:spacing w:after="0" w:line="173" w:lineRule="exact"/>
        <w:tabs>
          <w:tab w:leader="none" w:pos="2860" w:val="left"/>
          <w:tab w:leader="none" w:pos="3640" w:val="left"/>
          <w:tab w:leader="none" w:pos="6460" w:val="left"/>
          <w:tab w:leader="none" w:pos="722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Accelerated filer</w:t>
      </w:r>
      <w:r>
        <w:rPr>
          <w:sz w:val="20"/>
          <w:szCs w:val="20"/>
          <w:color w:val="auto"/>
        </w:rPr>
        <w:tab/>
      </w:r>
      <w:r>
        <w:rPr>
          <w:rFonts w:ascii="MS PGothic" w:cs="MS PGothic" w:eastAsia="MS PGothic" w:hAnsi="MS PGothic"/>
          <w:sz w:val="15"/>
          <w:szCs w:val="15"/>
          <w:b w:val="1"/>
          <w:bCs w:val="1"/>
          <w:color w:val="auto"/>
        </w:rPr>
        <w:t>☐</w:t>
      </w:r>
      <w:r>
        <w:rPr>
          <w:sz w:val="20"/>
          <w:szCs w:val="20"/>
          <w:color w:val="auto"/>
        </w:rPr>
        <w:tab/>
      </w:r>
      <w:r>
        <w:rPr>
          <w:rFonts w:ascii="Times New Roman" w:cs="Times New Roman" w:eastAsia="Times New Roman" w:hAnsi="Times New Roman"/>
          <w:sz w:val="14"/>
          <w:szCs w:val="14"/>
          <w:color w:val="auto"/>
        </w:rPr>
        <w:t>Non-accelerated filer</w:t>
      </w:r>
    </w:p>
    <w:p>
      <w:pPr>
        <w:spacing w:after="0" w:line="68" w:lineRule="exact"/>
        <w:rPr>
          <w:sz w:val="20"/>
          <w:szCs w:val="20"/>
          <w:color w:val="auto"/>
        </w:rPr>
      </w:pPr>
    </w:p>
    <w:p>
      <w:pPr>
        <w:ind w:left="60"/>
        <w:spacing w:after="0" w:line="173" w:lineRule="exact"/>
        <w:tabs>
          <w:tab w:leader="none" w:pos="2860" w:val="left"/>
          <w:tab w:leader="none" w:pos="3640" w:val="left"/>
          <w:tab w:leader="none" w:pos="6460" w:val="left"/>
        </w:tabs>
        <w:rPr>
          <w:sz w:val="20"/>
          <w:szCs w:val="20"/>
          <w:color w:val="auto"/>
        </w:rPr>
      </w:pPr>
      <w:r>
        <w:rPr>
          <w:rFonts w:ascii="Times New Roman" w:cs="Times New Roman" w:eastAsia="Times New Roman" w:hAnsi="Times New Roman"/>
          <w:sz w:val="15"/>
          <w:szCs w:val="15"/>
          <w:color w:val="auto"/>
        </w:rPr>
        <w:t>Smaller reporting company</w:t>
      </w:r>
      <w:r>
        <w:rPr>
          <w:sz w:val="20"/>
          <w:szCs w:val="20"/>
          <w:color w:val="auto"/>
        </w:rPr>
        <w:tab/>
      </w:r>
      <w:r>
        <w:rPr>
          <w:rFonts w:ascii="MS PGothic" w:cs="MS PGothic" w:eastAsia="MS PGothic" w:hAnsi="MS PGothic"/>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Emerging growth company</w:t>
      </w:r>
      <w:r>
        <w:rPr>
          <w:sz w:val="20"/>
          <w:szCs w:val="20"/>
          <w:color w:val="auto"/>
        </w:rPr>
        <w:tab/>
      </w:r>
      <w:r>
        <w:rPr>
          <w:rFonts w:ascii="MS PGothic" w:cs="MS PGothic" w:eastAsia="MS PGothic" w:hAnsi="MS PGothic"/>
          <w:sz w:val="12"/>
          <w:szCs w:val="12"/>
          <w:b w:val="1"/>
          <w:bCs w:val="1"/>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r>
        <w:rPr>
          <w:rFonts w:ascii="MS PGothic" w:cs="MS PGothic" w:eastAsia="MS PGothic" w:hAnsi="MS PGothic"/>
          <w:sz w:val="12"/>
          <w:szCs w:val="12"/>
          <w:b w:val="1"/>
          <w:bCs w:val="1"/>
          <w:color w:val="auto"/>
        </w:rPr>
        <w:t>☐</w:t>
      </w:r>
    </w:p>
    <w:p>
      <w:pPr>
        <w:spacing w:after="0" w:line="426" w:lineRule="exact"/>
        <w:rPr>
          <w:sz w:val="20"/>
          <w:szCs w:val="20"/>
          <w:color w:val="auto"/>
        </w:rPr>
      </w:pPr>
    </w:p>
    <w:p>
      <w:pPr>
        <w:sectPr>
          <w:pgSz w:w="12240" w:h="15840" w:orient="portrait"/>
          <w:cols w:equalWidth="0" w:num="2">
            <w:col w:w="9340" w:space="720"/>
            <w:col w:w="740"/>
          </w:cols>
          <w:pgMar w:left="720" w:top="917" w:right="720" w:bottom="1440" w:gutter="0" w:footer="0" w:header="0"/>
          <w:type w:val="continuous"/>
        </w:sectPr>
      </w:pPr>
    </w:p>
    <w:p>
      <w:pPr>
        <w:ind w:right="380"/>
        <w:spacing w:after="0" w:line="194" w:lineRule="exact"/>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b w:val="1"/>
          <w:bCs w:val="1"/>
          <w:color w:val="auto"/>
        </w:rPr>
        <w:t>☐</w:t>
      </w:r>
    </w:p>
    <w:p>
      <w:pPr>
        <w:spacing w:after="0" w:line="1" w:lineRule="exact"/>
        <w:rPr>
          <w:sz w:val="20"/>
          <w:szCs w:val="20"/>
          <w:color w:val="auto"/>
        </w:rPr>
      </w:pPr>
    </w:p>
    <w:p>
      <w:pPr>
        <w:ind w:right="50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of the effectiveness of its internal control over financial reporting under Section 404(b) of Sarbanes-Oxley Act (15 U.S.C. 7262(b)) by registered public accounting firm that prepared or issued its audit report </w:t>
      </w:r>
      <w:r>
        <w:rPr>
          <w:rFonts w:ascii="MS PGothic" w:cs="MS PGothic" w:eastAsia="MS PGothic" w:hAnsi="MS PGothic"/>
          <w:sz w:val="15"/>
          <w:szCs w:val="15"/>
          <w:b w:val="1"/>
          <w:bCs w:val="1"/>
          <w:color w:val="auto"/>
        </w:rPr>
        <w:t>☒</w:t>
      </w:r>
    </w:p>
    <w:p>
      <w:pPr>
        <w:ind w:right="60"/>
        <w:spacing w:after="0" w:line="186" w:lineRule="exact"/>
        <w:rPr>
          <w:sz w:val="20"/>
          <w:szCs w:val="20"/>
          <w:color w:val="auto"/>
        </w:rPr>
      </w:pPr>
      <w:r>
        <w:rPr>
          <w:rFonts w:ascii="Times New Roman" w:cs="Times New Roman" w:eastAsia="Times New Roman" w:hAnsi="Times New Roman"/>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5"/>
          <w:szCs w:val="15"/>
          <w:b w:val="1"/>
          <w:bCs w:val="1"/>
          <w:color w:val="auto"/>
        </w:rPr>
        <w:t>☐</w:t>
      </w:r>
    </w:p>
    <w:p>
      <w:pPr>
        <w:spacing w:after="0" w:line="1"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5"/>
          <w:szCs w:val="15"/>
          <w:b w:val="1"/>
          <w:bCs w:val="1"/>
          <w:color w:val="auto"/>
        </w:rPr>
        <w:t>☐</w:t>
      </w: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w:t>
      </w:r>
    </w:p>
    <w:p>
      <w:pPr>
        <w:spacing w:after="0" w:line="3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the registrant, based on the closing price of the Class A common stock on the NASDAQ Global Select Market on June 30, 2025, was approximately $16.9 billion.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8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5"/>
                <w:szCs w:val="15"/>
                <w:color w:val="auto"/>
              </w:rPr>
              <w:t>Class of Stock</w:t>
            </w:r>
          </w:p>
        </w:tc>
        <w:tc>
          <w:tcPr>
            <w:tcW w:w="220" w:type="dxa"/>
            <w:vAlign w:val="bottom"/>
          </w:tcPr>
          <w:p>
            <w:pPr>
              <w:spacing w:after="0"/>
              <w:rPr>
                <w:sz w:val="17"/>
                <w:szCs w:val="17"/>
                <w:color w:val="auto"/>
              </w:rPr>
            </w:pPr>
          </w:p>
        </w:tc>
        <w:tc>
          <w:tcPr>
            <w:tcW w:w="5300" w:type="dxa"/>
            <w:vAlign w:val="bottom"/>
            <w:tcBorders>
              <w:bottom w:val="single" w:sz="8" w:color="auto"/>
            </w:tcBorders>
          </w:tcPr>
          <w:p>
            <w:pPr>
              <w:jc w:val="right"/>
              <w:ind w:right="1285"/>
              <w:spacing w:after="0"/>
              <w:rPr>
                <w:sz w:val="20"/>
                <w:szCs w:val="20"/>
                <w:color w:val="auto"/>
              </w:rPr>
            </w:pPr>
            <w:r>
              <w:rPr>
                <w:rFonts w:ascii="Times New Roman" w:cs="Times New Roman" w:eastAsia="Times New Roman" w:hAnsi="Times New Roman"/>
                <w:sz w:val="15"/>
                <w:szCs w:val="15"/>
                <w:color w:val="auto"/>
              </w:rPr>
              <w:t>Shares Outstanding as of January 29, 2026</w:t>
            </w:r>
          </w:p>
        </w:tc>
      </w:tr>
      <w:tr>
        <w:trPr>
          <w:trHeight w:val="194"/>
        </w:trPr>
        <w:tc>
          <w:tcPr>
            <w:tcW w:w="5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Class A Common Stock, par value $0.00001 per share</w:t>
            </w:r>
          </w:p>
        </w:tc>
        <w:tc>
          <w:tcPr>
            <w:tcW w:w="220" w:type="dxa"/>
            <w:vAlign w:val="bottom"/>
          </w:tcPr>
          <w:p>
            <w:pPr>
              <w:spacing w:after="0"/>
              <w:rPr>
                <w:sz w:val="16"/>
                <w:szCs w:val="16"/>
                <w:color w:val="auto"/>
              </w:rPr>
            </w:pPr>
          </w:p>
        </w:tc>
        <w:tc>
          <w:tcPr>
            <w:tcW w:w="5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115,657,833</w:t>
            </w:r>
          </w:p>
        </w:tc>
      </w:tr>
      <w:tr>
        <w:trPr>
          <w:trHeight w:val="237"/>
        </w:trPr>
        <w:tc>
          <w:tcPr>
            <w:tcW w:w="5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Class B Common Stock, par value $0.00001 per share</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96,933,192</w:t>
            </w:r>
          </w:p>
        </w:tc>
      </w:tr>
      <w:tr>
        <w:trPr>
          <w:trHeight w:val="240"/>
        </w:trPr>
        <w:tc>
          <w:tcPr>
            <w:tcW w:w="5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Class C Common Stock, par value $0.00001 per share</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18,000,000</w:t>
            </w:r>
          </w:p>
        </w:tc>
      </w:tr>
      <w:tr>
        <w:trPr>
          <w:trHeight w:val="240"/>
        </w:trPr>
        <w:tc>
          <w:tcPr>
            <w:tcW w:w="52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Class D Common Stock, par value $0.00001 per share</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5,056,868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110490</wp:posOffset>
            </wp:positionV>
            <wp:extent cx="687387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73875" cy="5080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29845</wp:posOffset>
                </wp:positionV>
                <wp:extent cx="682942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942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2.35pt" to="538.85pt,2.35pt" o:allowincell="f" strokecolor="#000000" strokeweight="2pt"/>
            </w:pict>
          </mc:Fallback>
        </mc:AlternateConten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Part III of this Annual Report on Form 10-K incorporates by reference portions of the Registrant’s Proxy Statement for its 2026 Annual Meeting of Stockholders.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81280</wp:posOffset>
                </wp:positionV>
                <wp:extent cx="683895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895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6.4pt" to="539.25pt,6.4pt" o:allowincell="f" strokecolor="#000000" strokeweight="2pt"/>
            </w:pict>
          </mc:Fallback>
        </mc:AlternateContent>
      </w:r>
    </w:p>
    <w:p>
      <w:pPr>
        <w:sectPr>
          <w:pgSz w:w="12240" w:h="15840" w:orient="portrait"/>
          <w:cols w:equalWidth="0" w:num="1">
            <w:col w:w="10800"/>
          </w:cols>
          <w:pgMar w:left="720" w:top="917" w:right="720" w:bottom="1440" w:gutter="0" w:footer="0" w:header="0"/>
          <w:type w:val="continuous"/>
        </w:sectPr>
      </w:pPr>
    </w:p>
    <w:bookmarkStart w:id="11" w:name="page12"/>
    <w:bookmarkEnd w:id="11"/>
    <w:p>
      <w:pPr>
        <w:jc w:val="center"/>
        <w:ind w:left="1600"/>
        <w:spacing w:after="0"/>
        <w:rPr>
          <w:sz w:val="20"/>
          <w:szCs w:val="20"/>
          <w:color w:val="auto"/>
        </w:rPr>
      </w:pPr>
      <w:r>
        <w:rPr>
          <w:rFonts w:ascii="Times New Roman" w:cs="Times New Roman" w:eastAsia="Times New Roman" w:hAnsi="Times New Roman"/>
          <w:sz w:val="20"/>
          <w:szCs w:val="20"/>
          <w:b w:val="1"/>
          <w:bCs w:val="1"/>
          <w:color w:val="auto"/>
        </w:rPr>
        <w:t>TRADEWEB MARKETS INC.</w:t>
      </w:r>
    </w:p>
    <w:p>
      <w:pPr>
        <w:spacing w:after="0" w:line="210"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20"/>
          <w:szCs w:val="20"/>
          <w:b w:val="1"/>
          <w:bCs w:val="1"/>
          <w:color w:val="auto"/>
        </w:rPr>
        <w:t>FORM 10-K ANNUAL REPORT</w:t>
      </w:r>
    </w:p>
    <w:p>
      <w:pPr>
        <w:spacing w:after="0" w:line="210"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F3F3F"/>
        </w:rPr>
        <w:t>INTRODUCTORY NOTE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F3F3F"/>
        </w:rPr>
        <w:t>USE OF NON-GAAP FINANCIAL MEASURES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F3F3F"/>
        </w:rPr>
        <w:t>CAUTIONARY NOTE REGARDING FORWARD-LOOKING STATEMENTS</w:t>
      </w:r>
    </w:p>
    <w:p>
      <w:pPr>
        <w:spacing w:after="0" w:line="39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20"/>
          <w:szCs w:val="20"/>
          <w:u w:val="single" w:color="auto"/>
          <w:color w:val="3F3F3F"/>
        </w:rPr>
        <w:t>PART I</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w:t>
      </w:r>
      <w:r>
        <w:rPr>
          <w:sz w:val="20"/>
          <w:szCs w:val="20"/>
          <w:color w:val="auto"/>
        </w:rPr>
        <w:tab/>
      </w:r>
      <w:r>
        <w:rPr>
          <w:rFonts w:ascii="Times New Roman" w:cs="Times New Roman" w:eastAsia="Times New Roman" w:hAnsi="Times New Roman"/>
          <w:sz w:val="19"/>
          <w:szCs w:val="19"/>
          <w:u w:val="single" w:color="auto"/>
          <w:color w:val="3F3F3F"/>
        </w:rPr>
        <w:t>Business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1A.</w:t>
      </w:r>
      <w:r>
        <w:rPr>
          <w:sz w:val="20"/>
          <w:szCs w:val="20"/>
          <w:color w:val="auto"/>
        </w:rPr>
        <w:tab/>
      </w:r>
      <w:r>
        <w:rPr>
          <w:rFonts w:ascii="Times New Roman" w:cs="Times New Roman" w:eastAsia="Times New Roman" w:hAnsi="Times New Roman"/>
          <w:sz w:val="19"/>
          <w:szCs w:val="19"/>
          <w:u w:val="single" w:color="auto"/>
          <w:color w:val="3F3F3F"/>
        </w:rPr>
        <w:t>Risk Factors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1B.</w:t>
      </w:r>
      <w:r>
        <w:rPr>
          <w:sz w:val="20"/>
          <w:szCs w:val="20"/>
          <w:color w:val="auto"/>
        </w:rPr>
        <w:tab/>
      </w:r>
      <w:r>
        <w:rPr>
          <w:rFonts w:ascii="Times New Roman" w:cs="Times New Roman" w:eastAsia="Times New Roman" w:hAnsi="Times New Roman"/>
          <w:sz w:val="19"/>
          <w:szCs w:val="19"/>
          <w:u w:val="single" w:color="auto"/>
          <w:color w:val="3F3F3F"/>
        </w:rPr>
        <w:t>Unresolved Staff Comments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1C</w:t>
      </w:r>
      <w:r>
        <w:rPr>
          <w:rFonts w:ascii="Times New Roman" w:cs="Times New Roman" w:eastAsia="Times New Roman" w:hAnsi="Times New Roman"/>
          <w:sz w:val="20"/>
          <w:szCs w:val="20"/>
          <w:color w:val="3F3F3F"/>
        </w:rPr>
        <w:t>.</w:t>
      </w:r>
      <w:r>
        <w:rPr>
          <w:sz w:val="20"/>
          <w:szCs w:val="20"/>
          <w:color w:val="auto"/>
        </w:rPr>
        <w:tab/>
      </w:r>
      <w:r>
        <w:rPr>
          <w:rFonts w:ascii="Times New Roman" w:cs="Times New Roman" w:eastAsia="Times New Roman" w:hAnsi="Times New Roman"/>
          <w:sz w:val="19"/>
          <w:szCs w:val="19"/>
          <w:u w:val="single" w:color="auto"/>
          <w:color w:val="3F3F3F"/>
        </w:rPr>
        <w:t>Cybersecurity</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2.</w:t>
      </w:r>
      <w:r>
        <w:rPr>
          <w:sz w:val="20"/>
          <w:szCs w:val="20"/>
          <w:color w:val="auto"/>
        </w:rPr>
        <w:tab/>
      </w:r>
      <w:r>
        <w:rPr>
          <w:rFonts w:ascii="Times New Roman" w:cs="Times New Roman" w:eastAsia="Times New Roman" w:hAnsi="Times New Roman"/>
          <w:sz w:val="19"/>
          <w:szCs w:val="19"/>
          <w:u w:val="single" w:color="auto"/>
          <w:color w:val="3F3F3F"/>
        </w:rPr>
        <w:t>Properties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3.</w:t>
      </w:r>
      <w:r>
        <w:rPr>
          <w:sz w:val="20"/>
          <w:szCs w:val="20"/>
          <w:color w:val="auto"/>
        </w:rPr>
        <w:tab/>
      </w:r>
      <w:r>
        <w:rPr>
          <w:rFonts w:ascii="Times New Roman" w:cs="Times New Roman" w:eastAsia="Times New Roman" w:hAnsi="Times New Roman"/>
          <w:sz w:val="19"/>
          <w:szCs w:val="19"/>
          <w:u w:val="single" w:color="auto"/>
          <w:color w:val="3F3F3F"/>
        </w:rPr>
        <w:t>Legal Proceedings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4.</w:t>
      </w:r>
      <w:r>
        <w:rPr>
          <w:sz w:val="20"/>
          <w:szCs w:val="20"/>
          <w:color w:val="auto"/>
        </w:rPr>
        <w:tab/>
      </w:r>
      <w:r>
        <w:rPr>
          <w:rFonts w:ascii="Times New Roman" w:cs="Times New Roman" w:eastAsia="Times New Roman" w:hAnsi="Times New Roman"/>
          <w:sz w:val="19"/>
          <w:szCs w:val="19"/>
          <w:u w:val="single" w:color="auto"/>
          <w:color w:val="3F3F3F"/>
        </w:rPr>
        <w:t>Mine Safety Disclosures</w:t>
      </w:r>
    </w:p>
    <w:p>
      <w:pPr>
        <w:spacing w:after="0" w:line="37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20"/>
          <w:szCs w:val="20"/>
          <w:u w:val="single" w:color="auto"/>
          <w:color w:val="3F3F3F"/>
        </w:rPr>
        <w:t>PART II</w:t>
      </w:r>
    </w:p>
    <w:p>
      <w:pPr>
        <w:spacing w:after="0" w:line="70" w:lineRule="exact"/>
        <w:rPr>
          <w:sz w:val="20"/>
          <w:szCs w:val="20"/>
          <w:color w:val="auto"/>
        </w:rPr>
      </w:pPr>
    </w:p>
    <w:p>
      <w:pPr>
        <w:ind w:left="960" w:right="200" w:hanging="959"/>
        <w:spacing w:after="0" w:line="281" w:lineRule="auto"/>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5.</w:t>
      </w:r>
      <w:r>
        <w:rPr>
          <w:sz w:val="20"/>
          <w:szCs w:val="20"/>
          <w:color w:val="auto"/>
        </w:rPr>
        <w:tab/>
      </w:r>
      <w:r>
        <w:rPr>
          <w:rFonts w:ascii="Times New Roman" w:cs="Times New Roman" w:eastAsia="Times New Roman" w:hAnsi="Times New Roman"/>
          <w:sz w:val="20"/>
          <w:szCs w:val="20"/>
          <w:u w:val="single" w:color="auto"/>
          <w:color w:val="3F3F3F"/>
        </w:rPr>
        <w:t>Market for Registrant’s Common Equity, Related Stockholder Matters and Issuer Purchases of Equity Securities</w:t>
      </w:r>
    </w:p>
    <w:p>
      <w:pPr>
        <w:spacing w:after="0" w:line="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6.</w:t>
      </w:r>
      <w:r>
        <w:rPr>
          <w:sz w:val="20"/>
          <w:szCs w:val="20"/>
          <w:color w:val="auto"/>
        </w:rPr>
        <w:tab/>
      </w:r>
      <w:r>
        <w:rPr>
          <w:rFonts w:ascii="Times New Roman" w:cs="Times New Roman" w:eastAsia="Times New Roman" w:hAnsi="Times New Roman"/>
          <w:sz w:val="19"/>
          <w:szCs w:val="19"/>
          <w:u w:val="single" w:color="auto"/>
          <w:color w:val="3F3F3F"/>
        </w:rPr>
        <w:t>Reserved</w:t>
      </w:r>
    </w:p>
    <w:p>
      <w:pPr>
        <w:spacing w:after="0" w:line="70" w:lineRule="exact"/>
        <w:rPr>
          <w:sz w:val="20"/>
          <w:szCs w:val="20"/>
          <w:color w:val="auto"/>
        </w:rPr>
      </w:pPr>
    </w:p>
    <w:p>
      <w:pPr>
        <w:ind w:right="580"/>
        <w:spacing w:after="0" w:line="313" w:lineRule="auto"/>
        <w:rPr>
          <w:sz w:val="20"/>
          <w:szCs w:val="20"/>
          <w:color w:val="auto"/>
        </w:rPr>
      </w:pPr>
      <w:r>
        <w:rPr>
          <w:rFonts w:ascii="Times New Roman" w:cs="Times New Roman" w:eastAsia="Times New Roman" w:hAnsi="Times New Roman"/>
          <w:sz w:val="20"/>
          <w:szCs w:val="20"/>
          <w:u w:val="single" w:color="auto"/>
          <w:color w:val="3F3F3F"/>
        </w:rPr>
        <w:t>Item 7. Management’s Discussion and Analysis of Financial Condition and Results of Operations Item 7A. Quantitative and Qualitative Disclosures About Market Risk Item 8. Financial Statements and Supplementary Data</w:t>
      </w: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9.</w:t>
      </w:r>
      <w:r>
        <w:rPr>
          <w:sz w:val="20"/>
          <w:szCs w:val="20"/>
          <w:color w:val="auto"/>
        </w:rPr>
        <w:tab/>
      </w:r>
      <w:r>
        <w:rPr>
          <w:rFonts w:ascii="Times New Roman" w:cs="Times New Roman" w:eastAsia="Times New Roman" w:hAnsi="Times New Roman"/>
          <w:sz w:val="19"/>
          <w:szCs w:val="19"/>
          <w:u w:val="single" w:color="auto"/>
          <w:color w:val="3F3F3F"/>
        </w:rPr>
        <w:t>Changes in and Disagreements with Accountants on Accounting and Financial Disclosure</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9A.</w:t>
      </w:r>
      <w:r>
        <w:rPr>
          <w:sz w:val="20"/>
          <w:szCs w:val="20"/>
          <w:color w:val="auto"/>
        </w:rPr>
        <w:tab/>
      </w:r>
      <w:r>
        <w:rPr>
          <w:rFonts w:ascii="Times New Roman" w:cs="Times New Roman" w:eastAsia="Times New Roman" w:hAnsi="Times New Roman"/>
          <w:sz w:val="19"/>
          <w:szCs w:val="19"/>
          <w:u w:val="single" w:color="auto"/>
          <w:color w:val="3F3F3F"/>
        </w:rPr>
        <w:t>Controls and Procedures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9B.</w:t>
      </w:r>
      <w:r>
        <w:rPr>
          <w:sz w:val="20"/>
          <w:szCs w:val="20"/>
          <w:color w:val="auto"/>
        </w:rPr>
        <w:tab/>
      </w:r>
      <w:r>
        <w:rPr>
          <w:rFonts w:ascii="Times New Roman" w:cs="Times New Roman" w:eastAsia="Times New Roman" w:hAnsi="Times New Roman"/>
          <w:sz w:val="19"/>
          <w:szCs w:val="19"/>
          <w:u w:val="single" w:color="auto"/>
          <w:color w:val="3F3F3F"/>
        </w:rPr>
        <w:t>Other Information</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9C.</w:t>
      </w:r>
      <w:r>
        <w:rPr>
          <w:sz w:val="20"/>
          <w:szCs w:val="20"/>
          <w:color w:val="auto"/>
        </w:rPr>
        <w:tab/>
      </w:r>
      <w:r>
        <w:rPr>
          <w:rFonts w:ascii="Times New Roman" w:cs="Times New Roman" w:eastAsia="Times New Roman" w:hAnsi="Times New Roman"/>
          <w:sz w:val="19"/>
          <w:szCs w:val="19"/>
          <w:u w:val="single" w:color="auto"/>
          <w:color w:val="3F3F3F"/>
        </w:rPr>
        <w:t>Disclosure Regarding Foreign Jurisdictions that Prevent Inspections</w:t>
      </w:r>
    </w:p>
    <w:p>
      <w:pPr>
        <w:spacing w:after="0" w:line="37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20"/>
          <w:szCs w:val="20"/>
          <w:u w:val="single" w:color="auto"/>
          <w:color w:val="3F3F3F"/>
        </w:rPr>
        <w:t>PART III</w:t>
      </w:r>
    </w:p>
    <w:p>
      <w:pPr>
        <w:spacing w:after="0" w:line="70" w:lineRule="exact"/>
        <w:rPr>
          <w:sz w:val="20"/>
          <w:szCs w:val="20"/>
          <w:color w:val="auto"/>
        </w:rPr>
      </w:pPr>
    </w:p>
    <w:p>
      <w:pPr>
        <w:ind w:right="3220"/>
        <w:spacing w:after="0" w:line="313" w:lineRule="auto"/>
        <w:rPr>
          <w:sz w:val="20"/>
          <w:szCs w:val="20"/>
          <w:color w:val="auto"/>
        </w:rPr>
      </w:pPr>
      <w:r>
        <w:rPr>
          <w:rFonts w:ascii="Times New Roman" w:cs="Times New Roman" w:eastAsia="Times New Roman" w:hAnsi="Times New Roman"/>
          <w:sz w:val="20"/>
          <w:szCs w:val="20"/>
          <w:u w:val="single" w:color="auto"/>
          <w:color w:val="3F3F3F"/>
        </w:rPr>
        <w:t>Item 10. Directors, Executive Officers and Corporate Governance Item 11. Executive Compensation</w:t>
      </w:r>
    </w:p>
    <w:p>
      <w:pPr>
        <w:ind w:left="960" w:right="220" w:hanging="959"/>
        <w:spacing w:after="0" w:line="281" w:lineRule="auto"/>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12.</w:t>
        <w:tab/>
        <w:t>Securities Ownership of Certain Beneficial Owners and Management and Related Stockholder Matters</w:t>
      </w:r>
    </w:p>
    <w:p>
      <w:pPr>
        <w:spacing w:after="0" w:line="1" w:lineRule="exact"/>
        <w:rPr>
          <w:sz w:val="20"/>
          <w:szCs w:val="20"/>
          <w:color w:val="auto"/>
        </w:rPr>
      </w:pPr>
    </w:p>
    <w:p>
      <w:pPr>
        <w:ind w:right="1700"/>
        <w:spacing w:after="0" w:line="344" w:lineRule="auto"/>
        <w:rPr>
          <w:sz w:val="20"/>
          <w:szCs w:val="20"/>
          <w:color w:val="auto"/>
        </w:rPr>
      </w:pPr>
      <w:r>
        <w:rPr>
          <w:rFonts w:ascii="Times New Roman" w:cs="Times New Roman" w:eastAsia="Times New Roman" w:hAnsi="Times New Roman"/>
          <w:sz w:val="20"/>
          <w:szCs w:val="20"/>
          <w:u w:val="single" w:color="auto"/>
          <w:color w:val="3F3F3F"/>
        </w:rPr>
        <w:t>Item 13. Certain Relationships and Related Transactions, and Director Independence Item 14. Principal Accountant Fees and Services</w:t>
      </w: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u w:val="single" w:color="auto"/>
          <w:color w:val="3F3F3F"/>
        </w:rPr>
        <w:t>PART IV</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15.</w:t>
      </w:r>
      <w:r>
        <w:rPr>
          <w:sz w:val="20"/>
          <w:szCs w:val="20"/>
          <w:color w:val="auto"/>
        </w:rPr>
        <w:tab/>
      </w:r>
      <w:r>
        <w:rPr>
          <w:rFonts w:ascii="Times New Roman" w:cs="Times New Roman" w:eastAsia="Times New Roman" w:hAnsi="Times New Roman"/>
          <w:sz w:val="19"/>
          <w:szCs w:val="19"/>
          <w:u w:val="single" w:color="auto"/>
          <w:color w:val="3F3F3F"/>
        </w:rPr>
        <w:t>Exhibits and Financial Statement Schedules</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u w:val="single" w:color="auto"/>
          <w:color w:val="3F3F3F"/>
        </w:rPr>
        <w:t>Item 16.</w:t>
      </w:r>
      <w:r>
        <w:rPr>
          <w:sz w:val="20"/>
          <w:szCs w:val="20"/>
          <w:color w:val="auto"/>
        </w:rPr>
        <w:tab/>
      </w:r>
      <w:r>
        <w:rPr>
          <w:rFonts w:ascii="Times New Roman" w:cs="Times New Roman" w:eastAsia="Times New Roman" w:hAnsi="Times New Roman"/>
          <w:sz w:val="19"/>
          <w:szCs w:val="19"/>
          <w:u w:val="single" w:color="auto"/>
          <w:color w:val="3F3F3F"/>
        </w:rPr>
        <w:t>Form 10-K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-212725</wp:posOffset>
                </wp:positionH>
                <wp:positionV relativeFrom="paragraph">
                  <wp:posOffset>-137160</wp:posOffset>
                </wp:positionV>
                <wp:extent cx="69532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499pt,-10.7999pt" to="38pt,-10.7999pt" o:allowincell="f" strokecolor="#000000" strokeweight="1pt"/>
            </w:pict>
          </mc:Fallback>
        </mc:AlternateConten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5</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7</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9</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33</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66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66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68</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69</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70</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72</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73</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99</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102</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158</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158</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159</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164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165</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165</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165</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165</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165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166</w:t>
      </w:r>
    </w:p>
    <w:p>
      <w:pPr>
        <w:spacing w:after="0" w:line="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3F3F3F"/>
        </w:rPr>
        <w:t>169</w:t>
      </w:r>
    </w:p>
    <w:p>
      <w:pPr>
        <w:spacing w:after="0" w:line="200" w:lineRule="exact"/>
        <w:rPr>
          <w:sz w:val="20"/>
          <w:szCs w:val="20"/>
          <w:color w:val="auto"/>
        </w:rPr>
      </w:pPr>
    </w:p>
    <w:p>
      <w:pPr>
        <w:sectPr>
          <w:pgSz w:w="12240" w:h="15840" w:orient="portrait"/>
          <w:cols w:equalWidth="0" w:num="2">
            <w:col w:w="8720" w:space="720"/>
            <w:col w:w="700"/>
          </w:cols>
          <w:pgMar w:left="960" w:top="831"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140"/>
          </w:cols>
          <w:pgMar w:left="960" w:top="831" w:right="1140" w:bottom="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INTRODUCTORY NOTE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financial statements and other disclosures contained in this Annual Report on Form 10-K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used in this Annual Report on Form 10-K, unless the context otherwise requires, references to:</w:t>
      </w:r>
    </w:p>
    <w:p>
      <w:pPr>
        <w:spacing w:after="0" w:line="210" w:lineRule="exact"/>
        <w:rPr>
          <w:sz w:val="20"/>
          <w:szCs w:val="20"/>
          <w:color w:val="auto"/>
        </w:rPr>
      </w:pPr>
    </w:p>
    <w:p>
      <w:pPr>
        <w:ind w:left="720" w:right="40" w:hanging="360"/>
        <w:spacing w:after="0" w:line="25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63" w:lineRule="exact"/>
        <w:rPr>
          <w:rFonts w:ascii="Times New Roman" w:cs="Times New Roman" w:eastAsia="Times New Roman" w:hAnsi="Times New Roman"/>
          <w:sz w:val="20"/>
          <w:szCs w:val="20"/>
          <w:color w:val="auto"/>
        </w:rPr>
      </w:pPr>
    </w:p>
    <w:p>
      <w:pPr>
        <w:ind w:left="720" w:hanging="360"/>
        <w:spacing w:after="0" w:line="25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68" w:lineRule="exact"/>
        <w:rPr>
          <w:rFonts w:ascii="Times New Roman" w:cs="Times New Roman" w:eastAsia="Times New Roman" w:hAnsi="Times New Roman"/>
          <w:sz w:val="20"/>
          <w:szCs w:val="20"/>
          <w:color w:val="auto"/>
        </w:rPr>
      </w:pPr>
    </w:p>
    <w:p>
      <w:pPr>
        <w:ind w:left="720" w:hanging="360"/>
        <w:spacing w:after="0" w:line="253"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75" w:lineRule="exact"/>
        <w:rPr>
          <w:rFonts w:ascii="Times New Roman" w:cs="Times New Roman" w:eastAsia="Times New Roman" w:hAnsi="Times New Roman"/>
          <w:sz w:val="20"/>
          <w:szCs w:val="20"/>
          <w:color w:val="auto"/>
        </w:rPr>
      </w:pPr>
    </w:p>
    <w:p>
      <w:pPr>
        <w:ind w:left="720" w:right="80" w:hanging="360"/>
        <w:spacing w:after="0" w:line="26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63" w:lineRule="exact"/>
        <w:rPr>
          <w:rFonts w:ascii="Times New Roman" w:cs="Times New Roman" w:eastAsia="Times New Roman" w:hAnsi="Times New Roman"/>
          <w:sz w:val="20"/>
          <w:szCs w:val="20"/>
          <w:color w:val="auto"/>
        </w:rPr>
      </w:pPr>
    </w:p>
    <w:p>
      <w:pPr>
        <w:jc w:val="both"/>
        <w:ind w:left="720" w:right="40" w:hanging="360"/>
        <w:spacing w:after="0" w:line="271" w:lineRule="auto"/>
        <w:tabs>
          <w:tab w:leader="none" w:pos="7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“LLC Interests” refer to the single class of common membership interests of TWM LLC. LLC Interests, other than those held directly or indirectly by Tradeweb Markets Inc., are redeemable or exchangeable in accordance with the TWM LLC Agreement for shares of Class A common stock or Class B common stock, as the case may be, on a one-for-one basis.</w:t>
      </w:r>
    </w:p>
    <w:p>
      <w:pPr>
        <w:ind w:left="720"/>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66" w:lineRule="exact"/>
        <w:rPr>
          <w:rFonts w:ascii="Times New Roman" w:cs="Times New Roman" w:eastAsia="Times New Roman" w:hAnsi="Times New Roman"/>
          <w:sz w:val="19"/>
          <w:szCs w:val="19"/>
          <w:color w:val="auto"/>
        </w:rPr>
      </w:pPr>
    </w:p>
    <w:p>
      <w:pPr>
        <w:ind w:left="720" w:right="64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440"/>
          </w:cols>
          <w:pgMar w:left="900" w:top="831" w:right="900" w:bottom="0" w:gutter="0" w:footer="0" w:header="0"/>
          <w:type w:val="continuous"/>
        </w:sectPr>
      </w:pPr>
    </w:p>
    <w:bookmarkStart w:id="13" w:name="page14"/>
    <w:bookmarkEnd w:id="13"/>
    <w:p>
      <w:pPr>
        <w:ind w:left="720" w:right="80" w:hanging="36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“LSEG” refer to London Stock Exchange Group plc, and unless otherwise stated or the context otherwise requires, all of its direct and indirect subsidiaries, including Refinitiv.</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“Original LLC Owners” refer to the owners of TWM LLC prior to the Reorganization Transactions.</w:t>
      </w:r>
    </w:p>
    <w:p>
      <w:pPr>
        <w:spacing w:after="0" w:line="210" w:lineRule="exact"/>
        <w:rPr>
          <w:rFonts w:ascii="Times New Roman" w:cs="Times New Roman" w:eastAsia="Times New Roman" w:hAnsi="Times New Roman"/>
          <w:sz w:val="20"/>
          <w:szCs w:val="20"/>
          <w:color w:val="auto"/>
        </w:rPr>
      </w:pPr>
    </w:p>
    <w:p>
      <w:pPr>
        <w:ind w:left="720" w:hanging="360"/>
        <w:spacing w:after="0" w:line="25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68" w:lineRule="exact"/>
        <w:rPr>
          <w:rFonts w:ascii="Times New Roman" w:cs="Times New Roman" w:eastAsia="Times New Roman" w:hAnsi="Times New Roman"/>
          <w:sz w:val="20"/>
          <w:szCs w:val="20"/>
          <w:color w:val="auto"/>
        </w:rPr>
      </w:pPr>
    </w:p>
    <w:p>
      <w:pPr>
        <w:ind w:left="720" w:right="200" w:hanging="360"/>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55" w:lineRule="exact"/>
        <w:rPr>
          <w:rFonts w:ascii="Times New Roman" w:cs="Times New Roman" w:eastAsia="Times New Roman" w:hAnsi="Times New Roman"/>
          <w:sz w:val="20"/>
          <w:szCs w:val="20"/>
          <w:color w:val="auto"/>
        </w:rPr>
      </w:pPr>
    </w:p>
    <w:p>
      <w:pPr>
        <w:ind w:left="720" w:right="40" w:hanging="36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“Thomson Reuters” or “TR” refer to Thomson Reuters Corporation, which prior to the LSEG Transaction indirectly held a 45% ownership interest in Refinitiv.</w:t>
      </w:r>
    </w:p>
    <w:p>
      <w:pPr>
        <w:spacing w:after="0" w:line="1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Numerical figures included in this Annual Report on Form 10-K have been subject to rounding adjustments. Accordingly, numerical figures shown as totals in various tables may not be arithmetic aggregations of the figures that precede them. In addition, we round certain percentages presented in this Annual Report on Form 10-K to the nearest whole number. As a result, figures expressed as percentages in the text may not total 100% or, when aggregated, may not be the arithmetic aggregation of the percentages that precede them.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and Industry Data</w:t>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This Annual Report on Form 10-K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is based on certain assumptions that we believe to be reasonable. In particular, to calculate our market position, market opportunity and market size we derived the size of the applicable market from a combination of management estimates, public filings and statements of competitors and public industry sources, including FINRA’s Trade Reporting and Compliance Engine (“TRACE”), the Securities Industry and Financial Markets Association (“SIFMA”), Clarus Financial Technology, the Federal Reserve Bank of New York, Flow Traders, Coalition Greenwich, the Association for Financial Markets in Europe (“AFME”), the Japan Securities Deal Association, the China Foreign Exchange Trade System (“CFETS”) and the Emerging Markets Trade Association (“EMTA”). In calculating the size of certain markets, we omitted products for which there is no publicly available data, and, as a result, the actual markets for certain of our asset classes may be larger than those presented herein.</w:t>
      </w:r>
    </w:p>
    <w:p>
      <w:pPr>
        <w:spacing w:after="0" w:line="1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Annual Report on Form 10-K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“Cautionary Note Regarding Forward-Looking Statements” and Part I, Item 1A.</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 “Risk Factors.”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and we have not independently verified any third-party information and data from our internal research has not been verified by any independent source.</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440"/>
          </w:cols>
          <w:pgMar w:left="900" w:top="838" w:right="90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Certain Trademarks, Trade Names and Service Marks</w:t>
      </w:r>
    </w:p>
    <w:p>
      <w:pPr>
        <w:spacing w:after="0" w:line="2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This Annual Report on Form 10-K includes trademarks and service marks owned by us. This Annual Report on Form 10-K also contains trademarks, trade names and service marks of other companies, which are the property of their respective owners. Solely for convenience, trademarks, trade names and service marks referred to in this Annual Report on Form 10-K may appear without the ®, ™ or SM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21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This Annual Report on Form 10-K contains “non-GAAP financial measures,” which are financial measures that are not calculated and presented in accordance with accounting principles generally accepted in the United States of America (“GAAP”).</w:t>
      </w:r>
    </w:p>
    <w:p>
      <w:pPr>
        <w:spacing w:after="0" w:line="14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55" w:lineRule="exact"/>
        <w:rPr>
          <w:sz w:val="20"/>
          <w:szCs w:val="20"/>
          <w:color w:val="auto"/>
        </w:rPr>
      </w:pPr>
    </w:p>
    <w:p>
      <w:pPr>
        <w:ind w:left="720" w:right="300" w:hanging="36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presentation with equal or greater prominence of the most comparable financial measure or measures calculated and presented in accordance with GAAP; and</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disclosing the purposes for which the registrant’s management uses the non-GAAP financial measure.</w:t>
      </w:r>
    </w:p>
    <w:p>
      <w:pPr>
        <w:spacing w:after="0" w:line="21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II, Item 7. – “Management’s Discussion and Analysis of Financial Condition and Results of Operations – 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II, Item 7. – “Management’s Discussion and Analysis of Financial Condition and Results of Operations – Non-GAAP Financial Measures.” For the definition of constant currency revenue change, see Part II, Item 7. – “Management’s Discussion and Analysis of Financial Condition and Results of Operations – 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II, Item 7. – “Management’s Discussion and Analysis of Financial Condition and Results of Operations – 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7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20"/>
          <w:szCs w:val="20"/>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73"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20"/>
          <w:szCs w:val="20"/>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provides useful comparisons of our performance and trends between periods.</w:t>
      </w:r>
    </w:p>
    <w:p>
      <w:pPr>
        <w:sectPr>
          <w:pgSz w:w="12240" w:h="15840" w:orient="portrait"/>
          <w:cols w:equalWidth="0" w:num="1">
            <w:col w:w="10440"/>
          </w:cols>
          <w:pgMar w:left="900" w:top="831" w:right="900" w:bottom="0" w:gutter="0" w:footer="0" w:header="0"/>
        </w:sect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440"/>
          </w:cols>
          <w:pgMar w:left="900" w:top="831" w:right="900" w:bottom="0" w:gutter="0" w:footer="0" w:header="0"/>
          <w:type w:val="continuous"/>
        </w:sectPr>
      </w:pPr>
    </w:p>
    <w:bookmarkStart w:id="15" w:name="page16"/>
    <w:bookmarkEnd w:id="15"/>
    <w:p>
      <w:pPr>
        <w:ind w:right="180"/>
        <w:spacing w:after="0" w:line="260" w:lineRule="auto"/>
        <w:rPr>
          <w:sz w:val="20"/>
          <w:szCs w:val="20"/>
          <w:color w:val="auto"/>
        </w:rPr>
      </w:pPr>
      <w:r>
        <w:rPr>
          <w:rFonts w:ascii="Times New Roman" w:cs="Times New Roman" w:eastAsia="Times New Roman" w:hAnsi="Times New Roman"/>
          <w:sz w:val="20"/>
          <w:szCs w:val="20"/>
          <w:color w:val="auto"/>
        </w:rPr>
        <w:t>We use Adjusted Net Income and Adjusted Diluted EPS as supplemental metrics to evaluate our business performance in a way that also considers our ability to generate profit without the impact of certain items. Each of the adjustments described in the definition of Adjusted Net Income helps to provide management with a measure of our operating performance over time by removing items that are not related to day-to-day operations or are non-cash expenses.</w:t>
      </w:r>
    </w:p>
    <w:p>
      <w:pPr>
        <w:spacing w:after="0" w:line="16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63" w:lineRule="exact"/>
        <w:rPr>
          <w:sz w:val="20"/>
          <w:szCs w:val="20"/>
          <w:color w:val="auto"/>
        </w:rPr>
      </w:pPr>
    </w:p>
    <w:p>
      <w:pPr>
        <w:ind w:left="720" w:right="420" w:hanging="36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 Adjusted EBITDA, Adjusted EBIT, Adjusted Net Income and Adjusted Diluted EPS do not reflect every expenditure, future requirements for capital expenditures or contractual commitments;</w:t>
      </w:r>
    </w:p>
    <w:p>
      <w:pPr>
        <w:spacing w:after="0" w:line="141" w:lineRule="exact"/>
        <w:rPr>
          <w:rFonts w:ascii="Times New Roman" w:cs="Times New Roman" w:eastAsia="Times New Roman" w:hAnsi="Times New Roman"/>
          <w:sz w:val="20"/>
          <w:szCs w:val="20"/>
          <w:color w:val="auto"/>
        </w:rPr>
      </w:pPr>
    </w:p>
    <w:p>
      <w:pPr>
        <w:ind w:left="720" w:right="560" w:hanging="36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Adjusted EBIT, Adjusted Net Income and Adjusted Diluted EPS do not reflect changes in our working capital needs;</w:t>
      </w:r>
    </w:p>
    <w:p>
      <w:pPr>
        <w:spacing w:after="0" w:line="14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and Adjusted EBIT do not reflect any interest income or expense, or the amounts necessary to service interest or principal payments on any debt obligations;</w:t>
      </w:r>
    </w:p>
    <w:p>
      <w:pPr>
        <w:spacing w:after="0" w:line="141" w:lineRule="exact"/>
        <w:rPr>
          <w:rFonts w:ascii="Times New Roman" w:cs="Times New Roman" w:eastAsia="Times New Roman" w:hAnsi="Times New Roman"/>
          <w:sz w:val="20"/>
          <w:szCs w:val="20"/>
          <w:color w:val="auto"/>
        </w:rPr>
      </w:pPr>
    </w:p>
    <w:p>
      <w:pPr>
        <w:ind w:left="720" w:right="100" w:hanging="36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and Adjusted EBIT do not reflect income tax expense, which is a necessary element of our costs and ability to operate;</w:t>
      </w:r>
    </w:p>
    <w:p>
      <w:pPr>
        <w:spacing w:after="0" w:line="141" w:lineRule="exact"/>
        <w:rPr>
          <w:rFonts w:ascii="Times New Roman" w:cs="Times New Roman" w:eastAsia="Times New Roman" w:hAnsi="Times New Roman"/>
          <w:sz w:val="20"/>
          <w:szCs w:val="20"/>
          <w:color w:val="auto"/>
        </w:rPr>
      </w:pPr>
    </w:p>
    <w:p>
      <w:pPr>
        <w:jc w:val="both"/>
        <w:ind w:left="720" w:right="40" w:hanging="360"/>
        <w:spacing w:after="0" w:line="26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63" w:lineRule="exact"/>
        <w:rPr>
          <w:rFonts w:ascii="Times New Roman" w:cs="Times New Roman" w:eastAsia="Times New Roman" w:hAnsi="Times New Roman"/>
          <w:sz w:val="20"/>
          <w:szCs w:val="20"/>
          <w:color w:val="auto"/>
        </w:rPr>
      </w:pPr>
    </w:p>
    <w:p>
      <w:pPr>
        <w:ind w:left="720" w:right="720" w:hanging="360"/>
        <w:spacing w:after="0" w:line="281"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Adjusted EBIT, Adjusted Net Income and Adjusted Diluted EPS do not reflect the non-cash component of certain employee stock-based compensation expense and associated payroll taxes;</w:t>
      </w:r>
    </w:p>
    <w:p>
      <w:pPr>
        <w:spacing w:after="0" w:line="141" w:lineRule="exact"/>
        <w:rPr>
          <w:rFonts w:ascii="Times New Roman" w:cs="Times New Roman" w:eastAsia="Times New Roman" w:hAnsi="Times New Roman"/>
          <w:sz w:val="20"/>
          <w:szCs w:val="20"/>
          <w:color w:val="auto"/>
        </w:rPr>
      </w:pPr>
    </w:p>
    <w:p>
      <w:pPr>
        <w:jc w:val="both"/>
        <w:ind w:left="720" w:right="680" w:hanging="360"/>
        <w:spacing w:after="0" w:line="266"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5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constant currency measures do not reflect the impact of foreign currency fluctuations; and</w:t>
      </w:r>
    </w:p>
    <w:p>
      <w:pPr>
        <w:spacing w:after="0" w:line="210" w:lineRule="exact"/>
        <w:rPr>
          <w:rFonts w:ascii="Times New Roman" w:cs="Times New Roman" w:eastAsia="Times New Roman" w:hAnsi="Times New Roman"/>
          <w:sz w:val="20"/>
          <w:szCs w:val="20"/>
          <w:color w:val="auto"/>
        </w:rPr>
      </w:pPr>
    </w:p>
    <w:p>
      <w:pPr>
        <w:ind w:left="720" w:right="120" w:hanging="360"/>
        <w:spacing w:after="0" w:line="266"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55"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19"/>
          <w:szCs w:val="19"/>
          <w:color w:val="auto"/>
        </w:rPr>
        <w:t>We compensate for these limitations by relying primarily on our GAAP results and using Free Cash Flow, Adjusted EBITDA, Adjusted EBIT, Adjusted Net Income, Adjusted Diluted EPS and constant currency measures only as supplemental information.</w:t>
      </w:r>
    </w:p>
    <w:p>
      <w:pPr>
        <w:sectPr>
          <w:pgSz w:w="12240" w:h="15840" w:orient="portrait"/>
          <w:cols w:equalWidth="0" w:num="1">
            <w:col w:w="10400"/>
          </w:cols>
          <w:pgMar w:left="900" w:top="8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400"/>
          </w:cols>
          <w:pgMar w:left="900" w:top="838" w:right="940" w:bottom="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acquisitions, investments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Annual Report on Form 10-K, including under Part I, Item 1. – “Business,” Part I, Item 1A. – “Risk Factors” and Part II, Item 7. – “Management’s Discussion and Analysis of Financial Condition and Results of Operations” are forward-looking statements.</w:t>
      </w:r>
    </w:p>
    <w:p>
      <w:pPr>
        <w:spacing w:after="0" w:line="17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Annual Report on Form 10-K under Part I, Item 1. – “Business,” Part I, Item 1A. – “Risk Factors” and Part II, Item 7. – “Management’s Discussion and Analysis of Financial Condition and Results of Operations,” may cause our actual results, performance or achievements to differ materially from those expressed or implied by these forward-looking statements, or could affect our stock price.</w:t>
      </w:r>
    </w:p>
    <w:p>
      <w:pPr>
        <w:spacing w:after="0" w:line="170"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Some of the factors that could cause actual results to differ materially from those expressed or implied by the forward-looking statements include:</w:t>
      </w:r>
    </w:p>
    <w:p>
      <w:pPr>
        <w:spacing w:after="0" w:line="141" w:lineRule="exact"/>
        <w:rPr>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economic, political, social and market conditions and the impact of these changes on trading volumes;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compete successfully;</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adapt our business effectively to keep pace with industry and technological changes;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and concentration in the financial services industry;</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dealer clients;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defects, errors, failures or delays with our platform or solutions;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third parties for certain market data and certain key functions;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business strategies profitably;</w:t>
      </w:r>
    </w:p>
    <w:p>
      <w:pPr>
        <w:spacing w:after="0" w:line="210" w:lineRule="exact"/>
        <w:rPr>
          <w:rFonts w:ascii="Times New Roman" w:cs="Times New Roman" w:eastAsia="Times New Roman" w:hAnsi="Times New Roman"/>
          <w:sz w:val="20"/>
          <w:szCs w:val="20"/>
          <w:color w:val="auto"/>
        </w:rPr>
      </w:pPr>
    </w:p>
    <w:p>
      <w:pPr>
        <w:ind w:left="720" w:right="140" w:hanging="360"/>
        <w:spacing w:after="0" w:line="28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integrate any acquisition or to realize benefits from any strategic alliances, partnerships, joint ventures or investments;</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cryptocurrency and other digital assets;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maintain and grow the capacity of our trading platform, systems and infrastructure;</w:t>
      </w:r>
    </w:p>
    <w:p>
      <w:pPr>
        <w:spacing w:after="0" w:line="210" w:lineRule="exact"/>
        <w:rPr>
          <w:rFonts w:ascii="Times New Roman" w:cs="Times New Roman" w:eastAsia="Times New Roman" w:hAnsi="Times New Roman"/>
          <w:sz w:val="20"/>
          <w:szCs w:val="20"/>
          <w:color w:val="auto"/>
        </w:rPr>
      </w:pPr>
    </w:p>
    <w:p>
      <w:pPr>
        <w:ind w:left="720" w:right="780" w:hanging="360"/>
        <w:spacing w:after="0" w:line="28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systems failures, interruptions, delays in services, cybersecurity incidents, catastrophic events and any resulting interruptions;</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inadequate protection of our intellectual property;</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extensive regulation of our industry;</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the services of our senior management team;</w:t>
      </w:r>
    </w:p>
    <w:p>
      <w:pPr>
        <w:spacing w:after="0" w:line="210" w:lineRule="exact"/>
        <w:rPr>
          <w:rFonts w:ascii="Times New Roman" w:cs="Times New Roman" w:eastAsia="Times New Roman" w:hAnsi="Times New Roman"/>
          <w:sz w:val="20"/>
          <w:szCs w:val="20"/>
          <w:color w:val="auto"/>
        </w:rPr>
      </w:pPr>
    </w:p>
    <w:p>
      <w:pPr>
        <w:jc w:val="both"/>
        <w:ind w:left="720" w:right="100" w:hanging="360"/>
        <w:spacing w:after="0" w:line="266"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ectPr>
          <w:pgSz w:w="12240" w:h="15840" w:orient="portrait"/>
          <w:cols w:equalWidth="0" w:num="1">
            <w:col w:w="10420"/>
          </w:cols>
          <w:pgMar w:left="900" w:top="831" w:right="920"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420"/>
          </w:cols>
          <w:pgMar w:left="900" w:top="831" w:right="920" w:bottom="0" w:gutter="0" w:footer="0" w:header="0"/>
          <w:type w:val="continuous"/>
        </w:sectPr>
      </w:pPr>
    </w:p>
    <w:bookmarkStart w:id="17" w:name="page18"/>
    <w:bookmarkEnd w:id="17"/>
    <w:p>
      <w:pPr>
        <w:jc w:val="both"/>
        <w:ind w:left="720" w:right="420" w:hanging="360"/>
        <w:spacing w:after="0" w:line="266"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5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realize any benefit from our organizational structure;</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LSEG’s control of us and our status as a controlled company; and</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and uncertainties, including those listed under Part I, Item 1A. – “Risk Factors.”</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Given these risks and uncertainties, you are cautioned not to place undue reliance on such forward-looking statements. The forward-looking statements contained in this Annual Report on Form 10-K are not guarantees of future events or performance and future events, our actual results of operations, financial condition or liquidity, and the development of the industry and markets in which we operate, may differ materially from the forward-looking statements contained in this Annual Report on Form 10-K. In addition, even if future events, our results of operations, financial condition or liquidity, and events in the industry and markets in which we operate, are consistent with the forward-looking statements contained in this Annual Report on Form 10-K, they may not be predictive of events, results or developments in future periods.</w:t>
      </w:r>
    </w:p>
    <w:p>
      <w:pPr>
        <w:spacing w:after="0" w:line="17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420"/>
          </w:cols>
          <w:pgMar w:left="900" w:top="838" w:right="920" w:bottom="0" w:gutter="0" w:footer="0" w:header="0"/>
          <w:type w:val="continuous"/>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are a leader in building and operating electronic marketplaces for our global network of clients across the financial ecosystem. Our network is comprised of more than 3,000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The Tradeweb platform includes marketplaces that facilitate trading global products across a range of asset classes, including rates, credit, equities and money markets. We support our clients by providing solutions across the trade lifecycle, including pre-trade, execution, post-trade and data and analytics. We are a global company serving clients in over 85 countries with offices in North America, South America, Europe, Australia, Asia and the Middle East. In addition, we currently support trading across over 30 currencies globally. Through our platform we offer our clients deep liquidity, advanced technology and a broad range of intelligent data solutions designed to support enhanced price discovery, order execution and streamlined trade workflows helping to reduce risks in client trading operations. We believe our proprietary technology and culture of collaborative innovation allow us to adapt our offerings to enter new markets, create new electronic marketplaces and solutions and adjust to regulations quickly and efficiently.</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 provides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 and electronic trading solutions will continue to grow.</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There are multiple key dimensions to the electronic marketplaces that we build and operate to provide deep pools of liquidity. Foundationally, these begin with our clients and then expand through and across multiple client sectors, geographic regions, asset classes, product groups, trading protocols and trade lifecycle solutions. As our network continues to grow across client sectors and geographies, we expect to generate additional transactions and data on our platform, driving a virtuous cycle of greater liquidity and value for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142875</wp:posOffset>
            </wp:positionV>
            <wp:extent cx="3429000" cy="2236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3429000" cy="223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We have built, and continue to invest in,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order, risk and treasury management systems, accounting systems, clearinghouses, trade repositories, middleware providers and other important links in the trading value chain. These qualities allow us to be quick to market with new offerings, to constantly enhance our existing platform and solutions and to collect a robust set of data and analytics to support our marketplaces.</w:t>
      </w:r>
    </w:p>
    <w:p>
      <w:pPr>
        <w:sectPr>
          <w:pgSz w:w="12240" w:h="15840" w:orient="portrait"/>
          <w:cols w:equalWidth="0" w:num="1">
            <w:col w:w="10420"/>
          </w:cols>
          <w:pgMar w:left="900" w:top="83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420"/>
          </w:cols>
          <w:pgMar w:left="900" w:top="831" w:right="920" w:bottom="0" w:gutter="0" w:footer="0" w:header="0"/>
          <w:type w:val="continuous"/>
        </w:sectPr>
      </w:pPr>
    </w:p>
    <w:bookmarkStart w:id="19" w:name="page20"/>
    <w:bookmarkEnd w:id="19"/>
    <w:p>
      <w:pPr>
        <w:ind w:right="40"/>
        <w:spacing w:after="0" w:line="253" w:lineRule="auto"/>
        <w:rPr>
          <w:sz w:val="20"/>
          <w:szCs w:val="20"/>
          <w:color w:val="auto"/>
        </w:rPr>
      </w:pPr>
      <w:r>
        <w:rPr>
          <w:rFonts w:ascii="Times New Roman" w:cs="Times New Roman" w:eastAsia="Times New Roman" w:hAnsi="Times New Roman"/>
          <w:sz w:val="20"/>
          <w:szCs w:val="20"/>
          <w:color w:val="auto"/>
        </w:rPr>
        <w:t>As a company focused on technology serving the financial markets, we embrace a balanced strategy of evolution and innovation. We see significant opportunity to use technology and innovation to electronify more areas of the fixed income markets over the coming years alongside our dealers and clients. During 2025, we continued to strategically invest in technology that we expect to help advance our business, including entering into minority investments, commercial agreements and strategic partnerships with companies including in the blockchain infrastructure and digital asset spaces. This strategy allows us to leverage and benefit from the technical expertise of our partners, without having to make as significant of an investment in research and development purely in-house. Our expansion in emerging markets also continued in 2025 with the addition of clients and enhanced product offerings across Latin America and the Middle East. By expanding the scope of our platform and solutions, building scale and integration across marketplaces and benefiting from broader network effects, we have continued to grow both our transaction volume and subscription-based revenues year-over-year. With a track record of growth and strong financial performance, we are excited about opportunities to continue to engage with our clients and to expand our multi-asset class footprint in the future. We remain focused on balancing revenue growth and margin expansion to create long-term value for stockholders.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Evolution</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were founded in 1996 and set out to solve for inefficiencies in institutional U.S. Treasury trading workflows, including limited price transparency, weak connectivity among market participants and error-prone manual processes. Our first electronic marketplace went live in 1998, and for more than 25 years we have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Asia and most recently in Australia, Africa, South America and the Middle East.</w:t>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We identified an opportunity to complement our offerings to the wholesale and retail client sectors based on our existing relationships with dealers and our strong market position. We entered the wholesale client sector through the acquisitions of Hilliard Farber &amp; Co. in 2008 and then Rafferty Capital Markets in 2011, and developed technology to facilitate the migration of inefficient wholesale voice markets to more efficient and transparent electronic markets. We entered the retail market through our acquisition of LeverTrade in 2006, scaled our retail market position through our acquisition of BondDesk in 2013, and have continued to leverage our market and technology expertise to enhance our offerings in serving that client sector.</w:t>
      </w:r>
    </w:p>
    <w:p>
      <w:pPr>
        <w:spacing w:after="0" w:line="1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June 2021, we acquired Nasdaq’s U.S. fixed income electronic trading platform. The addition of this fully-electronic CLOB (central limit order book) offers a flexible, efficient approach to trading in the wholesale U.S. Treasury market. In August 2023, we acquired Tradeweb Australia Pty Ltd (formerly Yieldbroker Pty Limited) (“Yieldbroker”), a leading Australian trading platform for Australian and New Zealand government bonds and interest rate derivatives covering the institutional and wholesale client sectors. This acquisition combined Australia and New Zealand’s highly attractive, fast-growing markets with Tradeweb’s international reach and scale.</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More broadly, market participants are increasingly taking a whole market view of the trading landscape and are seeking ways to deploy cross-asset strategies more efficiently and frequently than ever. To that end, in January 2024, we acquired R8FIN Holdings LP (together with its subsidiaries, “r8fin”), an algorithmic technology provider that, among other things, facilitates multi-legged trades between the U.S. Treasury cash and interest rates futures markets. These types of workflow innovations help to make it easier for market participants to seamlessly express a view across multiple markets, effectively closing the gaps between asset classes, and this acquisition helped move us closer to a one-stop shop approach for trading across asset classes.</w:t>
      </w:r>
    </w:p>
    <w:p>
      <w:pPr>
        <w:spacing w:after="0" w:line="168"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9"/>
          <w:szCs w:val="19"/>
          <w:color w:val="auto"/>
        </w:rPr>
        <w:t>In August 2024, we expanded into the corporates client sector through our acquisition of Institutional Cash Distributors (“ICD”), an institutional investment technology provider for corporate treasury organizations trading short-term investments. The addition of ICD to our platform broadened our product suite, further diversified our client and revenue bases and strengthened our position in the corporate treasury space, enabling us to provide a more comprehensive range of liquidity management tools and services.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440"/>
          </w:cols>
          <w:pgMar w:left="900" w:top="838" w:right="900" w:bottom="0" w:gutter="0" w:footer="0" w:header="0"/>
          <w:type w:val="continuous"/>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20"/>
          <w:szCs w:val="20"/>
          <w:color w:val="auto"/>
        </w:rPr>
        <w:t>Throughout our evolution we have developed many new innovations that have provided enhanced order management workflows, greater pre-trade price transparency, better execution quality and seamless post-trade solutions. Such innovations include the introduction of pre-trade composite pricing for multi-dealer-to-customer (“D2C”) trading, the Request-for-Quote (“RFQ”) trading protocol across all of our asset classes, the Request-for-Market (“RFM”) trading protocol across our swaps, government bonds, equities and corporate bond marketplaces, the blast all-to-all (“A2A”) trading protocol across our global credit marketplaces, the portfolio trading protocol across our global credit and European government bond marketplaces and leading electronic sweep protocols for dealer-to-dealer (“D2D”) transactions, among others. We have also integrated our trading platform with many of our clients’ order, risk and treasury management and accounting systems for efficient pre- and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services, asset classes and geographies, while growing our powerful network of clients.</w:t>
      </w:r>
    </w:p>
    <w:p>
      <w:pPr>
        <w:spacing w:after="0" w:line="17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9"/>
          <w:szCs w:val="19"/>
          <w:color w:val="auto"/>
        </w:rPr>
        <w:t>While our cornerstone products continue to be some of the first products we launched, including U.S. Treasuries, European government bonds and To-Be-Announced mortgage-backed securities (“TBA MBS”), we have continued to solve trading inefficiencies by adding new global products across our rates, credit, equities and money markets asset classes. As a result of expanding our offerings, we have increased our opportunities in related addressable markets, where estimated average daily trading volumes for the types of asset classes traded on our platform, excluding our ICD Portal, have grown from approximately $4.2 trillion in 2016 to $10.0 trillion through December 31, 2025, according to industry sources and management estimates.</w:t>
      </w:r>
    </w:p>
    <w:p>
      <w:pPr>
        <w:spacing w:after="0" w:line="1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With over a decade since our launch of U.S. credit trading, revenues from our overall credit asset class have grown to $488.0 million for the year ended December 31, 2025, underscoring the long-term growth and client engagement in this asset class. Looking ahead, U.S. credit remains one of our biggest areas of focus and we believe we are well positioned across our client channels, with a long runway for growth and ample opportunity to innovate alongside our clients. Our strategy is focused on, among other things, expanding our network, increasing our market share, increasing electronification of our markets, enhancing our pre- and post-trade analytics and continuously improving our protocols and client experience.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Network of Clients, Products, Geographies and Protocols</w:t>
      </w:r>
    </w:p>
    <w:p>
      <w:pPr>
        <w:spacing w:after="0" w:line="2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clients continue to trade on our platform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Our average daily volume traded on our platform has increased 213% to $2.6 trillion for the year ended December 31, 2025 compared to $0.8 trillion for the year ended December 31, 2020. We expect our existing clients to continue to trade more volume on our platform and to attract new users to our already powerful network, as liquidity on our marketplaces continues to grow and we offer more products and value-added solutions. The breadth of our network, diversity of our products and clients, global presence and embedded scalable technology offers us unique insights and an established platform to swiftly enter additional markets and offer new value-added solutions. This is supported by more than 25 years of successful innovation and long trusted relationships with our clients.</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We are a leader in making trading and the associated workflow more efficient for market participants. Based on industry sources and management estimates, we believe that we are a market leader in electronic trading for the following products: U.S. Treasuries, U.S. High-Grade credit, TBA MBS, European government bonds, global interest rate swaps, European exchange traded funds (“ETFs”) and U.S. institutional money market funds. We cover all major client sectors participating in electronic trading, including the institutional, wholesale, retail and corporates client sectors. In addition, we provide a full spectrum of trading protocols including voice, sweeps (session-based trading), RFQ, RFM, CLOB, A2A and portfolio trading, among others, and many of our protocols utilize Automated Intelligent Execution (“AiEX”). See “—Our Solutions” below for additional information.</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We believe the breadth of our offerings, experience and client relationships provides us with unique market feedback and enables us to enter new markets with higher probabilities of success and greater speed. Many of our markets are interwoven and we provide participants trading capabilities across multiple products through a single relationship. We cover our more than 3,000 global clients through offices in North America, South America, Europe, Australia, Asia and the Middle East and a global trading network that is distributed throughout the world in over 85 countries across the Americas, EMEA (Europe, Middle East and Africa) and APAC (Asia Pacific) regions.</w:t>
      </w:r>
    </w:p>
    <w:p>
      <w:pPr>
        <w:sectPr>
          <w:pgSz w:w="12240" w:h="15840" w:orient="portrait"/>
          <w:cols w:equalWidth="0" w:num="1">
            <w:col w:w="10400"/>
          </w:cols>
          <w:pgMar w:left="900" w:top="8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400"/>
          </w:cols>
          <w:pgMar w:left="900" w:top="838" w:right="94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i w:val="1"/>
          <w:iCs w:val="1"/>
          <w:color w:val="auto"/>
        </w:rPr>
        <w:t>Culture of Collaborative Innovation</w:t>
      </w:r>
    </w:p>
    <w:p>
      <w:pPr>
        <w:spacing w:after="0" w:line="21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We have developed trusted client relationships through a culture of collaborative innovation where we work alongside our clients to identify and help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In 2025, in collaboration with Digital Asset Holdings (“Digital Asset”) and a consortium of leading financial institutions, a first-of-its-kind, live transaction that enabled real-time, fully on-chain financing of tokenized U.S. Treasuries against USDC was completed on the Canton Network using applications provided by us. Our deep U.S. Treasury liquidity and electronic execution capabilities, combined with the Canton Network’s interoperable and decentralized framework, enabled this trade to happen outside of traditional settlement windows, on a weekend, providing true 24/7 liquidity and eliminating the limitations of off-ledger cash and market-hour restrictions seen in legacy implementations. It was an industry first and reflects the power of collaboration in building a more connected, resilient and always-on global capital market ecosystem.</w:t>
      </w:r>
    </w:p>
    <w:p>
      <w:pPr>
        <w:spacing w:after="0" w:line="17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In 2025, we also announced an expansion of our dealer algorithmic execution capabilities for U.S. Treasuries, providing institutional clients with smarter execution strategies through our comprehensive dealer algorithmic suite. Our clients increasingly want flexibility in how they access liquidity and execute orders, and this new offering allows clients to choose from dealer — currently J.P. Morgan and Morgan Stanley — and proprietary algorithmic execution strategies. We are energized by this progress and plan to continue working closely to onboard other institutional dealers to further expand our efforts in this space.</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In 2025, the first fully electronic request-for-market swaption package trade was executed on our platform. The execution of this trade marked an industry-first, enabling institutional clients to request and receive a two-way market, rather than a price based on one direction, for a series of swaptions and swaps in a single electronic quote. This trading capability can be especially beneficial for participants in derivatives markets, as it enhances transparency while simultaneously protecting client intent and shares potentially sensitive or strategically valuable trading information exclusively between counterparties.</w:t>
      </w:r>
    </w:p>
    <w:p>
      <w:pPr>
        <w:spacing w:after="0" w:line="16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Beginning in 2019, we were also the first trading platform to offer portfolio trading for corporate bonds, creating a new and efficient way for participants to move risk. With portfolio trading now a widely adopted standard for efficient execution in credit markets, during 2025, we expanded our portfolio trading functionality to the European government bond market, a significant milestone in increasing flexibility and efficiency of our institutional clients’ workflows that reflects our track record of relentless innovation. As institutional clients continue to embrace the benefits of portfolio trading, we believe there is significant potential for its use cases to expand beyond cash credit and across the fixed income spectrum.</w:t>
      </w:r>
    </w:p>
    <w:p>
      <w:pPr>
        <w:spacing w:after="0" w:line="16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Through collaborative endeavors like these, we have become deeply integrated into our clients’ workflow and become a partner of choice for new innovations. Furthermore, as artificial intelligence (“AI”) continues to shape the evolution of markets, we were pleased to welcome Sherry Marcus as our new Head of AI in May 2025. We expect her extensive experience and leadership will be instrumental in advancing our AI capabilities to new levels of sophistication.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Scalable and Flexible Technology</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Our January 2024 acquisition of the r8fin technology expanded our intelligent execution capabilities, which combines algorithmic execution and cross-market connectivity to enhance U.S. Treasuries and related futures trading. Our plans to pair this sophisticated technology with our global network is expected to open up a range of new possibilities for clients engaged in relative value or macro trades spanning multiple asset classes. We believe our ongoing investments in our technology and new product offerings position us at the forefront of the evolution of electronic trading.</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440"/>
          </w:cols>
          <w:pgMar w:left="900" w:top="829" w:right="90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auto"/>
        </w:rPr>
        <w:t>Our Global Regulatory Footprint and Domain Expertise</w:t>
      </w:r>
    </w:p>
    <w:p>
      <w:pPr>
        <w:spacing w:after="0" w:line="219"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9"/>
          <w:szCs w:val="19"/>
          <w:color w:val="auto"/>
        </w:rPr>
        <w:t>We are regulated (as necessitated by jurisdiction and applicable law) or have necessary legal clearance to offer our platform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a trading platform that meets regulatory requirements and enables connectivity to pre- and post-trade systems necessary to comply with their regulatory obligations.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 and Solutions Empowered by Data and Analytics</w:t>
      </w:r>
    </w:p>
    <w:p>
      <w:pPr>
        <w:spacing w:after="0" w:line="21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Our data and analytics enhance the value proposition of our trading platform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benefiting our current clients and attracting new market participants to our network. For example, data 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2025, the percentage of trades executed by our institutional clients using our AiEX functionality was over 40% of total institutional trades, up from 30% in 2021, and we are seeing demand for AiEX continue to grow across some of our key products, including U.S. Treasuries, European government bonds, global swaps, U.S. corporate bonds and global ETFs.</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Our over 25 year operating history has allowed us to build comprehensive and unique datasets across our markets and, as we add new products to our platform, we will continue to create new datasets that may be monetized in the future. Our marketplaces generate valuable data, processing on average over 150,000 trades and significantly more pre-trade price updates daily, that we collect centrally and use as inputs to our pre-trade indicative pricing and analytics. We maintain a full history of inquiries and transactions, which means, for example, we have over 25 years of U.S. Treasury data. With markets becoming more electronic, clients increasingly turn to our composite data for its transparency and to help improve execution, further increasing the value proposition of our data. For example, we have a market data license agreement with affiliates of LSEG, pursuant to which LSEG distributes certain of our data directly to LSEG customers through its flagship financial platforms.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We will seek to further monetize our data over time both through potential expansion of our existing market data license agreement with LSEG and through distributing additional datasets, derived data and analytics offerings through our own platform or through other third-party networks. For example, in 2023, we announced a strategic partnership with FTSE Russell which seeks to develop the next generation of fixed income pricing and index trading products. Fixed income closing prices are administered as benchmarks by FTSE Russell and are derived from trading activity on our platform. The partnership aims to extend pricing coverage to most constituents featured in the FTSE Fixed Income Index universes and explore incorporating new Tradeweb pricing sets into FTSE Fixed Income Indices. To date, we have launched Tradeweb FTSE U.S. Treasury closing prices, utilizing an enhanced methodology, which also facilitates the calculation of bid and offer prices and UK Gilts and European government bonds are also currently available for clients.</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are also continuously developing new offerings and solutions to meet the changing needs of our clients. In addition to providing benchmark closing prices, we plan to expand and enhance electronic trading functionality for FTSE Russell Fixed Income indices and customized baskets through tools and protocols such as RFQ, AiEX and portfolio trading, offering trade-at-market close, trade-at-month-end and other features conducive to index rebalancing trades. For clients seeking to efficiently take a position on FTSE Russell indices and baskets, providing enhanced trading functionality can help efficiently manage what are often their largest and most critical trades. In 2025, we announced a collaboration to publish the Tradeweb FTSE U.S. Treasury Benchmark Closing Prices on-chain via DataLink, an institutional-grade data publishing service powered by Chainlink, with the aim to unlock new opportunities for innovation and 24/7 access to data across the global financial ecosystem.</w:t>
      </w:r>
    </w:p>
    <w:p>
      <w:pPr>
        <w:sectPr>
          <w:pgSz w:w="12240" w:h="15840" w:orient="portrait"/>
          <w:cols w:equalWidth="0" w:num="1">
            <w:col w:w="10420"/>
          </w:cols>
          <w:pgMar w:left="900" w:top="82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420"/>
          </w:cols>
          <w:pgMar w:left="900" w:top="829" w:right="92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Experienced Management Team</w:t>
      </w:r>
    </w:p>
    <w:p>
      <w:pPr>
        <w:spacing w:after="0" w:line="21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Our focus and decades of experience have enabled us to accumulate the knowledge and capabilities needed to serve complex, dynamic and highly regulated markets, and oversee our expansion into new markets and geographies while managing ongoing strategic initiatives including our significant technology investments. Our management team is composed of executives with an average of over 25 years of relevant industry experience including an average of over 10 years working together at Tradeweb under different ownership structures and through multiple market cycles, with a combination of veteran Tradeweb employees such as our Chief Executive Officer, Mr. Billy Hult, who has been at the Company for over 25 years and new executives, including Troy Dixon, who joined our team in January 2025 as Co-Head of Global Markets, and Sandra Buchanan, who joined our team in September 2025 as Chief People Officer.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Strategies</w:t>
      </w:r>
    </w:p>
    <w:p>
      <w:pPr>
        <w:spacing w:after="0" w:line="2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 to Grow Our Existing Markets</w:t>
      </w:r>
    </w:p>
    <w:p>
      <w:pPr>
        <w:spacing w:after="0" w:line="21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auto"/>
        </w:rPr>
        <w:t>We believe there are significant opportunities to generate additional revenue from secular and cyclical tailwinds in our existing markets: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Growth in Our Underlying Asset Classes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underlying volumes in our asset classes continue to increase due to increased government and corporate issuance. In addition, the government bond market is foundational to and correlative to virtually every asset class in the cash and derivatives fixed income markets. Select products that we believe have a high growth potential due to current market trends include global government bonds, global interest rate swaps, global ETFs and credit cash products, including developed and emerging market (“EM”) investment grade and high yield bonds.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Growth in Our Market Share</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clients represent most of the largest institutional, wholesale, retail and corporate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 including by leveraging our voice solutions to win more electronic trading business from electronic voice processing clients in our rates and credit asset classes. In particular, across many of our products, we are implementing an integrated approach to grow our market share — serving institutional, wholesale and retail clients across all trade sizes, from odd-lot to block trades, through a variety of protocols. In general, many of our asset manager, hedge fund, insurance, central bank/sovereign entity and regional dealer clients actively trade multiple products on our platform and our global dealer clients trade in most asset classes across our institutional, wholesale and retail client sectors. Beginning in 2025, corporate treasurers using our ICD Portal can now trade U.S. Treasury bills via a direct connection between our ICD Portal and our institutional trading marketplace. We also see a growing appetite for multi-asset trading to reduce costs and duration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Electronification of Our Markets</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w:t>
      </w:r>
    </w:p>
    <w:p>
      <w:pPr>
        <w:spacing w:after="0" w:line="5"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20"/>
          <w:szCs w:val="20"/>
          <w:color w:val="auto"/>
        </w:rPr>
        <w:t>2013 and MiFID II in 2018 and we saw strong electronification increases in U.S. corporate bonds, repurchase agreements and swaps during the COVID-19 pandemic.</w:t>
      </w:r>
    </w:p>
    <w:p>
      <w:pPr>
        <w:sectPr>
          <w:pgSz w:w="12240" w:h="15840" w:orient="portrait"/>
          <w:cols w:equalWidth="0" w:num="1">
            <w:col w:w="10420"/>
          </w:cols>
          <w:pgMar w:left="900" w:top="829" w:right="920" w:bottom="0" w:gutter="0" w:footer="0" w:header="0"/>
        </w:sect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420"/>
          </w:cols>
          <w:pgMar w:left="900" w:top="829" w:right="920" w:bottom="0" w:gutter="0" w:footer="0" w:header="0"/>
          <w:type w:val="continuous"/>
        </w:sectPr>
      </w:pPr>
    </w:p>
    <w:bookmarkStart w:id="24" w:name="page25"/>
    <w:bookmarkEnd w:id="24"/>
    <w:p>
      <w:pPr>
        <w:ind w:right="100"/>
        <w:spacing w:after="0" w:line="255" w:lineRule="auto"/>
        <w:rPr>
          <w:sz w:val="20"/>
          <w:szCs w:val="20"/>
          <w:color w:val="auto"/>
        </w:rPr>
      </w:pPr>
      <w:r>
        <w:rPr>
          <w:rFonts w:ascii="Times New Roman" w:cs="Times New Roman" w:eastAsia="Times New Roman" w:hAnsi="Times New Roman"/>
          <w:sz w:val="20"/>
          <w:szCs w:val="20"/>
          <w:color w:val="auto"/>
        </w:rPr>
        <w:t>As markets become more interconnected, clients increasingly expect the ability to trade across asset types—bonds, equities, derivatives and digital assets—with the same ease and efficiency as they are used to today. We are well positioned to continue to innovate and provide better electronic markets and solutions that satisfy the needs of our clients and that meet changing market demands and evolving regulatory standards. In addition, we believe we can help drive increased adoption of electronic trading by corporate treasurers within our ICD Portal through the integration of their workflows across a variety of our other products, geographies and liquidity pools in the future, beginning with trade execution and straight-through processing on highly liquid products and currencies.</w:t>
      </w:r>
    </w:p>
    <w:p>
      <w:pPr>
        <w:spacing w:after="0" w:line="1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Global government bonds, global interest rate swaps, global ETFs, in particular, institutional block ETFs, credit cash products, including corporate high grade and high yield bonds and EM bonds are expected to be key drivers of our future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 and increase the use of our platform by existing clients.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Expand Our Product Set and Reach</w:t>
      </w:r>
    </w:p>
    <w:p>
      <w:pPr>
        <w:spacing w:after="0" w:line="2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We have grown our business by prudently expanding our offerings to add new products and asset classes, and we expect to continue to invest to add new products and expand into new complementary markets as client demand and market trends evolve. We have significant scale and breadth across our platform, which position us well to take advantage of favorable market dynamics when entering into new markets or introducing new products or solutions.</w:t>
      </w:r>
    </w:p>
    <w:p>
      <w:pPr>
        <w:spacing w:after="0" w:line="1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With the 2024 acquisition of ICD, we added institutional funds with money market and other short-term investments (collectively referred to herein as “money market funds”) to our available products, further diversified our client base with the addition of corporates and continued our track record of expanding into adjacent markets to help improve client workflow. In addition to continuing to execute on our plans to cross-sell our other products to our corporates client sector, we also plan to leverage our international presence with the aim to accelerate growth and expansion of the ICD Portal outside of the U.S.</w:t>
      </w:r>
    </w:p>
    <w:p>
      <w:pPr>
        <w:spacing w:after="0" w:line="1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We also believe our business model is well suited to serve market participants in other asset classes and geographies where our guiding principles can continue to transform markets and broaden our reach and we expect to grow our emerging markets footprint moving forward. Our international strategy often involves offering our existing products in new geographies and then adding local products. In addition, we believe our trading models in one product or asset class are transferable to other products or asset classes, irrespective of geography.</w:t>
      </w:r>
    </w:p>
    <w:p>
      <w:pPr>
        <w:spacing w:after="0" w:line="1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2017, we expanded into China to offer our global clients access to the Chinese bond market through our initiative with BondConnect, in 2020, we launched CIBM Direct, in 2021, we completed our first Southbound BondConnect transactions, offering onshore investors enhanced access to oversees liquidity, pre-trade transparency and innovative trading protocols and in 2023, we launched direct trading access through our platform to Swap Connect, providing offshore investors the ability to trade and central party clear onshore CNY interest rates swaps. We continue to focus on these initiatives and on expanding opportunities with clients in the Asia region more broadly. For example, in November 2024, we announced a collaboration with Tokyo Stock Exchange (“TSE”) to offer institutional investors enhanced access to liquidity in Japanese ETFs and launched a new direct link between Tradeweb and TSE’s request-for-quote platform. During 2025, our global product expansion continued to the Middle East, Latin America and other emerging markets as we successfully launched our Alternative Trading System (“ATS”) for the execution of Sukuk and Saudi Riyal (“SAR”)-denominated debt instruments in the Kingdom of Saudi Arabia, began offering a fully digital trading solution for Mexican repurchase agreements, improving workflows and access to liquidity in the region, executed the first click-to-trade in Brazilian swaps and launched trading in Malaysian swaps.</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20"/>
          <w:szCs w:val="20"/>
          <w:color w:val="auto"/>
        </w:rPr>
        <w:t>We have also expanded internationally through acquisition. For example, following our 2023 acquisition of Yieldbroker, we successfully expanded local client access in Australia to our global product suite, with a significant number of additional local users onboarded onto the global interest rate swaps platform since the acquisition.</w:t>
      </w:r>
    </w:p>
    <w:p>
      <w:pPr>
        <w:spacing w:after="0" w:line="15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Digital assets are increasingly being integrated into the fixed income ecosystem, marking an important evolution in electronic trading and opening new opportunities for our clients. Whether it is potentially offering trading in tokenized bonds or digital currencies and funds linking issuance, or potentially providing settlement, custody or trading protocols through blockchain technology, we are actively seeking opportunities, including through strategic investments and other strategic alliances, to help us continue to prepare to support clients as they explore the increasing convergence across traditional and decentralized finance systems. Our long-term goal is to make trading in digital assets as seamless as any other asset class, providing clients with access to another source of liquidity and helping them to manage risk and capitalize on opportunities in digital assets with confidence. We believe our potential future expansion into digital assets aligns with our multi-asset class approach.</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440"/>
          </w:cols>
          <w:pgMar w:left="900" w:top="838" w:right="90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i w:val="1"/>
          <w:iCs w:val="1"/>
          <w:color w:val="auto"/>
        </w:rPr>
        <w:t>Enhance Underlying Data and Analytics Capabilities to Develop Innovative Solutions</w:t>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In particular, we aim to enhance our solutions by linking indicative pre-trade data to our clients’ specific trades to create predictive insights from client trading behavior. For example, through SNAP+, an intelligent automated optimization solution for interest rate swap trading that bridges and unites historical trade data and advanced AI algorithms to produce a list of dealers that are most likely to offer the best terms for a given trade, we help clients optimize the dealer selection process. We will also continue to selectively pursue new strategic partnerships to further expand our data and analytics offering over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Pursue Strategic Acquisitions, Investments and Other Alliances</w:t>
      </w:r>
    </w:p>
    <w:p>
      <w:pPr>
        <w:spacing w:after="0" w:line="21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auto"/>
        </w:rPr>
        <w:t>As part of our culture of collaborative innovation, throughout our history we have completed various strategic acquisitions and initiated several formal strategic alliances. These alliances have taken several forms, including partnerships, technological alliances, minority investments and other financial and commercial arrangements. One goal when entering into a strategic alliance is to enhance our existing capabilities by allowing us to leverage the scale of other parties and accelerate our ability to enter new markets or provide new solutions. Our focus continues to be on opportunities that we believe can enhance or benefit from our technology platform and client network, provide significant market share and profitability and are consistent with our corporate culture. We intend to continue to selectively consider opportunities to grow and learn through strategic alliances and acquisitions.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w:t>
      </w: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We acquired ICD in August 2024, r8fin in January 2024 and Yieldbroker in August 2023. Prior to that, our most recent acquisition was in June 2021, when we acquired Nasdaq’s U.S. fixed income electronic trading platform. These acquisitions have contributed to one or more of our goals to continue to expand our product suite, further diversify our client and revenue base, expand our geographic reach, strengthen our market share and/or enable us to provide a more comprehensive range of tools, technology and services, while remaining focused on balancing revenue growth and margin expansion to create long-term value for stockholders.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Digital Assets and Blockchain Technology Related Investments and Strategic Alliances</w:t>
      </w:r>
    </w:p>
    <w:p>
      <w:pPr>
        <w:spacing w:after="0" w:line="2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Similar to the early days of electronic trading, various alliances are forming to identify new and interesting ways to advance the trading of digital assets. For us, that has meant entering into collaborations with, and/or making investments in, a range of partners and initiatives, including Digital Asset, the Canton Network, Goldman Sachs, DRW, Fnality, iAltA Capital Markets, Securitize and Alphaledger, among others.</w:t>
      </w:r>
    </w:p>
    <w:p>
      <w:pPr>
        <w:spacing w:after="0" w:line="16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Many of our recent digital asset initiatives are connected to the Canton Network, a privacy-preserving distributed ledger infrastructure and network, designed to support institutional-grade financial applications. In addition to serving as a Super Validator and Validator on the Global Synchronizer, the Canton Network’s interoperability layer, we collaborate with Digital Asset, the original developer of the Canton Network, and a wide range of financial institutions, to explore new use cases for tokenized securities and related financing and settlement workflows. For example, during 2025, in collaboration with Digital Asset and a consortium of leading financial institutions, a first-of-its-kind, live transaction that enabled real-time, fully on-chain financing of tokenized U.S. Treasuries against USDC was completed on the Canton Network using applications provided by us. During 2025, we also announced a collaboration with Novaprime, a mortgage technology company, to offer a new solution built on the Canton Network that is intended to help mutual clients of Novaprime and Tradeweb reduce risk and hedging costs by offering automated hedging tools via Novaprime’s platform and integrated trading connectivity to our trading platform. This illustrates how innovation can bridge traditional mortgage markets with the growing digital asset ecosystem, a strategy we are looking to pursue in other markets as well.</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Since the third quarter of 2024, we have been receiving Canton Coins, the Canton Network’s utility token, as compensation for our services as a Super Validator and Validator. In addition, during 2025, we made a strategic minority investment in Digital Asset and also acquired pre-funded warrants to purchase shares of common stock of Tharimmune, Inc. (Nasdaq CM: “THAR”). THAR’s goal is to advance the adoption of institutional and decentralized finance applications on the Canton Network, another step in the growing momentum of the Canton Network, whose Canton Coins also began trading on various digital asset exchanges in November 2025. See Note 15 – Fair Value of Financial Instruments and Other Assets to our audited consolidated financial statements included elsewhere in this Annual Report on Form 10-K for additional information regarding these holdings.</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440"/>
          </w:cols>
          <w:pgMar w:left="900" w:top="829" w:right="900" w:bottom="0" w:gutter="0" w:footer="0" w:header="0"/>
          <w:type w:val="continuous"/>
        </w:sectPr>
      </w:pPr>
    </w:p>
    <w:bookmarkStart w:id="26" w:name="page27"/>
    <w:bookmarkEnd w:id="26"/>
    <w:p>
      <w:pPr>
        <w:ind w:right="100"/>
        <w:spacing w:after="0" w:line="242" w:lineRule="auto"/>
        <w:rPr>
          <w:sz w:val="20"/>
          <w:szCs w:val="20"/>
          <w:color w:val="auto"/>
        </w:rPr>
      </w:pPr>
      <w:r>
        <w:rPr>
          <w:rFonts w:ascii="Times New Roman" w:cs="Times New Roman" w:eastAsia="Times New Roman" w:hAnsi="Times New Roman"/>
          <w:sz w:val="20"/>
          <w:szCs w:val="20"/>
          <w:color w:val="auto"/>
        </w:rPr>
        <w:t>In addition to our activities on the Canton Network, we have entered into other strategic alliances related to digital assets, including collaborating with Goldman Sachs to help bring new commercial use cases to its GS DAP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technology platform, and a minority investment in Fnality’s Series C funding round. Fnality is developing a distributed ledger-based global settlement network designed to support on-ledger movement of central bank-backed cash. In addition, in December 2025, a fully electronic retail auction for brokered certificates of deposit took place on our platform and was executed on-chain and powered by Alphaledger’s blockchain technology.</w:t>
      </w:r>
    </w:p>
    <w:p>
      <w:pPr>
        <w:spacing w:after="0" w:line="1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This strategy of collaboration and minority investment in digital asset initiatives allows us to increase our digital asset competencies by leveraging the technical expertise of our strategic partners in the digital asset space, without having to make as significant of an investment in research and development purely in-house.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Strategic Alliances</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have entered into a number of other strategic alliances over the years with a range of firms, such as BlackRock, Coremont and key dealers that trade on our platform, among others. For example, in 2025 we announced a strategic collaboration with Coremont, a premier provider of cloud-based portfolio management software and multi-asset class analytics, with plans to integrate our global fixed income execution workflows into Coremont’s Clarion platform, a portfolio management solution used by asset managers and hedge funds. This collaboration is intended to enhance fixed income trading workflows for buy-side professionals by providing Coremont clients with access to our comprehensive execution capabilities, initially for the global swaps market, accelerating the shift from complex manual workflows to fully digitized processes.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plan to remain focused on leading initiatives that advance innovation and drive purposeful change.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Client Sectors</w:t>
      </w:r>
    </w:p>
    <w:p>
      <w:pPr>
        <w:spacing w:after="0" w:line="21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We have a powerful network of more than 3,000 clients across the institutional, wholesale, retail and corporates client sectors. Since the founding of Tradeweb more than 25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16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We provide deep liquidity pools to our institutional, wholesale, retail and corporates client sectors for trading through our platform. We are dependent on our dealer clients to support our ability to continue to provide liquidity for trading on our platform, and certain of our dealer clients may account for a significant portion of our trading volume. Market knowledge and feedback from these dealer clients have also been important factors in the development of many of our offerings and solutions.</w:t>
      </w:r>
    </w:p>
    <w:p>
      <w:pPr>
        <w:spacing w:after="0" w:line="1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 In addition, many of the global commercial banks and dealers providing liquidity for institutional trades are also active wholesale traders, and provide odd-lot inventory for our retail client sector. We believe that this overlapping of client sectors and asset classes will continue and, in the long-term, will eliminate the distinctions across institutional, wholesale, retail and corporates channels. Given our technological capabilities, the diversity of our client sectors and the breadth of our products and trading protocols, we believe we are well positioned to capitalize on this ongoing trend. Also given this trend, during 2025, we determined to rebrand and unite all of our previously separate brands of Dealerweb (now our wholesale client sector offerings), Tradeweb Direct (now our retail client sector offerings) and ICD (now our corporate treasury client sector offerings), which will be gradually retired as we will operate under one Tradeweb brand.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Institutional</w:t>
      </w: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offer dealer-to-client and all-to-all trading and related solutions to liquidity-taking institutional clients through a range of electronic marketplaces. Our institutional client sector includes leading asset managers, hedge funds, insurance companies, regional dealers and central banks/sovereign entities. We offer our institutional clients the ability to trade in a wide variety of products, including U.S. Treasuries, European government bonds, TBA MBS, global interest rate swaps, global corporate bonds, global repurchase agreements and global ETFs, among others. Trading protocols available to our institutional client sector include RFQ, RFM, Request-for-Stream, list trading, compression, blast all-to-all, Click-to-Trade and portfolio and inventory-based trading.</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420"/>
          </w:cols>
          <w:pgMar w:left="900" w:top="838" w:right="92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i w:val="1"/>
          <w:iCs w:val="1"/>
          <w:color w:val="auto"/>
        </w:rPr>
        <w:t>Wholesale</w:t>
      </w:r>
    </w:p>
    <w:p>
      <w:pPr>
        <w:spacing w:after="0" w:line="2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We also provide fully electronic, voice and hybrid trading for the wholesale community. Our wholesale client sector includes dealers and financial institutions trading on our electronic and hybrid markets. Nearly all of our electronic and hybrid dealer wholesale clients also trade through our institutional and retail trade offerings. Our wholesale client sector’s leading products include TBA MBS, specified pools, other securitized products, global credit products, U.S. Treasuries, repurchase agreements, U.S. dollar-denominated swaps, U.S. ETFs and U.S. equity derivative products. The electronic trading protocols available through our wholesale offering include directed streams, central limit orderbook and session-based trading. We are well positioned to facilitate and capitalize on the continued transition of wholesale client trading from voice or hybrid trading to fully electronic trading. To that end, we have had over 50% growth in the number of e-participants within our wholesale client sector since 2020.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Retail</w:t>
      </w:r>
    </w:p>
    <w:p>
      <w:pPr>
        <w:spacing w:after="0" w:line="2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We offer financial advisors at retail brokerage and advisory firms and their retail clients access to micro-lot liquidity provided by our network of broker-dealers through our regulated retail ATS. Certain of our retail clients also provide access to their retail clients through white-labeled, web-based front ends. Our large and middle-market asset manager clients also have access to the retail ATS. We offer our retail client sector the ability to trade in a range of products, including U.S. corporate bonds, U.S. Treasuries, municipal bonds, structured products and certificates of deposit (CDs), using our Click-to-Trade, inventory-based and RFQ trading protocols. Our retail clients have the ability to connect to our marketplaces via workstations or APIs or through access to websites that are white-labeled for our clients.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Corporates</w:t>
      </w: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expanded into the corporates client sector through our acquisition of ICD on August 1, 2024. Our ICD Portal offers corporate treasurers globally a one-stop shop to research, trade, analyze and report on investments across more than 40 available investment providers, primarily offering money market funds and access to other short term products including fixed term funds and separately managed accounts (collectively referred to as “money market funds”) as well as U.S. Treasuries that are able to be traded via a direct integrated connection from our ICD Portal to our institutional marketplace. Through our ICD Portfolio Analytics tool, corporate treasury organizations also have access to an AI-driven cloud solution for aggregating investment positions for comprehensive analysis, monitoring and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Asset Classes and Products</w:t>
      </w:r>
    </w:p>
    <w:p>
      <w:pPr>
        <w:spacing w:after="0" w:line="217"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auto"/>
        </w:rPr>
        <w:t>We offer efficient and transparent trading across a diverse range of asset classes including rates, credit, equities and money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629400" cy="3214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6629400" cy="3214370"/>
                    </a:xfrm>
                    <a:prstGeom prst="rect">
                      <a:avLst/>
                    </a:prstGeom>
                    <a:noFill/>
                  </pic:spPr>
                </pic:pic>
              </a:graphicData>
            </a:graphic>
          </wp:anchor>
        </w:drawing>
      </w:r>
    </w:p>
    <w:p>
      <w:pPr>
        <w:sectPr>
          <w:pgSz w:w="12240" w:h="15840" w:orient="portrait"/>
          <w:cols w:equalWidth="0" w:num="1">
            <w:col w:w="10420"/>
          </w:cols>
          <w:pgMar w:left="900" w:top="82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420"/>
          </w:cols>
          <w:pgMar w:left="900" w:top="829" w:right="92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Our Solutions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Institutional, Wholesale and Retail Client Solutions</w:t>
      </w:r>
    </w:p>
    <w:p>
      <w:pPr>
        <w:spacing w:after="0" w:line="21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We provide our institutional, wholesale and retail clients with solutions across the trade lifecycle including pre-trade data and analytics, intelligent trade execution, straight-through processing and post-trade data, analytics and reporting.</w:t>
      </w:r>
    </w:p>
    <w:p>
      <w:pPr>
        <w:spacing w:after="0" w:line="137" w:lineRule="exact"/>
        <w:rPr>
          <w:sz w:val="20"/>
          <w:szCs w:val="20"/>
          <w:color w:val="auto"/>
        </w:rPr>
      </w:pPr>
    </w:p>
    <w:p>
      <w:pPr>
        <w:ind w:left="720" w:right="80" w:hanging="360"/>
        <w:spacing w:after="0" w:line="245"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Pre-Trade Data and Analytics</w:t>
      </w:r>
      <w:r>
        <w:rPr>
          <w:rFonts w:ascii="Times New Roman" w:cs="Times New Roman" w:eastAsia="Times New Roman" w:hAnsi="Times New Roman"/>
          <w:sz w:val="20"/>
          <w:szCs w:val="20"/>
          <w:color w:val="auto"/>
        </w:rPr>
        <w:t>: We provide clients with accurate, real-time market data and streaming price updates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across more than 50 products. Major financial publications across the globe reference our market data. Our real-time market data services include coverage of government bonds, corporate bonds, mortgage-backed securities, fixed income derivatives and money markets. Our pre-trade service offerings also include:</w:t>
      </w:r>
    </w:p>
    <w:p>
      <w:pPr>
        <w:spacing w:after="0" w:line="157" w:lineRule="exact"/>
        <w:rPr>
          <w:rFonts w:ascii="Times New Roman" w:cs="Times New Roman" w:eastAsia="Times New Roman" w:hAnsi="Times New Roman"/>
          <w:sz w:val="20"/>
          <w:szCs w:val="20"/>
          <w:color w:val="auto"/>
        </w:rPr>
      </w:pPr>
    </w:p>
    <w:p>
      <w:pPr>
        <w:ind w:left="1440" w:right="20" w:hanging="360"/>
        <w:spacing w:after="0" w:line="242" w:lineRule="auto"/>
        <w:tabs>
          <w:tab w:leader="none" w:pos="14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Ai-Price.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Automated Intelligent Price, or Ai-Price, functionality is an innovative bond pricing engine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applies data science to help make markets more efficient by delivering real-time and end-of-day reference pricing for nearly 30,000 U.S. corporate bonds and approximately 1 million U.S. municipal bonds, regardless of how frequently a bond trades. Clients leverage the service to power their AiEX auto-trading, portfolio trading and transaction cost analysis.</w:t>
      </w:r>
    </w:p>
    <w:p>
      <w:pPr>
        <w:spacing w:after="0" w:line="160" w:lineRule="exact"/>
        <w:rPr>
          <w:rFonts w:ascii="Times New Roman" w:cs="Times New Roman" w:eastAsia="Times New Roman" w:hAnsi="Times New Roman"/>
          <w:sz w:val="20"/>
          <w:szCs w:val="20"/>
          <w:color w:val="auto"/>
        </w:rPr>
      </w:pPr>
    </w:p>
    <w:p>
      <w:pPr>
        <w:ind w:left="1440" w:right="40" w:hanging="360"/>
        <w:spacing w:after="0" w:line="245" w:lineRule="auto"/>
        <w:tabs>
          <w:tab w:leader="none" w:pos="14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SNAP+.</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intelligent automated optimization solution for interest rate swap trading that bridges and unites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historical trade data and advanced AI algorithms to produce a list of dealers that are most likely to offer the best terms for a given trade. This solution works in conjunction with our request-for-quote and request-for-market protocols.</w:t>
      </w:r>
    </w:p>
    <w:p>
      <w:pPr>
        <w:spacing w:after="0" w:line="156" w:lineRule="exact"/>
        <w:rPr>
          <w:rFonts w:ascii="Times New Roman" w:cs="Times New Roman" w:eastAsia="Times New Roman" w:hAnsi="Times New Roman"/>
          <w:sz w:val="20"/>
          <w:szCs w:val="20"/>
          <w:color w:val="auto"/>
        </w:rPr>
      </w:pPr>
    </w:p>
    <w:p>
      <w:pPr>
        <w:ind w:left="1440" w:right="60" w:hanging="360"/>
        <w:spacing w:after="0"/>
        <w:tabs>
          <w:tab w:leader="none" w:pos="14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iNAV for ETFs.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real-time indicative multi asset class portfolio calculation service can be used to calculate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real-time valuations for any portfolio of securities or index and is currently being leveraged to produce intraday net asset values (“iNAVs”) for ETFs. This solution was built for issuers of ETFs, to assist them in bringing high-quality transparency of their funds to investors, to support market surveillance and to satisfy numerous listing obligations across European exchanges. Robust iNAVs help increase market transparency and trading confidence by enabling investors to assess whether an ETF is being fairly priced.</w:t>
      </w:r>
    </w:p>
    <w:p>
      <w:pPr>
        <w:spacing w:after="0" w:line="164" w:lineRule="exact"/>
        <w:rPr>
          <w:rFonts w:ascii="Times New Roman" w:cs="Times New Roman" w:eastAsia="Times New Roman" w:hAnsi="Times New Roman"/>
          <w:sz w:val="20"/>
          <w:szCs w:val="20"/>
          <w:color w:val="auto"/>
        </w:rPr>
      </w:pPr>
    </w:p>
    <w:p>
      <w:pPr>
        <w:ind w:left="1440" w:right="100" w:hanging="360"/>
        <w:spacing w:after="0" w:line="239" w:lineRule="auto"/>
        <w:tabs>
          <w:tab w:leader="none" w:pos="14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Integrations.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directly integrate our trade data with a majority of the available order management systems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allowing for pre-trade analysis, order entry, pre-trade compliance and post-trade processing and analysis. Clients are also able to perform credit checks for cleared derivatives trading with connectivity to their futures commission merchants through our direct or third party API solutions. We were also the first electronic trading platform to make OIS curves available during the repurchase agreement trade negotiation process, helping institutional clients assess the price competitiveness of different repurchase agreement rates across various currencies and maturities.</w:t>
      </w:r>
    </w:p>
    <w:p>
      <w:pPr>
        <w:spacing w:after="0" w:line="164" w:lineRule="exact"/>
        <w:rPr>
          <w:rFonts w:ascii="Times New Roman" w:cs="Times New Roman" w:eastAsia="Times New Roman" w:hAnsi="Times New Roman"/>
          <w:sz w:val="20"/>
          <w:szCs w:val="20"/>
          <w:color w:val="auto"/>
        </w:rPr>
      </w:pPr>
    </w:p>
    <w:p>
      <w:pPr>
        <w:ind w:left="1440" w:hanging="360"/>
        <w:spacing w:after="0" w:line="251" w:lineRule="auto"/>
        <w:tabs>
          <w:tab w:leader="none" w:pos="14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LSEG market data.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provide LSEG with certain real-time market data feeds for multiple fixed income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derivatives products under a license pursuant to which LSEG distributes such market data to its customers on its platforms and through direct feeds.</w:t>
      </w:r>
    </w:p>
    <w:p>
      <w:pPr>
        <w:spacing w:after="0" w:line="150" w:lineRule="exact"/>
        <w:rPr>
          <w:rFonts w:ascii="Times New Roman" w:cs="Times New Roman" w:eastAsia="Times New Roman" w:hAnsi="Times New Roman"/>
          <w:sz w:val="20"/>
          <w:szCs w:val="20"/>
          <w:color w:val="auto"/>
        </w:rPr>
      </w:pPr>
    </w:p>
    <w:p>
      <w:pPr>
        <w:ind w:left="720" w:right="20" w:hanging="360"/>
        <w:spacing w:after="0" w:line="262"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Trade Execution</w:t>
      </w:r>
      <w:r>
        <w:rPr>
          <w:rFonts w:ascii="Times New Roman" w:cs="Times New Roman" w:eastAsia="Times New Roman" w:hAnsi="Times New Roman"/>
          <w:sz w:val="20"/>
          <w:szCs w:val="20"/>
          <w:color w:val="auto"/>
        </w:rPr>
        <w:t>: Trade execution is at the core of our business. We provide marketplaces and tools that facilitate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by our clients and streamline their related workflows. Our market specialists and technology team work closely with our clients to continuously innovate and improve their trading practices. The trading protocols we currently offer on our platform include:</w:t>
      </w:r>
    </w:p>
    <w:p>
      <w:pPr>
        <w:spacing w:after="0" w:line="155" w:lineRule="exact"/>
        <w:rPr>
          <w:rFonts w:ascii="Times New Roman" w:cs="Times New Roman" w:eastAsia="Times New Roman" w:hAnsi="Times New Roman"/>
          <w:sz w:val="20"/>
          <w:szCs w:val="20"/>
          <w:color w:val="auto"/>
        </w:rPr>
      </w:pPr>
    </w:p>
    <w:p>
      <w:pPr>
        <w:ind w:left="1440" w:right="60" w:hanging="360"/>
        <w:spacing w:after="0" w:line="255" w:lineRule="auto"/>
        <w:tabs>
          <w:tab w:leader="none" w:pos="1440" w:val="left"/>
        </w:tabs>
        <w:numPr>
          <w:ilvl w:val="1"/>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Request-for-quote.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multi-dealer request-for-quote, or RFQ, protocol provides institutional clients with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ability to hold a real-time auction with multiple dealers and select the best price. RFQ was pioneered by Tradeweb in 1998 and has been deployed across all of our rates markets, including government bonds, mortgage-backed securities and U.S. agencies and our other asset classes. The RFQ is a fully-disclosed trading protocol — both buy-side and sell-side names are known prior to execution. Multi-dealer RFQ assists clients with achieving best execution. During 2024, we deployed RFQ Edge, a new functionality that applies advanced portfolio trading analytics to the RFQ protocol in U.S. credit markets, allowing clients to make better-informed trade decisions.</w:t>
      </w:r>
    </w:p>
    <w:p>
      <w:pPr>
        <w:spacing w:after="0" w:line="165" w:lineRule="exact"/>
        <w:rPr>
          <w:rFonts w:ascii="Times New Roman" w:cs="Times New Roman" w:eastAsia="Times New Roman" w:hAnsi="Times New Roman"/>
          <w:sz w:val="20"/>
          <w:szCs w:val="20"/>
          <w:b w:val="1"/>
          <w:bCs w:val="1"/>
          <w:i w:val="1"/>
          <w:iCs w:val="1"/>
          <w:color w:val="auto"/>
        </w:rPr>
      </w:pPr>
    </w:p>
    <w:p>
      <w:pPr>
        <w:ind w:left="1440" w:right="160" w:hanging="360"/>
        <w:spacing w:after="0" w:line="259" w:lineRule="auto"/>
        <w:tabs>
          <w:tab w:leader="none" w:pos="1440" w:val="left"/>
        </w:tabs>
        <w:numPr>
          <w:ilvl w:val="1"/>
          <w:numId w:val="1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Request-for-market.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request-for-market, or RFM, protocol provides institutional clients with the ability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request a two-sided market from a particular dealer. This mirrors the approach of a client calling a specific trader for market prices and rates before showing the direction they want to trade. The RFM protocol has been particularly effective in global interest rate trading, where we see the majority of the trading volume for this protocol.</w:t>
      </w:r>
    </w:p>
    <w:p>
      <w:pPr>
        <w:sectPr>
          <w:pgSz w:w="12240" w:h="15840" w:orient="portrait"/>
          <w:cols w:equalWidth="0" w:num="1">
            <w:col w:w="10420"/>
          </w:cols>
          <w:pgMar w:left="900" w:top="831" w:right="92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420"/>
          </w:cols>
          <w:pgMar w:left="900" w:top="831" w:right="920" w:bottom="0" w:gutter="0" w:footer="0" w:header="0"/>
          <w:type w:val="continuous"/>
        </w:sectPr>
      </w:pPr>
    </w:p>
    <w:bookmarkStart w:id="29" w:name="page30"/>
    <w:bookmarkEnd w:id="29"/>
    <w:p>
      <w:pPr>
        <w:ind w:left="900" w:right="940" w:hanging="360"/>
        <w:spacing w:after="0" w:line="313" w:lineRule="auto"/>
        <w:tabs>
          <w:tab w:leader="none" w:pos="900" w:val="left"/>
        </w:tabs>
        <w:numPr>
          <w:ilvl w:val="0"/>
          <w:numId w:val="1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Request-for-stream.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request-for-stream, or RFS, protocol allows multiple dealers to show clients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continuously updating rates, in line with market movements, during a client’s request window.</w:t>
      </w:r>
    </w:p>
    <w:p>
      <w:pPr>
        <w:spacing w:after="0" w:line="110" w:lineRule="exact"/>
        <w:rPr>
          <w:rFonts w:ascii="Times New Roman" w:cs="Times New Roman" w:eastAsia="Times New Roman" w:hAnsi="Times New Roman"/>
          <w:sz w:val="19"/>
          <w:szCs w:val="19"/>
          <w:b w:val="1"/>
          <w:bCs w:val="1"/>
          <w:i w:val="1"/>
          <w:iCs w:val="1"/>
          <w:color w:val="auto"/>
        </w:rPr>
      </w:pPr>
    </w:p>
    <w:p>
      <w:pPr>
        <w:ind w:left="900" w:right="20" w:hanging="360"/>
        <w:spacing w:after="0" w:line="262" w:lineRule="auto"/>
        <w:tabs>
          <w:tab w:leader="none" w:pos="90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List trading.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Used by clients with multiple transactions to complete, our list trading protocol is a highly efficient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workflow tool. By executing many trades at once, clients can request prices from multiple dealers to extract the best price and complete the hedging of the trades at one time, saving significant manual effort compared to executing on the telephone.</w:t>
      </w:r>
    </w:p>
    <w:p>
      <w:pPr>
        <w:spacing w:after="0" w:line="155" w:lineRule="exact"/>
        <w:rPr>
          <w:rFonts w:ascii="Times New Roman" w:cs="Times New Roman" w:eastAsia="Times New Roman" w:hAnsi="Times New Roman"/>
          <w:sz w:val="20"/>
          <w:szCs w:val="20"/>
          <w:b w:val="1"/>
          <w:bCs w:val="1"/>
          <w:i w:val="1"/>
          <w:iCs w:val="1"/>
          <w:color w:val="auto"/>
        </w:rPr>
      </w:pPr>
    </w:p>
    <w:p>
      <w:pPr>
        <w:ind w:left="900" w:right="20" w:hanging="360"/>
        <w:spacing w:after="0" w:line="257" w:lineRule="auto"/>
        <w:tabs>
          <w:tab w:leader="none" w:pos="90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Compression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Clients utilize our interest rate swap compression tool as an efficient means to reduce the number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line items they have outstanding at a clearinghouse by netting offsetting positions in a single transaction. This functionality allows clients to submit up to 200 line items to liquidity providers for simultaneous list pricing, which they can execute, clear and report in one transaction, reducing both their risk and clearing costs. The compression tool is flexible and versatile in design, allowing clients to adapt the tool to their workflow and customize for non-standard or bespoke swaps.</w:t>
      </w:r>
    </w:p>
    <w:p>
      <w:pPr>
        <w:spacing w:after="0" w:line="162" w:lineRule="exact"/>
        <w:rPr>
          <w:rFonts w:ascii="Times New Roman" w:cs="Times New Roman" w:eastAsia="Times New Roman" w:hAnsi="Times New Roman"/>
          <w:sz w:val="20"/>
          <w:szCs w:val="20"/>
          <w:b w:val="1"/>
          <w:bCs w:val="1"/>
          <w:i w:val="1"/>
          <w:iCs w:val="1"/>
          <w:color w:val="auto"/>
        </w:rPr>
      </w:pPr>
    </w:p>
    <w:p>
      <w:pPr>
        <w:ind w:left="900" w:right="20" w:hanging="360"/>
        <w:spacing w:after="0" w:line="256" w:lineRule="auto"/>
        <w:tabs>
          <w:tab w:leader="none" w:pos="90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Blast all-to-all.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Blast all-to-all, or A2A, protocol allows clients to send RFQ trade inquiries to all 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in a given 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162" w:lineRule="exact"/>
        <w:rPr>
          <w:rFonts w:ascii="Times New Roman" w:cs="Times New Roman" w:eastAsia="Times New Roman" w:hAnsi="Times New Roman"/>
          <w:sz w:val="20"/>
          <w:szCs w:val="20"/>
          <w:b w:val="1"/>
          <w:bCs w:val="1"/>
          <w:i w:val="1"/>
          <w:iCs w:val="1"/>
          <w:color w:val="auto"/>
        </w:rPr>
      </w:pPr>
    </w:p>
    <w:p>
      <w:pPr>
        <w:ind w:left="900" w:right="300" w:hanging="360"/>
        <w:spacing w:after="0" w:line="288" w:lineRule="auto"/>
        <w:tabs>
          <w:tab w:leader="none" w:pos="900" w:val="left"/>
        </w:tabs>
        <w:numPr>
          <w:ilvl w:val="0"/>
          <w:numId w:val="1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Click-to-trade.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click-to-trade, or CTT, protocol enables a liquidity-taking client to view a set of prices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real-time and click on the price and the dealer with whom they wish to execute. This trading protocol is especially popular with clients that are looking to view a range of executable, real-time prices across dealers.</w:t>
      </w:r>
    </w:p>
    <w:p>
      <w:pPr>
        <w:spacing w:after="0" w:line="133" w:lineRule="exact"/>
        <w:rPr>
          <w:rFonts w:ascii="Times New Roman" w:cs="Times New Roman" w:eastAsia="Times New Roman" w:hAnsi="Times New Roman"/>
          <w:sz w:val="19"/>
          <w:szCs w:val="19"/>
          <w:b w:val="1"/>
          <w:bCs w:val="1"/>
          <w:i w:val="1"/>
          <w:iCs w:val="1"/>
          <w:color w:val="auto"/>
        </w:rPr>
      </w:pPr>
    </w:p>
    <w:p>
      <w:pPr>
        <w:ind w:left="900" w:right="120" w:hanging="360"/>
        <w:spacing w:after="0" w:line="286" w:lineRule="auto"/>
        <w:tabs>
          <w:tab w:leader="none" w:pos="90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Portfolio Trading</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support rebalancing of passive portfolios and ETFs, our portfolio trading solution allows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clients to obtain competitive prices and trade on net present value on a full basket of securities.</w:t>
      </w:r>
    </w:p>
    <w:p>
      <w:pPr>
        <w:spacing w:after="0" w:line="131" w:lineRule="exact"/>
        <w:rPr>
          <w:rFonts w:ascii="Times New Roman" w:cs="Times New Roman" w:eastAsia="Times New Roman" w:hAnsi="Times New Roman"/>
          <w:sz w:val="20"/>
          <w:szCs w:val="20"/>
          <w:b w:val="1"/>
          <w:bCs w:val="1"/>
          <w:i w:val="1"/>
          <w:iCs w:val="1"/>
          <w:color w:val="auto"/>
        </w:rPr>
      </w:pPr>
    </w:p>
    <w:p>
      <w:pPr>
        <w:ind w:left="900" w:right="180" w:hanging="360"/>
        <w:spacing w:after="0" w:line="259" w:lineRule="auto"/>
        <w:tabs>
          <w:tab w:leader="none" w:pos="90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Session-based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Sweep, our session-based trading protocol, allows clients to manage inventory and balance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sheets by entering orders to be 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59" w:lineRule="exact"/>
        <w:rPr>
          <w:rFonts w:ascii="Times New Roman" w:cs="Times New Roman" w:eastAsia="Times New Roman" w:hAnsi="Times New Roman"/>
          <w:sz w:val="20"/>
          <w:szCs w:val="20"/>
          <w:b w:val="1"/>
          <w:bCs w:val="1"/>
          <w:i w:val="1"/>
          <w:iCs w:val="1"/>
          <w:color w:val="auto"/>
        </w:rPr>
      </w:pPr>
    </w:p>
    <w:p>
      <w:pPr>
        <w:ind w:left="900" w:right="160" w:hanging="360"/>
        <w:spacing w:after="0" w:line="268" w:lineRule="auto"/>
        <w:tabs>
          <w:tab w:leader="none" w:pos="900"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Central Limit Order Book.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central limit order book, or CLOB, is a continuous electronic protocol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allows clients to trade on firm bids and offers from other market participants, as well as enter their own resting bids and offers for display to the market participants, typically anonymously.</w:t>
      </w:r>
    </w:p>
    <w:p>
      <w:pPr>
        <w:spacing w:after="0" w:line="149" w:lineRule="exact"/>
        <w:rPr>
          <w:rFonts w:ascii="Times New Roman" w:cs="Times New Roman" w:eastAsia="Times New Roman" w:hAnsi="Times New Roman"/>
          <w:sz w:val="20"/>
          <w:szCs w:val="20"/>
          <w:b w:val="1"/>
          <w:bCs w:val="1"/>
          <w:i w:val="1"/>
          <w:iCs w:val="1"/>
          <w:color w:val="auto"/>
        </w:rPr>
      </w:pPr>
    </w:p>
    <w:p>
      <w:pPr>
        <w:ind w:left="900" w:right="160" w:hanging="360"/>
        <w:spacing w:after="0" w:line="276" w:lineRule="auto"/>
        <w:tabs>
          <w:tab w:leader="none" w:pos="900" w:val="left"/>
        </w:tabs>
        <w:numPr>
          <w:ilvl w:val="0"/>
          <w:numId w:val="1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Bilateral Firm Streams.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Bilateral Firm Streams protocol, which is currently used by our wholesale clients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the On-The-Run U.S. 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143" w:lineRule="exact"/>
        <w:rPr>
          <w:rFonts w:ascii="Times New Roman" w:cs="Times New Roman" w:eastAsia="Times New Roman" w:hAnsi="Times New Roman"/>
          <w:sz w:val="19"/>
          <w:szCs w:val="19"/>
          <w:b w:val="1"/>
          <w:bCs w:val="1"/>
          <w:i w:val="1"/>
          <w:iCs w:val="1"/>
          <w:color w:val="auto"/>
        </w:rPr>
      </w:pPr>
    </w:p>
    <w:p>
      <w:pPr>
        <w:ind w:left="900" w:hanging="360"/>
        <w:spacing w:after="0" w:line="259" w:lineRule="auto"/>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Inventory-based.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inventory-based protocol allows liquidity-providing clients to submit a range of bids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certain credit and money markets marketplaces.</w:t>
      </w:r>
    </w:p>
    <w:p>
      <w:pPr>
        <w:spacing w:after="0" w:line="159" w:lineRule="exact"/>
        <w:rPr>
          <w:rFonts w:ascii="Times New Roman" w:cs="Times New Roman" w:eastAsia="Times New Roman" w:hAnsi="Times New Roman"/>
          <w:sz w:val="20"/>
          <w:szCs w:val="20"/>
          <w:color w:val="auto"/>
        </w:rPr>
      </w:pPr>
    </w:p>
    <w:p>
      <w:pPr>
        <w:ind w:left="900" w:right="40" w:hanging="360"/>
        <w:spacing w:after="0" w:line="262" w:lineRule="auto"/>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Rematch.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Rematch protocol allows dealers to send accepted, but unmatched orders from a Sweep session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all-to-all network as an anonymous RFQ. For a pre-set period of time, sell-side participants create a second opportunity to trade a given security with a larger and more diverse set of counterparties. Rematch connects our wholesale liquidity to our institutional and retail liquidity pools.</w:t>
      </w:r>
    </w:p>
    <w:p>
      <w:pPr>
        <w:spacing w:after="0" w:line="155" w:lineRule="exact"/>
        <w:rPr>
          <w:rFonts w:ascii="Times New Roman" w:cs="Times New Roman" w:eastAsia="Times New Roman" w:hAnsi="Times New Roman"/>
          <w:sz w:val="20"/>
          <w:szCs w:val="20"/>
          <w:color w:val="auto"/>
        </w:rPr>
      </w:pPr>
    </w:p>
    <w:p>
      <w:pPr>
        <w:ind w:left="900" w:right="200" w:hanging="360"/>
        <w:spacing w:after="0" w:line="288" w:lineRule="auto"/>
        <w:tabs>
          <w:tab w:leader="none" w:pos="9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u w:val="single" w:color="auto"/>
          <w:color w:val="auto"/>
        </w:rPr>
        <w:t>Voice.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Voice-brokered products in our wholesale client sector include, among other products, U.S. Treasuries,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MBS, municipal bonds and repurchase agreements. Our voice brokers provide anonymity and insight for sell side traders and give us valuable high-touch relationships and market understanding and access.</w:t>
      </w:r>
    </w:p>
    <w:p>
      <w:pPr>
        <w:sectPr>
          <w:pgSz w:w="12240" w:h="15840" w:orient="portrait"/>
          <w:cols w:equalWidth="0" w:num="1">
            <w:col w:w="9900"/>
          </w:cols>
          <w:pgMar w:left="1440" w:top="834" w:right="900" w:bottom="0" w:gutter="0" w:footer="0" w:header="0"/>
        </w:sectPr>
      </w:pPr>
    </w:p>
    <w:p>
      <w:pPr>
        <w:spacing w:after="0" w:line="32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900"/>
          </w:cols>
          <w:pgMar w:left="1440" w:top="834" w:right="900" w:bottom="0" w:gutter="0" w:footer="0" w:header="0"/>
          <w:type w:val="continuous"/>
        </w:sectPr>
      </w:pPr>
    </w:p>
    <w:bookmarkStart w:id="30" w:name="page31"/>
    <w:bookmarkEnd w:id="30"/>
    <w:p>
      <w:pPr>
        <w:ind w:left="1080" w:right="380" w:hanging="360"/>
        <w:spacing w:after="0" w:line="268"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Futures vs. cash spreading.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Within our r8fin technology, clients can create orders to trade futures vs.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government bonds at specified levels. The algorithm uses a mix of passive and aggressive trading strategies across cash and futures venues to achieve the client’s target.</w:t>
      </w:r>
    </w:p>
    <w:p>
      <w:pPr>
        <w:spacing w:after="0" w:line="149" w:lineRule="exact"/>
        <w:rPr>
          <w:rFonts w:ascii="Times New Roman" w:cs="Times New Roman" w:eastAsia="Times New Roman" w:hAnsi="Times New Roman"/>
          <w:sz w:val="20"/>
          <w:szCs w:val="20"/>
          <w:color w:val="auto"/>
        </w:rPr>
      </w:pPr>
    </w:p>
    <w:p>
      <w:pPr>
        <w:ind w:left="1080" w:right="80" w:hanging="360"/>
        <w:spacing w:after="0" w:line="262"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Dealer algorithmic suite.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dealer algorithmic execution capabilities enable asset managers, hedge funds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global institutional investors executing U.S. Treasury trades to manage and execute orders over a set time horizon while maintaining dealer relationships, benefiting from the risk protections of executing with a bank counterparty and complementing existing client trading workflows.</w:t>
      </w:r>
    </w:p>
    <w:p>
      <w:pPr>
        <w:spacing w:after="0" w:line="160" w:lineRule="exact"/>
        <w:rPr>
          <w:sz w:val="20"/>
          <w:szCs w:val="20"/>
          <w:color w:val="auto"/>
        </w:rPr>
      </w:pPr>
    </w:p>
    <w:p>
      <w:pPr>
        <w:ind w:left="360" w:right="160"/>
        <w:spacing w:after="0" w:line="256" w:lineRule="auto"/>
        <w:rPr>
          <w:sz w:val="20"/>
          <w:szCs w:val="20"/>
          <w:color w:val="auto"/>
        </w:rPr>
      </w:pPr>
      <w:r>
        <w:rPr>
          <w:rFonts w:ascii="Times New Roman" w:cs="Times New Roman" w:eastAsia="Times New Roman" w:hAnsi="Times New Roman"/>
          <w:sz w:val="20"/>
          <w:szCs w:val="20"/>
          <w:color w:val="auto"/>
        </w:rPr>
        <w:t>Tradeweb Automated Intelligent Execution, or AiEX, is an innovative automated trading technology that allows clients to execute large volumes of trade tickets at a high speed using pre-programmed execution rules that are tailored to the client’s trading strategy. Clients use AiEX to efficiently automate high volumes of small, basic trades to free up more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164" w:lineRule="exact"/>
        <w:rPr>
          <w:sz w:val="20"/>
          <w:szCs w:val="20"/>
          <w:color w:val="auto"/>
        </w:rPr>
      </w:pPr>
    </w:p>
    <w:p>
      <w:pPr>
        <w:ind w:left="360" w:hanging="360"/>
        <w:spacing w:after="0" w:line="254"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Trade Processing</w:t>
      </w:r>
      <w:r>
        <w:rPr>
          <w:rFonts w:ascii="Times New Roman" w:cs="Times New Roman" w:eastAsia="Times New Roman" w:hAnsi="Times New Roman"/>
          <w:sz w:val="20"/>
          <w:szCs w:val="20"/>
          <w:color w:val="auto"/>
        </w:rPr>
        <w:t>: Our trade processing technology allows our clients to increase productivity, reduce risk and improve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overall performance. For example, immediately after executing a long-dated fixed-rate repurchase agreement transaction, buy-side traders can also manage their interest rate exposure in a fully electronic workflow, thereby achieving straight-through processing and reducing operational risk. Our post-trade solutions also allow clients to allocate their electronic or phone-executed trades electronically, including storing and communicating organizational and sub-account settlement, identity and confirmation preference information for processing trades. Our post-trade solutions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62"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Post-Trade Data, Analytics and Reporting</w:t>
      </w:r>
      <w:r>
        <w:rPr>
          <w:rFonts w:ascii="Times New Roman" w:cs="Times New Roman" w:eastAsia="Times New Roman" w:hAnsi="Times New Roman"/>
          <w:sz w:val="20"/>
          <w:szCs w:val="20"/>
          <w:color w:val="auto"/>
        </w:rPr>
        <w:t>: Our comprehensive post-trade services include:</w:t>
      </w:r>
    </w:p>
    <w:p>
      <w:pPr>
        <w:spacing w:after="0" w:line="210" w:lineRule="exact"/>
        <w:rPr>
          <w:rFonts w:ascii="Times New Roman" w:cs="Times New Roman" w:eastAsia="Times New Roman" w:hAnsi="Times New Roman"/>
          <w:sz w:val="20"/>
          <w:szCs w:val="20"/>
          <w:color w:val="auto"/>
        </w:rPr>
      </w:pPr>
    </w:p>
    <w:p>
      <w:pPr>
        <w:ind w:left="1080" w:right="180" w:hanging="360"/>
        <w:spacing w:after="0" w:line="259" w:lineRule="auto"/>
        <w:tabs>
          <w:tab w:leader="none" w:pos="108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Transaction cost analysis.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 cost analysis, or TCA, best execution reporting and client performance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reports are powerful tools that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w:t>
      </w:r>
    </w:p>
    <w:p>
      <w:pPr>
        <w:spacing w:after="0" w:line="159" w:lineRule="exact"/>
        <w:rPr>
          <w:rFonts w:ascii="Times New Roman" w:cs="Times New Roman" w:eastAsia="Times New Roman" w:hAnsi="Times New Roman"/>
          <w:sz w:val="20"/>
          <w:szCs w:val="20"/>
          <w:color w:val="auto"/>
        </w:rPr>
      </w:pPr>
    </w:p>
    <w:p>
      <w:pPr>
        <w:ind w:left="1080" w:hanging="360"/>
        <w:spacing w:after="0" w:line="255" w:lineRule="auto"/>
        <w:tabs>
          <w:tab w:leader="none" w:pos="108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Benchmark Prices.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partnership with FTSE Russell, we also provide U.S. Treasury, UK Gilt and European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government bond closing prices in a manner consistent with the International Organization of Securities Commissions (“IOSCO”) principles and United Kingdom (“UK”) and European Union (“EU”) Benchmark Regulation (“BMR”). These benchmark prices can be used for various purposes, including asset valuation, trade at close and as reference rates in derivatives contracts. In 2025, FTSE Russell made a price source change to include Tradeweb FTSE benchmark closing prices for U.S. Treasuries, European government bonds and UK Gilts in FTSE’s global fixed income indices, including its World Government Bond Index, FTSE’s flagship global index and a leading global benchmark for fixed income markets.</w:t>
      </w:r>
    </w:p>
    <w:p>
      <w:pPr>
        <w:spacing w:after="0" w:line="165" w:lineRule="exact"/>
        <w:rPr>
          <w:rFonts w:ascii="Times New Roman" w:cs="Times New Roman" w:eastAsia="Times New Roman" w:hAnsi="Times New Roman"/>
          <w:sz w:val="20"/>
          <w:szCs w:val="20"/>
          <w:color w:val="auto"/>
        </w:rPr>
      </w:pPr>
    </w:p>
    <w:p>
      <w:pPr>
        <w:ind w:left="1080" w:right="120" w:hanging="360"/>
        <w:spacing w:after="0" w:line="259" w:lineRule="auto"/>
        <w:tabs>
          <w:tab w:leader="none" w:pos="108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APA.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support MiFID II regulatory obligations, we also operate an APA reporting service in the UK and EU</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LSEG’s FX trading venues.</w:t>
      </w:r>
    </w:p>
    <w:p>
      <w:pPr>
        <w:sectPr>
          <w:pgSz w:w="12240" w:h="15840" w:orient="portrait"/>
          <w:cols w:equalWidth="0" w:num="1">
            <w:col w:w="10060"/>
          </w:cols>
          <w:pgMar w:left="1260" w:top="8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60"/>
          </w:cols>
          <w:pgMar w:left="1260" w:top="834" w:right="92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Corporates Solutions</w:t>
      </w:r>
    </w:p>
    <w:p>
      <w:pPr>
        <w:spacing w:after="0" w:line="2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We currently provide clients in our corporates client sector with access to the ICD Portal, where clients can research money market fund products and place orders to purchase or redeem investments. Those orders are securely transmitted to the appropriate counterparties to ensure timely trade executions and cash transfers. Through our ICD Portfolio Analytics tool, corporate treasury organizations also have access to an AI-driven cloud solution for aggregating investment positions for comprehensive analysis, monitoring and reporting. During 2025 we introduced the ability to trade U.S. Treasuries through the ICD Portal, an important step in beginning to expand the access of our corporates client sector to the larger suite of Tradeweb solutions. In the future, we expect to further expand the ability for corporate treasury organizations to manage liquidity needs and related FX risk and to optimize yield and duration through our existing suite of Tradeweb products and partnerships.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platform, new product launches, information and data services and post-trade services. Our sales team is also responsible for training and supporting new and existing clients on their use of our platform and solutions and for educating clients more broadly on the benefits of electronic trading, including how to optimize their trading performance and efficiency through our various trading protocols.</w:t>
      </w:r>
    </w:p>
    <w:p>
      <w:pPr>
        <w:spacing w:after="0" w:line="1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Given the breadth of our global client network, trading volume activity and engagement with regulatory bodies, we regularly work to help educate market participants on market trends, the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1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Additionally, we employ various marketing strategies to strengthen our brand position and explain our offerings, including through our public website, advertising, digital and social media, earned media, direct marketing, promotional mailings, industry conferences and hosted events.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The markets for our solutions continue to evolve and are competitive in the asset classes, products and geographies in which we operate. We compete with a broad range of market participants globally. Some of these market participants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primarily compete on the basis of client network, domain expertise, breadth of offerings and solutions and ease of integration of our platform with our client’s technology, as well as the quality, reliability, security and ease of our platform and solutions. We face the following main areas of competition:</w:t>
      </w:r>
    </w:p>
    <w:p>
      <w:pPr>
        <w:spacing w:after="0" w:line="151" w:lineRule="exact"/>
        <w:rPr>
          <w:sz w:val="20"/>
          <w:szCs w:val="20"/>
          <w:color w:val="auto"/>
        </w:rPr>
      </w:pPr>
    </w:p>
    <w:p>
      <w:pPr>
        <w:ind w:left="720" w:right="320" w:hanging="360"/>
        <w:spacing w:after="0" w:line="257"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electronic trading platforms</w:t>
      </w:r>
      <w:r>
        <w:rPr>
          <w:rFonts w:ascii="Times New Roman" w:cs="Times New Roman" w:eastAsia="Times New Roman" w:hAnsi="Times New Roman"/>
          <w:sz w:val="20"/>
          <w:szCs w:val="20"/>
          <w:color w:val="auto"/>
        </w:rPr>
        <w:t>: We compete with a number of other electronic trading venues. These include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MarketAxess, Bloomberg, ICE (Bondpoint, TMC Bonds, Creditex), Trumid, TP ICAP (Liquidnet) and others in the credit and municipal markets; Bloomberg, Euronext (MTS), CME Group (NEX Group), BGC Partners (Fenics), MarketAxess (LiquidityEdge), GLMX and others in the rates and derivatives markets; MarketAxess (RFQ-hub) and Bloomberg and others in the equities and ETF markets; and BNY Mellon, State Street, J.P. Morgan (Morgan Money) and Goldman Sachs and others in the money market portal market.</w:t>
      </w:r>
    </w:p>
    <w:p>
      <w:pPr>
        <w:spacing w:after="0" w:line="162" w:lineRule="exact"/>
        <w:rPr>
          <w:rFonts w:ascii="Times New Roman" w:cs="Times New Roman" w:eastAsia="Times New Roman" w:hAnsi="Times New Roman"/>
          <w:sz w:val="20"/>
          <w:szCs w:val="20"/>
          <w:color w:val="auto"/>
        </w:rPr>
      </w:pPr>
    </w:p>
    <w:p>
      <w:pPr>
        <w:ind w:left="720" w:right="80" w:hanging="360"/>
        <w:spacing w:after="0" w:line="276" w:lineRule="auto"/>
        <w:tabs>
          <w:tab w:leader="none" w:pos="7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Exchanges</w:t>
      </w:r>
      <w:r>
        <w:rPr>
          <w:rFonts w:ascii="Times New Roman" w:cs="Times New Roman" w:eastAsia="Times New Roman" w:hAnsi="Times New Roman"/>
          <w:sz w:val="19"/>
          <w:szCs w:val="19"/>
          <w:color w:val="auto"/>
        </w:rPr>
        <w:t>: In recent years, exchanges have pursued acquisitions that have put them in competition with us.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example, ICE acquired BondPoint and TMC Bonds, retail-focused platforms, and Interactive Data Corporation (“IDC”), a provider of fixed income data, in an effort to expand its portfolio of fixed income products and services. CME Group and CBOE also operate exchanges that compete with us. Exchanges also have data and analytics relationships with several market participants, which increasingly put their offerings in direct competition with Tradeweb.</w:t>
      </w:r>
    </w:p>
    <w:p>
      <w:pPr>
        <w:sectPr>
          <w:pgSz w:w="12240" w:h="15840" w:orient="portrait"/>
          <w:cols w:equalWidth="0" w:num="1">
            <w:col w:w="10420"/>
          </w:cols>
          <w:pgMar w:left="900" w:top="82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420"/>
          </w:cols>
          <w:pgMar w:left="900" w:top="829" w:right="920" w:bottom="0" w:gutter="0" w:footer="0" w:header="0"/>
          <w:type w:val="continuous"/>
        </w:sectPr>
      </w:pPr>
    </w:p>
    <w:bookmarkStart w:id="32" w:name="page33"/>
    <w:bookmarkEnd w:id="32"/>
    <w:p>
      <w:pPr>
        <w:ind w:left="720" w:right="120" w:hanging="360"/>
        <w:spacing w:after="0" w:line="259"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Inter-dealer brokers</w:t>
      </w:r>
      <w:r>
        <w:rPr>
          <w:rFonts w:ascii="Times New Roman" w:cs="Times New Roman" w:eastAsia="Times New Roman" w:hAnsi="Times New Roman"/>
          <w:sz w:val="20"/>
          <w:szCs w:val="20"/>
          <w:color w:val="auto"/>
        </w:rPr>
        <w:t>: We compete with inter-dealer brokers, particularly within our wholesale client sector in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as MBS, U.S. Treasuries, U.S. repurchase agreements and products traded on Swap Execution Facilities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59" w:lineRule="exact"/>
        <w:rPr>
          <w:rFonts w:ascii="Times New Roman" w:cs="Times New Roman" w:eastAsia="Times New Roman" w:hAnsi="Times New Roman"/>
          <w:sz w:val="20"/>
          <w:szCs w:val="20"/>
          <w:color w:val="auto"/>
        </w:rPr>
      </w:pPr>
    </w:p>
    <w:p>
      <w:pPr>
        <w:ind w:left="720" w:right="460" w:hanging="360"/>
        <w:spacing w:after="0" w:line="268"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EMS and OMS providers: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 are various providers of execution management services (“EMS”) and order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management services (“OMS”) that offer direct-to-dealer fully electronic trading solutions as well as aggregation of trading venue liquidity.</w:t>
      </w:r>
    </w:p>
    <w:p>
      <w:pPr>
        <w:spacing w:after="0" w:line="149" w:lineRule="exact"/>
        <w:rPr>
          <w:rFonts w:ascii="Times New Roman" w:cs="Times New Roman" w:eastAsia="Times New Roman" w:hAnsi="Times New Roman"/>
          <w:sz w:val="20"/>
          <w:szCs w:val="20"/>
          <w:color w:val="auto"/>
        </w:rPr>
      </w:pPr>
    </w:p>
    <w:p>
      <w:pPr>
        <w:ind w:left="720" w:right="180" w:hanging="360"/>
        <w:spacing w:after="0" w:line="268"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Single-bank systems</w:t>
      </w:r>
      <w:r>
        <w:rPr>
          <w:rFonts w:ascii="Times New Roman" w:cs="Times New Roman" w:eastAsia="Times New Roman" w:hAnsi="Times New Roman"/>
          <w:sz w:val="20"/>
          <w:szCs w:val="20"/>
          <w:color w:val="auto"/>
        </w:rPr>
        <w:t>: Major global and regional investment and commercial banks offer institutional clients electronic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trade execution through proprietary trading systems. Many of these banks expend considerable resources on product development, sales and support to promote their single-bank systems.</w:t>
      </w:r>
    </w:p>
    <w:p>
      <w:pPr>
        <w:spacing w:after="0" w:line="149" w:lineRule="exact"/>
        <w:rPr>
          <w:rFonts w:ascii="Times New Roman" w:cs="Times New Roman" w:eastAsia="Times New Roman" w:hAnsi="Times New Roman"/>
          <w:sz w:val="20"/>
          <w:szCs w:val="20"/>
          <w:color w:val="auto"/>
        </w:rPr>
      </w:pPr>
    </w:p>
    <w:p>
      <w:pPr>
        <w:ind w:left="720" w:right="40" w:hanging="360"/>
        <w:spacing w:after="0" w:line="262"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Dealers</w:t>
      </w:r>
      <w:r>
        <w:rPr>
          <w:rFonts w:ascii="Times New Roman" w:cs="Times New Roman" w:eastAsia="Times New Roman" w:hAnsi="Times New Roman"/>
          <w:sz w:val="20"/>
          <w:szCs w:val="20"/>
          <w:color w:val="auto"/>
        </w:rPr>
        <w:t>: Many of the markets in which we operate are still traded through traditional voice-based protocols. Institutional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55" w:lineRule="exact"/>
        <w:rPr>
          <w:rFonts w:ascii="Times New Roman" w:cs="Times New Roman" w:eastAsia="Times New Roman" w:hAnsi="Times New Roman"/>
          <w:sz w:val="20"/>
          <w:szCs w:val="20"/>
          <w:color w:val="auto"/>
        </w:rPr>
      </w:pPr>
    </w:p>
    <w:p>
      <w:pPr>
        <w:ind w:left="720" w:right="160" w:hanging="360"/>
        <w:spacing w:after="0" w:line="268"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Market data and information vendors</w:t>
      </w:r>
      <w:r>
        <w:rPr>
          <w:rFonts w:ascii="Times New Roman" w:cs="Times New Roman" w:eastAsia="Times New Roman" w:hAnsi="Times New Roman"/>
          <w:sz w:val="20"/>
          <w:szCs w:val="20"/>
          <w:color w:val="auto"/>
        </w:rPr>
        <w:t>: Market data and information providers, such as Bloomberg, IDC (now part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ICE) and IHS Markit, have a pervasive presence across the financial trading community. Their data and pre- and post-trade analytics compete with offerings we provide to support trading on our marketplaces.</w:t>
      </w:r>
    </w:p>
    <w:p>
      <w:pPr>
        <w:spacing w:after="0" w:line="1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We face intense competition from a broad range of competitors, which we expect to continue to increase in the future. See Part I, Item 1A. – “Risk Factors — Risks Relating to Market and Industry Dynamics and Competition — Failure to compete successfully could materially adversely affect our business,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Proprietary Technology</w:t>
      </w:r>
    </w:p>
    <w:p>
      <w:pPr>
        <w:spacing w:after="0" w:line="2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For more than 25 years, we have collaborated with our clients to continually innovate and evolve with the structure of our markets. This collaboration supported by our team of over 400 technologists allows us to remain agile across client sectors, geographies, asset classes and products. Our technologists work directly with our client, product and sales teams and apply their deep market knowledge and domain expertise to identify solutions that can be efficiently scaled across client sectors, asset classes and trading protocols.</w:t>
      </w:r>
    </w:p>
    <w:p>
      <w:pPr>
        <w:spacing w:after="0" w:line="16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A significant portion of our operating budget is dedicated to the design, development and operation of our proprietary technology system to achieve high levels of performance and reliability. We continually monitor our performance metrics and capacity requirements and upgrade to accommodate anticipated peak trading activity in our highest volume products.</w:t>
      </w:r>
    </w:p>
    <w:p>
      <w:pPr>
        <w:spacing w:after="0" w:line="155"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113" w:lineRule="exact"/>
        <w:rPr>
          <w:sz w:val="20"/>
          <w:szCs w:val="20"/>
          <w:color w:val="auto"/>
        </w:rPr>
      </w:pPr>
    </w:p>
    <w:p>
      <w:pPr>
        <w:ind w:left="720" w:right="140" w:hanging="360"/>
        <w:spacing w:after="0" w:line="259"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Nimble product development in collaboration with clients</w:t>
      </w:r>
      <w:r>
        <w:rPr>
          <w:rFonts w:ascii="Times New Roman" w:cs="Times New Roman" w:eastAsia="Times New Roman" w:hAnsi="Times New Roman"/>
          <w:sz w:val="20"/>
          <w:szCs w:val="20"/>
          <w:color w:val="auto"/>
        </w:rPr>
        <w:t>: Our approach to product development facilitates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continuous releases of important product features. This allows us to be opportunistic in what we decide to release at any point in time and inject newly discovered opportunities into the trade lifecycle. We have designed our platform to be component-based and modular. New components can be built quickly and have detailed monitoring and command capabilities embedded.</w:t>
      </w:r>
    </w:p>
    <w:p>
      <w:pPr>
        <w:spacing w:after="0" w:line="159" w:lineRule="exact"/>
        <w:rPr>
          <w:rFonts w:ascii="Times New Roman" w:cs="Times New Roman" w:eastAsia="Times New Roman" w:hAnsi="Times New Roman"/>
          <w:sz w:val="20"/>
          <w:szCs w:val="20"/>
          <w:color w:val="auto"/>
        </w:rPr>
      </w:pPr>
    </w:p>
    <w:p>
      <w:pPr>
        <w:ind w:left="720" w:right="180" w:hanging="360"/>
        <w:spacing w:after="0" w:line="262"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Scalable architecture</w:t>
      </w:r>
      <w:r>
        <w:rPr>
          <w:rFonts w:ascii="Times New Roman" w:cs="Times New Roman" w:eastAsia="Times New Roman" w:hAnsi="Times New Roman"/>
          <w:sz w:val="20"/>
          <w:szCs w:val="20"/>
          <w:color w:val="auto"/>
        </w:rPr>
        <w:t>: Our scalable architecture was designed to address increased trading activities and evolving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 structures in a cost efficient manner. Furthermore, the diversity and breadth of our platform allows us to expand our capabilities across new markets. We use third-party data centers to more flexibly manage our capacity needs and costs, as well as to leverage security, network and service capabilities.</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440"/>
          </w:cols>
          <w:pgMar w:left="900" w:top="834" w:right="900" w:bottom="0" w:gutter="0" w:footer="0" w:header="0"/>
          <w:type w:val="continuous"/>
        </w:sectPr>
      </w:pPr>
    </w:p>
    <w:bookmarkStart w:id="33" w:name="page34"/>
    <w:bookmarkEnd w:id="33"/>
    <w:p>
      <w:pPr>
        <w:ind w:left="720" w:right="20" w:hanging="360"/>
        <w:spacing w:after="0" w:line="254"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Strong business continuity and disaster recovery planning</w:t>
      </w:r>
      <w:r>
        <w:rPr>
          <w:rFonts w:ascii="Times New Roman" w:cs="Times New Roman" w:eastAsia="Times New Roman" w:hAnsi="Times New Roman"/>
          <w:sz w:val="20"/>
          <w:szCs w:val="20"/>
          <w:color w:val="auto"/>
        </w:rPr>
        <w:t>: We continue to regularly evaluate and enhance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continuity plans in place in the event of a significant business disruption or disaster recovery situation to ensure the resilience of critical systems required for normal operations and the safety of all employees. The plans cover a range of scenarios and adhere to industry standards and regulatory mandates as outlined by the Interagency Paper on Sound Practices to Strengthen the Resilience of the U.S. Financial System, the SEC’s Regulation Systems Compliance and Integrity, Commodity Futures Trading Commission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170" w:lineRule="exact"/>
        <w:rPr>
          <w:rFonts w:ascii="Times New Roman" w:cs="Times New Roman" w:eastAsia="Times New Roman" w:hAnsi="Times New Roman"/>
          <w:sz w:val="20"/>
          <w:szCs w:val="20"/>
          <w:color w:val="auto"/>
        </w:rPr>
      </w:pPr>
    </w:p>
    <w:p>
      <w:pPr>
        <w:ind w:left="72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maintain redundant networks, hardware, data centers and alternate operational facilities to address interruptions. We have fourteen datacenters across the United States, the UK, Japan and Australia. Our data center infrastructure is designed to be resilient and responsive with built-in redundancies. Some of our solutions, including the ICD Portal, are hosted in the cloud with similar redundancies and resiliency plans.</w:t>
      </w:r>
    </w:p>
    <w:p>
      <w:pPr>
        <w:spacing w:after="0" w:line="159" w:lineRule="exact"/>
        <w:rPr>
          <w:rFonts w:ascii="Times New Roman" w:cs="Times New Roman" w:eastAsia="Times New Roman" w:hAnsi="Times New Roman"/>
          <w:sz w:val="20"/>
          <w:szCs w:val="20"/>
          <w:color w:val="auto"/>
        </w:rPr>
      </w:pPr>
    </w:p>
    <w:p>
      <w:pPr>
        <w:ind w:left="720" w:right="60" w:hanging="360"/>
        <w:spacing w:after="0" w:line="254"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Ongoing security, system monitoring and alerting</w:t>
      </w:r>
      <w:r>
        <w:rPr>
          <w:rFonts w:ascii="Times New Roman" w:cs="Times New Roman" w:eastAsia="Times New Roman" w:hAnsi="Times New Roman"/>
          <w:sz w:val="20"/>
          <w:szCs w:val="20"/>
          <w:color w:val="auto"/>
        </w:rPr>
        <w:t>: We prioritize security throughout our platform, operations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a combination of ISO/ICE 27001 principles, the National Institute of Standards and Technology Cybersecurity Framework, regulatory mandates and industry best practices. Our Chief Information Security Officer leads a qualified cybersecurity team in assessing, managing and reducing material risks from cybersecurity threats to protect critical operations and delivery of service. We continuously monitor connectivity, and our global operations team is alerted if there are any suspect events. See Part I, Item 1C. – “Cybersecurity – Governance” for further detail regarding our cybersecurity risk management, strategy and governance structure.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1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20"/>
          <w:szCs w:val="20"/>
          <w:color w:val="auto"/>
        </w:rPr>
        <w:t>Like most companies that develop technology in-house, we rely upon a combination of copyright, patent, trade secret and trademark laws, written agreements and common law to protect our proprietary technology, processes and other intellectual property.</w:t>
      </w:r>
    </w:p>
    <w:p>
      <w:pPr>
        <w:spacing w:after="0" w:line="15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To that end, we have patents or patents pending in the United States and other jurisdictions covering significant trading protocols and other aspects of our trading system technology.</w:t>
      </w:r>
    </w:p>
    <w:p>
      <w:pPr>
        <w:spacing w:after="0" w:line="1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In addition, we own, or have filed applications for, the rights to trade names, trademarks, copyrights, domain names and service marks that we use in the marketing of our platform and solutions to clients. We have registered trademarks for many of our markets and functionalities, with registrations pending in others.</w:t>
      </w:r>
    </w:p>
    <w:p>
      <w:pPr>
        <w:spacing w:after="0" w:line="15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Many aspects of our business are subject to regulation in a number of jurisdictions, including the United States, the UK, the Netherlands, France, Germany, Switzerland, Italy, Japan, Hong Kong, China, Singapore, Australia, the Kingdom of Saudi Arabia and the Dubai International Financial Centre (“DIFC”), among others.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 including by imposing costs in the form of increased compliance, personnel, and technology needs in order to comply with relevant laws and regulations.</w:t>
      </w:r>
    </w:p>
    <w:p>
      <w:pPr>
        <w:sectPr>
          <w:pgSz w:w="12240" w:h="15840" w:orient="portrait"/>
          <w:cols w:equalWidth="0" w:num="1">
            <w:col w:w="10380"/>
          </w:cols>
          <w:pgMar w:left="900" w:top="83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380"/>
          </w:cols>
          <w:pgMar w:left="900" w:top="834" w:right="960" w:bottom="0" w:gutter="0" w:footer="0" w:header="0"/>
          <w:type w:val="continuous"/>
        </w:sectPr>
      </w:pPr>
    </w:p>
    <w:bookmarkStart w:id="34" w:name="page35"/>
    <w:bookmarkEnd w:id="34"/>
    <w:p>
      <w:pPr>
        <w:ind w:right="180"/>
        <w:spacing w:after="0" w:line="258" w:lineRule="auto"/>
        <w:rPr>
          <w:sz w:val="20"/>
          <w:szCs w:val="20"/>
          <w:color w:val="auto"/>
        </w:rPr>
      </w:pPr>
      <w:r>
        <w:rPr>
          <w:rFonts w:ascii="Times New Roman" w:cs="Times New Roman" w:eastAsia="Times New Roman" w:hAnsi="Times New Roman"/>
          <w:sz w:val="20"/>
          <w:szCs w:val="20"/>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17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The regulatory environment in which we operate is subject to constant change. We are unable to predict how certain new laws, proposed rules and regulations and other regulatory initiatives will be implemented or in what form, or whether any changes to existing laws, rules and regulations, including the interpretation, implementation or enforcement thereof or a relaxation or amendment thereof, will occur in the future. Regulatory priorities and approaches may continue to shift, including as a result of changes in U.S. and non-U.S. governmental leadership. We believe that uncertainty with respect to regulatory frameworks may negatively impact our clients and trading volumes in certain markets in which we transact, although a relaxation of or the amendment of existing rules and regulations could potentially have a positive impact on certain markets. While we generally believe the net impact of the laws, rules and regulations may be positive for our business, it is possible that unintended consequences may materially adversely affect us in ways yet to be determined. See Part I, Item 1A. – “Risk Factors — Risks Relating to Legal, Regulatory and Tax Considerations — Our business, and the businesses of many of our clients, could be materially adversely affected by new laws, rules or regulations or changes in existing laws, rules or regulations, including the interpretation and enforcement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Regulation</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are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173"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9"/>
          <w:szCs w:val="19"/>
          <w:color w:val="auto"/>
        </w:rPr>
        <w:t>The CFTC is the federal agency primarily responsible for the administration of federal laws governing activities relating to futures, swaps and other derivatives (but excluding security-based swaps) including the adoption and administration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the Financial Industry Regulatory Authority, Inc.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also subject to the oversight of the National Futures Association (“NFA”), a self-regulatory organization that regulates certain CFTC registrants.</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420"/>
          </w:cols>
          <w:pgMar w:left="900" w:top="838" w:right="92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Dodd-Frank Act and Subsequent Regulation</w:t>
      </w:r>
    </w:p>
    <w:p>
      <w:pPr>
        <w:spacing w:after="0" w:line="21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Following the 2008 financial crisis, legislators and regulators in the United States adopted new laws and regulations, including the Dodd-Frank Act, the Volcker Rule and additional bank capital and liquidity requirements.</w:t>
      </w:r>
    </w:p>
    <w:p>
      <w:pPr>
        <w:spacing w:after="0" w:line="1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 effect. The SEC has also finalized many of its security-based swap regulations.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and requires SEFs to maintain robust front-end and back-office information technology capabilities.</w:t>
      </w:r>
    </w:p>
    <w:p>
      <w:pPr>
        <w:spacing w:after="0" w:line="1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 SEC is charged with adopting and administering the regulatory regime for “security-based swaps” (generally, swaps based on certain types of securities or loans or groups thereof). In late 2023, the SEC adopted registration requirements for entities that act as security-based swap execution facilities (“SBSEFs”). Our SBSEF application was approved by the SEC and we implemented the registration requirements in 2025, with such requirements being similar to the requirements implemented as a result of operating as a CFTC-registered SEF, with some unique challenges, including dual-regulator compliance obligations and potential differences in reporting requirements, as well as increased oversight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Developments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SEC also adopted final rules regarding the central clearing of certain secondary transactions involving U.S. Treasury securities, which are scheduled to become effective for certain cash market transactions on December 31, 2026 and for repurchase and reverse repurchase transactions on June 30, 2027. Although the final rule was more limited in scope than the proposal, this central clearing mandate will impact certain market participants who do not clear today, and some have expressed concerns about the potential impact of additional clearing costs that may affect liquidity. These reforms may also require us and our clients to make significant investments in technology, risk management and compliance and may change how and where our clients trade and clear on our platform. While this change may create greater electronification of trading, it could also negatively affect trading activity and liquidity in the markets in which we operate.</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In June 2025, the SEC formally withdrew proposed amendments to Regulation ATS and Regulation SCI that would have, among other things, expanded the application of these rules to alternative trading systems that trade government securities and to certain communication protocol systems, including RFQ protocols. Congress, the SEC, the CFTC or other regulators may in the future adopt similar reforms that could require us to register additional trading protocols as ATSs, comply with Regulation SCI with respect to additional aspects of our business or otherwise implement significant changes to our systems, governance and compliance framework.</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2025, the CFTC likewise did not move forward with or scaled back several proposed regulatory initiatives applicable to derivatives markets, including proposed expansions of governance, conflicts-of-interest and compliance requirements for SEFs, proposed enhancements to risk management and governance requirements for swaps dealers and other rulemakings that would have imposed additional prescriptive operational, reporting or risk-management obligations across multiple registrant categories. Notwithstanding the withdrawal, rollback or non-finalization of these proposals, the regulatory environment in the U.S. continues to rapidly evolve. It is unknown at this time to what extent new legislation will be passed into law or whether pending or new regulatory proposals will be adopted, abandoned or modified or what effect such passage, adoption, abandonment or modification will have, whether positive or negative, on our industry, our clients or us. This uncertainty may be more pronounced during periods following changes in political or regulatory priorities, including from the current U.S. administration and Congress, which has led to, and may continue to lead to, material changes to prior laws, rules and regulations, guidance and enforcement stances. Any such legal and regulatory changes could affect us in substantial and unpredictable ways, and could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Cryptocurrency Regulation and Developments</w:t>
      </w:r>
    </w:p>
    <w:p>
      <w:pPr>
        <w:spacing w:after="0" w:line="21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As we continue to explore the possibility of expanding our offerings to include digital assets and otherwise engage in activities related to digital assets, we may become subject to additional regulation or face increased regulatory scrutiny.</w:t>
      </w:r>
    </w:p>
    <w:p>
      <w:pPr>
        <w:sectPr>
          <w:pgSz w:w="12240" w:h="15840" w:orient="portrait"/>
          <w:cols w:equalWidth="0" w:num="1">
            <w:col w:w="10420"/>
          </w:cols>
          <w:pgMar w:left="900" w:top="8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420"/>
          </w:cols>
          <w:pgMar w:left="900" w:top="834" w:right="920" w:bottom="0" w:gutter="0" w:footer="0" w:header="0"/>
          <w:type w:val="continuous"/>
        </w:sectPr>
      </w:pPr>
    </w:p>
    <w:bookmarkStart w:id="36" w:name="page37"/>
    <w:bookmarkEnd w:id="36"/>
    <w:p>
      <w:pPr>
        <w:ind w:right="220"/>
        <w:spacing w:after="0" w:line="256" w:lineRule="auto"/>
        <w:rPr>
          <w:sz w:val="20"/>
          <w:szCs w:val="20"/>
          <w:color w:val="auto"/>
        </w:rPr>
      </w:pPr>
      <w:r>
        <w:rPr>
          <w:rFonts w:ascii="Times New Roman" w:cs="Times New Roman" w:eastAsia="Times New Roman" w:hAnsi="Times New Roman"/>
          <w:sz w:val="20"/>
          <w:szCs w:val="20"/>
          <w:color w:val="auto"/>
        </w:rPr>
        <w:t>Congress continues to enact and consider legislative proposals relating to the regulation of digital assets. In July 2025, the Guiding and Establishing National Innovation for U.S. Stablecoins Act (the “GENIUS Act”) was enacted, establishing a federal regulatory framework for payment stablecoins. Congress also continues to consider the legislation for a broader regulatory scheme for cryptocurrencies, including the Digital Asset Market Clarity Act of 2025 (the “CLARITY Act”). If adopted, the CLARITY Act or similar legislation could result in new or expanded regulatory frameworks applicable to trading venues, intermediaries or market infrastructure providers.</w:t>
      </w:r>
    </w:p>
    <w:p>
      <w:pPr>
        <w:spacing w:after="0" w:line="1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In addition, significant changes have taken place over the past year with respect to the regulation of digital assets at the administrative level. In July 2025, the President’s Working Group on Digital Asset Markets (an interagency working group created by executive order) released a series of recommendations for legal and regulatory actions to facilitate developments in digital asset trading. U.S. banking regulators and the Treasury Department have taken a number of steps to ease potential barriers to the development of activity in digital assets in the United States. The SEC and CFTC has taken significant actions related to digital assets. The SEC, among other things: (i) abandoned a number of pending enforcement cases and investigations involving crypto assets; (ii) announced “Project Crypto,” which includes potential efforts to develop a “token taxonomy” and to consider exemptions or tailored offering frameworks for digital assets that may be treated as securities under the federal securities laws;</w:t>
      </w:r>
    </w:p>
    <w:p>
      <w:pPr>
        <w:spacing w:after="0" w:line="3" w:lineRule="exact"/>
        <w:rPr>
          <w:sz w:val="20"/>
          <w:szCs w:val="20"/>
          <w:color w:val="auto"/>
        </w:rPr>
      </w:pPr>
    </w:p>
    <w:p>
      <w:pPr>
        <w:spacing w:after="0" w:line="252" w:lineRule="auto"/>
        <w:tabs>
          <w:tab w:leader="none" w:pos="34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SEC staff guidance on the “security” status of various digital assets and related activity; (iv) rescinded prior SEC staff guidance on digital asset custody by broker-dealers; (v) and indicated that further rulemaking was on the near-term horizon for digital assets. Likewise, the CFTC has taken a number of significant actions, including (i) announcing that listed spot cryptocurrency products would begin trading on CFTC-registered futures exchanges; (ii) establishing a digital assets pilot program and related guidance addressing the use of certain digital assets as collateral/margin in derivatives markets; (iii) withdrew a series of prior staff guidance that was seen as limiting the ability for platforms to offer digital asset derivatives; (iv) and abandoned or settled digital asset-related enforcement actions and investigations.</w:t>
      </w:r>
    </w:p>
    <w:p>
      <w:pPr>
        <w:spacing w:after="0" w:line="16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These legislative and regulatory developments are evolving, may be subject to further rulemaking, interpretation and enforcement priorities, and could require market participants to incur additional costs, implement new controls and compliance processes or modify products and services, any of which could adversely affect our ongoing strategic initiatives related to digital assets, including our ability to potentially offer our clients digital asset trading venues or solutions in the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Non-U.S. Regulation</w:t>
      </w:r>
    </w:p>
    <w:p>
      <w:pPr>
        <w:spacing w:after="0" w:line="21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Outside of the United States, we are currently regulated by: the Financial Conduct Authority (“FCA”) in the UK, the De Nederlandsche Bank (“DNB”) and the Netherlands Authority for the Financial Markets (“AFM”), Autorité Des Marchés Financiers (“AMF”) and Autorité de contrôle prudentiel et de resolution (“ACPR”) in France, Bundesanstalt für Finanzdienstleistungsaufsicht (“BaFin”) in Germany, the Japan Financial Services Agency (the “JFSA”), the Japan Securities Dealers Association (the “JSDA”), the Securities &amp; Futures Commission (the “SFC”) of Hong Kong, the Monetary Authority of Singapore (the “MAS”), the Australian Securities and Investment Commission (the “ASIC”), the Comisión Nacional Bancaria y de Valores (the “CBNV”) in Mexico, the Swiss Financial Market Supervisory Authority (“FINMA”), the Investment Industry Regulatory Organization of Canada and provincial regulators in Canada, the Commissione Nazionale per le Società e la Borsa (“CONSOB”) in Italy, the Dubai Financial Services Authority (the “DFSA”) in the DIFC, the Abu Dhabi Global Market (“ADGM”) in Abu Dhabi and the Capital Markets Authority (“CMA”) in the Kingdom of Saudi Arabia.</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FCA’s strategic objective is to ensure that the UK’s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The FCA is responsible for supervision of our conduct and prudential compliance. Subject to section 178 of FSMA, individuals or companies that seek to acquire or increase their control in a firm that the FCA regulates is required to obtain prior approval from the FCA.</w:t>
      </w:r>
    </w:p>
    <w:p>
      <w:pPr>
        <w:spacing w:after="0" w:line="1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The legal framework in the Netherlands for financial undertakings is predominantly included in the Dutch Financial Supervision Act (Wet op het financieel toezicht or “FSA”). The AFM, like the DNB, is an autonomous administrative authority with independent responsibility for fulfilling its supervisory function. Pursuant to section 2:96 of the FSA, the AFM authorizes investment firms. The AFM is legally responsible for business supervision. The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The DNB and the AFM co-operate under the provisions of the FSA and have concluded a covenant on the co-operation and co-ordination of supervision and other related tasks.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440"/>
          </w:cols>
          <w:pgMar w:left="900" w:top="838" w:right="900" w:bottom="0" w:gutter="0" w:footer="0" w:header="0"/>
          <w:type w:val="continuous"/>
        </w:sectPr>
      </w:pPr>
    </w:p>
    <w:bookmarkStart w:id="37" w:name="page38"/>
    <w:bookmarkEnd w:id="37"/>
    <w:p>
      <w:pPr>
        <w:ind w:right="180"/>
        <w:spacing w:after="0" w:line="258" w:lineRule="auto"/>
        <w:rPr>
          <w:sz w:val="20"/>
          <w:szCs w:val="20"/>
          <w:color w:val="auto"/>
        </w:rPr>
      </w:pPr>
      <w:r>
        <w:rPr>
          <w:rFonts w:ascii="Times New Roman" w:cs="Times New Roman" w:eastAsia="Times New Roman" w:hAnsi="Times New Roman"/>
          <w:sz w:val="20"/>
          <w:szCs w:val="20"/>
          <w:color w:val="auto"/>
        </w:rPr>
        <w:t>Much of our derivatives volume continues to be executed by non-U.S. based clients outside the United States and is subject to local regulations. In particular, the EU has enhanced the existing laws and developed new rules and regulations targeted at the financial services industry, including MiFID II and Markets in Financial Instruments Regulation (“MiFIR”), which were implemented in January 2018 and which introduced significant changes to the EU financial markets, including the fixed income and derivative markets, designed to facilitate more efficient markets and greater transparency for participants.</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During 2023, the European Securities and Markets Authority (“ESMA”), the EU’s financial markets regulator and supervisor, announced a shift in its Union Strategic Supervisory Priorities (“USSPs”), introducing cyber risk and digital resilience as key areas of focus alongside environmental, social and governance disclosures. The USSPs are an important tool through which ESMA coordinates and focuses supervisory action with national competent authorities (“NCAs”) across the EU on specific topics. The strategy takes into account the key priorities of the EU in the area of financial services and aims to address the most significant risks linked to EU financial markets. It is structured around the following key areas: effective financial markets and financial stability, supervision and supervisory convergence, retail investor protection, sustainable finance and technological innovation and increased use of data. With this new priority, EU supervisors will put greater emphasis on reinforcing firms’ information and communication technology (“ICT”) risk management surrounding the use of financial technology systems (including but not limited to trading venue technologies) through close monitoring and supervisory actions, building new supervisory capacity and expertise. The new USSPs came into effect in January 2025, at the same time as the Digital Operational Resilience Act (“DORA”).</w:t>
      </w:r>
    </w:p>
    <w:p>
      <w:pPr>
        <w:spacing w:after="0" w:line="17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DORA is a new EU framework which aims to enhance and harmonize the digital operational resilience and cyber security of entities across the EU financial sector. Under DORA, which came into effect in January 2025, our entities in the EU, namely Tradeweb EU B.V. and Tradeweb Execution Services B.V., were required to adopt a broader business view of operational resilience, with accountability clearly established at the senior management level. DORA consists of the following key pillars: ICT risk management requirements, reporting of ICT incidents, testing programs covering ICT tools, systems and processes, ICT third party risk management and an oversight framework for critical ICT third-party service providers. In response, and where necessary, effective in January 2025, relevant third-party risk management and incident reporting policies and procedure documents were created or updated to address the requirements of DORA. The implementation of DORA in January 2025 represents a key delivery of the EU’s strategic initiatives and supervisors will continue to assess compliance with DORA as part of their efforts to achieve the USSP’s broader strategic goals. During 2026, we expect NCAs will continue to implement and monitor the focus areas outlined in the USSPs, adjusting their supervisory approaches as necessary to address emerging risks and developments.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Requirements</w:t>
      </w:r>
    </w:p>
    <w:p>
      <w:pPr>
        <w:spacing w:after="0" w:line="2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Certain of our subsidiaries are subject to jurisdiction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 As of December 31, 2025, each of our regulated subsidiaries had maintained sufficient net capital or financial resources to at least satisfy their minimum requirements. See Note 19 – Regulatory Capital Requirements to our audited consolidated financial statements included elsewhere in this Annual Report on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Status of Tradeweb Entities</w:t>
      </w:r>
    </w:p>
    <w:p>
      <w:pPr>
        <w:spacing w:after="0" w:line="2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operations span jurisdictions across North America, South America, Europe, the Middle East and the Asia Pacific region, and we operate through various regulated entities. The current regulatory status of our regulated entities is described below.</w:t>
      </w:r>
    </w:p>
    <w:p>
      <w:pPr>
        <w:spacing w:after="0" w:line="141"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20"/>
          <w:szCs w:val="20"/>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British Columbia, New Brunswick, Nova Scotia, Quebec, Saskatchewan and Manitoba and is recognized as a foreign trading venue in Switzerland.</w:t>
      </w:r>
    </w:p>
    <w:p>
      <w:pPr>
        <w:spacing w:after="0" w:line="163"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9"/>
          <w:szCs w:val="19"/>
          <w:color w:val="auto"/>
        </w:rPr>
        <w:t>Dealerweb LLC (“Dealerweb”) is a SEC-registered broker-dealer, operates an ATS and is a member of FINRA and MSRB. Dealerweb is also a CFTC-registered introducing broker and a member of NFA, is recognized as a foreign trading venue in Switzerland and is a Recognized Body of the DFSA. Dealerweb relies on the international dealer exemption in the Canadian provinces of Ontario, Quebec and Nova Scotia and the ATS Order Exemption for Ontario, Quebec and Nova Scotia.</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420"/>
          </w:cols>
          <w:pgMar w:left="900" w:top="838" w:right="920" w:bottom="0" w:gutter="0" w:footer="0" w:header="0"/>
          <w:type w:val="continuous"/>
        </w:sectPr>
      </w:pPr>
    </w:p>
    <w:bookmarkStart w:id="38" w:name="page39"/>
    <w:bookmarkEnd w:id="38"/>
    <w:p>
      <w:pPr>
        <w:ind w:right="440"/>
        <w:spacing w:after="0" w:line="266" w:lineRule="auto"/>
        <w:rPr>
          <w:sz w:val="20"/>
          <w:szCs w:val="20"/>
          <w:color w:val="auto"/>
        </w:rPr>
      </w:pPr>
      <w:r>
        <w:rPr>
          <w:rFonts w:ascii="Times New Roman" w:cs="Times New Roman" w:eastAsia="Times New Roman" w:hAnsi="Times New Roman"/>
          <w:sz w:val="20"/>
          <w:szCs w:val="20"/>
          <w:color w:val="auto"/>
        </w:rPr>
        <w:t>Tradeweb Direct LLC is a SEC registered broker-dealer, operates an ATS and is a member of FINRA and MSRB. Tradeweb Direct LLC also relies on the Ontario Securities Commission International Dealer Exemption in the Canadian provinces of Ontario and Quebec, is registered as an exempt firm with the AFM and is a Recognized Body of the DFSA.</w:t>
      </w:r>
    </w:p>
    <w:p>
      <w:pPr>
        <w:spacing w:after="0" w:line="1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Institutional Cash Distributors LLC (“ICDLC”), acquired in August 2024, is a SEC registered broker-dealer and a member of FINRA. ICDLC relies on the international dealer exemption in the Canadian provinces of Alberta, British Columbia, Nova Scotia, Ontario, Quebec and Saskatchewan.</w:t>
      </w:r>
    </w:p>
    <w:p>
      <w:pPr>
        <w:spacing w:after="0" w:line="15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Tradeweb Europe Limited is authorized and regulated in the UK by the FCA as a MiFID Investment Firm. It has permissions to operate a Multilateral Trading Facility (“MTF”), an Organized Trading Facility (“OTF”) and an APA. Tradeweb Europe Limited is also regulated by ASIC and holds an Overseas Australian Market Operator License, is a recognized foreign trading venue by FINMA in Switzerland, is a recognized body by the DFSA, is recognized as a Remote Body by the ADGM and holds a license to provide direct market access to trading participants (Handelsteilnehmer) domiciled in Germany via an electronic trading system pursuant to section 102(1) of the German Securities Trading Act (Wertpapierhandelsgesetz – WpHG).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Singapore branch of Tradeweb Europe Limited is regulated by the MAS as a Recognised Market Operator (“RMO”).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Hong Kong branch of Tradeweb Europe Limited is regulated by the SFC as an Automated Trading Service.</w:t>
      </w:r>
    </w:p>
    <w:p>
      <w:pPr>
        <w:spacing w:after="0" w:line="210"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63" w:lineRule="exact"/>
        <w:rPr>
          <w:sz w:val="20"/>
          <w:szCs w:val="20"/>
          <w:color w:val="auto"/>
        </w:rPr>
      </w:pPr>
    </w:p>
    <w:p>
      <w:pPr>
        <w:jc w:val="both"/>
        <w:ind w:right="40"/>
        <w:spacing w:after="0" w:line="278" w:lineRule="auto"/>
        <w:rPr>
          <w:sz w:val="20"/>
          <w:szCs w:val="20"/>
          <w:color w:val="auto"/>
        </w:rPr>
      </w:pPr>
      <w:r>
        <w:rPr>
          <w:rFonts w:ascii="Times New Roman" w:cs="Times New Roman" w:eastAsia="Times New Roman" w:hAnsi="Times New Roman"/>
          <w:sz w:val="19"/>
          <w:szCs w:val="19"/>
          <w:color w:val="auto"/>
        </w:rPr>
        <w:t>TW SEF LLC is a CFTC-registered SEF and an SEC-registered SBSEF. TW SEF LLC is formally exempt from registration as an exchange in the Canadian provinces of Alberta, Ontario, Nova Scotia and Quebec and is recognized as a foreign trading venue in Switzerland. TW SEF LLC is approved and regulated by ASIC as an Overseas Australian Market Operator Licensee, recognized as Foreign Trading Venue in Mexico, is a Recognized Body of the DFSA and is recognized as a Remote Body by the ADGM.</w:t>
      </w:r>
    </w:p>
    <w:p>
      <w:pPr>
        <w:spacing w:after="0" w:line="148"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auto"/>
        </w:rPr>
        <w:t>DW SEF LLC is a CFTC-registered SEF. DW SEF LLC is formally exempt from registration in the Canadian provinces of Ontario, Nova Scotia and Quebec and is recognized as a foreign trading venue in Switzerland.</w:t>
      </w:r>
    </w:p>
    <w:p>
      <w:pPr>
        <w:spacing w:after="0" w:line="14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w:t>
      </w:r>
    </w:p>
    <w:p>
      <w:pPr>
        <w:ind w:right="100"/>
        <w:spacing w:after="0" w:line="260" w:lineRule="auto"/>
        <w:tabs>
          <w:tab w:leader="none" w:pos="33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member of the JSDA, which is an authorized self-regulatory body under the Financial Instruments and Exchange Law of Japan, the governing law of the financial services industry in Japan.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Tradeweb EU B.V. is authorized and regulated by the DNB and AFM as a MiFID Investment Firm with permissions to operate an MTF and an OTF. Tradeweb EU B.V. passports its permissions under MiFID and accordingly provides services throughout the EU and the European Economic Area (“EEA”). Tradeweb EU B.V. is also regulated by ASIC and holds an Overseas Australian Market Operator License, is a recognized foreign trading venue by FINMA in Switzerland, is a recognized body by the DFSA, and is recognized as a Remote Body by the ADGM.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Paris branch of Tradeweb EU B.V. is supervised by the ACPR.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Italy branch of Tradeweb EU B.V. is supervised by the CONSOB.</w:t>
      </w:r>
    </w:p>
    <w:p>
      <w:pPr>
        <w:spacing w:after="0" w:line="21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Tradeweb Execution Services Limited is authorized and regulated in the UK by the FCA as an Investment Firm (“BIPRU Firm”) and holds an exemption from ASIC from having to hold an Australian financial services license.</w:t>
      </w:r>
    </w:p>
    <w:p>
      <w:pPr>
        <w:spacing w:after="0" w:line="14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Tradeweb Execution Services B.V. is authorized and regulated by the AFM as a MiFID investment firm with permission to trade on a matched principal basis.</w:t>
      </w:r>
    </w:p>
    <w:p>
      <w:pPr>
        <w:spacing w:after="0" w:line="14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auto"/>
        </w:rPr>
        <w:t>Tradeweb Australia Pty Ltd (formerly Yieldbroker Pty Limited), acquired in August 2023, is a Tier 1 Australian Markets Licensee in Australia, regulated by the ASIC, that maintains an authorization in Singapore by the MAS as a Regulated Market Operator. Tradeweb Australia Pty Ltd changed its name from Yieldbroker Pty Limited in January 2024.</w:t>
      </w:r>
    </w:p>
    <w:p>
      <w:pPr>
        <w:spacing w:after="0" w:line="15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auto"/>
        </w:rPr>
        <w:t>Tradeweb (DIFC) Limited is an Authorized Firm regulated by the DFSA with a license for “arranging deals in investments” for users to access our various trading venues that are also separately recognized by the DFSA.</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420"/>
          </w:cols>
          <w:pgMar w:left="900" w:top="838" w:right="920" w:bottom="0" w:gutter="0" w:footer="0" w:header="0"/>
          <w:type w:val="continuous"/>
        </w:sectPr>
      </w:pPr>
    </w:p>
    <w:bookmarkStart w:id="39" w:name="page40"/>
    <w:bookmarkEnd w:id="39"/>
    <w:p>
      <w:pPr>
        <w:ind w:right="40"/>
        <w:spacing w:after="0" w:line="281" w:lineRule="auto"/>
        <w:rPr>
          <w:sz w:val="20"/>
          <w:szCs w:val="20"/>
          <w:color w:val="auto"/>
        </w:rPr>
      </w:pPr>
      <w:r>
        <w:rPr>
          <w:rFonts w:ascii="Times New Roman" w:cs="Times New Roman" w:eastAsia="Times New Roman" w:hAnsi="Times New Roman"/>
          <w:sz w:val="20"/>
          <w:szCs w:val="20"/>
          <w:color w:val="auto"/>
        </w:rPr>
        <w:t>Institutional Cash Distributors Limited (“ICDLT”), acquired in August 2024, is authorized and regulated in the UK by the FCA in the provision of intermediary services.</w:t>
      </w:r>
    </w:p>
    <w:p>
      <w:pPr>
        <w:spacing w:after="0" w:line="14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ICD Europa - Empresa de Investimento, S.A. (“ICDEU”), acquired in August 2024, was regulated by the Comissão do Mercado de Valores Mobiliários in Portugal as an investment firm. ICDEU was dissolved and liquidated in June 2025.</w:t>
      </w:r>
    </w:p>
    <w:p>
      <w:pPr>
        <w:spacing w:after="0" w:line="141"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20"/>
          <w:szCs w:val="20"/>
          <w:color w:val="auto"/>
        </w:rPr>
        <w:t>Tradeweb Company, a Joint Stock Company incorporated in the Kingdom of Saudi Arabia (“TWSA”), is authorized and regulated by the CMA to operate an ATS.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Tradeweb Asia PTE. Ltd is licensed by the MAS as a Capital Markets Service Provider.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Maintaining our position as a leader in building and operating electronic marketplaces for our global network of clients depends, in part, on our ability to attract, engage and retain a highly skilled workforce. We seek to foster an inclusive and safe workplace that supports this objective. We believe an engaged and inclusive workforce is important to our ability to innovate and execute our strategy. Our human capital management practices focus on supporting employee development and retention through opportunities for professional growth, competitive compensation and benefits, health and wellness programs and initiatives that encourage employee engagement and community involvement.</w:t>
      </w:r>
    </w:p>
    <w:p>
      <w:pPr>
        <w:spacing w:after="0" w:line="16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As of December 31, 2025, we had 1,569 employees, 1,061 of whom were based in the United States and 508 of whom were based outside of the United States. As of December 31, 2024, we had 1,412 employees globally. None of our employees are represented by a labor union. We consider our relationships with our employees to be good and have not experienced any interruptions of operations due to labor disagreements.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Development, Inclusion and Retention</w:t>
      </w:r>
    </w:p>
    <w:p>
      <w:pPr>
        <w:spacing w:after="0" w:line="21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We seek to foster a dynamic and inclusive workplace by providing employees with opportunities for professional development, training and career advancement. Our human capital management practices are designed to support equal access to development opportunities at all levels of the organization. We continue to expand engagement and professional development programs that encourage individual growth and support collective innovation and our business and operational needs.</w:t>
      </w:r>
    </w:p>
    <w:p>
      <w:pPr>
        <w:spacing w:after="0" w:line="16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9"/>
          <w:szCs w:val="19"/>
          <w:color w:val="auto"/>
        </w:rPr>
        <w:t>Employees have access to learning and development opportunities designed to support skill development and knowledge sharing, including product and business updates, educational programming and internal training resources such as Lunch &amp; Learns and Tradeweb U(niversity), which offers courses on financial and industry-related topics. We maintain a summer internship program that may lead to full-time employment opportunities and we offer assistance for certain professional courses and qualifications through a tuition reimbursement program. We also offer mentoring and leadership development initiatives, including the Tradeweb Achievers Program and the Building Better Leaders Program, which are designed to support employee development.</w:t>
      </w:r>
    </w:p>
    <w:p>
      <w:pPr>
        <w:spacing w:after="0" w:line="15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auto"/>
        </w:rPr>
        <w:t>As a growing global organization, we support an inclusive culture by encouraging collaboration within and across teams, recognizing the varied backgrounds and experiences of our workforce and promoting connections among employees and with the communities in which we operate. We believe that empowering employees supports collaboration, professional development and shared growth across the organization. Through our Global Inclusion &amp; Belonging Network, we provide forums that promote awareness and constructive dialogue on matters important to our employees. The network is designed to encourage respectful engagement, recognize different perspectives and experiences and support learning and connection across our workforce. We also offer other employee committees and affinity groups focused on workplace engagement and professional development, such as the Tradeweb Global Women’s Network, Tradeweb Cares, the Sustainability Action Network and the Working Parents Network.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Well-Being</w:t>
      </w: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success of our business depends, in part, on the health, safety and wellbeing of our employees. We provide benefits and employee programs, which vary by country and region, intended to support employees’ health and wellness, family-related needs and time away from work, including vacation, personal, sick and bereavement leave. In certain jurisdictions, these programs may include parental and adoptive parent leave, financial assistance for eligible fertility, adoption and surrogacy-related expenses, health and wellness initiatives, fitness-related offerings and access to virtual health services.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440"/>
          </w:cols>
          <w:pgMar w:left="900" w:top="838" w:right="90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1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0"/>
          <w:szCs w:val="20"/>
          <w:color w:val="auto"/>
        </w:rPr>
        <w:t>We offer competitive compensation and benefits programs designed to support talent attraction and employee retention and to address employee needs. These programs, which vary by country and region, include base salaries and may include annual incentive compensation, equity-based awards, retirement savings plans, healthcare and insurance benefits, health savings and flexible spending accounts, paid time off, family leave, family care resources, flexible work arrangements, employee assistance programs and tuition assistance, among many others. In addition to our broad-based equity award programs, we have used targeted equity-based grants with vesting conditions to support retention of certain employees, including individuals with specialized product, functional, technology or engineering expertise.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Community Involvement and Philanthropy</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believe that with success comes the responsibility to give back and to lift up the communities in which we live and work. We bring these opportunities to our employees through our philanthropy group, Tradeweb Cares, which focuses on corporate philanthropic partnerships, employee volunteerism, and supporting the Tradeweb Matching Donation program, which provides a match of qualifying charitable contributions by our employees of up to $1,000 per year, per employee. We partner with many organizations around the world that are focused on the four pillars of our philanthropy strategy: enriching and empowering social mobility in the communities where we live and work, ensuring equitable access to quality education and economic opportunity for all, providing access to healthcare and disease prevention for our society’s most vulnerable and supporting environmental conservation efforts to restore our planet. Some of the organizations we support globally include StreetWise Partners, Women’s Bond Club, TEAK Fellowship, Council of Urban Professionals, Rewriting the Code and Rock the Street, Wall Street in the United States, and Big City Bright Future, the Girls’ Network and Cowrie Scholarship Foundation in the United Kingdom.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Sustainability</w:t>
      </w:r>
    </w:p>
    <w:p>
      <w:pPr>
        <w:spacing w:after="0" w:line="21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Our approach to sustainability is rooted in identifying opportunities for leadership in our industry, integrating principles of sustainability into our business and operations decision making and sharing our progress in our external reporting in a way that is decision-useful and meaningful. In September 2025, we published our fifth annual Corporate Sustainability Report, which reports on our sustainability goals and priorities as well as our progress towards those goals during calendar year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Environment</w:t>
      </w:r>
    </w:p>
    <w:p>
      <w:pPr>
        <w:spacing w:after="0" w:line="2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We are committed to understanding the full extent of our environmental impact and to working toward minimizing our global emissions footprint. We seek to better understand the environmental impact of our operations through measurable means, and to set attainable targets and timelines for environmental impact reporting. While our business involves limited direct environmental risks, we will endeavor to make our operations and impact more sustainable over time. Our primary environmental goals have been to reduce our overall energy consumption and emissions where possible, and to move toward renewable energy coverage or direct sourcing of renewable energy to net our Scope 2 market-based emissions to zero.</w:t>
      </w:r>
    </w:p>
    <w:p>
      <w:pPr>
        <w:spacing w:after="0" w:line="1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To that end, in 2025, for the third year in a row, we reached 100% coverage of our reported global electricity use with renewable sources. Where leased spaces were not yet powered or covered by renewables, Tradeweb covered 100% of its reported global electricity usage with renewable sources through Energy Attribute Certificates.</w:t>
      </w:r>
    </w:p>
    <w:p>
      <w:pPr>
        <w:spacing w:after="0" w:line="1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As one of the largest global venues for green bond trading, we also aim to be a source of value for our clients as they implement sustainable trading strategies. This includes providing industry-trusted data and trading functionality for their green bond trading on our platform. In support of this objective, we began our partnership with the Climate Bonds Initiative’s (“CBI”) in early 2021 to integrate CBI data into our global product screens. By partnering with CBI, we aim to promote the visibility and accessibility of green bond trading activity across a wide range of asset classes, and leverage CBI data to provide transparency and clarity around the green bond trading volumes and trends on our platform. In 2025, CBI-screened green bond trading accounted for</w:t>
      </w:r>
    </w:p>
    <w:p>
      <w:pPr>
        <w:spacing w:after="0" w:line="6"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0"/>
          <w:szCs w:val="20"/>
          <w:color w:val="auto"/>
        </w:rPr>
        <w:t>$566.5 billion of the total $588.1 billion in global green bond trading volume executed on Tradeweb (excluding ETF). This represents a trading volume increase of 31% from 2024, calculated using CBI-screened green bond alignment based on the CBI definition of ‘Green’ as of December 31, 2025 for both the 2025 and 2024 comparative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People and Communities</w:t>
      </w:r>
    </w:p>
    <w:p>
      <w:pPr>
        <w:spacing w:after="0" w:line="2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auto"/>
        </w:rPr>
        <w:t>We value and encourage a wide range of perspectives and strive to cultivate a team with varied and robust ideas. We aim to give everyone the access and ability to grow as an individual and, eventually, a leader. For more information on how we support our people and communities, please see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Human Capital” above.</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440"/>
          </w:cols>
          <w:pgMar w:left="900" w:top="829" w:right="90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i w:val="1"/>
          <w:iCs w:val="1"/>
          <w:color w:val="auto"/>
        </w:rPr>
        <w:t>Our Governance</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have invested in strong and well-established governance structures across our global enterprise, led by a Board of Directors that is deeply experienced in our business and highly focused on advancing our sustainability strategies across the company. As part of that commitment, we have a Sustainability Steering Committee comprised of senior level executives covering major business directives across the company. The Sustainability Steering Committee is an advisory board assembled to guide our focus, and ensure delivery on our thoughtful approach to integrating our sustainability strategy into our business and operations. To support the implementation of our sustainability strategy, we also have a dedicated team whose head reports directly into our senior executive leadership team, which provides critical support for the integration of these initiatives across our business. At the Board level, the Nominating and Corporate Governance Committee is responsible for sustainability oversight and guidance. The Compensation Committee has responsibility for oversight of human capital-related topics and the Audit and Risk Committee has responsibility for oversight of external reporting of climate-related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Organizational Structure</w:t>
      </w:r>
    </w:p>
    <w:p>
      <w:pPr>
        <w:spacing w:after="0" w:line="21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Tradeweb Markets Inc. was incorporated in Delaware in November 2018.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 For more information regarding our organizational structure, see Note 1 – Organization and Note 11 – Stockholders’ Equity to our audited consolidated financial statements included elsewhere in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LSEG Transaction</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On January 29, 2021, LSEG completed its acquisition of the Refinitiv business (currently referred to by LSEG as LSEG Data &amp; Analytics) from a consortium, including certain investment funds affiliated with Blackstone as well as Thomson Reuters, in an all share transaction.</w:t>
      </w:r>
    </w:p>
    <w:p>
      <w:pPr>
        <w:spacing w:after="0" w:line="15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Following the consummation of the LSEG Transaction, LSEG became the controlling shareholder of Refinitiv and Refinitiv continued to be the controlling shareholder of Tradeweb, holding approximately 89.9% of our combined voting power as of December 31, 2025. Tradeweb remained a standalone, publicly-traded company, and the LSEG Transaction did not result in any changes to our stockholder voting rights, and we have not experienced and do not foresee any material impact on our strategy, day-to-day operations or Tradeweb management as a result of the LSEG Transaction. We maintain a market data license agreement with LSEG.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Our internet website address is www.tradeweb.com. Through our internet website, we will make available, free of charge, the following reports as soon as reasonably practicable after electronically filing them with, or furnishing them to, the SEC: our Annual Report on Form 10-K; our Quarterly Reports on Form 10-Q; our Current Reports on Form 8-K; and amendments to those reports filed or furnished pursuant to Section 13(a) of the Exchange Act. Our Proxy Statements for our Annual Meetings are also available through our internet website. In addition, the SEC maintains a website, www.sec.gov, that includes filings of and information about issuers, including the Company, that file electronically with the SEC. Our internet website and the information contained therein or connected thereto are not intended to be incorporated into this Annual Report on Form 10-K.</w:t>
      </w:r>
    </w:p>
    <w:p>
      <w:pPr>
        <w:spacing w:after="0" w:line="1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440"/>
          </w:cols>
          <w:pgMar w:left="900" w:top="829" w:right="90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5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the principal factors that make an investment in our Class A common stock speculative or risky.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Market and Industry Dynamics and Competition</w:t>
      </w:r>
    </w:p>
    <w:p>
      <w:pPr>
        <w:spacing w:after="0" w:line="34" w:lineRule="exact"/>
        <w:rPr>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and market conditions may reduce trading volumes.</w:t>
      </w:r>
    </w:p>
    <w:p>
      <w:pPr>
        <w:spacing w:after="0" w:line="1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compete successfully.</w:t>
      </w:r>
    </w:p>
    <w:p>
      <w:pPr>
        <w:spacing w:after="0" w:line="10" w:lineRule="exact"/>
        <w:rPr>
          <w:rFonts w:ascii="Times New Roman" w:cs="Times New Roman" w:eastAsia="Times New Roman" w:hAnsi="Times New Roman"/>
          <w:sz w:val="20"/>
          <w:szCs w:val="20"/>
          <w:color w:val="auto"/>
        </w:rPr>
      </w:pPr>
    </w:p>
    <w:p>
      <w:pPr>
        <w:ind w:left="720" w:right="180" w:hanging="36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adapt our business effectively to keep pace with industry and technological changes, we may not be able to compete effectively.</w:t>
      </w:r>
    </w:p>
    <w:p>
      <w:pPr>
        <w:ind w:left="720" w:right="900" w:hanging="360"/>
        <w:spacing w:after="0" w:line="25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and development of, and investment in, artificial intelligence and blockchain technologies may not be successful.</w:t>
      </w: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face consolidation and concentration in the financial services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the Operation and Performance of our Business</w:t>
      </w:r>
    </w:p>
    <w:p>
      <w:pPr>
        <w:spacing w:after="0" w:line="34" w:lineRule="exact"/>
        <w:rPr>
          <w:sz w:val="20"/>
          <w:szCs w:val="20"/>
          <w:color w:val="auto"/>
        </w:rPr>
      </w:pPr>
    </w:p>
    <w:p>
      <w:pPr>
        <w:ind w:left="720" w:right="40" w:hanging="360"/>
        <w:spacing w:after="0" w:line="252"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on our dealer clients to support our marketplaces by transacting with our other institutional, wholesale and retail clients.</w:t>
      </w: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have long-term contractual arrangements with certain of our clients.</w:t>
      </w:r>
    </w:p>
    <w:p>
      <w:pPr>
        <w:spacing w:after="0" w:line="10" w:lineRule="exact"/>
        <w:rPr>
          <w:rFonts w:ascii="Times New Roman" w:cs="Times New Roman" w:eastAsia="Times New Roman" w:hAnsi="Times New Roman"/>
          <w:sz w:val="20"/>
          <w:szCs w:val="20"/>
          <w:color w:val="auto"/>
        </w:rPr>
      </w:pPr>
    </w:p>
    <w:p>
      <w:pPr>
        <w:ind w:left="720" w:right="220" w:hanging="360"/>
        <w:spacing w:after="0" w:line="25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could be harmed if we are unable to maintain and grow the capacity of our trading platform, systems and infrastructure.</w:t>
      </w: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design defects, errors, failures or delays with our platform or solutions.</w:t>
      </w:r>
    </w:p>
    <w:p>
      <w:pPr>
        <w:spacing w:after="0" w:line="10" w:lineRule="exact"/>
        <w:rPr>
          <w:rFonts w:ascii="Times New Roman" w:cs="Times New Roman" w:eastAsia="Times New Roman" w:hAnsi="Times New Roman"/>
          <w:sz w:val="20"/>
          <w:szCs w:val="20"/>
          <w:color w:val="auto"/>
        </w:rPr>
      </w:pPr>
    </w:p>
    <w:p>
      <w:pPr>
        <w:ind w:left="720" w:right="120" w:hanging="360"/>
        <w:spacing w:after="0" w:line="25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third parties to perform certain key functions, are dependent on third parties for our pre- and post-trade data, analytics and reporting solutions and are dependent upon trading counterparties and clearinghouses to perform their obligations.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conduct our business may be impacted by unforeseen, catastrophic or uncontrollable events.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quarterly results may fluctuate significantly.</w:t>
      </w:r>
    </w:p>
    <w:p>
      <w:pPr>
        <w:spacing w:after="0" w:line="10" w:lineRule="exact"/>
        <w:rPr>
          <w:rFonts w:ascii="Times New Roman" w:cs="Times New Roman" w:eastAsia="Times New Roman" w:hAnsi="Times New Roman"/>
          <w:sz w:val="20"/>
          <w:szCs w:val="20"/>
          <w:color w:val="auto"/>
        </w:rPr>
      </w:pPr>
    </w:p>
    <w:p>
      <w:pPr>
        <w:ind w:left="720" w:right="300" w:hanging="360"/>
        <w:spacing w:after="0" w:line="25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retain our senior management team or the inability to attract and retain qualified personnel could materially adversely impact our ability to operate or grow our business.</w:t>
      </w: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face damage to our reputation or brand.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impairment charges for our goodwill and other indefinite-lived intangible assets.</w:t>
      </w:r>
    </w:p>
    <w:p>
      <w:pPr>
        <w:spacing w:after="0" w:line="10" w:lineRule="exact"/>
        <w:rPr>
          <w:rFonts w:ascii="Times New Roman" w:cs="Times New Roman" w:eastAsia="Times New Roman" w:hAnsi="Times New Roman"/>
          <w:sz w:val="20"/>
          <w:szCs w:val="20"/>
          <w:color w:val="auto"/>
        </w:rPr>
      </w:pPr>
    </w:p>
    <w:p>
      <w:pPr>
        <w:ind w:left="720" w:right="20" w:hanging="360"/>
        <w:spacing w:after="0" w:line="260"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Cryptocurrency and other digital assets are an emerging asset class that carries unique risk, including the risk of financial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Growth Strategies and other Strategic Opportunities</w:t>
      </w:r>
    </w:p>
    <w:p>
      <w:pPr>
        <w:spacing w:after="0" w:line="34" w:lineRule="exact"/>
        <w:rPr>
          <w:sz w:val="20"/>
          <w:szCs w:val="20"/>
          <w:color w:val="auto"/>
        </w:rPr>
      </w:pPr>
    </w:p>
    <w:p>
      <w:pPr>
        <w:ind w:left="720" w:hanging="36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maintain our current level of business or execute our growth plan.</w:t>
      </w:r>
    </w:p>
    <w:p>
      <w:pPr>
        <w:spacing w:after="0" w:line="13" w:lineRule="exact"/>
        <w:rPr>
          <w:rFonts w:ascii="Times New Roman" w:cs="Times New Roman" w:eastAsia="Times New Roman" w:hAnsi="Times New Roman"/>
          <w:sz w:val="20"/>
          <w:szCs w:val="20"/>
          <w:color w:val="auto"/>
        </w:rPr>
      </w:pPr>
    </w:p>
    <w:p>
      <w:pPr>
        <w:ind w:left="720" w:right="1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our entry into new markets will not be successful, and potential new markets may not develop quickly or at all.</w:t>
      </w:r>
    </w:p>
    <w:p>
      <w:pPr>
        <w:ind w:left="720" w:hanging="36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undertake acquisitions or divestitures, which may not be successful.</w:t>
      </w:r>
    </w:p>
    <w:p>
      <w:pPr>
        <w:spacing w:after="0" w:line="10" w:lineRule="exact"/>
        <w:rPr>
          <w:rFonts w:ascii="Times New Roman" w:cs="Times New Roman" w:eastAsia="Times New Roman" w:hAnsi="Times New Roman"/>
          <w:sz w:val="20"/>
          <w:szCs w:val="20"/>
          <w:color w:val="auto"/>
        </w:rPr>
      </w:pPr>
    </w:p>
    <w:p>
      <w:pPr>
        <w:ind w:left="720" w:right="680" w:hanging="360"/>
        <w:spacing w:after="0" w:line="26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enter into strategic alliances, partnerships, joint ventures or investments, we may not realize the anticipated strategic goals for any such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International Operations</w:t>
      </w:r>
    </w:p>
    <w:p>
      <w:pPr>
        <w:spacing w:after="0" w:line="34" w:lineRule="exact"/>
        <w:rPr>
          <w:sz w:val="20"/>
          <w:szCs w:val="20"/>
          <w:color w:val="auto"/>
        </w:rPr>
      </w:pPr>
    </w:p>
    <w:p>
      <w:pPr>
        <w:ind w:left="720" w:right="100" w:hanging="360"/>
        <w:spacing w:after="0" w:line="252"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financial condition and results of operations may be materially adversely affected by risks associated with our international operations.</w:t>
      </w:r>
    </w:p>
    <w:p>
      <w:pPr>
        <w:ind w:left="720" w:hanging="36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foreign currency exchange rates may adversely affect our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Cybersecurity and Intellectual Property</w:t>
      </w:r>
    </w:p>
    <w:p>
      <w:pPr>
        <w:spacing w:after="0" w:line="34" w:lineRule="exact"/>
        <w:rPr>
          <w:sz w:val="20"/>
          <w:szCs w:val="20"/>
          <w:color w:val="auto"/>
        </w:rPr>
      </w:pPr>
    </w:p>
    <w:p>
      <w:pPr>
        <w:ind w:left="720" w:right="20" w:hanging="360"/>
        <w:spacing w:after="0" w:line="252"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face actual or perceived security vulnerabilities in the systems, networks and infrastructure that we own or use, breaches of security controls, unauthorized access to confidential or personal information or cyber attacks.</w:t>
      </w:r>
    </w:p>
    <w:p>
      <w:pPr>
        <w:ind w:left="720" w:hanging="36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subject to systems failures, interruptions, delays in service, catastrophic events and resulting interruptions in the availability of our platform or solutions.</w:t>
      </w: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adequately protect our intellectual property or rely on third-party intellectual property rights.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may claim that we are infringing or misappropriating their intellectual property rights.</w:t>
      </w:r>
    </w:p>
    <w:p>
      <w:pPr>
        <w:sectPr>
          <w:pgSz w:w="12240" w:h="15840" w:orient="portrait"/>
          <w:cols w:equalWidth="0" w:num="1">
            <w:col w:w="10420"/>
          </w:cols>
          <w:pgMar w:left="900" w:top="831" w:right="920" w:bottom="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420"/>
          </w:cols>
          <w:pgMar w:left="900" w:top="831" w:right="920" w:bottom="0" w:gutter="0" w:footer="0" w:header="0"/>
          <w:type w:val="continuous"/>
        </w:sectPr>
      </w:pPr>
    </w:p>
    <w:bookmarkStart w:id="43" w:name="page44"/>
    <w:bookmarkEnd w:id="43"/>
    <w:p>
      <w:pPr>
        <w:ind w:left="720" w:right="900" w:hanging="36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open source software could result in litigation or impose unanticipated restrictions on our ability to commercialize our platform and solutions.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Legal, Regulatory and Tax Considerations</w:t>
      </w:r>
    </w:p>
    <w:p>
      <w:pPr>
        <w:spacing w:after="0" w:line="34" w:lineRule="exact"/>
        <w:rPr>
          <w:sz w:val="20"/>
          <w:szCs w:val="20"/>
          <w:color w:val="auto"/>
        </w:rPr>
      </w:pPr>
    </w:p>
    <w:p>
      <w:pPr>
        <w:ind w:left="720" w:right="260" w:hanging="360"/>
        <w:spacing w:after="0" w:line="252"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Extensive regulation of our industry results in ongoing exposure to significant costs and penalties, enhanced oversight and restrictions and limitations on our business.</w:t>
      </w:r>
    </w:p>
    <w:p>
      <w:pPr>
        <w:ind w:left="720" w:right="360" w:hanging="36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the businesses of many of our clients, could be materially adversely affected by new laws, rules or regulations or changes in existing laws, rules or regulations.</w:t>
      </w:r>
    </w:p>
    <w:p>
      <w:pPr>
        <w:ind w:left="720" w:right="140" w:hanging="36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actual or perceived failure to comply with privacy, data protection and information security laws, rules, regulations and obligations could harm our business.</w:t>
      </w:r>
    </w:p>
    <w:p>
      <w:pPr>
        <w:ind w:left="720" w:right="700" w:hanging="36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face new tax legislation and regulation as well as unanticipated changes in effective tax rates or adverse outcomes resulting from examination of our income or other tax returns.</w:t>
      </w: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and risk management programs might not be effective.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exposed to litigation risk, including securities litigation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Indebtedness</w:t>
      </w:r>
    </w:p>
    <w:p>
      <w:pPr>
        <w:spacing w:after="0" w:line="34" w:lineRule="exact"/>
        <w:rPr>
          <w:sz w:val="20"/>
          <w:szCs w:val="20"/>
          <w:color w:val="auto"/>
        </w:rPr>
      </w:pPr>
    </w:p>
    <w:p>
      <w:pPr>
        <w:ind w:left="720" w:hanging="360"/>
        <w:spacing w:after="0" w:line="252"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agreement that governs the 2023 Revolving Credit Facility imposes certain operating and financial restrictions on us and our restricted subsidiaries.</w:t>
      </w:r>
    </w:p>
    <w:p>
      <w:pPr>
        <w:ind w:left="720" w:hanging="36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borrowings under the 2023 Revolving Credit Facility will subject us to interest rate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Organizational Structure and Governance</w:t>
      </w:r>
    </w:p>
    <w:p>
      <w:pPr>
        <w:spacing w:after="0" w:line="34" w:lineRule="exact"/>
        <w:rPr>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LSEG controls us and its interests may conflict with ours or yours.</w:t>
      </w:r>
    </w:p>
    <w:p>
      <w:pPr>
        <w:spacing w:after="0" w:line="1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“controlled company” within the meaning of the corporate governance standards of Nasdaq.</w:t>
      </w:r>
    </w:p>
    <w:p>
      <w:pPr>
        <w:spacing w:after="0" w:line="10" w:lineRule="exact"/>
        <w:rPr>
          <w:rFonts w:ascii="Times New Roman" w:cs="Times New Roman" w:eastAsia="Times New Roman" w:hAnsi="Times New Roman"/>
          <w:sz w:val="20"/>
          <w:szCs w:val="20"/>
          <w:color w:val="auto"/>
        </w:rPr>
      </w:pPr>
    </w:p>
    <w:p>
      <w:pPr>
        <w:ind w:left="720" w:right="5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Anti-takeover provisions in our organizational documents and Delaware law might discourage or delay acquisition attempts for us that you might consider favorable.</w:t>
      </w:r>
    </w:p>
    <w:p>
      <w:pPr>
        <w:ind w:left="720" w:right="20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amended and restated certificate of incorporation designates the Court of Chancery of the State of Delaware as the sole and exclusive forum for certain types of actions and proceedings that may be initiated by our stockholders.</w:t>
      </w:r>
    </w:p>
    <w:p>
      <w:pPr>
        <w:ind w:left="720" w:right="4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principal asset is our equity interest in TWM LLC, and, accordingly, we depend on distributions from TWM LLC to pay our taxes and expenses, including payments under the Tax Receivable Agreement.</w:t>
      </w:r>
    </w:p>
    <w:p>
      <w:pPr>
        <w:ind w:left="720" w:right="10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Receivable Agreement with the Continuing LLC Owners requires us to make cash payments to them in respect of certain tax benefits to which we may become entitled.</w:t>
      </w:r>
    </w:p>
    <w:p>
      <w:pPr>
        <w:ind w:left="720" w:right="14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 w:lineRule="exact"/>
        <w:rPr>
          <w:rFonts w:ascii="Times New Roman" w:cs="Times New Roman" w:eastAsia="Times New Roman" w:hAnsi="Times New Roman"/>
          <w:sz w:val="20"/>
          <w:szCs w:val="20"/>
          <w:color w:val="auto"/>
        </w:rPr>
      </w:pPr>
    </w:p>
    <w:p>
      <w:pPr>
        <w:ind w:left="720" w:right="2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certain cases, payments under the Tax Receivable Agreement to the Continuing LLC Owners may be accelerated or significantly exceed the actual benefits we realize.</w:t>
      </w:r>
    </w:p>
    <w:p>
      <w:pPr>
        <w:ind w:left="720" w:right="6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not be reimbursed for any payments made to the Continuing LLC Owners under the Tax Receivable Agreement in the event that any tax benefits are disallowed.</w:t>
      </w:r>
    </w:p>
    <w:p>
      <w:pPr>
        <w:ind w:left="720" w:hanging="360"/>
        <w:spacing w:after="0" w:line="255"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deemed to be an investment company under the Investment Company Act of 1940, applicable restrictions could make it impractical for us to continue our business as contemplated and could have a material adverse effect on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Ownership of our Class A Common Stock</w:t>
      </w:r>
    </w:p>
    <w:p>
      <w:pPr>
        <w:spacing w:after="0" w:line="34" w:lineRule="exact"/>
        <w:rPr>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and Continuing LLC Owners may require us to issue additional shares of our Class A common stock.</w:t>
      </w:r>
    </w:p>
    <w:p>
      <w:pPr>
        <w:spacing w:after="0" w:line="1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Class A common stock may be highly volatile.</w:t>
      </w:r>
    </w:p>
    <w:p>
      <w:pPr>
        <w:spacing w:after="0" w:line="10" w:lineRule="exact"/>
        <w:rPr>
          <w:rFonts w:ascii="Times New Roman" w:cs="Times New Roman" w:eastAsia="Times New Roman" w:hAnsi="Times New Roman"/>
          <w:sz w:val="20"/>
          <w:szCs w:val="20"/>
          <w:color w:val="auto"/>
        </w:rPr>
      </w:pPr>
    </w:p>
    <w:p>
      <w:pPr>
        <w:ind w:left="720" w:right="420" w:hanging="36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the potential for sales, of a substantial number of shares of our Class A common stock in the public market could cause our stock price to drop significantly.</w:t>
      </w:r>
    </w:p>
    <w:p>
      <w:pPr>
        <w:ind w:left="720" w:right="140" w:hanging="36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securities or industry analysts cease publishing research or reports about us, adversely change their recommendations or publish negative reports regarding our business or our Class A common stock, our stock price and stock trading volume could materially decline.</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intend to continue to pay regular dividends, but our ability to do so may be limited.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amount of any share repurchases are subject to a number of uncertainties.</w:t>
      </w:r>
    </w:p>
    <w:p>
      <w:pPr>
        <w:spacing w:after="0" w:line="10" w:lineRule="exact"/>
        <w:rPr>
          <w:rFonts w:ascii="Times New Roman" w:cs="Times New Roman" w:eastAsia="Times New Roman" w:hAnsi="Times New Roman"/>
          <w:sz w:val="20"/>
          <w:szCs w:val="20"/>
          <w:color w:val="auto"/>
        </w:rPr>
      </w:pPr>
    </w:p>
    <w:p>
      <w:pPr>
        <w:ind w:left="720" w:right="520" w:hanging="360"/>
        <w:spacing w:after="0" w:line="287" w:lineRule="auto"/>
        <w:tabs>
          <w:tab w:leader="none" w:pos="72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requirements of being a public company may strain our resources, increase our costs and divert management’s attention, and we may be unable to comply with these requirements in a timely or cost-effective manner.</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420"/>
          </w:cols>
          <w:pgMar w:left="900" w:top="838" w:right="92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Risks Relating to Market and Industry Dynamics and Competition</w:t>
      </w:r>
    </w:p>
    <w:p>
      <w:pPr>
        <w:spacing w:after="0" w:line="20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Economic, political and market conditions may reduce trading volumes, which could have a material adverse effect on our business, financial condition and results of operations.</w:t>
      </w:r>
    </w:p>
    <w:p>
      <w:pPr>
        <w:spacing w:after="0" w:line="13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163" w:lineRule="exact"/>
        <w:rPr>
          <w:sz w:val="20"/>
          <w:szCs w:val="20"/>
          <w:color w:val="auto"/>
        </w:rPr>
      </w:pPr>
    </w:p>
    <w:p>
      <w:pPr>
        <w:ind w:left="720" w:right="180" w:hanging="360"/>
        <w:spacing w:after="0" w:line="257"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and social conditions in the U.S., the UK, the EU and/or its member states, China or other major economies around the world, including, among other things, the strength and direction of the U.S. and global economy, geopolitical relations and the actions of the U.S. federal government;</w:t>
      </w:r>
    </w:p>
    <w:p>
      <w:pPr>
        <w:spacing w:after="0" w:line="1" w:lineRule="exact"/>
        <w:rPr>
          <w:rFonts w:ascii="Times New Roman" w:cs="Times New Roman" w:eastAsia="Times New Roman" w:hAnsi="Times New Roman"/>
          <w:sz w:val="20"/>
          <w:szCs w:val="20"/>
          <w:color w:val="auto"/>
        </w:rPr>
      </w:pPr>
    </w:p>
    <w:p>
      <w:pPr>
        <w:ind w:left="720" w:right="540" w:hanging="360"/>
        <w:spacing w:after="0" w:line="234"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Federal Reserve Board and other central banks’ monetary policy (including the level and volatility of interest rates and actual and anticipated changes in the federal funds rate by the Federal Reserve), increased capital requirements for banks and other financial institutions and other regulatory requirements;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conditions, including unforeseen market closures or other disruptions in trading;</w:t>
      </w:r>
    </w:p>
    <w:p>
      <w:pPr>
        <w:spacing w:after="0" w:line="8" w:lineRule="exact"/>
        <w:rPr>
          <w:rFonts w:ascii="Times New Roman" w:cs="Times New Roman" w:eastAsia="Times New Roman" w:hAnsi="Times New Roman"/>
          <w:sz w:val="20"/>
          <w:szCs w:val="20"/>
          <w:color w:val="auto"/>
        </w:rPr>
      </w:pPr>
    </w:p>
    <w:p>
      <w:pPr>
        <w:ind w:left="720" w:right="420" w:hanging="360"/>
        <w:spacing w:after="0" w:line="25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 trends in business and finance, including the number of new issuances and changes in investment patterns and priorities;</w:t>
      </w: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concerns over a potential recession (in the U.S. or globally) and inflation;</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or contraction in the number, and changes in the financial strength, of market participants;</w:t>
      </w:r>
    </w:p>
    <w:p>
      <w:pPr>
        <w:spacing w:after="0" w:line="10" w:lineRule="exact"/>
        <w:rPr>
          <w:rFonts w:ascii="Times New Roman" w:cs="Times New Roman" w:eastAsia="Times New Roman" w:hAnsi="Times New Roman"/>
          <w:sz w:val="20"/>
          <w:szCs w:val="20"/>
          <w:color w:val="auto"/>
        </w:rPr>
      </w:pPr>
    </w:p>
    <w:p>
      <w:pPr>
        <w:ind w:left="720" w:right="60" w:hanging="360"/>
        <w:spacing w:after="0" w:line="25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capital for borrowings and investments by our clients, as well as the amount of available cash balances held by corporates;</w:t>
      </w:r>
    </w:p>
    <w:p>
      <w:pPr>
        <w:ind w:left="720" w:right="280" w:hanging="360"/>
        <w:spacing w:after="0" w:line="25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concerns, including concerns over credit default or bankruptcy of one or more sovereign nations or corporate entities;</w:t>
      </w:r>
    </w:p>
    <w:p>
      <w:pPr>
        <w:ind w:left="720" w:right="480" w:hanging="360"/>
        <w:spacing w:after="0" w:line="25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legislative, regulatory, administrative or government policy changes in the U.S. and globally, including changes to financial industry regulations and tax laws, including the imposition of central clearing requirements for the U.S. Treasury market, that could limit the ability of market participants to engage in a wider array of trading activities or make certain corporate activities less desirable or more expensive;</w:t>
      </w:r>
    </w:p>
    <w:p>
      <w:pPr>
        <w:spacing w:after="0" w:line="1" w:lineRule="exact"/>
        <w:rPr>
          <w:rFonts w:ascii="Times New Roman" w:cs="Times New Roman" w:eastAsia="Times New Roman" w:hAnsi="Times New Roman"/>
          <w:sz w:val="20"/>
          <w:szCs w:val="20"/>
          <w:color w:val="auto"/>
        </w:rPr>
      </w:pPr>
    </w:p>
    <w:p>
      <w:pPr>
        <w:ind w:left="720" w:right="400" w:hanging="360"/>
        <w:spacing w:after="0" w:line="25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trade wars or other governmental action related to tariffs, international trade agreements or trade policies;</w:t>
      </w:r>
    </w:p>
    <w:p>
      <w:pPr>
        <w:ind w:left="720" w:right="440" w:hanging="360"/>
        <w:spacing w:after="0" w:line="250"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foreign exchange fluctuations (see “—Risks Relating to our International Operations—Fluctuations in foreign currency exchange rates may adversely affect our financial results” for further information); and</w:t>
      </w:r>
    </w:p>
    <w:p>
      <w:pPr>
        <w:jc w:val="both"/>
        <w:ind w:left="720" w:right="460" w:hanging="360"/>
        <w:spacing w:after="0" w:line="255"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or anticipated impact of climate change, extreme weather events, natural disasters and other catastrophic events, actual or threatened acts of war, terrorism or other armed hostilities or outbreaks of pandemic or contagious diseases.</w:t>
      </w:r>
    </w:p>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These factors also affect the degree of volatility (the magnitude and frequency of fluctuations) in the U.S. and global financial markets, including in the prices and trading volumes of the products traded on our platform.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 and demand for our solutions may decline during periods of significant volatility as market participants in rapidly moving markets may seek to negotiate trades and access information directly over the telephone instead of electronically.</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from using our platform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440"/>
          </w:cols>
          <w:pgMar w:left="900" w:top="831" w:right="900" w:bottom="0" w:gutter="0" w:footer="0" w:header="0"/>
          <w:type w:val="continuous"/>
        </w:sectPr>
      </w:pPr>
    </w:p>
    <w:bookmarkStart w:id="45" w:name="page46"/>
    <w:bookmarkEnd w:id="45"/>
    <w:p>
      <w:pPr>
        <w:ind w:right="60"/>
        <w:spacing w:after="0" w:line="272" w:lineRule="auto"/>
        <w:rPr>
          <w:sz w:val="20"/>
          <w:szCs w:val="20"/>
          <w:color w:val="auto"/>
        </w:rPr>
      </w:pPr>
      <w:r>
        <w:rPr>
          <w:rFonts w:ascii="Times New Roman" w:cs="Times New Roman" w:eastAsia="Times New Roman" w:hAnsi="Times New Roman"/>
          <w:sz w:val="19"/>
          <w:szCs w:val="19"/>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 and demand for our solutions decline for any reason or if we are forced to reduce fees, we may not be able to adjust our cost structure to counteract the associated decline in revenues, which would materially harm our profitability.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compete successfully could materially adversely affect our business, financial condition and results of operations.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including data analytics, as well as the reliability, availability, security and ease of use of our platform and solutions.</w:t>
      </w:r>
    </w:p>
    <w:p>
      <w:pPr>
        <w:spacing w:after="0" w:line="1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execution management services (“EMS”), order management services (“OMS”) providers, single bank systems, market data and information vendors and treasury management platforms. For example, our trading platform faces existing and potential competition from large exchanges, which have in recent years developed electronic capabilities in-house or through acquisitions. We also face competition from individual banks that offer their own electronic platforms to their institutional clients and from EMS and OMS providers.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 and solutions. If we are not able to compete successfully in the future, our business, financial condition and results of operations could be materially adversely affected.</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If, as a result of industry consolidation, our competitors are able to offer lower cost and/or a wider range of trading venues and solutions, obtain more favorable terms from third-party providers or are otherwise able to take actions that could increase their market share, our competitive position and therefore our business, financial condition and results of operations may be materially adversely affected.</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operations also include the sale of pre- and post-trade services, analytics and market data (including through a license agreement with LSEG). There is a high degree of competition among market data and information vendors in solutions for pre-and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 or solutions. For example, Bloomberg and ICE have trading platforms that compete with ours and also have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440"/>
          </w:cols>
          <w:pgMar w:left="900" w:top="838" w:right="900" w:bottom="0" w:gutter="0" w:footer="0" w:header="0"/>
          <w:type w:val="continuous"/>
        </w:sectPr>
      </w:pPr>
    </w:p>
    <w:bookmarkStart w:id="46" w:name="page47"/>
    <w:bookmarkEnd w:id="46"/>
    <w:p>
      <w:pPr>
        <w:jc w:val="both"/>
        <w:ind w:right="54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15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or if our competitors release new technology before we do, our existing platform, solutions and technologies may become obsolete or our competitive position may be materially harmed, each of which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in a rapidly evolving industry involves a high degree of risk and our future success will depend in part on our ability to:</w:t>
      </w:r>
    </w:p>
    <w:p>
      <w:pPr>
        <w:spacing w:after="0" w:line="210" w:lineRule="exact"/>
        <w:rPr>
          <w:sz w:val="20"/>
          <w:szCs w:val="20"/>
          <w:color w:val="auto"/>
        </w:rPr>
      </w:pPr>
    </w:p>
    <w:p>
      <w:pPr>
        <w:ind w:left="720" w:right="800" w:hanging="360"/>
        <w:spacing w:after="0" w:line="26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and improve the responsiveness, functionality, accessibility and reliability of our existing platform and solutions;</w:t>
      </w:r>
    </w:p>
    <w:p>
      <w:pPr>
        <w:spacing w:after="0" w:line="1" w:lineRule="exact"/>
        <w:rPr>
          <w:rFonts w:ascii="Times New Roman" w:cs="Times New Roman" w:eastAsia="Times New Roman" w:hAnsi="Times New Roman"/>
          <w:sz w:val="20"/>
          <w:szCs w:val="20"/>
          <w:color w:val="auto"/>
        </w:rPr>
      </w:pPr>
    </w:p>
    <w:p>
      <w:pPr>
        <w:ind w:left="720" w:right="80" w:hanging="36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license or acquire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 and maintain market acceptance for our platform and solutions;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adapt our existing platform and solutions for new markets, client sectors, asset classes and products;</w:t>
      </w:r>
    </w:p>
    <w:p>
      <w:pPr>
        <w:spacing w:after="0" w:line="10" w:lineRule="exact"/>
        <w:rPr>
          <w:rFonts w:ascii="Times New Roman" w:cs="Times New Roman" w:eastAsia="Times New Roman" w:hAnsi="Times New Roman"/>
          <w:sz w:val="20"/>
          <w:szCs w:val="20"/>
          <w:color w:val="auto"/>
        </w:rPr>
      </w:pPr>
    </w:p>
    <w:p>
      <w:pPr>
        <w:ind w:left="720" w:right="340" w:hanging="360"/>
        <w:spacing w:after="0" w:line="250"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 to competitive pressures, technological advances, including new or disruptive technology, emerging industry standards and practices and regulatory requirements and changes on a cost-effective and timely basis;</w:t>
      </w:r>
    </w:p>
    <w:p>
      <w:pPr>
        <w:ind w:left="720" w:hanging="3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highly-skilled technology, regulatory, sales and marketing personnel;</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support, expand, adapt and develop our operations, systems, networks and infrastructure;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cybersecurity threats;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advantage of acquisitions, strategic alliances and other opportunities;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any applicable regulatory approval for our platform and solutions.</w:t>
      </w:r>
    </w:p>
    <w:p>
      <w:pPr>
        <w:spacing w:after="0" w:line="230"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20"/>
          <w:szCs w:val="20"/>
          <w:color w:val="auto"/>
        </w:rPr>
        <w:t>Further, the development of new internet, networking or telecommunications technologies may require us to devote substantial resources to modify and adapt our marketplaces. In particular, because our platform and solutions are designed to operate on a variety of electronic systems, we will need to continuously modify and enhance our marketplaces to keep pace with changes in internet-related hardware and other software, communication and browser technologies.</w:t>
      </w:r>
    </w:p>
    <w:p>
      <w:pPr>
        <w:spacing w:after="0" w:line="20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We cannot assure you that we will be able to successfully adapt our existing technologies and systems to incorporate new, or changes to existing, technologies. For example, AI (including machine learning), blockchain technologies and the trading of digital assets (including cryptocurrency), are poised to have significant impacts on our markets and industry. If we are unable to successfully adapt our business to keep pace with these new technologies, including with respect to navigating new, complex and changing legal and regulatory risks, or if our competitors are more successful than us in doing so, our business, financial condition and results of operations may be adversely affected. See “—Our use and development of, and investment in, AI and blockchain technologies and companies may not be successful and may present business, legal and reputational risks” for further information.</w:t>
      </w:r>
    </w:p>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success of new platforms or solutions, or new features and versions of existing platform and solutions, depends on several factors, including the timely and cost-effective completion, introduction and market acceptance of such new or enhanced platform or solution. Development efforts entail significant technical and business risks. We and our partners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17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We cannot assure you that we will be able to anticipate or respond in a timely manner to changing market conditions, and new platforms, technologies or solutions, or enhancements to existing platform, technologies or solutions, may not meet regulatory requirements, address client needs or achieve market acceptance. If we are not able to successfully develop and implement, or face material delays in introducing, new platforms, solutions and enhancements, our clients may forgo the use of our platform and solutions and instead use those of our competitors. Any failure to remain abreast of changing market conditions and to be responsive to market preferences could cause our market share to decline and materially adversely impact our revenues.</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440"/>
          </w:cols>
          <w:pgMar w:left="900" w:top="829" w:right="900" w:bottom="0" w:gutter="0" w:footer="0" w:header="0"/>
          <w:type w:val="continuous"/>
        </w:sectPr>
      </w:pPr>
    </w:p>
    <w:bookmarkStart w:id="47" w:name="page48"/>
    <w:bookmarkEnd w:id="47"/>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use and development of, and investment in, AI and blockchain technologies and companies may not be successful and may present business, legal and reputational risks.</w:t>
      </w:r>
    </w:p>
    <w:p>
      <w:pPr>
        <w:spacing w:after="0" w:line="13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are making investments in AI and blockchain products, technologies and companies to, among other things, develop new products and processes or features for our existing products and processes, which is costly. As AI and blockchain are highly complex and rapidly evolving technologies in the early stages of commercial use, there are significant risks involved in the development and use of, and investment in, AI and blockchain, and there can be no assurance that our development or use of, or investment in, AI or blockchain technologies (including potentially for use in digital asset trading in the future) will be successful, gain market acceptance, enhance our products or services or augment our business or results of operations. Further, we have made strategic minority investments in tokenization and blockchain infrastructure firms, such as Securitize and Digital Asset. Valuations in this sector are volatile and our ability to exit such investments may be limited. Please see “—If we enter into strategic alliances, partnerships, joint ventures or investments, we may not realize the anticipated strategic goals for any such transactions” for further information. Additionally, our competitors may be developing their own AI and blockchain products and technologies, which may be superior in features, functionality or cost to our offerings.</w:t>
      </w:r>
    </w:p>
    <w:p>
      <w:pPr>
        <w:spacing w:after="0" w:line="21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Moreover, our AI-related product initiatives and offerings, or our use of AI in internal business operations, may give rise to risks related to accuracy, reliability, bias, discrimination, harmful content generation, intellectual property infringement, the ability to obtain intellectual property protection, misappropriation or leakage of information, defamation, data privacy and cybersecurity, including due to the actions of the underlying AI model providers. The use of these tools may impact the quality and availability of our offerings, and may give rise to ethical concerns. Any of these factors could adversely affect our business, reputation or results of operations.</w:t>
      </w:r>
    </w:p>
    <w:p>
      <w:pPr>
        <w:spacing w:after="0" w:line="2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introduction of AI and blockchain technologies into new or existing offerings may also result in new or expanded liabilities related to enhanced governmental or regulatory scrutiny, which could result in increased investigations, enforcement actions, litigation and compliance costs. For example, states, countries and supranational bodies, including the EU and throughout the U.S., have passed or proposed new rules and regulations related to the development and use of AI technology, which cover, among other things, algorithmic accountability, privacy and transparency. Regulatory environments related to blockchain technologies across foreign, federal, state and local jurisdictions also are rapidly evolving. Governmental authorities are likely to continue to issue new laws, rules and regulations governing blockchain technologies some of which may conflict with each other or with existing obligations under applicable law. These laws, rules and regulations may require us to incur significant costs and operational resources to comply. Additionally, existing laws and regulations may be interpreted in ways that may affect our use of AI or blockchain technologies. Any failure or perceived failure by us to comply with such requirements could have an adverse impact on our business, reputation or results of operations. Because AI and blockchain technologies are highly complex and rapidly developing, it is not possible to predict all of the legal, reputational, operational or technological risks that may arise relating to our use and development of, and investment in, AI and blockchain technologies.</w:t>
      </w:r>
    </w:p>
    <w:p>
      <w:pPr>
        <w:spacing w:after="0" w:line="159"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Consolidation and concentration in the financial services industry could materially adversely affect our business, financial condition and results of operations.</w:t>
      </w:r>
    </w:p>
    <w:p>
      <w:pPr>
        <w:spacing w:after="0" w:line="17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There has been significant consolidation in the financial services industry over the past several years and several of our large broker-dealer clients have reduced their sales and trading businesses in certain products. Further consolidation in the financial services industry could result in a smaller client base and heightened competition for certain of our businesses, which may lower our trading volumes. If our clients merge with or are acquired by other companies that are not our clients, or companies that utilize our offerings to a lesser degree, such clients may discontinue or reduce their use of our platform and solutions. Any such developments could materially adversely affect our business, financial condition and results of operations.</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 substantial consolidation of market share among companies in the financial services industry has resulted in concentration in markets by some of our largest dealer clients. Because most of our trading platform depends on these clients, any event that impacts one or more of these clients or the financial services industry in general could negatively impact our trading volumes and revenues.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 consolidation and concentration of market share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ectPr>
          <w:pgSz w:w="12240" w:h="15840" w:orient="portrait"/>
          <w:cols w:equalWidth="0" w:num="1">
            <w:col w:w="10440"/>
          </w:cols>
          <w:pgMar w:left="900" w:top="829" w:right="900" w:bottom="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440"/>
          </w:cols>
          <w:pgMar w:left="900" w:top="829" w:right="90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auto"/>
        </w:rPr>
        <w:t>Risks Relating to the Operation and Performance of our Business</w:t>
      </w:r>
    </w:p>
    <w:p>
      <w:pPr>
        <w:spacing w:after="0" w:line="20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our dealer clients to support our marketplaces by transacting with our other institutional, wholesale and retail clients.</w:t>
      </w:r>
    </w:p>
    <w:p>
      <w:pPr>
        <w:spacing w:after="0" w:line="13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We rely on our dealer clients to provide liquidity on our trading platform by posting prices on our platform and responding to client inquiries, and certain of our dealer clients account for a significant portion of our total trading volume on our platform. In addition, our dealer clients also provide us with data via feeds and through the transactions they execute on our trading platform, which is an important input for our data and analytics offerings. Market knowledge and feedback from dealer clients have been important factors in the development of many of our offerings and solutions.</w:t>
      </w:r>
    </w:p>
    <w:p>
      <w:pPr>
        <w:spacing w:after="0" w:line="1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 Further, higher capital requirements on trading activity by bank-affiliated broker-dealers may reduce their incentives to engage in certain market making activities and may impair market liquidity.</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dealer clients have their own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Although we have established and maintain significant long-term relationships with our key dealer clients, we cannot assure you that all of these relationships will continue or will not diminish. Any reduction in the use of our trading platform by our key dealer clients, for any reason, and any associated decrease in the pool of capital and liquidity accessible across our marketplaces, could reduce the volume of trading on our platform, which could, in turn, reduce the use of our platform by their counterparty clients. In addition, any decrease in the number of dealer clients competing for trades on our trading platform, could cause our dealer clients to forgo use of our platform and instead use platforms that provide access to more competitive trading environments and prices. The occurrence of any of the foregoing may have a material adverse effect on our business, financial condition and results of operations.</w:t>
      </w:r>
    </w:p>
    <w:p>
      <w:pPr>
        <w:spacing w:after="0" w:line="164" w:lineRule="exact"/>
        <w:rPr>
          <w:sz w:val="20"/>
          <w:szCs w:val="20"/>
          <w:color w:val="auto"/>
        </w:rPr>
      </w:pPr>
    </w:p>
    <w:p>
      <w:pPr>
        <w:jc w:val="both"/>
        <w:ind w:right="5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do not have long-term contractual arrangements with certain of our clients, and our business performance could be impacted if these clients stop or lessen their usage of our platform and solutions, including as a result of macroeconomic factors.</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business largely depends on certain of our liquidity taking clients to initiate inquiries on our trading platform.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 and solutions on a transaction-by-transaction basis and may choose not to use our platform at any time. These clients buy and sell a variety of products within various asset classes using traditional methods, including by telephone, e-mail and instant messaging, and through other trading platforms. Any significant loss of these clients or a significant reduction in their use of our platform and solutions could have a material negative impact on our trading volumes and revenues, and materially adversely affect our business, financial condition and results of operations.</w:t>
      </w:r>
    </w:p>
    <w:p>
      <w:pPr>
        <w:spacing w:after="0" w:line="173"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9"/>
          <w:szCs w:val="19"/>
          <w:color w:val="auto"/>
        </w:rPr>
        <w:t>In addition, we earn basis point commissions on the monthly average daily balance of money market fund investments made through the ICD Portal. If the federal funds rates fall to near-zero levels, the amount of cash held by our corporate clients that is available for investment through the ICD Portal may significantly decline, or if our corporate clients decide to invest their available cash through alternative means, our business, financial condition and results of operations could be adversely affected.</w:t>
      </w:r>
    </w:p>
    <w:p>
      <w:pPr>
        <w:sectPr>
          <w:pgSz w:w="12240" w:h="15840" w:orient="portrait"/>
          <w:cols w:equalWidth="0" w:num="1">
            <w:col w:w="10420"/>
          </w:cols>
          <w:pgMar w:left="900" w:top="83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420"/>
          </w:cols>
          <w:pgMar w:left="900" w:top="831" w:right="920" w:bottom="0" w:gutter="0" w:footer="0" w:header="0"/>
          <w:type w:val="continuous"/>
        </w:sectPr>
      </w:pPr>
    </w:p>
    <w:bookmarkStart w:id="49" w:name="page50"/>
    <w:bookmarkEnd w:id="49"/>
    <w:p>
      <w:pPr>
        <w:ind w:right="6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harmed if we are unable to maintain and grow the capacity of our trading platform, systems and infrastructure.</w:t>
      </w:r>
    </w:p>
    <w:p>
      <w:pPr>
        <w:spacing w:after="0" w:line="1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rely on our information technology environment and certain critical databases, systems and applications to support key product and service offerings. Our success depends on our clients’ confidence in our ability to provide reliable, secure, real-time access to trading on our platform. If our trading platform cannot cope, or expand to cope, with demand, or otherwise fail to perform, we could experience disruptions in service, slow delivery times and insufficient capacity. Any material disruptions in our trading platform could result in our clients deciding to stop using or to reduce their use of our trading platform, either of which would have a material adverse effect on our business, financial condition and results of operations.</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will need to continually improve and upgrade our trading platform, systems and infrastructure to accommodate increases in trading volumes, changes in regulation, changes in trading practices of new and existing clients or irregular or heavy use of our trading platform, especially during peak trading times or at times of increased market volatility. The maintenance and expansion of our trading platform, systems and infrastructure have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 systems and infrastructure to the requirements of our clients, changes in regulation or to emerging industry standards, or if our trading platform otherwise fail to accommodate trading volumes, our business, financial condition and results of operations could be materially adversely affected.</w:t>
      </w:r>
    </w:p>
    <w:p>
      <w:pPr>
        <w:spacing w:after="0" w:line="164"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design defects, errors, failures or delays with our platform or solutions, our business could suffer serious harm.</w:t>
      </w:r>
    </w:p>
    <w:p>
      <w:pPr>
        <w:spacing w:after="0" w:line="13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Despite testing, our platform and solutions may contain design defects and errors or fail when first introduced or when major new updates or enhancements are released. In our development of new platforms, platform features and solutions or updates and enhancements to our existing platform and solutions, we may make a design error that causes the platform feature or solution to fail or operate incorrectly or less effectively than planned. Many of our solutions also rely on data and services provided by third-party providers over which we have no or limited control and may be provided to us with defects, errors or failures. Our clients may also use our platform and solutions together with their own software, data or products from other companies. As a result, when problems occur, it might be difficult to identify the source of the problem and responsibility for any loss.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 features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59"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13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9"/>
          <w:szCs w:val="19"/>
          <w:color w:val="auto"/>
        </w:rPr>
        <w:t>We rely on a number of third parties to supply, support and maintain critical elements of our operations, including our trading platform,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Certain of these third-party services are provided to us by LSEG pursuant to a shared services agreement. Our clients also depend on third-party middleware and clearinghouses for clearing and settlement of certain trades on our trading platform, which could impact our trading platform.</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440"/>
          </w:cols>
          <w:pgMar w:left="900" w:top="829" w:right="900" w:bottom="0" w:gutter="0" w:footer="0" w:header="0"/>
          <w:type w:val="continuous"/>
        </w:sectPr>
      </w:pPr>
    </w:p>
    <w:bookmarkStart w:id="50" w:name="page51"/>
    <w:bookmarkEnd w:id="50"/>
    <w:p>
      <w:pPr>
        <w:spacing w:after="0" w:line="253" w:lineRule="auto"/>
        <w:rPr>
          <w:sz w:val="20"/>
          <w:szCs w:val="20"/>
          <w:color w:val="auto"/>
        </w:rPr>
      </w:pPr>
      <w:r>
        <w:rPr>
          <w:rFonts w:ascii="Times New Roman" w:cs="Times New Roman" w:eastAsia="Times New Roman" w:hAnsi="Times New Roman"/>
          <w:sz w:val="20"/>
          <w:szCs w:val="20"/>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or meet the increasing regulatory requirements applicable to our business. In particular, like us, third-party providers are vulnerable to cybersecurity threats and other issues that can lead to operational and technological disruptions, and we may have limited remedies against these third parties in the event of product or service disruptions. In addition, we have little control over and limited recourse to third-party providers, which increases our vulnerability to errors, failures, cybersecurity attacks,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Further, we also face risks that providers may perform work that deviates from our standards or contracts.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third-party providers and our clients for our pre- and post-trade data, analytics and reporting solutions.</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success of our trading platform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 and by our solutions, including our data, analytical tools and other pre- and post-trade services. In particular, we depend on LSEG to source certain reference data for products that trade on our platform. Our data sources and information providers, some of which are our competitors, could increase the price for or withdraw their data or information services for a variety of reasons. For example,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In addition, our clients, the majority of which are not subject to long-term contractual arrangements, may stop using or reduce their use of our trading platform at any time, which would decrease our volume of trade data and may diminish the competitiveness of our market data offerings.</w:t>
      </w:r>
    </w:p>
    <w:p>
      <w:pPr>
        <w:spacing w:after="0" w:line="17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9"/>
          <w:szCs w:val="19"/>
          <w:color w:val="auto"/>
        </w:rPr>
        <w:t>If a substantial number of our key data sources and information providers withdraw or are unable to provide us with their data or information services, or if a substantial number of clients no longer trade on our platform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1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In addition, pursuant to a market data license agreement, LSEG currently distributes a significant portion of our market data. The cancellation of, or any adverse change to, our arrangement with LSEG or the inability of LSEG to effectively distribute our data may materially harm our business and competitive position.</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440"/>
          </w:cols>
          <w:pgMar w:left="900" w:top="838" w:right="90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upon trading counterparties and clearinghouses to perform their obligations.</w:t>
      </w:r>
    </w:p>
    <w:p>
      <w:pPr>
        <w:spacing w:after="0" w:line="2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Part II, Item 7A. – “Quantitative and Qualitative Disclosures About Market Risk – Credit Risk.”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We currently maintain memberships with certain central counterparties to support the clearing operations of our business.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For example, historically we had used ICBC, a wholly-owned subsidiary of the Industrial and Commercial Bank of China Limited to clear wholesale U.S. Treasury trades executed by non-FICC members on our platform. Following the November 2023 ransomware attack on some ICBC operating systems, including those used to clear U.S. Treasury and repurchase agreement financings, we have and may continue to self-clear these U.S. Treasury trades.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16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ability to conduct our business may be materially adversely impacted by unforeseen, catastrophic or uncontrollable events. In addition, our U.S. and international operations are heavily concentrated in particular areas and may be adversely affected by events in those areas.</w:t>
      </w:r>
    </w:p>
    <w:p>
      <w:pPr>
        <w:spacing w:after="0" w:line="15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We may incur losses as a result of unforeseen, catastrophic or uncontrollable events, including fire, natural disasters, extreme weather events, global health crises, power loss, telecommunications failure, software or hardware malfunctions, theft, cyber attacks, acts of war, terrorist attacks or other armed hostilities (including the war in Ukraine and the conflicts in the Middle East). In addition, employee misconduct, fraud or error, such as improperly using confidential information or engaging in improper or unauthorized activities or transactions, could expose us to significant liability, losses, regulatory sanctions and reputational harm. These unforeseen, catastrophic or uncontrollable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catastrophic or uncontrollable event, our business functions could be interrupted, our ability to make our platform and solutions available to our clients could be impaired and, as a result, we could lose critical data and revenues. If we are unable to deploy or develop adequate plans to ensure that our business functions continue to operate during and after an unforeseen, catastrophic or uncontrollable event, and successfully execute on those plans should such an event occur, our business, financial condition, results of operations and reputation could be materially harmed.</w:t>
      </w:r>
    </w:p>
    <w:p>
      <w:pPr>
        <w:spacing w:after="0" w:line="1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In addition, our U.S. operations are heavily concentrated in the New York metro area and our international operations are heavily concentrated in London, UK. Any event that affects either of those geographic areas could affect our ability to operate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quarterly results may fluctuate significantly and may not fully reflect the underlying performance of our business.</w:t>
      </w:r>
    </w:p>
    <w:p>
      <w:pPr>
        <w:spacing w:after="0" w:line="21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9"/>
          <w:szCs w:val="19"/>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48" w:lineRule="exact"/>
        <w:rPr>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overall trading volumes or our market share for our key products;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addition or loss of clients;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unpredictability of the financial services industry;</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drive an increase in the use of our trading platform by new and existing clients;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mix of products and volumes traded, changes in fee plans and average variable fees per million;</w:t>
      </w:r>
    </w:p>
    <w:p>
      <w:pPr>
        <w:spacing w:after="0" w:line="10" w:lineRule="exact"/>
        <w:rPr>
          <w:rFonts w:ascii="Times New Roman" w:cs="Times New Roman" w:eastAsia="Times New Roman" w:hAnsi="Times New Roman"/>
          <w:sz w:val="20"/>
          <w:szCs w:val="20"/>
          <w:color w:val="auto"/>
        </w:rPr>
      </w:pPr>
    </w:p>
    <w:p>
      <w:pPr>
        <w:ind w:left="720" w:right="60" w:hanging="360"/>
        <w:spacing w:after="0" w:line="260"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expenses, including those related to the maintenance and expansion of our business, operations and infrastructure;</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440"/>
          </w:cols>
          <w:pgMar w:left="900" w:top="829" w:right="900" w:bottom="0" w:gutter="0" w:footer="0" w:header="0"/>
          <w:type w:val="continuous"/>
        </w:sectPr>
      </w:pPr>
    </w:p>
    <w:bookmarkStart w:id="52" w:name="page53"/>
    <w:bookmarkEnd w:id="52"/>
    <w:p>
      <w:pPr>
        <w:ind w:left="720" w:right="520" w:hanging="360"/>
        <w:spacing w:after="0" w:line="26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or service outages, internet disruptions, the availability of our platform, cyber attacks, security breaches or perceived security breaches;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political, social, industry and market conditions;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business strategies and pricing policies (or those of our competitors);</w:t>
      </w:r>
    </w:p>
    <w:p>
      <w:pPr>
        <w:spacing w:after="0" w:line="10" w:lineRule="exact"/>
        <w:rPr>
          <w:rFonts w:ascii="Times New Roman" w:cs="Times New Roman" w:eastAsia="Times New Roman" w:hAnsi="Times New Roman"/>
          <w:sz w:val="20"/>
          <w:szCs w:val="20"/>
          <w:color w:val="auto"/>
        </w:rPr>
      </w:pPr>
    </w:p>
    <w:p>
      <w:pPr>
        <w:ind w:left="720" w:right="60" w:hanging="36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success of any acquisitions, divestitures or strategic alliances;</w:t>
      </w:r>
    </w:p>
    <w:p>
      <w:pPr>
        <w:spacing w:after="0" w:line="10" w:lineRule="exact"/>
        <w:rPr>
          <w:rFonts w:ascii="Times New Roman" w:cs="Times New Roman" w:eastAsia="Times New Roman" w:hAnsi="Times New Roman"/>
          <w:sz w:val="20"/>
          <w:szCs w:val="20"/>
          <w:color w:val="auto"/>
        </w:rPr>
      </w:pPr>
    </w:p>
    <w:p>
      <w:pPr>
        <w:ind w:left="720" w:right="180" w:hanging="36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expenses related to the development or acquisition of platforms, solutions, technologies or businesses and potential future charges for impairment of goodwill from acquired companies;</w:t>
      </w:r>
    </w:p>
    <w:p>
      <w:pPr>
        <w:ind w:left="720" w:hanging="360"/>
        <w:spacing w:after="0" w:line="25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changes to existing, regulations that limit or affect our platform, solutions and technologies or which increase our regulatory compliance costs; and</w:t>
      </w:r>
    </w:p>
    <w:p>
      <w:pPr>
        <w:ind w:left="720" w:right="220" w:hanging="360"/>
        <w:spacing w:after="0" w:line="260" w:lineRule="auto"/>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magnitude of any adjustments in our consolidated financial statements driven by changes in the liability under the Tax Receivable Agreement.</w:t>
      </w:r>
    </w:p>
    <w:p>
      <w:pPr>
        <w:spacing w:after="0" w:line="152"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retain our senior management team or the inability to attract and retain qualified personnel could materially adversely impact our ability to operate or grow our business.</w:t>
      </w:r>
    </w:p>
    <w:p>
      <w:pPr>
        <w:spacing w:after="0" w:line="13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9"/>
          <w:szCs w:val="19"/>
          <w:color w:val="auto"/>
        </w:rPr>
        <w:t>The success of our business depends upon the skills, experience and efforts of our executive officers and other key personnel. Although we have invested in succession planning, the loss of key members of our senior management team or other key personnel could nevertheless have a material adverse effect on our business, financial condition and results of operations. Should we lose the services of a member of our senior management team or other key personnel, we may have to conduct a search for a qualified replacement. This search may be prolonged, and we may not be able to locate and hire a qualified replacement.</w:t>
      </w:r>
    </w:p>
    <w:p>
      <w:pPr>
        <w:spacing w:after="0" w:line="1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both in and outside our traditional geographic markets. Many of these companies have significant financial resources and more recognizable brands than ours and may be able to offer more attractive employment opportunities and more lucrative compensation packages. In addition, restrictive immigration policies or legal or regulatory developments relating to immigration may negatively affect our efforts to attract and hire new personnel, as well as retain our existing personnel. Our inability to attract, retain and motivate personnel with the requisite skills could impair our ability to develop new platforms, platform features or solutions, enhance our existing platform and solutions, grow our client base, enter into new markets, operate under various regulatory frameworks or manage our business effectively.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Damage to our reputation or brand could negatively impact our business, financial condition and results of operations.</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Our reputation and the quality of our brand are critical to our business, and we must protect and grow the value of our brand in order for us to continue to be successful. In 2025, we undertook a rebranding initiative to modernize our brand identity and strengthen our market positioning. This rebranding initiative carries potential risks, such as temporary market confusion, reduced brand recognition and increased costs, which could adversely affect our reputation, business, financial condition and results of operations. Further,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 and solutions, the accuracy of our market data, our ability to maintain the security of our data and systems, networks and infrastructure, our use of developing technologies, such as AI and any impropriety, misconduct or fraudulent activity by any person formerly or currently associated with us.</w:t>
      </w:r>
    </w:p>
    <w:p>
      <w:pPr>
        <w:spacing w:after="0" w:line="1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440"/>
          </w:cols>
          <w:pgMar w:left="900" w:top="838" w:right="900" w:bottom="0" w:gutter="0" w:footer="0" w:header="0"/>
          <w:type w:val="continuous"/>
        </w:sectPr>
      </w:pPr>
    </w:p>
    <w:bookmarkStart w:id="53" w:name="page54"/>
    <w:bookmarkEnd w:id="53"/>
    <w:p>
      <w:pPr>
        <w:ind w:right="280"/>
        <w:spacing w:after="0" w:line="266" w:lineRule="auto"/>
        <w:rPr>
          <w:sz w:val="20"/>
          <w:szCs w:val="20"/>
          <w:color w:val="auto"/>
        </w:rPr>
      </w:pPr>
      <w:r>
        <w:rPr>
          <w:rFonts w:ascii="Times New Roman" w:cs="Times New Roman" w:eastAsia="Times New Roman" w:hAnsi="Times New Roman"/>
          <w:sz w:val="20"/>
          <w:szCs w:val="20"/>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pacing w:after="0" w:line="14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incur impairment charges for our goodwill and other indefinite-lived intangible assets which would negatively impact our operating results.</w:t>
      </w:r>
    </w:p>
    <w:p>
      <w:pPr>
        <w:spacing w:after="0" w:line="13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As of December 31, 2025, we had goodwill of $3.2 billion and indefinite-lived intangible assets of $0.3 billion.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62"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Cryptocurrency and other digital assets are an emerging asset class that carries unique risk, including the risk of financial loss.</w:t>
      </w:r>
    </w:p>
    <w:p>
      <w:pPr>
        <w:spacing w:after="0" w:line="13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Cryptocurrencies, digital currencies, coins, tokens, NFTs and other digital or crypto assets or instruments that are issued and transferred using distributed ledger or blockchain technology (collectively referred to herein as “digital assets”) are a relatively new and evolving asset class and technological innovation that are subject to a high degree of uncertainty. The characteristics of particular digital assets within this broad asset class may differ significantly. We receive and hold digital assets, in the form of Canton Coins, in exchange for providing certain validator services on the Global Synchronizer. See Part I, Item 1. – “Business” for additional information.</w:t>
      </w:r>
    </w:p>
    <w:p>
      <w:pPr>
        <w:spacing w:after="0" w:line="168"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9"/>
          <w:szCs w:val="19"/>
          <w:color w:val="auto"/>
        </w:rPr>
        <w:t>Digital assets carry unique risks. There is a high degree of fraud, theft, cyber attacks and other forms of risk associated with digital assets, and legal, regulatory and market standards around market conduct, transparency, custody, segregation of client assets, clearing and settlement for these assets, are all evolving or unsettled, which can increase risks for us, both as a holder of digital assets and, through our activities as a validator on the Global Synchronizer, a service provider in the digital asset space.</w:t>
      </w:r>
    </w:p>
    <w:p>
      <w:pPr>
        <w:spacing w:after="0" w:line="1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addition, the intrinsic value of digital assets is particularly uncertain and difficult to determine due to the novel and rapidly changing nature of digital asset markets. For example, the value of digital assets is based in part on market adoption and future expectations regarding growth in the usage of digital assets for various applications, which may or may not be realized. Even if growth in the use of any digital assets occurs in the near or medium term, there is no assurance that such use will continue to grow over the long term. Further, a contraction in use of any digital asset may result in increased volatility or a reduction in prices. As a result, the value of digital assets is highly speculative and there can be no guarantee that the digital assets we hold will maintain their value in the future or that such digital assets can be converted into or sold for fiat currencies. In particular, the market for Canton Coins may be less mature than markets for traditional assets and other digital assets and can exhibit extreme price volatility driven by factors beyond our control, including market sentiment, macroeconomic conditions, regulatory developments, protocol or governance changes, technological vulnerabilities and the actions of significant market participants. Under U.S. GAAP, our Canton Coins are measured at fair value each reporting period with changes recognized in earnings. In November 2025, Canton Coin began spot trading across several global digital asset exchanges and the fair value of our Canton Coin holdings is measured using quoted price from our principal market for the sale of Canton Coins at the time of measurement. Dramatic fluctuations in the price of Canton Coin could result in substantial realized and unrealized gains or losses that may negatively impact our balance sheet and produce meaningful volatility in our reported earnings, and, because the revenue we earn as a Validator and Super Validator is also sensitive to Canton Coin pricing, such fluctuations could also lead to volatility in our reported revenues and operating performance, all of which could adversely affect the market price of our Class A common stock. Further our ability to sell our Canton Coins may be limited.</w:t>
      </w:r>
    </w:p>
    <w:p>
      <w:pPr>
        <w:spacing w:after="0" w:line="173"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9"/>
          <w:szCs w:val="19"/>
          <w:color w:val="auto"/>
        </w:rPr>
        <w:t>Because we currently self-custody our Canton Coin wallets, we are directly responsible for maintaining the security and integrity of the private keys and related wallet infrastructure. It is possible for electronic wallet keys to become lost or stolen, for blockchains to experience detrimental changes, such as forks, or for exchange and custodian partners to experience cybersecurity incidents. In the event of such events, we could experience financial loss and we may face regulatory or legal consequences.</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420"/>
          </w:cols>
          <w:pgMar w:left="900" w:top="838" w:right="92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Risks Relating to our Growth Strategies and other Strategic Opportunities</w:t>
      </w:r>
    </w:p>
    <w:p>
      <w:pPr>
        <w:spacing w:after="0" w:line="20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our current level of business or execute our growth plan, our business, financial condition and results of operations may be materially harmed.</w:t>
      </w:r>
    </w:p>
    <w:p>
      <w:pPr>
        <w:spacing w:after="0" w:line="13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success of our growth plan depends, in part, on our ability to implement our business strategies. In particular, our growth depends on our ability to maintain and expand our network by attracting new clients, increasing the use of our platform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 and solutions, develop new offerings that address client demand and market trends and stay abreast of changing market conditions and regulatory requirements. Our growth may also be dependent on our ability to further diversify our revenue base. As of December 31, 2025, we derived approximately 53% of our revenue from our Rates asset class. Our long-term growth plan includes expanding the number of products we offer across existing and new asset classes by investing in our development efforts and increasing our revenues by growing our market share in our existing markets and entering into new markets.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60"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It is possible that our entry into new markets will not be successful, and potential new markets may not develop quickly or at all.</w:t>
      </w:r>
    </w:p>
    <w:p>
      <w:pPr>
        <w:spacing w:after="0" w:line="1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Our long-term growth plan includes expanding our operations by entering into new markets, including new client sectors, asset classes, products and geographies, including markets where we have little or no operating experience. For example, in August 2024, we acquired ICD, adding a fourth client sector, corporates, to our business and throughout 2025, we made strategic minority investments in several companies. We may have difficulties identifying and entering into new markets due to established competitors, our inability to keep pace with technology and industry developments, lack of recognition of our brand and lack of acceptance of our platform and solutions, as has occurred with certain of our initiatives in the past.</w:t>
      </w:r>
    </w:p>
    <w:p>
      <w:pPr>
        <w:spacing w:after="0" w:line="1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Expansion, particularly in new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1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We cannot assure you that we will be able to successfully adapt our platform, solutions and technologies for use in any new markets. Even if we do adapt our products, services and technologies, we cannot assure you that we will be able to attract clients to our platform and solutions and compete successfully in any such new markets.</w:t>
      </w:r>
    </w:p>
    <w:p>
      <w:pPr>
        <w:spacing w:after="0" w:line="15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These and other factors have led us to scale back our expansion efforts into new markets in the past, and there can be no assurance that we will not experience similar difficulties in the future. There can be no assurance that we will be able to successfully maintain or grow our operations abroad.</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440"/>
          </w:cols>
          <w:pgMar w:left="900" w:top="831" w:right="900" w:bottom="0" w:gutter="0" w:footer="0" w:header="0"/>
          <w:type w:val="continuous"/>
        </w:sectPr>
      </w:pPr>
    </w:p>
    <w:bookmarkStart w:id="55" w:name="page56"/>
    <w:bookmarkEnd w:id="55"/>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14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undertake acquisitions or divestitures, which may not be successful, and which could materially adversely affect our business, financial condition and results of operations.</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regularly consider acquisitions, which may not be completed or, if completed, may not be ultimately beneficial to us. We have made several acquisitions in the past, and increasingly in the last several years, including the purchase of the Hilliard Farber &amp; Co. business in 2008, the Rafferty Capital Markets business in 2011, BondDesk in 2013, CodeStreet in 2016, Nasdaq’s U.S. fixed income electronic trading platform in 2021, Yieldbroker in 2023, r8fin in 2024 and ICD in 2024.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16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17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 and solutions. We may spend time and resources on acquisitions that do not ultimately increase our profitability or that cause loss of, or harm to, relationships with key employees, clients, third-party providers or other business partners.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 (v) 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17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20"/>
          <w:szCs w:val="20"/>
          <w:color w:val="auto"/>
        </w:rPr>
        <w:t>We cannot readily predict the timing or size of any future acquisition or divestiture, and there can be no assurance that we will realize any anticipated benefits from any recent or any potential future acquisition or divestiture. If we do not realize any such anticipated benefits, our business, financial condition and results of operations could be materially adversely affected.</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440"/>
          </w:cols>
          <w:pgMar w:left="900" w:top="838" w:right="900" w:bottom="0" w:gutter="0" w:footer="0" w:header="0"/>
          <w:type w:val="continuous"/>
        </w:sectPr>
      </w:pPr>
    </w:p>
    <w:bookmarkStart w:id="56" w:name="page57"/>
    <w:bookmarkEnd w:id="56"/>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enter into strategic alliances, partnerships, joint ventures or investments, we may not realize the anticipated strategic goals for any such transactions.</w:t>
      </w:r>
    </w:p>
    <w:p>
      <w:pPr>
        <w:spacing w:after="0" w:line="13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9"/>
          <w:szCs w:val="19"/>
          <w:color w:val="auto"/>
        </w:rPr>
        <w:t>From time to time, we may enter into strategic alliances, partnerships or joint ventures, or make investments or other financial or commercial arrangements, as a means to accelerate our entry into new markets, provide new solutions or enhance our existing capabilities. Entering into strategic alliances, partnerships, joint ventures or investments or other financial or commercial arrangements entails risks, including: (i) difficulties in developing or expanding the business of newly formed alliances, partnerships, joint ventures or businesses in which we invest; (ii) exercising influence over the activities of joint ventures or business in which we invest in which we do not have a controlling interest; (iii) potential conflicts with or among our partners;</w:t>
      </w:r>
    </w:p>
    <w:p>
      <w:pPr>
        <w:spacing w:after="0" w:line="2" w:lineRule="exact"/>
        <w:rPr>
          <w:sz w:val="20"/>
          <w:szCs w:val="20"/>
          <w:color w:val="auto"/>
        </w:rPr>
      </w:pPr>
    </w:p>
    <w:p>
      <w:pPr>
        <w:jc w:val="both"/>
        <w:spacing w:after="0" w:line="253" w:lineRule="auto"/>
        <w:tabs>
          <w:tab w:leader="none" w:pos="33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our partners could take action without our approval or prevent us from taking action; and (v) the possibility that our partners suffer reputational harm during the pendency of the partnership, become bankrupt or otherwise lack the financial resources to meet their obligations. In particular, in 2024 and 2025, we made strategic minority investments in tokenization and blockchain infrastructure firms, such as Securitize and Digital Asset. Valuations in this sector are volatile and our ability to exit the investments may be limited.</w:t>
      </w:r>
    </w:p>
    <w:p>
      <w:pPr>
        <w:spacing w:after="0" w:line="1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In addition, there may be a long negotiation period before we enter into a strategic alliance, partnership or joint venture or make an investment or other financial or commercial arrangement or a long preparation period before we commence providing trading venues and solutions and/or realizing the anticipated benefits from or begin earning revenues pursuant to such arrangement, as applicable.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or investing in a business or other financial or commercial arrangement, we may not be successful in maintaining the relationship.</w:t>
      </w:r>
    </w:p>
    <w:p>
      <w:pPr>
        <w:spacing w:after="0" w:line="1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We cannot assure you that we will be able to enter into strategic alliances, partnerships or joint ventures or invest in businesses or enter into financial or commercial arrangements on terms that are favorable to us, or at all, or that any strategic alliance, partnership or joint venture we have entered into or may enter into or investment we have or may make will be successful. In particular, these arrangements may not generate the expected number of new clients or increased trading volumes or revenues or other benefits we seek. Unsuccessful strategic alliances, partnerships, joint ventures or investments could harm our reputation and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International Operations</w:t>
      </w:r>
    </w:p>
    <w:p>
      <w:pPr>
        <w:spacing w:after="0" w:line="208"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financial condition and results of operations may be materially adversely affected by risks associated with our international operations.</w:t>
      </w:r>
    </w:p>
    <w:p>
      <w:pPr>
        <w:spacing w:after="0" w:line="13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color w:val="auto"/>
        </w:rPr>
        <w:t>We are a global company serving clients in over 85 countries with offices in North America, South America, Europe, Australia, Asia and the Middle East. We may further expand our international operations in the future. We have invested significant resources in our international operations and expect to continue to do so in the future. For example, in 2024, we established offices in Dubai, United Arab Emirates, São Paulo, Brazil, Mumbai, India and Milan, Italy and in 2025, we opened offices in Bangalore, India and Riyadh, Saudi Arabia. However, there are certain risks inherent in doing business in international markets, particularly in the financial services industry, which is heavily regulated in many jurisdictions. These risks include:</w:t>
      </w:r>
    </w:p>
    <w:p>
      <w:pPr>
        <w:spacing w:after="0" w:line="168" w:lineRule="exact"/>
        <w:rPr>
          <w:sz w:val="20"/>
          <w:szCs w:val="20"/>
          <w:color w:val="auto"/>
        </w:rPr>
      </w:pPr>
    </w:p>
    <w:p>
      <w:pPr>
        <w:ind w:left="720" w:right="500" w:hanging="360"/>
        <w:spacing w:after="0" w:line="26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economic, political and social conditions, including the possibility of economic slowdowns, hyperinflationary conditions, political instability, social unrest or outbreaks of pandemic or contagious diseases;</w:t>
      </w:r>
    </w:p>
    <w:p>
      <w:pPr>
        <w:spacing w:after="0" w:line="1" w:lineRule="exact"/>
        <w:rPr>
          <w:rFonts w:ascii="Times New Roman" w:cs="Times New Roman" w:eastAsia="Times New Roman" w:hAnsi="Times New Roman"/>
          <w:sz w:val="20"/>
          <w:szCs w:val="20"/>
          <w:color w:val="auto"/>
        </w:rPr>
      </w:pPr>
    </w:p>
    <w:p>
      <w:pPr>
        <w:ind w:left="720" w:right="280" w:hanging="36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legal and regulatory requirements, and the possibility that any required approvals may impose restrictions on the operation of our business;</w:t>
      </w:r>
    </w:p>
    <w:p>
      <w:pPr>
        <w:ind w:left="720" w:right="180" w:hanging="36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government policies and regulations, or in how provisions are interpreted or administered and how we are supervised;</w:t>
      </w:r>
    </w:p>
    <w:p>
      <w:pPr>
        <w:ind w:left="720" w:right="360" w:hanging="36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manage and coordinate the various legal and regulatory requirements of multiple jurisdictions that are constantly evolving and subject to change;</w:t>
      </w:r>
    </w:p>
    <w:p>
      <w:pPr>
        <w:ind w:left="720" w:right="320" w:hanging="36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varying tax regimes, including with respect to imposition or increase of taxes on financial transactions or withholding and other taxes on remittances and other payments by subsidiaries;</w:t>
      </w:r>
    </w:p>
    <w:p>
      <w:pPr>
        <w:ind w:left="720" w:right="400" w:hanging="360"/>
        <w:spacing w:after="0" w:line="250"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trade wars or other governmental action related to tariffs, international trade agreements or trade policies;</w:t>
      </w: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exchange rate fluctuations, changes in currency policies or practices and restrictions on currency conversion;</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or restrictions on the repatriation or other transfer of funds;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difficulties in protecting intellectual property;</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enforce agreements, collect payments or seek recourse under or comply with differing commercial laws;</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440"/>
          </w:cols>
          <w:pgMar w:left="900" w:top="829" w:right="900" w:bottom="0" w:gutter="0" w:footer="0" w:header="0"/>
          <w:type w:val="continuous"/>
        </w:sectPr>
      </w:pPr>
    </w:p>
    <w:bookmarkStart w:id="57" w:name="page58"/>
    <w:bookmarkEnd w:id="57"/>
    <w:p>
      <w:pPr>
        <w:ind w:left="720" w:right="340" w:hanging="360"/>
        <w:spacing w:after="0" w:line="26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the potential conflicts between locally accepted business practices and our obligations to comply with laws and regulations, including anti-corruption and anti-money laundering laws and regulations;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economic sanctions laws and regulations;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w:t>
      </w:r>
    </w:p>
    <w:p>
      <w:pPr>
        <w:spacing w:after="0" w:line="10" w:lineRule="exact"/>
        <w:rPr>
          <w:rFonts w:ascii="Times New Roman" w:cs="Times New Roman" w:eastAsia="Times New Roman" w:hAnsi="Times New Roman"/>
          <w:sz w:val="20"/>
          <w:szCs w:val="20"/>
          <w:color w:val="auto"/>
        </w:rPr>
      </w:pPr>
    </w:p>
    <w:p>
      <w:pPr>
        <w:ind w:left="720" w:right="240" w:hanging="360"/>
        <w:spacing w:after="0" w:line="25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and difficulties in developing and managing our global operations and our technological infrastructure; and</w:t>
      </w:r>
    </w:p>
    <w:p>
      <w:pPr>
        <w:ind w:left="720" w:hanging="36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fluctuations in business activity.</w:t>
      </w:r>
    </w:p>
    <w:p>
      <w:pPr>
        <w:spacing w:after="0" w:line="1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political or social conditions, less developed and predictable legal and regulatory regimes and increased potential for various types of adverse governmental action.</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addition, we maintain an offshore office in India that supports certain technology, operations and administrative functions. Offshoring operations introduces additional risks, and we may face challenges associated with managing and overseeing operations at a distance, including maintaining consistent internal controls, information security standards and regulatory compliance. Our offshore operations are subject to local political, economic and regulatory conditions in India, including potential changes in labor laws, tax policy, data-protection requirements, and trade or foreign-exchange regulations. Disruptions from political instability, infrastructure limitations or other unforeseen events could impair our ability to deliver services or maintain critical systems. Additionally, differences in time zones, communication practices and cultural norms may affect coordination between our offshore and onshore teams. While we maintain policies and oversight mechanisms intended to manage these risks, there can be no assurance that such measures will fully mitigate the impact of operational disruptions, compliance failures or other adverse developments at our offshore office. Any such events could increase our costs, disrupt our operations or harm our reputation and relationships with clients and regulators.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Fluctuations in foreign currency exchange rates may adversely affect our financial results.</w:t>
      </w:r>
    </w:p>
    <w:p>
      <w:pPr>
        <w:spacing w:after="0" w:line="21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For the year ended December 31, 2025, 42% of our revenues were derived from our international operations. Since we operate in several different countries outside the U.S., most notably the UK, the Netherlands, Japan, as well as Australia, China, Singapore, Hong Kong, Canada and India, among others, significant portions of our revenues, expenses, assets and liabilities are denominated in non-U.S. dollar currencies, most notably the British pound sterling and euros, as well as Japanese Yen, Australian dollars, Chinese Yuan Renminbi, Singapore dollars, Hong Kong dollars, Canadian dollars and Indian Rupee, among others.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have caused, and may continue to cause, significant volatility in currency exchange rates, especially among the U.S. dollar, the British pound sterling and the euro.</w:t>
      </w:r>
    </w:p>
    <w:p>
      <w:pPr>
        <w:spacing w:after="0" w:line="16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440"/>
          </w:cols>
          <w:pgMar w:left="900" w:top="838" w:right="90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Risks Relating to Cybersecurity and Intellectual Property</w:t>
      </w:r>
    </w:p>
    <w:p>
      <w:pPr>
        <w:spacing w:after="0" w:line="208"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Actual or perceived security vulnerabilities in our systems, networks and infrastructure, breaches of security controls, unauthorized access to confidential or personal information or cyber attacks could harm our business, reputation and results of operations.</w:t>
      </w:r>
    </w:p>
    <w:p>
      <w:pPr>
        <w:spacing w:after="0" w:line="1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operation of our electronic trading platform relies on the secure processing, storage and transmission of a large amount of transactional data and other confidential sensitive data. Because of our reliance on technology (including through our use of third-party service providers), we are susceptible to various cyber-threats to our systems, networks and infrastructure, in particular those that power our platform and solutions. Similar to other financial services companies that provide services online, we have experienced, and likely will continue to experience, cyber threats, cyber attacks and attempted security breaches. Cyber threats and cyber attacks vary in technique and sources, are persistent, frequently change and (including through the use of AI by threat actors) have become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interrupt, improperly modify or degrade our information, systems, networks and infrastructure or the introduction of computer viruses, ransomware, malware, and other malicious codes and fraudulent “phishing” emails or other forms of social engineering that seek to misappropriate data and information. Due to political uncertainty in certain regions, we, like other financial services companies, may be subject to a heightened risk of such attacks from nation-state and affiliated actors, including attacks that could materially disrupt our systems, operations and platform. In addition, our expansion into new markets, client sectors and geographies, as well as our activity in the digital asset space, exposes us to new and different risks. See “—Risks Relating to our Growth Strategies and other Strategic Opportunities” and “—Cryptocurrency and other digital assets are an emerging asset class that carries unique risk, including the risk of financial loss” for further information.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interruption, significant delay, failure or malfunction in our systems, networks, infrastructure and other operations, affecting, in particular, our platform and solutions, which could result in reputational damage, financial losses, client dissatisfaction, regulatory enforcement actions, fines and penalties and/or private litigation.</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While we have dedicated personnel who are responsible for maintaining our cybersecurity program and training our employees on cybersecurity, and while we utilize third-party technology products and services to help identify, protect and remediate our systems, networks and infrastructure, such measures and security controls may not be adequate or effective to prevent, detect or mitigate a cyber attack, security breach, data breach, disruption, unauthorized access, interruption, significant delay, failure or malfunction.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our third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party service providers or our clients may be unable to anticipate these techniques or to implement adequate defensive measures or security controls. Additionally, we may be required in the future to incur significant costs to continue to minimize, mitigate against or alleviate the effects of cyber attacks, security and data breaches or other security vulnerabilities and to protect against damage caused by such events.</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There have been an increasing number of cyber attacks in recent years in various industries, including ours, and cybersecurity risk management has been the subject of increasing focus by U.S. and foreign regulators. See Part I, Item 1C. – “Cybersecurity – Governance” for further detail regarding our cybersecurity risk management, strategy and governance structure.</w:t>
      </w:r>
    </w:p>
    <w:p>
      <w:pPr>
        <w:spacing w:after="0" w:line="1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As regulatory focus increases,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regulatory enforcement actions, fines and penalties, private litigation and/or reputational harm.</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440"/>
          </w:cols>
          <w:pgMar w:left="900" w:top="831" w:right="900" w:bottom="0" w:gutter="0" w:footer="0" w:header="0"/>
          <w:type w:val="continuous"/>
        </w:sectPr>
      </w:pPr>
    </w:p>
    <w:bookmarkStart w:id="59" w:name="page60"/>
    <w:bookmarkEnd w:id="59"/>
    <w:p>
      <w:pPr>
        <w:ind w:right="40"/>
        <w:spacing w:after="0" w:line="253" w:lineRule="auto"/>
        <w:rPr>
          <w:sz w:val="20"/>
          <w:szCs w:val="20"/>
          <w:color w:val="auto"/>
        </w:rPr>
      </w:pPr>
      <w:r>
        <w:rPr>
          <w:rFonts w:ascii="Times New Roman" w:cs="Times New Roman" w:eastAsia="Times New Roman" w:hAnsi="Times New Roman"/>
          <w:sz w:val="20"/>
          <w:szCs w:val="20"/>
          <w:color w:val="auto"/>
        </w:rPr>
        <w:t>Although we have not been a victim of a cyber attack or other cybersecurity incident that has had a material impact on our operations or financial condition, we have from time to time experienced cybersecurity incidents, including attempted denial of service attacks, malware infections, phishing, subversion of internal security controls and other information technology incidents that are typical for an electronic financial services company of our size. If an actual, threatened or perceived cyber attack or breach of our security occurs, our clients could lose confidence in our security measures and the reliability of our platform and solutions, which would materially harm our ability to retain existing clients and gain new clients. As a result of any such attack or breach, we may be required to expend significant resources to repair system, network or infrastructure damage and to protect against the threat of future cyber attacks or security breaches. We could also face litigation or other claims from impacted individuals as well as substantial regulatory sanctions or fines. In addition, we rely on third-parties to provide certain services, including technology services, to us. Please see “−We rely on third parties to perform certain key functions, and their failure to perform those functions could result in the interruption of our operations and systems and could result in significant costs and reputational damage to us.”</w:t>
      </w:r>
    </w:p>
    <w:p>
      <w:pPr>
        <w:spacing w:after="0" w:line="162"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Systems failures, interruptions, delays in service, catastrophic events and resulting interruptions in the availability of our platform or solutions could materially harm our business and reputation.</w:t>
      </w:r>
    </w:p>
    <w:p>
      <w:pPr>
        <w:spacing w:after="0" w:line="1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business depends on the efficient and uninterrupted operation of our systems, networks and infrastructure, in particular those that power our platform and solutions. From time to time, we have experienced, and we cannot assure you that we, or our third-party providers, will not experience, systems failures, delays in service or business interruptions in the future. Our systems, networks, infrastructure and other operations, in particular our platform and solutions, are vulnerable to impact or interruption from a wide variety of causes, including: irregular or heavy use of our trading platform and related solutions during peak trading times or at times of increased market volatility; power, internet or telecommunications failures; hardware failures or software errors; human error, acts of vandalism or sabotage; catastrophic events, including those that are occurring with increasing frequency due to climate change such as natural disasters and extreme weather events; acts of war, terrorism or other armed hostilities; malicious cyber attacks, cyber warfare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17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 proceedings, penalties or fines. Any system failure or significant interruption, delay or disruption in our operations, or decreases in the responsiveness of our platform and solutions, could materially harm our reputation and business and lead our clients to decrease or cease their use of our trading platform and solutions.</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internally support and maintain many of our systems and networks, including those underlying our trading platform;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In addition, supply chain disruptions could affect our ability to procure hardware needed to recover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420"/>
          </w:cols>
          <w:pgMar w:left="900" w:top="838" w:right="920" w:bottom="0" w:gutter="0" w:footer="0" w:header="0"/>
          <w:type w:val="continuous"/>
        </w:sectPr>
      </w:pPr>
    </w:p>
    <w:bookmarkStart w:id="60" w:name="page61"/>
    <w:bookmarkEnd w:id="60"/>
    <w:p>
      <w:pPr>
        <w:spacing w:after="0" w:line="237" w:lineRule="auto"/>
        <w:rPr>
          <w:sz w:val="20"/>
          <w:szCs w:val="20"/>
          <w:color w:val="auto"/>
        </w:rPr>
      </w:pPr>
      <w:r>
        <w:rPr>
          <w:rFonts w:ascii="Times New Roman" w:cs="Times New Roman" w:eastAsia="Times New Roman" w:hAnsi="Times New Roman"/>
          <w:sz w:val="20"/>
          <w:szCs w:val="20"/>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 and demand for some of our solutions or result in regulatory investigations, fines and penalties. For example, the SEC’s Regulation Systems Compliance and Integrity and the system safeguards regulations of the CFTC subject portions of our trading platform and other technological systems related to our SEFs to more extensive regulation and oversight. Also, the EU’s DORA, which was applied as of January 2025, is expected to subject our EU entities to enhanced governance, compliance and operational requirements, increased supervisory scrutiny and higher costs. Ensuring our compliance with these (and any future proposed)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5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adequately protect our intellectual property or rely on third-party intellectual property rights, which, in turn, could materially adversely affect our brand and our business.</w:t>
      </w:r>
    </w:p>
    <w:p>
      <w:pPr>
        <w:spacing w:after="0" w:line="1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success depends in part on our proprietary technology, processes, methodologies and information and on our ability to further build brand recognition using our trade 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(see also “—We rely on third parties to perform certain key functions, and their failure to perform those functions could result in the interruption of our operations and systems and could result in significant costs and reputational damage to us”). We can give no assurances that any such patents, copyrights, trademarks, service marks and other intellectual property rights will protect our business from competition or that any intellectual property rights applied for in the future will be issued, or that the intellectual property rights licensed to us from third-parties will not be subject to challenge.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platforms, solutions technologies or logos that are substantially equivalent or superior to our own.</w:t>
      </w:r>
    </w:p>
    <w:p>
      <w:pPr>
        <w:spacing w:after="0" w:line="17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The protection of our intellectual property may require the expenditure of financial and managerial resources. Litigation brought to protect and enforce our intellectual property rights or bring a claim against a third-party licensor could be costly, time-consuming and distracting to management and may result in the impairment or loss of portions of our intellectual property. In addition, the laws of some countries in which we now or in the future provide our platform and solutions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6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 and solutions.</w:t>
      </w:r>
    </w:p>
    <w:p>
      <w:pPr>
        <w:spacing w:after="0" w:line="1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Our competitors, as well as other companies and individuals, may have obtained, and may be expected to obtain in the future, intellectual property rights related to the type of platform and solutions we currently provide or plan to provide. In particular, as the number of trading marketplaces we offer on our platform increases and the functionality across these marketplaces and related platform solutions further overlap, the possibility of intellectual property rights claims against us grows. We cannot assure you that we are or will be aware of all third-party intellectual property rights that may pose a risk of infringement or misappropriation to our platform, solutions, technologies or the manner in which we operate our business.</w:t>
      </w:r>
    </w:p>
    <w:p>
      <w:pPr>
        <w:spacing w:after="0" w:line="1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 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420"/>
          </w:cols>
          <w:pgMar w:left="900" w:top="838" w:right="920" w:bottom="0" w:gutter="0" w:footer="0" w:header="0"/>
          <w:type w:val="continuous"/>
        </w:sectPr>
      </w:pPr>
    </w:p>
    <w:bookmarkStart w:id="61" w:name="page62"/>
    <w:bookmarkEnd w:id="61"/>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use of open source software could result in litigation or impose unanticipated restrictions on our ability to commercialize our platform and solutions.</w:t>
      </w:r>
    </w:p>
    <w:p>
      <w:pPr>
        <w:spacing w:after="0" w:line="1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 and solutions, license the software on unfavorable terms, require us to re-engineer our platform and solutions or take other remedial actions, any of which could have a material adverse effect on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Legal, Regulatory and Tax Considerations</w:t>
      </w:r>
    </w:p>
    <w:p>
      <w:pPr>
        <w:spacing w:after="0" w:line="208"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1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SEC, the CFTC, FINRA, the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FCA, the DNB, the AFM, the AMF, the ACPR, the BaFin, the JFSA, the JSDA, the SFC, the MAS, the ASIC, the CBNV, the FINMA, the Canadian Investment Regulatory Organization (CIRO) and provincial regulators in Canada, the DFSA, the ADGM and the CMVM.</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Part I, Item 1. – “Business – Regulation,” for a further description of the laws, rules and regulations that materially impact our business. There can be no assurance that we 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16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stock repurchases or the making of unsecured advances or loans.</w:t>
      </w:r>
    </w:p>
    <w:p>
      <w:pPr>
        <w:spacing w:after="0" w:line="1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the Company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16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Our ability to operate our trading platform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16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ectPr>
          <w:pgSz w:w="12240" w:h="15840" w:orient="portrait"/>
          <w:cols w:equalWidth="0" w:num="1">
            <w:col w:w="10440"/>
          </w:cols>
          <w:pgMar w:left="900" w:top="829" w:right="900" w:bottom="0" w:gutter="0" w:footer="0" w:header="0"/>
        </w:sect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440"/>
          </w:cols>
          <w:pgMar w:left="900" w:top="829" w:right="900" w:bottom="0" w:gutter="0" w:footer="0" w:header="0"/>
          <w:type w:val="continuous"/>
        </w:sectPr>
      </w:pPr>
    </w:p>
    <w:bookmarkStart w:id="62" w:name="page63"/>
    <w:bookmarkEnd w:id="62"/>
    <w:p>
      <w:pPr>
        <w:ind w:right="40"/>
        <w:spacing w:after="0" w:line="256" w:lineRule="auto"/>
        <w:rPr>
          <w:sz w:val="20"/>
          <w:szCs w:val="20"/>
          <w:color w:val="auto"/>
        </w:rPr>
      </w:pPr>
      <w:r>
        <w:rPr>
          <w:rFonts w:ascii="Times New Roman" w:cs="Times New Roman" w:eastAsia="Times New Roman" w:hAnsi="Times New Roman"/>
          <w:sz w:val="20"/>
          <w:szCs w:val="20"/>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1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16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Firms in the financial services industry have experienced increased scrutiny in recent years, and there have been significant penalties, fines and other sanctions sought by governmental and regulatory authorities, including the SEC, the CFTC, the Department of Justice, state securities administrators and state attorneys general in the U.S., the FCA in the UK, the AFM in the Netherlands and other foreign regulators. Heightened regulatory oversight and enforcement environment may create uncertainty and may increase our exposure to scrutiny of our operations and activities, significant penalties and liability and negative publicity.</w:t>
      </w:r>
    </w:p>
    <w:p>
      <w:pPr>
        <w:spacing w:after="0" w:line="159" w:lineRule="exact"/>
        <w:rPr>
          <w:sz w:val="20"/>
          <w:szCs w:val="20"/>
          <w:color w:val="auto"/>
        </w:rPr>
      </w:pPr>
    </w:p>
    <w:p>
      <w:pPr>
        <w:ind w:right="84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business, and the business of many of our clients, is subject to extensive regulation.</w:t>
      </w:r>
    </w:p>
    <w:p>
      <w:pPr>
        <w:spacing w:after="0" w:line="2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Governmental and regulatory authorities periodically review legislative and regulatory policies and initiatives, particularly following changes in administration, and may promulgate new or revised, laws, rules and regulations, or adopt changes in the interpretation and enforcement of or repeal existing laws, rules and regulations, or abandon any pending legislative or regulatory proposals, at any time. Any such changes in laws, rules or regulations or in governmental policies could create additional regulatory exposure or uncertainty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 would be negatively impacted, which could materially adversely affect our business, financial condition and results of operations.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 In addition, such changes in monetary policy by the Federal Reserve, including changes to the federal funds rate, may directly impact our cost of funds for financing and investment activities and may impact the value of any financial instruments we hold.</w:t>
      </w:r>
    </w:p>
    <w:p>
      <w:pPr>
        <w:spacing w:after="0" w:line="17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ectPr>
          <w:pgSz w:w="12240" w:h="15840" w:orient="portrait"/>
          <w:cols w:equalWidth="0" w:num="1">
            <w:col w:w="10380"/>
          </w:cols>
          <w:pgMar w:left="900" w:top="83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380"/>
          </w:cols>
          <w:pgMar w:left="900" w:top="838" w:right="960" w:bottom="0" w:gutter="0" w:footer="0" w:header="0"/>
          <w:type w:val="continuous"/>
        </w:sectPr>
      </w:pPr>
    </w:p>
    <w:bookmarkStart w:id="63" w:name="page64"/>
    <w:bookmarkEnd w:id="63"/>
    <w:p>
      <w:pPr>
        <w:ind w:right="60"/>
        <w:spacing w:after="0" w:line="254" w:lineRule="auto"/>
        <w:rPr>
          <w:sz w:val="20"/>
          <w:szCs w:val="20"/>
          <w:color w:val="auto"/>
        </w:rPr>
      </w:pPr>
      <w:r>
        <w:rPr>
          <w:rFonts w:ascii="Times New Roman" w:cs="Times New Roman" w:eastAsia="Times New Roman" w:hAnsi="Times New Roman"/>
          <w:sz w:val="20"/>
          <w:szCs w:val="20"/>
          <w:color w:val="auto"/>
        </w:rPr>
        <w:t>In addition, regulatory bodies in Europe have developed and continue to develop rules and regulations targeted at the financial services industry. Additionally, most of the world’s major economies have introduced and continue to introduce regulations implementing Basel III, a global regulatory standard on bank capital adequacy, stress testing and market liquidity risk. In the United States, the implementation and potential recalibration of final Basel III capital rules may further restrict the ability of our U.S. bank and dealer clients to use balance sheet capacity for trading purposes. The continued implementation of new rules and regulations concerning bank capital standards could restrict the ability of our large bank and dealer clients to raise additional capital or use existing capital for trading purposes, which might cause them to trade less on our platform and diminish transaction velocity. In addition, as regulations are introduced which affect our prudential obligations, the regulatory capital requirements imposed on certain of our subsidiaries may change.</w:t>
      </w:r>
    </w:p>
    <w:p>
      <w:pPr>
        <w:spacing w:after="0" w:line="16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20"/>
          <w:szCs w:val="20"/>
          <w:color w:val="auto"/>
        </w:rPr>
        <w:t>See Part I, Item 1. – “Business – Regulation – U.S. Regulation – Additional Developments,” Part I, Item 1. – “Business – Regulation – U.S. Regulation – Cryptocurrency Regulation and Developments” and Part I, Item 1. – “Business – Regulation – Non-U.S. Regulation,” for additional information regarding changes in regulation that may impact our business, financial condition and results of operations.</w:t>
      </w:r>
    </w:p>
    <w:p>
      <w:pPr>
        <w:spacing w:after="0" w:line="173"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auto"/>
        </w:rPr>
        <w:t>It is difficult to know conclusively how future regulatory developments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63"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actual or perceived failure to comply with privacy, data protection and information security laws, rules, regulations and obligations could harm our business.</w:t>
      </w:r>
    </w:p>
    <w:p>
      <w:pPr>
        <w:spacing w:after="0" w:line="13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is changing, subject to differing interpretations, and may be inconsistent among jurisdictions or conflict with other laws, rules or regulations. We are also subject to the terms of our privacy policies and obligations to third parties related to applicable privacy, data protection and information security.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 we operate. For example, in the EEA, the General Data Protection Regulation (“GDPR”) imposes more stringent EU data protection requirements for entities using, processing, and transferring personal data and provides for significant penalties for noncompliance. The GDPR prohibits the transfer of personal data to countries outside of the EU/EEA (including the U.S.) that are not considered by the European Commission to provide an adequate level of data protection (“Third Countries”), except if the data controller meets very specific requirements, including, for example, use of standard contractual clauses (“SCCs”), issued by the European Commission, or certification by the data importer under the EU-U.S. Data Privacy Framework administered by the U.S. Department of Commerce. The SCCs impose obligations on companies relating to cross-border personal data transfers, including, for example, depending on a party’s role in the transfer, implementation of additional security measures and to update internal privacy practices. We rely on a mixture of mechanisms to transfer personal data from our EU business to the U.S. and other Third Countries and we continue to evaluate what additional mechanisms may be required to establish adequate safeguards for personal information. As supervisory authorities issue further guidance on personal information export mechanisms, including circumstances where the SCCs cannot be used and/or broaden their enforcement activities, we could incur substantial costs and/or regulatory investigations or fines. We are also subject to the GDPR as incorporated into United Kingdom law (“UK GDPR”). Following Brexit, the European Commission adopted a UK adequacy decision in June 2021 and further renewed its decision until December 27, 2031, which organizations can rely on for EEA to UK personal data transfers. In recent years, the UK government has introduced proposed legislation intended to create a more business-friendly regime in the UK through changes to data protection legislation. On June 19, 2025, the UK government enacted the U.K. Data (Use and Access) Act 2025 (“DUAA”), which includes targeted amendments to the UK’s data protection regime that cause it to expressly deviate from the GDPR in certain respects. This development creates new compliance challenges and has created some uncertainty with respect to whether such legislative reforms could potentially lead the European Commission to revoke or elect not to further renew the UK adequacy decision. Outside of Europe and the UK, several other countries in which we operate, including China, Japan, India, Singapore, Hong Kong and Australia have established specific legal requirements for privacy, data protection and information security, including data localization and/or cross-border transfer restrictions.</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420"/>
          </w:cols>
          <w:pgMar w:left="900" w:top="838" w:right="920" w:bottom="0" w:gutter="0" w:footer="0" w:header="0"/>
          <w:type w:val="continuous"/>
        </w:sectPr>
      </w:pPr>
    </w:p>
    <w:bookmarkStart w:id="64" w:name="page65"/>
    <w:bookmarkEnd w:id="64"/>
    <w:p>
      <w:pPr>
        <w:ind w:right="80"/>
        <w:spacing w:after="0" w:line="260" w:lineRule="auto"/>
        <w:rPr>
          <w:sz w:val="20"/>
          <w:szCs w:val="20"/>
          <w:color w:val="auto"/>
        </w:rPr>
      </w:pPr>
      <w:r>
        <w:rPr>
          <w:rFonts w:ascii="Times New Roman" w:cs="Times New Roman" w:eastAsia="Times New Roman" w:hAnsi="Times New Roman"/>
          <w:sz w:val="20"/>
          <w:szCs w:val="20"/>
          <w:color w:val="auto"/>
        </w:rPr>
        <w:t>If we are otherwise unable to transfer personal information between and among countries and regions in which we operate, it could affect the manner in which we provide our services and could adversely affect our financial results. Moreover, any changes to these laws may require us to modify our data processing practices and policies and to incur substantial costs and expenses to comply.</w:t>
      </w:r>
    </w:p>
    <w:p>
      <w:pPr>
        <w:spacing w:after="0" w:line="1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are also subject to evolving EU and UK privacy laws on cookies, tracking technologies and e-marketing. DUAA brings the maximum fine threshold under the UK Privacy and Electronic Communications Regulation (2003) (currently £500,000) in line with the UK GDPR fine thresholds (i.e., the higher of £17.5 million or 4% of annual global turnover), but relaxes some cookie consent requirements. In recent years, European court and regulator decisions have driven increased attention to the use of cookies and tracking technologies on websites and digital platforms. If the trend of increasing enforcement by regulators continues, this could lead to substantial costs, require significant systems changes, limit the effectiveness of our marketing activities, divert the attention of our technology personnel, adversely affect our margins and subject us to additional liabilities. In light of the complex and evolving nature of EU, EU member states’ and UK privacy laws on cookies and tracking technologies, it may prove to be a significant challenge to comply with such laws.</w:t>
      </w:r>
    </w:p>
    <w:p>
      <w:pPr>
        <w:spacing w:after="0" w:line="169"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0"/>
          <w:szCs w:val="20"/>
          <w:color w:val="auto"/>
        </w:rPr>
        <w:t>There has also been increased regulation of data privacy and security in the U.S. at the state level, including privacy laws on cookies, tracking technologies and e-marketing. For example, the California Consumer Privacy Act (“CCPA”), which came into force in 2020, broadly defines personal information and California “consumers” to whom the law applies, and gives California residents expanded data privacy rights and protections to access and delete their personal information, opt out of certain personal information sharing, and receive detailed information about how their personal data is used. The CCPA provides for civil penalties for violations and a private right of action for data breaches. In addition, the California Privacy Rights Act (“CPRA”), which took effect on January 1, 2023, significantly expanded the CCPA. Among other changes, the CPRA introduced additional obligations such as data minimization and storage limitations; established a dedicated privacy regulator in California, the California Privacy Protection Agency, to implement and enforce the law; and granted additional rights to consumers, such as correction of personal information and additional opt-out rights with respect to a new category of “sensitive information.” The CCPA marked the beginning of a trend toward more stringent state data privacy legislation in the U.S., which may result in significant costs to our business, damage our reputation, require us to amend our business practices, and could adversely affect our business, especially to the extent the specific requirements vary from those and other existing laws. For example, comprehensive privacy laws in multiple U.S. states have gone, or will go, into effect between 2024 and 2026, and a number of other states are considering similar laws related to the protection of consumer personal information.</w:t>
      </w:r>
    </w:p>
    <w:p>
      <w:pPr>
        <w:spacing w:after="0" w:line="16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In addition, many jurisdictions have also enacted or are considering laws requiring companies to notify individuals and/or regulators of data security breaches involving their personal data. The SEC also has adopted amendments to Regulation S-P (the privacy regulation applicable to certain financial institutions, including broker-dealers) that expanded the scope of the regulation and mandate notification to clients and customers in the event of privacy breaches. These mandatory notifications are costly to implement and often lead to widespread negative publicity, which may cause our clients to lose confidence in the effectiveness of our cybersecurity measures. Any inability, or perceived inability, by us or third parties on which we rely to comply with applicable laws, regulations, policies, industry standards and guidance, contractual obligations, or other legal obligations requiring notification could result in litigation, regulatory investigations, fines and penalties, enforcement actions, increased costs to us and significant legal and financial exposure and/or reputational harm.</w:t>
      </w:r>
    </w:p>
    <w:p>
      <w:pPr>
        <w:spacing w:after="0" w:line="17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420"/>
          </w:cols>
          <w:pgMar w:left="900" w:top="838" w:right="920" w:bottom="0" w:gutter="0" w:footer="0" w:header="0"/>
          <w:type w:val="continuous"/>
        </w:sectPr>
      </w:pPr>
    </w:p>
    <w:bookmarkStart w:id="65" w:name="page66"/>
    <w:bookmarkEnd w:id="65"/>
    <w:p>
      <w:pPr>
        <w:ind w:right="4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New tax legislation and regulation may materially adversely affect our financial condition, results of operations and cash flows.</w:t>
      </w:r>
    </w:p>
    <w:p>
      <w:pPr>
        <w:spacing w:after="0" w:line="1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or be repealed. Any such law, regulation or interpretation could take effect retroactively, and could adversely affect our business and financial condition, and the impact of any such law, regulation or interpretation on holders of our Class A common stock could be adverse. For example, the One Big Beautiful Bill Act (“OBBBA”) contains several changes to corproate taxation, including modifications to capitalization of research and development expenses, limitations on deductions for interest expense and accelerated fixed asset depreciation. The Inflation Reduction Act (“IRA”) enacted, among other changes, a 15% corporate alternative minimum tax on certain United States corporations and a 1% excise tax on certain stock redemptions by United States corporations. In addition, 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an EU directive on the implementation of the plan by January 1, 2024. We fall under the provisions of the Two Pillar Plan and related tax impacts per local country adoption as we are a consolidating subsidiary of LSEG. We do not anticipate a material impact to our financial condition, results of operations and cash flows from the OBBBA, IRA or Two Pillar Plan.</w:t>
      </w:r>
    </w:p>
    <w:p>
      <w:pPr>
        <w:spacing w:after="0" w:line="167"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13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55" w:lineRule="exact"/>
        <w:rPr>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valuation of our deferred tax assets and liabilities;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timing and amount of the release of any tax valuation allowances;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effects of stock-based compensation;</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regulations or interpretations thereof; or</w:t>
      </w:r>
    </w:p>
    <w:p>
      <w:pPr>
        <w:spacing w:after="0" w:line="10" w:lineRule="exact"/>
        <w:rPr>
          <w:rFonts w:ascii="Times New Roman" w:cs="Times New Roman" w:eastAsia="Times New Roman" w:hAnsi="Times New Roman"/>
          <w:sz w:val="20"/>
          <w:szCs w:val="20"/>
          <w:color w:val="auto"/>
        </w:rPr>
      </w:pPr>
    </w:p>
    <w:p>
      <w:pPr>
        <w:ind w:left="720" w:right="700" w:hanging="360"/>
        <w:spacing w:after="0" w:line="260"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earnings being lower than anticipated in countries where we have lower statutory tax rates and higher than anticipated in countries where we have higher statutory tax rates.</w:t>
      </w:r>
    </w:p>
    <w:p>
      <w:pPr>
        <w:spacing w:after="0" w:line="162" w:lineRule="exact"/>
        <w:rPr>
          <w:sz w:val="20"/>
          <w:szCs w:val="20"/>
          <w:color w:val="auto"/>
        </w:rPr>
      </w:pPr>
    </w:p>
    <w:p>
      <w:pPr>
        <w:jc w:val="both"/>
        <w:ind w:right="200"/>
        <w:spacing w:after="0" w:line="309" w:lineRule="auto"/>
        <w:rPr>
          <w:sz w:val="20"/>
          <w:szCs w:val="20"/>
          <w:color w:val="auto"/>
        </w:rPr>
      </w:pPr>
      <w:r>
        <w:rPr>
          <w:rFonts w:ascii="Times New Roman" w:cs="Times New Roman" w:eastAsia="Times New Roman" w:hAnsi="Times New Roman"/>
          <w:sz w:val="19"/>
          <w:szCs w:val="19"/>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In certain circumstances, liability for adjustments to a partnership’s tax return may be imputed to the partnership itself absent an election to the contrary. TWM LLC may be subject to material liabilities if, for example, its calculations of taxable income are incorrect.</w:t>
      </w:r>
    </w:p>
    <w:p>
      <w:pPr>
        <w:spacing w:after="0" w:line="146"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1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Our ability to comply with all applicable laws, rules and regulations is largely dependent on our establishment and maintenance of compliance and risk management programs, including audit and reporting systems, that can quickly adapt and respond to changes in the legal and regulatory landscape,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 management programs and efforts are ineffective, we could suffer losses that could have a material adverse effect on our financial condition and results of operations.</w:t>
      </w:r>
    </w:p>
    <w:p>
      <w:pPr>
        <w:spacing w:after="0" w:line="16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As part of our compliance and risk management programs, we must rely upon our analysis of laws, rules, regulations and information regarding our industry, markets, personnel, clients and other matters. That information may not in all cases be accurate, complete, up-to-date or properly analyzed. Furthermore, we rely on a combination of technical and human controls and supervision that are subject to error and potential failure.</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440"/>
          </w:cols>
          <w:pgMar w:left="900" w:top="829" w:right="900" w:bottom="0" w:gutter="0" w:footer="0" w:header="0"/>
          <w:type w:val="continuous"/>
        </w:sectPr>
      </w:pPr>
    </w:p>
    <w:bookmarkStart w:id="66" w:name="page67"/>
    <w:bookmarkEnd w:id="66"/>
    <w:p>
      <w:pPr>
        <w:spacing w:after="0" w:line="254" w:lineRule="auto"/>
        <w:rPr>
          <w:sz w:val="20"/>
          <w:szCs w:val="20"/>
          <w:color w:val="auto"/>
        </w:rPr>
      </w:pPr>
      <w:r>
        <w:rPr>
          <w:rFonts w:ascii="Times New Roman" w:cs="Times New Roman" w:eastAsia="Times New Roman" w:hAnsi="Times New Roman"/>
          <w:sz w:val="20"/>
          <w:szCs w:val="20"/>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 and solutions as necessary to remain competitive and grow our business, which could materially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exposed to litigation risk, including securities litigation risk.</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are from time to time involved in various litigation matters and claims, including lawsuits regarding employment matters, breach of contract matters and other business and commercial matters. See Part I, Item 3. – “Legal Proceedings.” Many aspects of our business, and the businesses of our clients, involve substantial risks of liability. These risks include, among others, disputes over the terms of a trade and claims 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Our stock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Indebtedness</w:t>
      </w:r>
    </w:p>
    <w:p>
      <w:pPr>
        <w:spacing w:after="0" w:line="20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credit agreement that governs the 2023 Revolving Credit Facility imposes certain operating and financial restrictions on us and our restricted subsidiaries, which may prevent us from capitalizing on business opportunities, and we may incur debt in the future that may include similar or additional restrictions.</w:t>
      </w:r>
    </w:p>
    <w:p>
      <w:pPr>
        <w:spacing w:after="0" w:line="156"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9"/>
          <w:szCs w:val="19"/>
          <w:color w:val="auto"/>
        </w:rPr>
        <w:t>We are party to the 2023 Revolving Credit Facility, a $500.0 million senior unsecured revolving credit facility with a syndicate of banks. The credit agreement that governs the 2023 Revolving Credit Facility imposes certain operating and financial restrictions. These restrictions, which are subject to a number of qualifications and exceptions, could, among other things, limit the ability of</w:t>
      </w:r>
    </w:p>
    <w:p>
      <w:pPr>
        <w:ind w:right="240"/>
        <w:spacing w:after="0" w:line="260" w:lineRule="auto"/>
        <w:tabs>
          <w:tab w:leader="none" w:pos="23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TWM LLC to merge or consolidate with other entities, (ii) the subsidiaries of TWM LLC to incur or guarantee indebtedness and (iii) TWM LLC and its subsidiaries to create or incur liens.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20"/>
          <w:szCs w:val="20"/>
          <w:color w:val="auto"/>
        </w:rPr>
        <w:t>In addition, the credit agreement that governs our 2023 Revolving Credit Facility requires us to maintain a maximum total net leverage ratio and a minimum cash interest coverage ratio. See Part II, Item 7. – “Management’s Discussion and Analysis of Financial Condition and Results of Operations – Liquidity and Capital Resources.”</w:t>
      </w:r>
    </w:p>
    <w:p>
      <w:pPr>
        <w:spacing w:after="0" w:line="1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These covenants could affect our ability to finance our future operations or capital needs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In addition, complying with these covenants may also cause us to take actions that make it more difficult for us to successfully execute our business strategies and compete against companies that are not subject to such restrictions.</w:t>
      </w:r>
    </w:p>
    <w:p>
      <w:pPr>
        <w:spacing w:after="0" w:line="1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Our failure to comply with the covenants and other terms of the 2023 Revolving Credit Facility and/or the terms of any future indebtedness could result in an event of default. If any such event of default occurs and is not waived, the lenders under the 2023 Revolving Credit Facility could elect to declare all amounts outstanding and accrued and unpaid interest, if any, under the 2023 Revolving Credit Facility to be immediately due and payable. The lenders would also have the right in these circumstances to terminate any commitments they have to provide further credit extensions. If we are forced to refinance any borrowings under the 2023 Revolving Credit Facility on less favorable terms or if we cannot refinance these borrowings, our financial condition and results of operations could be materially adversely affected.</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420"/>
          </w:cols>
          <w:pgMar w:left="900" w:top="838" w:right="920" w:bottom="0" w:gutter="0" w:footer="0" w:header="0"/>
          <w:type w:val="continuous"/>
        </w:sectPr>
      </w:pPr>
    </w:p>
    <w:bookmarkStart w:id="67" w:name="page68"/>
    <w:bookmarkEnd w:id="67"/>
    <w:p>
      <w:pPr>
        <w:ind w:right="100"/>
        <w:spacing w:after="0" w:line="260" w:lineRule="auto"/>
        <w:rPr>
          <w:sz w:val="20"/>
          <w:szCs w:val="20"/>
          <w:color w:val="auto"/>
        </w:rPr>
      </w:pPr>
      <w:r>
        <w:rPr>
          <w:rFonts w:ascii="Times New Roman" w:cs="Times New Roman" w:eastAsia="Times New Roman" w:hAnsi="Times New Roman"/>
          <w:sz w:val="20"/>
          <w:szCs w:val="20"/>
          <w:color w:val="auto"/>
        </w:rPr>
        <w:t>In addition, although the credit agreement that governs the 2023 Revolving Credit Facility contains restrictions on the incurrence of certain indebtedness, these restrictions are subject to a number of qualifications and exceptions, and we and our subsidiaries may be able to incur substantial indebtedness in the future. The terms of any future indebtedness we may incur could include more restrictive covenants.</w:t>
      </w:r>
    </w:p>
    <w:p>
      <w:pPr>
        <w:spacing w:after="0" w:line="154"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borrowings under the 2023 Revolving Credit Facility will subject us to interest rate risk, which could cause our debt service obligations to increase significantly.</w:t>
      </w:r>
    </w:p>
    <w:p>
      <w:pPr>
        <w:spacing w:after="0" w:line="1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Any borrowings under the 2023 Revolving Credit Facility will be at variable rates of interest and expose us to interest rate risk. If interest rates rise, our debt service obligations on any borrowings under the 2023 Revolving Credit Facility will increase even though the amount borrowed may remain the same, and our net income and cash flows will correspondingly decrease. Assuming that the $500.0 million 2023 Revolving Credit Facility was fully drawn, each 0.125% change in interest rates would result in an approximate change of $0.6 million in annual interest expense on the borrowings under the 2023 Revolving Credit Facility.</w:t>
      </w:r>
    </w:p>
    <w:p>
      <w:pPr>
        <w:spacing w:after="0" w:line="1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Borrowings under the 2023 Revolving Credit Facility may bear interest at a rate per annum that, at our election, is based upon SOFR. Since the initial publication of SOFR, daily changes in the rate have, on occasion, been more volatile than daily changes in comparable benchmark or market rates, and SOFR over time may bear little or no relation to the historical actual or historical indicative data.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Organizational Structure and 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LSEG controls us and its interests may conflict with ours or yours in the future.</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Following the consummation of the LSEG Transaction, LSEG is the controlling shareholder of Refinitiv and Refinitiv continues to be the controlling shareholder of Tradeweb. As of December 31, 2025, Refinitiv controls approximately 89.9% of the combined voting power of our common stock as a result of its ownership of our Class B common stock and Class D common stock, each share of which is entitled to 10 votes on all matters submitted to a vote of our stockholders and its ownership of our Class C common stock, each share of which is entitled to 1 vote on all matters submitted to a vote of our stockholders. Moreover, under our amended and restated bylaws and the Stockholders Agreement, for so long as Refinitiv continues to beneficially own at least 10% of the combined voting power of our common stock, we will agree to nominate to our board of directors a certain number of individuals designated by Refinitiv. Even when Refinitiv ceases to own shares of our common stock representing a majority of the combined voting power, for so long as Refinitiv continues to own a significant percentage of our common stock, Refinitiv will still be able to significantly influence the composition of our board of directors and the approval of actions requiring stockholder approval through its combined voting power. Accordingly, for such period of time, LSEG, including Refinitiv, will continue to have significant influence with respect to our management, business plans and policies. In particular, LSEG is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LSEG engages in a broad spectrum of activities. In the ordinary course of its business activities, LSEG may engage in activities where its interests conflict with our interests or those of our stockholders. Our amended and restated certificate of incorporation provides that none of Refinitiv, any of its affiliates (including LSEG) or 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LSEG also may pursue acquisition opportunities that may be complementary to our business, and, as a result, those acquisition opportunities may not be available to us. In addition, LSEG may have an interest in our pursuing acquisitions, divestitures and other transactions that, in its judgment, could enhance its investment, even though such transactions might involve risks to you.</w:t>
      </w:r>
    </w:p>
    <w:p>
      <w:pPr>
        <w:spacing w:after="0" w:line="16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13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LSEG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63" w:lineRule="exact"/>
        <w:rPr>
          <w:sz w:val="20"/>
          <w:szCs w:val="20"/>
          <w:color w:val="auto"/>
        </w:rPr>
      </w:pPr>
    </w:p>
    <w:p>
      <w:pPr>
        <w:ind w:left="720" w:hanging="360"/>
        <w:spacing w:after="0"/>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a majority of our board of directors consist of independent directors;</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420"/>
          </w:cols>
          <w:pgMar w:left="900" w:top="838" w:right="920" w:bottom="0" w:gutter="0" w:footer="0" w:header="0"/>
          <w:type w:val="continuous"/>
        </w:sectPr>
      </w:pPr>
    </w:p>
    <w:bookmarkStart w:id="68" w:name="page69"/>
    <w:bookmarkEnd w:id="68"/>
    <w:p>
      <w:pPr>
        <w:ind w:left="720" w:right="340" w:hanging="360"/>
        <w:spacing w:after="0" w:line="260"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director nominations be made, or recommended to the full board of directors, by its independent directors or by a nominations committee that is composed entirely of independent directors; and</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we have a compensation committee that is composed entirely of independent directors.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may in the future rely on any or all of the exemptions listed above. If we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if we utilize the exemptions, you would not have the same protections afforded to stockholders of companies that are subject to all of the corporate governance requirements of Nasdaq.</w:t>
      </w:r>
    </w:p>
    <w:p>
      <w:pPr>
        <w:spacing w:after="0" w:line="160"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organizational documents and Delaware law might discourage or delay acquisition attempts for us that you might consider favorable.</w:t>
      </w:r>
    </w:p>
    <w:p>
      <w:pPr>
        <w:spacing w:after="0" w:line="13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155" w:lineRule="exact"/>
        <w:rPr>
          <w:sz w:val="20"/>
          <w:szCs w:val="20"/>
          <w:color w:val="auto"/>
        </w:rPr>
      </w:pPr>
    </w:p>
    <w:p>
      <w:pPr>
        <w:ind w:left="720" w:right="440" w:hanging="360"/>
        <w:spacing w:after="0" w:line="26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for a multi-class common stock structure with a 10 vote per share feature of our Class B common stock and Class D common stock;</w:t>
      </w:r>
    </w:p>
    <w:p>
      <w:pPr>
        <w:spacing w:after="0" w:line="1" w:lineRule="exact"/>
        <w:rPr>
          <w:rFonts w:ascii="Times New Roman" w:cs="Times New Roman" w:eastAsia="Times New Roman" w:hAnsi="Times New Roman"/>
          <w:sz w:val="20"/>
          <w:szCs w:val="20"/>
          <w:color w:val="auto"/>
        </w:rPr>
      </w:pPr>
    </w:p>
    <w:p>
      <w:pPr>
        <w:ind w:left="720" w:right="200" w:hanging="360"/>
        <w:spacing w:after="0" w:line="25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 w:lineRule="exact"/>
        <w:rPr>
          <w:rFonts w:ascii="Times New Roman" w:cs="Times New Roman" w:eastAsia="Times New Roman" w:hAnsi="Times New Roman"/>
          <w:sz w:val="20"/>
          <w:szCs w:val="20"/>
          <w:color w:val="auto"/>
        </w:rPr>
      </w:pPr>
    </w:p>
    <w:p>
      <w:pPr>
        <w:ind w:left="720" w:right="40" w:hanging="360"/>
        <w:spacing w:after="0" w:line="25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stockholder action by written consent from and after the date on which Refinitiv ceases to beneficially own at least 50% of the total voting power of all then outstanding shares of our capital stock unless such action is recommended by all directors then in office;</w:t>
      </w:r>
    </w:p>
    <w:p>
      <w:pPr>
        <w:spacing w:after="0" w:line="1" w:lineRule="exact"/>
        <w:rPr>
          <w:rFonts w:ascii="Times New Roman" w:cs="Times New Roman" w:eastAsia="Times New Roman" w:hAnsi="Times New Roman"/>
          <w:sz w:val="20"/>
          <w:szCs w:val="20"/>
          <w:color w:val="auto"/>
        </w:rPr>
      </w:pPr>
    </w:p>
    <w:p>
      <w:pPr>
        <w:ind w:left="720" w:right="200" w:hanging="360"/>
        <w:spacing w:after="0" w:line="25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the board of directors is expressly authorized to make, alter or repeal our bylaws and that our stockholders may only amend our bylaws with the approval of 66 2⁄3% or more in voting power of all outstanding shares of our capital stock, if Refinitiv beneficially owns less than 50% in voting power of our stock entitled to vote generally in the election of directors; and</w:t>
      </w:r>
    </w:p>
    <w:p>
      <w:pPr>
        <w:spacing w:after="0" w:line="1" w:lineRule="exact"/>
        <w:rPr>
          <w:rFonts w:ascii="Times New Roman" w:cs="Times New Roman" w:eastAsia="Times New Roman" w:hAnsi="Times New Roman"/>
          <w:sz w:val="20"/>
          <w:szCs w:val="20"/>
          <w:color w:val="auto"/>
        </w:rPr>
      </w:pPr>
    </w:p>
    <w:p>
      <w:pPr>
        <w:ind w:left="720" w:right="380" w:hanging="360"/>
        <w:spacing w:after="0" w:line="26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elections to our board or for proposing matters that can be acted upon by stockholders at stockholder meetings.</w:t>
      </w:r>
    </w:p>
    <w:p>
      <w:pPr>
        <w:spacing w:after="0" w:line="162"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20"/>
          <w:szCs w:val="20"/>
          <w:color w:val="auto"/>
        </w:rPr>
        <w:t>In addition, while we have opted out of Section 203 of the Delaware General Corporation Law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63" w:lineRule="exact"/>
        <w:rPr>
          <w:sz w:val="20"/>
          <w:szCs w:val="20"/>
          <w:color w:val="auto"/>
        </w:rPr>
      </w:pPr>
    </w:p>
    <w:p>
      <w:pPr>
        <w:ind w:left="720" w:right="220" w:hanging="360"/>
        <w:spacing w:after="0" w:line="260"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such time, our board of directors approved either the business combination or the transaction which resulted in the stockholder becoming an interested stockholder;</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 w:lineRule="exact"/>
        <w:rPr>
          <w:rFonts w:ascii="Times New Roman" w:cs="Times New Roman" w:eastAsia="Times New Roman" w:hAnsi="Times New Roman"/>
          <w:sz w:val="20"/>
          <w:szCs w:val="20"/>
          <w:color w:val="auto"/>
        </w:rPr>
      </w:pPr>
    </w:p>
    <w:p>
      <w:pPr>
        <w:ind w:left="720" w:right="100" w:hanging="360"/>
        <w:spacing w:after="0" w:line="260"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Refinitiv and its affiliates, and any of their respective direct or indirect transferees and any group as to which such persons are a party, do not constitute “interested stockholders” for purposes of this provision.</w:t>
      </w:r>
    </w:p>
    <w:p>
      <w:pPr>
        <w:spacing w:after="0" w:line="1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Exhibit 4.2 to this Annual Report on Form 10-K for a description of our capital stock.</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420"/>
          </w:cols>
          <w:pgMar w:left="900" w:top="838" w:right="920" w:bottom="0" w:gutter="0" w:footer="0" w:header="0"/>
          <w:type w:val="continuous"/>
        </w:sectPr>
      </w:pPr>
    </w:p>
    <w:bookmarkStart w:id="69" w:name="page70"/>
    <w:bookmarkEnd w:id="69"/>
    <w:p>
      <w:pPr>
        <w:jc w:val="both"/>
        <w:ind w:right="2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1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does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64"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13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16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We also incur expenses related to our operations, including payments under the Tax Receivable Agreement, which we expect could be significant. See Note 10 – Tax Receivable Agreement to our audited consolidated financial statements included elsewhere in this Annual Report on Form 10-K. We intend, as its sole manager of TWM LLC,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2023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 Risks Relating to Ownership of Our Class A Common Stock.”</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440"/>
          </w:cols>
          <w:pgMar w:left="900" w:top="829" w:right="900" w:bottom="0" w:gutter="0" w:footer="0" w:header="0"/>
          <w:type w:val="continuous"/>
        </w:sectPr>
      </w:pPr>
    </w:p>
    <w:bookmarkStart w:id="70" w:name="page71"/>
    <w:bookmarkEnd w:id="70"/>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16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Continuing LLC Owners would benefit from any value attributable to such cash balances as a result of their ownership of Class A common stock or Class B common stock, as applicable, following a redemption or exchange of their LLC Interests.</w:t>
      </w:r>
    </w:p>
    <w:p>
      <w:pPr>
        <w:spacing w:after="0" w:line="161" w:lineRule="exact"/>
        <w:rPr>
          <w:sz w:val="20"/>
          <w:szCs w:val="20"/>
          <w:color w:val="auto"/>
        </w:rPr>
      </w:pPr>
    </w:p>
    <w:p>
      <w:pPr>
        <w:jc w:val="both"/>
        <w:ind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a Continuing LLC Owner, including with the net proceeds from the IPO, the October 2019 and the April 2020 follow-on offerings and any future offerings or (b) redemptions or exchanges by a Continuing LLC Owner of LLC Interests for shares of our Class A common stock or Class B common stock or for cash, as applicable,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1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Continuing LLC Owners could be substantial.</w:t>
      </w:r>
    </w:p>
    <w:p>
      <w:pPr>
        <w:sectPr>
          <w:pgSz w:w="12240" w:h="15840" w:orient="portrait"/>
          <w:cols w:equalWidth="0" w:num="1">
            <w:col w:w="10420"/>
          </w:cols>
          <w:pgMar w:left="900" w:top="82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420"/>
          </w:cols>
          <w:pgMar w:left="900" w:top="829" w:right="920" w:bottom="0" w:gutter="0" w:footer="0" w:header="0"/>
          <w:type w:val="continuous"/>
        </w:sectPr>
      </w:pPr>
    </w:p>
    <w:bookmarkStart w:id="71" w:name="page72"/>
    <w:bookmarkEnd w:id="71"/>
    <w:p>
      <w:pPr>
        <w:ind w:right="80"/>
        <w:spacing w:after="0" w:line="254" w:lineRule="auto"/>
        <w:rPr>
          <w:sz w:val="20"/>
          <w:szCs w:val="20"/>
          <w:color w:val="auto"/>
        </w:rPr>
      </w:pPr>
      <w:r>
        <w:rPr>
          <w:rFonts w:ascii="Times New Roman" w:cs="Times New Roman" w:eastAsia="Times New Roman" w:hAnsi="Times New Roman"/>
          <w:sz w:val="20"/>
          <w:szCs w:val="20"/>
          <w:color w:val="auto"/>
        </w:rPr>
        <w:t>For example, as of December 31, 2025, we recorded a liability of $336.5 million related to our projected obligations under the Tax Receivable Agreement with respect to LLC Interests that were purchased by Tradeweb Markets Inc. using the net proceeds from the IPO and the October 2019 and the April 2020 follow-on offerings and LLC Interests that were subsequently exchanged by Continuing LLC Owners. Payments under the Tax Receivable Agreement are not conditioned on any Continuing LLC 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64"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5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a Continuing LLC Owner of 50% of the tax benefits, if any, that we actually realize, or in certain circumstances are deemed to realize, as a result of (i) increases in the tax basis of TWM LLC’s assets resulting from (a) the purchase of LLC Interests from a Continuing LLC Owner, including with the net proceeds from the IPO, the October 2019 and April 2020 follow-on offerings and any future offerings or (b) redemptions or exchanges by a Continuing LLC Owner of LLC Interests for shares of our Class A common stock or Class B common stock or for cash, as applicable,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51" w:lineRule="exact"/>
        <w:rPr>
          <w:sz w:val="20"/>
          <w:szCs w:val="20"/>
          <w:color w:val="auto"/>
        </w:rPr>
      </w:pPr>
    </w:p>
    <w:p>
      <w:pPr>
        <w:ind w:right="44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11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9"/>
          <w:szCs w:val="19"/>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64"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will not be reimbursed for any payments made to the Continuing LLC Owners under the Tax Receivable Agreement in the event that any tax benefits are disallowed.</w:t>
      </w:r>
    </w:p>
    <w:p>
      <w:pPr>
        <w:spacing w:after="0" w:line="1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440"/>
          </w:cols>
          <w:pgMar w:left="900" w:top="838" w:right="900" w:bottom="0" w:gutter="0" w:footer="0" w:header="0"/>
          <w:type w:val="continuous"/>
        </w:sectPr>
      </w:pPr>
    </w:p>
    <w:bookmarkStart w:id="72" w:name="page73"/>
    <w:bookmarkEnd w:id="72"/>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As the sole manager of TWM LLC, we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1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Ownership of our Class A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Refinitiv and Continuing LLC Owners may require us to issue additional shares of our Class A common stock.</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As of January 29, 2026, we have an aggregate of 884,342,167 shares of Class A common stock authorized but unissued, including approximately 119,990,060 shares of Class A common stock issuable upon the redemption or exchange of LLC Interests that are held by the Continuing LLC Owners or the exchange of shares of Class B common stock that are held by Refinitiv and any other future holders of Class B common stock. Subject to certain restrictions set forth in the TWM LLC Agreement, Continuing LLC Owners are entitled to have their LLC Interests redeemed for newly issued shares of our Class A common stock or Class B common stock, as applicable,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investment, or the perception that such sales or distributions could occur, may result in dilution to holders of shares of Class A common stock and cause the market price of our Class A common stock to decline.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may be highly volatile.</w:t>
      </w: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164" w:lineRule="exact"/>
        <w:rPr>
          <w:sz w:val="20"/>
          <w:szCs w:val="20"/>
          <w:color w:val="auto"/>
        </w:rPr>
      </w:pPr>
    </w:p>
    <w:p>
      <w:pPr>
        <w:ind w:left="720" w:right="280" w:hanging="360"/>
        <w:spacing w:after="0" w:line="260"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trends in global economic conditions or activity levels in our industry, including the strength and direction of the U.S. and global economy;</w:t>
      </w:r>
    </w:p>
    <w:p>
      <w:pPr>
        <w:spacing w:after="0" w:line="1" w:lineRule="exact"/>
        <w:rPr>
          <w:rFonts w:ascii="Times New Roman" w:cs="Times New Roman" w:eastAsia="Times New Roman" w:hAnsi="Times New Roman"/>
          <w:sz w:val="20"/>
          <w:szCs w:val="20"/>
          <w:color w:val="auto"/>
        </w:rPr>
      </w:pPr>
    </w:p>
    <w:p>
      <w:pPr>
        <w:ind w:left="720" w:right="620" w:hanging="360"/>
        <w:spacing w:after="0" w:line="250"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relationship with our clients or in client needs or expectations or trends in the markets in which we operate;</w:t>
      </w:r>
    </w:p>
    <w:p>
      <w:pPr>
        <w:ind w:left="720" w:right="520" w:hanging="360"/>
        <w:spacing w:after="0" w:line="250"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concerning or by our competitors or concerning our industry or the markets in which we operate in general;</w:t>
      </w:r>
    </w:p>
    <w:p>
      <w:pPr>
        <w:ind w:left="720" w:hanging="36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investigations or regulatory scrutiny of our operations or lawsuits filed against us;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business strategy;</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complete and integrate acquisitions;</w:t>
      </w:r>
    </w:p>
    <w:p>
      <w:pPr>
        <w:spacing w:after="0" w:line="10" w:lineRule="exact"/>
        <w:rPr>
          <w:rFonts w:ascii="Times New Roman" w:cs="Times New Roman" w:eastAsia="Times New Roman" w:hAnsi="Times New Roman"/>
          <w:sz w:val="20"/>
          <w:szCs w:val="20"/>
          <w:color w:val="auto"/>
        </w:rPr>
      </w:pPr>
    </w:p>
    <w:p>
      <w:pPr>
        <w:ind w:left="720" w:right="240" w:hanging="360"/>
        <w:spacing w:after="0" w:line="260"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or annual operating results or failure to meet guidance given by us or any change in guidance given by us or in our guidance practices;</w:t>
      </w:r>
    </w:p>
    <w:p>
      <w:pPr>
        <w:sectPr>
          <w:pgSz w:w="12240" w:h="15840" w:orient="portrait"/>
          <w:cols w:equalWidth="0" w:num="1">
            <w:col w:w="10440"/>
          </w:cols>
          <w:pgMar w:left="900" w:top="829" w:right="900"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440"/>
          </w:cols>
          <w:pgMar w:left="900" w:top="829" w:right="900" w:bottom="0" w:gutter="0" w:footer="0" w:header="0"/>
          <w:type w:val="continuous"/>
        </w:sectPr>
      </w:pPr>
    </w:p>
    <w:bookmarkStart w:id="73" w:name="page74"/>
    <w:bookmarkEnd w:id="73"/>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volume of our Class A common stock;</w:t>
      </w:r>
    </w:p>
    <w:p>
      <w:pPr>
        <w:spacing w:after="0" w:line="30" w:lineRule="exact"/>
        <w:rPr>
          <w:rFonts w:ascii="Times New Roman" w:cs="Times New Roman" w:eastAsia="Times New Roman" w:hAnsi="Times New Roman"/>
          <w:sz w:val="20"/>
          <w:szCs w:val="20"/>
          <w:color w:val="auto"/>
        </w:rPr>
      </w:pPr>
    </w:p>
    <w:p>
      <w:pPr>
        <w:ind w:left="720" w:right="300" w:hanging="360"/>
        <w:spacing w:after="0" w:line="250"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securities analysts to cover the Company or changes in financial estimates by the analysts who cover us, our competitors or our industry in general;</w:t>
      </w: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social, legal and regulatory factors unrelated to our performance;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any of our management or key personnel;</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Class A common stock by us, our executive officers, directors or our stockholders in the future;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 perception of us, our competitors and our industry;</w:t>
      </w:r>
    </w:p>
    <w:p>
      <w:pPr>
        <w:spacing w:after="0" w:line="10" w:lineRule="exact"/>
        <w:rPr>
          <w:rFonts w:ascii="Times New Roman" w:cs="Times New Roman" w:eastAsia="Times New Roman" w:hAnsi="Times New Roman"/>
          <w:sz w:val="20"/>
          <w:szCs w:val="20"/>
          <w:color w:val="auto"/>
        </w:rPr>
      </w:pPr>
    </w:p>
    <w:p>
      <w:pPr>
        <w:ind w:left="720" w:right="60" w:hanging="360"/>
        <w:spacing w:after="0" w:line="250"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consequences related to our multi-class capital structure, such as stock index providers excluding companies with multi-class capital structures from certain indices; and</w:t>
      </w:r>
    </w:p>
    <w:p>
      <w:pPr>
        <w:ind w:left="720" w:hanging="36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fluctuations in the U.S. equity markets generally.</w:t>
      </w:r>
    </w:p>
    <w:p>
      <w:pPr>
        <w:spacing w:after="0" w:line="190" w:lineRule="exact"/>
        <w:rPr>
          <w:sz w:val="20"/>
          <w:szCs w:val="20"/>
          <w:color w:val="auto"/>
        </w:rPr>
      </w:pPr>
    </w:p>
    <w:p>
      <w:pPr>
        <w:jc w:val="both"/>
        <w:ind w:right="80"/>
        <w:spacing w:after="0" w:line="309" w:lineRule="auto"/>
        <w:rPr>
          <w:sz w:val="20"/>
          <w:szCs w:val="20"/>
          <w:color w:val="auto"/>
        </w:rPr>
      </w:pPr>
      <w:r>
        <w:rPr>
          <w:rFonts w:ascii="Times New Roman" w:cs="Times New Roman" w:eastAsia="Times New Roman" w:hAnsi="Times New Roman"/>
          <w:sz w:val="19"/>
          <w:szCs w:val="19"/>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0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Sales, or the potential for sales, of a substantial number of shares of our Class A common stock in the public market could cause our stock price to drop significantly.</w:t>
      </w:r>
    </w:p>
    <w:p>
      <w:pPr>
        <w:spacing w:after="0" w:line="1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Sales of a substantial number of shares of our Class A common stock in the public market or the perception that these sales might occur, could depress the market price of our Class A common stock, impair our ability to raise capital through the sale of additional equity securities or make it more difficult for you to sell your Class A common stock at a time and price that you deem appropriate. As of January 29, 2026, we have 115,657,833 outstanding shares of Class A common stock and 119,990,060 shares of Class A common stock that are authorized but unissued that would be issuable upon redemption or exchange of LLC Interests held by Continuing LLC Owners or exchange of shares of our Class B common stock.</w:t>
      </w:r>
    </w:p>
    <w:p>
      <w:pPr>
        <w:spacing w:after="0" w:line="1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In addition, shares of Class A common stock issued or issuable upon exercise of options that have currently vested and vesting of outstanding equity awards (as described more fully in Note 13 – Stock-Based Compensation Plans to our audited consolidated financial statements included elsewhere in this Annual Report on Form 10-K) are eligible for sale. We have filed registration statements on Form S-8 under the Securities Act covering approximately 32 million shares of Class A common stock issued or issuable under our equity incentive plans. Accordingly, shares registered under such registration statements are available for sale in the open market following the vesting of awards, as applicable, the expiration or waiver of any applicable lockup period and subject to Rule 144 limitations applicable to affiliates.</w:t>
      </w:r>
    </w:p>
    <w:p>
      <w:pPr>
        <w:spacing w:after="0" w:line="17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9"/>
          <w:szCs w:val="19"/>
          <w:color w:val="auto"/>
        </w:rPr>
        <w:t>In addition, pursuant to the Registration Rights Agreement, Refinitiv, its affiliates and certain of its transferees have the right, under certain circumstances and subject to certain restrictions, to require us to register under the Securities Act shares of Class A common stock.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39"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 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stock trading volumes to materially decline.</w:t>
      </w:r>
    </w:p>
    <w:p>
      <w:pPr>
        <w:spacing w:after="0" w:line="160"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intend to continue to pay regular dividends on our Class A common stock and Class B common stock, but our ability to do so may be limited.</w:t>
      </w:r>
    </w:p>
    <w:p>
      <w:pPr>
        <w:spacing w:after="0" w:line="137"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20"/>
          <w:szCs w:val="20"/>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440"/>
          </w:cols>
          <w:pgMar w:left="900" w:top="838" w:right="900" w:bottom="0" w:gutter="0" w:footer="0" w:header="0"/>
          <w:type w:val="continuous"/>
        </w:sectPr>
      </w:pPr>
    </w:p>
    <w:bookmarkStart w:id="74" w:name="page75"/>
    <w:bookmarkEnd w:id="74"/>
    <w:p>
      <w:pPr>
        <w:ind w:right="60"/>
        <w:spacing w:after="0" w:line="253" w:lineRule="auto"/>
        <w:rPr>
          <w:sz w:val="20"/>
          <w:szCs w:val="20"/>
          <w:color w:val="auto"/>
        </w:rPr>
      </w:pPr>
      <w:r>
        <w:rPr>
          <w:rFonts w:ascii="Times New Roman" w:cs="Times New Roman" w:eastAsia="Times New Roman" w:hAnsi="Times New Roman"/>
          <w:sz w:val="20"/>
          <w:szCs w:val="20"/>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Continuing LLC Owners will be entitled to receive equivalent distributions pro rata based on their economic interests in TWM LLC at the time of such distributions.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timing and amount of any share repurchases are subject to a number of uncertainties.</w:t>
      </w:r>
    </w:p>
    <w:p>
      <w:pPr>
        <w:spacing w:after="0" w:line="219"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20"/>
          <w:szCs w:val="20"/>
          <w:color w:val="auto"/>
        </w:rPr>
        <w:t>On December 5, 2022, our board of directors approved a share repurchase program with an indefinite term under which we may purchase up to $300 million of Class A common stock (the “2022 Share Repurchase Program”). As of December 31, 2025, $74.0 million remained available for purchase under the 2022 Share Repurchase Program.</w:t>
      </w:r>
    </w:p>
    <w:p>
      <w:pPr>
        <w:spacing w:after="0" w:line="157"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0"/>
          <w:szCs w:val="20"/>
          <w:color w:val="auto"/>
        </w:rPr>
        <w:t>On February 5, 2026, our board of directors authorized an additional share repurchase program with an indefinite term under which we may purchase up to $500 million of Class A common stock (the “2026 Share Repurchase Program”).</w:t>
      </w:r>
    </w:p>
    <w:p>
      <w:pPr>
        <w:spacing w:after="0" w:line="141"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9"/>
          <w:szCs w:val="19"/>
          <w:color w:val="auto"/>
        </w:rPr>
        <w:t>Both share repurchase programs permit us to repurchase shares of Class A common stock from time to time at our discretion, in amounts, at prices and at such times as we deem appropriate, subject to market conditions and other considerations. Repurchases can be effected through regular open-market purchases (which may include repurchase plans designed to comply with Rule</w:t>
      </w:r>
    </w:p>
    <w:p>
      <w:pPr>
        <w:spacing w:after="0" w:line="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10b-18 or Rule 10b5-1), through privately negotiated transactions, through accelerated share repurchases or, in the case of the 2026 Share Repurchase Program, enhanced open-market repurchases (eOMR), each in accordance with applicable securities laws and other restrictions. The share repurchase programs do not have termination dates and do not obligate us to repurchase any specific amount of Class A common stock and they may be suspended, amended or discontinued at any time. In addition, our board of directors may not authorize any increases to or extensions of our existing share repurchase programs or any new share repurchase program in the future.</w:t>
      </w:r>
    </w:p>
    <w:p>
      <w:pPr>
        <w:spacing w:after="0" w:line="1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The manner, timing and amount of any repurchases will be based on an evaluation of market conditions, stock price and other factors. For example, the IRA imposes a 1% excise tax on the repurchase of stock by publicly traded U.S. corporations. The imposition of the excise tax on repurchases of our shares may increase the cost to us of making repurchases and may cause management to reduce the number of shares repurchased pursuant to our share repurchase programs. Additional considerations that could cause management to limit, suspend or delay future repurchases include unfavorable market conditions, the trading price of our Class A common stock, the nature and magnitude of other investment opportunities available to us from time to time and the allocation of available cash.</w:t>
      </w:r>
    </w:p>
    <w:p>
      <w:pPr>
        <w:spacing w:after="0" w:line="1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In addition, repurchases of shares of our Class A common stock pursuant to our share repurchase programs could affect our stock price and increase its volatility. For example, the existence of our share repurchase programs could cause our stock price to be higher than it would be in the absence of such programs and could potentially reduce the market liquidity for our Class A common stock. Our repurchases may also not enhance stockholder value because the stock price of our Class A common stock may decline below the prices at which we repurchased shares and short-term stock price fluctuations could reduce the effectiveness of our share repurchase programs. Additionally, our share repurchase programs could diminish our cash reserves, which may impact our ability to finance or pursue our business strategies.</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420"/>
          </w:cols>
          <w:pgMar w:left="900" w:top="838" w:right="920" w:bottom="0" w:gutter="0" w:footer="0" w:header="0"/>
          <w:type w:val="continuous"/>
        </w:sectPr>
      </w:pPr>
    </w:p>
    <w:bookmarkStart w:id="75" w:name="page76"/>
    <w:bookmarkEnd w:id="75"/>
    <w:p>
      <w:pPr>
        <w:ind w:right="1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and the corporate governance standards of the Sarbanes-Oxley Act and Nasdaq. These requirements may place a strain on our management, systems and resources. In addition, we have incurred, and expect to continue to incur significant legal, accounting, insurance and other expenses in connection with being a public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As a leader in building and operating electronic marketplaces, we face a broad set of cybersecurity risks stemming from managing complex technology systems, handling sensitive data and the digital nature of our business. Managing cybersecurity risk is critically important to our business. We have comprehensive cybersecurity risk management and governance systems in place across our global operations designed to support successful operation of our systems.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1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9"/>
          <w:szCs w:val="19"/>
          <w:color w:val="auto"/>
        </w:rPr>
        <w:t>We operate in an environment where cybersecurity risk is dynamic and evolving. We are committed to appropriately managing and minimizing the impact of cybersecurity risk on the achievement of our business objectives. We view cybersecurity risk management as a fundamental business process essential to our overall success. As such, we have integrated our cybersecurity program into our comprehensive Risk Framework, which is in place to support the management and oversight of risk across our organization. The Risk Framework establishes a consistent approach for identifying, assessing, measuring, mitigating and reporting on material risks, including cybersecurity risks. The Risk Framework is composed of process components such as risk governance, risk identification and assessment, risk measurement, risk response and remediation and risk analysis and reporting.</w:t>
      </w:r>
    </w:p>
    <w:p>
      <w:pPr>
        <w:spacing w:after="0" w:line="15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The general objectives for our cybersecurity program are to protect our information systems from cyber threats and to protect the confidentiality, integrity and availability of systems and information used, owned or managed by Tradeweb and our clients. This involves a comprehensive and ongoing effort to protect against, detect and respond to cybersecurity threats and vulnerabilities. Our cybersecurity program includes a number of components, such as:</w:t>
      </w:r>
    </w:p>
    <w:p>
      <w:pPr>
        <w:spacing w:after="0" w:line="163" w:lineRule="exact"/>
        <w:rPr>
          <w:sz w:val="20"/>
          <w:szCs w:val="20"/>
          <w:color w:val="auto"/>
        </w:rPr>
      </w:pPr>
    </w:p>
    <w:p>
      <w:pPr>
        <w:ind w:left="720" w:hanging="36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regular risk assessments to identify potential vulnerabilities and threats;</w:t>
      </w:r>
    </w:p>
    <w:p>
      <w:pPr>
        <w:spacing w:after="0" w:line="30" w:lineRule="exact"/>
        <w:rPr>
          <w:rFonts w:ascii="Times New Roman" w:cs="Times New Roman" w:eastAsia="Times New Roman" w:hAnsi="Times New Roman"/>
          <w:sz w:val="20"/>
          <w:szCs w:val="20"/>
          <w:color w:val="auto"/>
        </w:rPr>
      </w:pPr>
    </w:p>
    <w:p>
      <w:pPr>
        <w:ind w:left="720" w:right="20" w:hanging="360"/>
        <w:spacing w:after="0" w:line="250"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strong cybersecurity frameworks by adopting policies, standards and guidelines derived from a combination of ISO/IEC 27001 principles, the National Institute of Standards and Technology Cybersecurity Framework and industry best practices;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enforcing strict access control policies as appropriate;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strong encryption protocols;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utilizing advanced threat detection systems;</w:t>
      </w:r>
    </w:p>
    <w:p>
      <w:pPr>
        <w:sectPr>
          <w:pgSz w:w="12240" w:h="15840" w:orient="portrait"/>
          <w:cols w:equalWidth="0" w:num="1">
            <w:col w:w="10420"/>
          </w:cols>
          <w:pgMar w:left="900" w:top="829" w:right="920" w:bottom="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420"/>
          </w:cols>
          <w:pgMar w:left="900" w:top="829" w:right="920" w:bottom="0" w:gutter="0" w:footer="0" w:header="0"/>
          <w:type w:val="continuous"/>
        </w:sectPr>
      </w:pPr>
    </w:p>
    <w:bookmarkStart w:id="76" w:name="page77"/>
    <w:bookmarkEnd w:id="76"/>
    <w:p>
      <w:pPr>
        <w:ind w:left="720" w:hanging="36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regular security audits and penetration testing;</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thorough security assessments of third-party vendors and service providers on an ongoing basis;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continuous monitoring of our and third-party systems.</w:t>
      </w:r>
    </w:p>
    <w:p>
      <w:pPr>
        <w:spacing w:after="0" w:line="1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As part of our cybersecurity program, we have robust incident response and business continuity plans designed to provide a framework for quick and effective remediation of cyber issues, which are tested periodically throughout the year. Additionally, we have worked to create a culture of security by providing regular cybersecurity training to employees to raise awareness about various cyber threats like phishing, social engineering and insider threats. We provide additional targeted training to individuals responsible for managing our information systems. We also maintain cyber insurance coverage intended to mitigate certain costs associated with certain cybersecurity events.</w:t>
      </w:r>
    </w:p>
    <w:p>
      <w:pPr>
        <w:spacing w:after="0" w:line="16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In addition, each year, we undergo System and Organization Controls (“SOC”) 1 and SOC 2 audit reviews performed by an independent third-party firm to test our information technology systems internal controls. We also regularly engage additional assessors, auditors and service providers in connection with the implementation, assessment, enhancement and evaluation of our cybersecurity program, including our risk management processes.</w:t>
      </w:r>
    </w:p>
    <w:p>
      <w:pPr>
        <w:spacing w:after="0" w:line="1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have not been a victim of a cyber attack or other cybersecurity incident that has had a material impact on us, our business strategy, results of operations or financial condition; however, we have from time to time experienced non-significant cybersecurity events, including attempted denial of service attacks, malware infections, phishing, subversion of internal security controls and other information technology events that are typical for an electronic financial services company of our size. An actual, threatened or perceived cyber attack or breach of our security could materially affect us, including our business strategy, results of operations and financial condition in many ways, including through the loss of clients or client confidence, expenditure of significant costs to repair system, network or infrastructure damages as well as to protect against future cyber attacks, security breaches or harm and potential litigation or other claims or actions, including from regulatory agencies. These risks extend to the third parties we rely on to provide certain services, including technology services, to us. Please see Part I, Item 1A. —“Risk Factors—Risks Relating to the Operation and Performance of Our Business—We rely on third parties to perform certain key functions, and their failure to perform those functions could result in the interruption of our operations and systems and could result in significant costs and reputational damage to us.” For additional information regarding risks related to cybersecurity threats, see also Part I, Item 1A. – “Risk Factors — Risks Relating to Cybersecurity and Intellectual Property — Actual or perceived security vulnerabilities in our systems, networks and infrastructure, breaches of security controls, unauthorized access to confidential or personal information or cyber attacks could harm our business, reputation and results of operations” and “— Systems failures, interruptions, delays in service, catastrophic events and resulting interruptions in the availability of our platform or solutions could materially harm our business and reputation.”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Role of our Board of Directors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Board of Directors of Tradeweb Markets Inc. exercises direct oversight of the strategic risks to the Company. The Audit and Risk Committee of the Board reviews guidelines and policies governing the process by which senior management assesses and manages our exposure to risk, including our major financial and operational risk exposures including those derived from cybersecurity risk, and the steps management takes to monitor and control such exposures. Our Board and our Audit and Risk Committee each receive periodic reports from our Chief Information Security Officer and Chief Administrative Officer and Chief Risk Officer to assess key cybersecurity risks for the Company and the measures implemented to mitigate them, as well as updates regarding changes to our cybersecurity risk profile or newly identified significant risks. In addition, the Audit and Risk Committee reports to the Board on these matters at each regularly scheduled Board meeting. The Board and Audit and Risk Committee provide feedback and recommendations accordingly.</w:t>
      </w:r>
    </w:p>
    <w:p>
      <w:pPr>
        <w:sectPr>
          <w:pgSz w:w="12240" w:h="15840" w:orient="portrait"/>
          <w:cols w:equalWidth="0" w:num="1">
            <w:col w:w="10380"/>
          </w:cols>
          <w:pgMar w:left="900" w:top="83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380"/>
          </w:cols>
          <w:pgMar w:left="900" w:top="838" w:right="96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i w:val="1"/>
          <w:iCs w:val="1"/>
          <w:color w:val="auto"/>
        </w:rPr>
        <w:t>Role of Management</w:t>
      </w: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We operate on a “three lines of defense” risk governance model, with partnership and communication across the three lines. The first line of defense is comprised of the business and technology managers, the second line of defense is comprised of the Compliance, Risk and Information Security teams and the third line of defense is comprised of the Internal Audit function. The second and third lines of defense focus on providing the first line of defense with advisory and assurance functions for informed and actionable risk-based decisions. The Enterprise Risk Committee (the “ERC”) is chaired by our Chief Administrative Officer and Chief Risk Officer and includes our Chief Technology Officer, Chief Legal Officer, Global Head of Enterprise Risk, Chief Information Security Officer, Head of Global Compliance, Chief People Officer, Chief Audit Executive and various global heads of business lines and corporate functions. The ERC is responsible for the governance and oversight of our Risk Framework, which includes cybersecurity risks. Its responsibilities include supervising risk mitigation strategies and their implementation, overseeing compliance and regulatory aspects, managing crises, approving risk tolerance, reviewing and approving material policy changes and evaluating the effectiveness of the organization’s risk management practices. The ERC regularly obtains reports from the Chief Information Security Officer who maintains the primary responsibility for assessing and managing the cybersecurity risks to evaluate the principal cybersecurity risks for the Company and review strategies in place to mitigate them. The ERC meets quarterly and reports to senior management, including the Chief Executive Officer and Chief Financial Officer. Senior management provides oversight and support in aligning cyber risk management with the Company’s strategic decisions, fostering a culture of risk awareness across the organization and allocating adequate resources to support the initiatives.</w:t>
      </w:r>
    </w:p>
    <w:p>
      <w:pPr>
        <w:spacing w:after="0" w:line="16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Our Chief Information Security Officer leads a highly qualified cybersecurity team in assessing, managing and reducing material risks from cybersecurity threats to protect critical operations and delivery of service. Our Chief Information Security Officer has over 25 years of industry experience, with more than a decade of CISO experience at various financial institutions. Many members of the cybersecurity team hold Certified Information Systems Security Professional and Certified Information Systems Auditor certifications. In addition, our Global Head of Enterprise Risk has more than a decade of experience managing enterprise risk programs and maintains multiple information security certifications. We also belong to several professional and recognized industry organizations related to cybersecurity, including FS-ISAC, FCA Cyber Coordination Group and SIFMA in order to stay up-to-date on industry-wide trends.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1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auto"/>
        </w:rPr>
        <w:t>Our corporate headquarters is located in New York, New York. As of December 31, 2025, our principal offices consisted of the following properties: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6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Square Feet</w:t>
            </w:r>
          </w:p>
        </w:tc>
        <w:tc>
          <w:tcPr>
            <w:tcW w:w="60" w:type="dxa"/>
            <w:vAlign w:val="bottom"/>
          </w:tcPr>
          <w:p>
            <w:pPr>
              <w:spacing w:after="0"/>
              <w:rPr>
                <w:sz w:val="18"/>
                <w:szCs w:val="18"/>
                <w:color w:val="auto"/>
              </w:rPr>
            </w:pPr>
          </w:p>
        </w:tc>
        <w:tc>
          <w:tcPr>
            <w:tcW w:w="1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Lease Expiration Date</w:t>
            </w:r>
          </w:p>
        </w:tc>
        <w:tc>
          <w:tcPr>
            <w:tcW w:w="6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Use</w:t>
            </w:r>
          </w:p>
        </w:tc>
      </w:tr>
      <w:tr>
        <w:trPr>
          <w:trHeight w:val="262"/>
        </w:trPr>
        <w:tc>
          <w:tcPr>
            <w:tcW w:w="5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New York, New York</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75,825</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5/31/2041</w:t>
            </w:r>
          </w:p>
        </w:tc>
        <w:tc>
          <w:tcPr>
            <w:tcW w:w="6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Office Space</w:t>
            </w:r>
          </w:p>
        </w:tc>
      </w:tr>
      <w:tr>
        <w:trPr>
          <w:trHeight w:val="285"/>
        </w:trPr>
        <w:tc>
          <w:tcPr>
            <w:tcW w:w="5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Jersey City, New Jersey</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65,242</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12/31/2027</w:t>
            </w:r>
          </w:p>
        </w:tc>
        <w:tc>
          <w:tcPr>
            <w:tcW w:w="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Office Space</w:t>
            </w:r>
          </w:p>
        </w:tc>
      </w:tr>
      <w:tr>
        <w:trPr>
          <w:trHeight w:val="285"/>
        </w:trPr>
        <w:tc>
          <w:tcPr>
            <w:tcW w:w="5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London, United Kingdom</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16,259</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3/1/2030</w:t>
            </w:r>
          </w:p>
        </w:tc>
        <w:tc>
          <w:tcPr>
            <w:tcW w:w="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6654800" cy="568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6654800" cy="568325"/>
                    </a:xfrm>
                    <a:prstGeom prst="rect">
                      <a:avLst/>
                    </a:prstGeom>
                    <a:noFill/>
                  </pic:spPr>
                </pic:pic>
              </a:graphicData>
            </a:graphic>
          </wp:anchor>
        </w:drawing>
      </w:r>
    </w:p>
    <w:p>
      <w:pPr>
        <w:spacing w:after="0" w:line="2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We also rent offices in Boston, Massachusetts, Garden City, New York, Somerset, New Jersey, Miami, Florida, Chicago, Illinois, Golden, Colorado, Amsterdam, Netherlands, Paris, France, Milan, Italy, Shanghai, China, Hong Kong, China, Singapore, Tokyo, Japan, Sydney, Australia, Dubai, United Arab Emirates, Mumbai, India, Bangalore, India, Sao Paolo, Brazil and Riyadh, Saudi Arabia.</w:t>
      </w:r>
    </w:p>
    <w:p>
      <w:pPr>
        <w:spacing w:after="0" w:line="16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auto"/>
        </w:rPr>
        <w:t>Our infrastructure operates out of third-party data centers in Secaucus, New Jersey, Weehawken, New Jersey, Piscataway, New Jersey, Chicago, Illinois, Alpharetta, Georgia and Aurora, Colorado and, outside the United States, in Hounslow, United Kingdom, Slough, United Kingdom, Saitama, Japan, Tokyo, Japan and Sydney, Australia.</w:t>
      </w:r>
    </w:p>
    <w:p>
      <w:pPr>
        <w:spacing w:after="0" w:line="155"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20"/>
          <w:szCs w:val="20"/>
          <w:color w:val="auto"/>
        </w:rPr>
        <w:t>We believe that our facilities are in good operating condition and adequately meet our current needs, and that additional or alternative space to support future use and expansion will be available on reasonable commercial terms.</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440"/>
          </w:cols>
          <w:pgMar w:left="900" w:top="829" w:right="90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 While the ultimate resolution of these matters cannot presently be determined, we do not believe that, taking into account any applicable insurance coverage, any of our pending legal proceedings, including the matter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reputational loss and other factors.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 described below, and therefore we do not have any contingency reserves established for any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Swaps Matter</w:t>
      </w:r>
    </w:p>
    <w:p>
      <w:pPr>
        <w:spacing w:after="0" w:line="2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Times New Roman" w:cs="Times New Roman" w:eastAsia="Times New Roman" w:hAnsi="Times New Roman"/>
          <w:sz w:val="20"/>
          <w:szCs w:val="20"/>
          <w:b w:val="1"/>
          <w:bCs w:val="1"/>
          <w:i w:val="1"/>
          <w:iCs w:val="1"/>
          <w:color w:val="auto"/>
        </w:rPr>
        <w:t>Public School Teachers’ Pension and Retirement Fund of Chicago v. Bank of America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Case No. 15-cv-09219 (S.D.N.Y.). Additional plaintiffs, including Tera Group Inc. and Javelin Capital Markets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LLC, filed lawsuits and, ultimately, the cases were consolidated under the caption </w:t>
      </w:r>
      <w:r>
        <w:rPr>
          <w:rFonts w:ascii="Times New Roman" w:cs="Times New Roman" w:eastAsia="Times New Roman" w:hAnsi="Times New Roman"/>
          <w:sz w:val="20"/>
          <w:szCs w:val="20"/>
          <w:b w:val="1"/>
          <w:bCs w:val="1"/>
          <w:i w:val="1"/>
          <w:iCs w:val="1"/>
          <w:color w:val="auto"/>
        </w:rPr>
        <w:t>In re Interest Rate Swaps Antitrust Litigation</w:t>
      </w:r>
      <w:r>
        <w:rPr>
          <w:rFonts w:ascii="Times New Roman" w:cs="Times New Roman" w:eastAsia="Times New Roman" w:hAnsi="Times New Roman"/>
          <w:sz w:val="20"/>
          <w:szCs w:val="20"/>
          <w:color w:val="auto"/>
        </w:rPr>
        <w:t>, No. 1:16-md-2704.</w:t>
      </w:r>
    </w:p>
    <w:p>
      <w:pPr>
        <w:spacing w:after="0" w:line="17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1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was actively engaged in third-party discovery and responded to the parties’ data and document requests. Additionally, in June 2018, the plaintiffs notified the court that they are likely to move for entry of judgment of the dismissed claims. In 2024, the Dealer Defendants agreed to settle all claims brought by the class plaintiffs and the court approved those settlements in July 2025. Accordingly, only the individual plaintiffs continue to pursue their claims. We believe that we have meritorious defenses to any allegations asserted against us in this litigation and, if necessary, intend to vigorously defend our position.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420"/>
          </w:cols>
          <w:pgMar w:left="900" w:top="83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420"/>
          </w:cols>
          <w:pgMar w:left="900" w:top="831" w:right="920" w:bottom="0" w:gutter="0" w:footer="0" w:header="0"/>
          <w:type w:val="continuous"/>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1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auto"/>
        </w:rPr>
        <w:t>Our Class A common stock trades on the Nasdaq Global Select Market under the ticker symbol “TW.” There is no established public trading market for our Class B common stock, Class C common stock or Class D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As of December 31, 2025, there are six holders of record of our Class A common stock, one holder of record of our Class B common stock, one holder of record of our Class C common stock and 11 holders of record of our Class D common stock. A substantially greater number of holders of our Class A common stock are “street name” or beneficial owners, whose shares of Class A common stock are held of record by banks, brokerage firms and other financial institutions. Such shares of Class A common stock held by banks, brokerage firms and other financial institutions as nominees for beneficial owners are considered to be held of record by Cede &amp; Co., a nominee for The Depository Trust Company, who is considered to be one of the six holders of record of our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1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Subject to legally available funds, we intend to pay quarterly cash dividends on our Class A common stock and Class B common stock equal to $0.14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any future credit agreement or any future debt or preferred equity securities of Tradeweb or its subsidiaries.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6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See Part I, Item 1A. – “Risk Factors — Risks Relating to our Organizational Structure and Governance — Our principal asset is our equity interest in TWM LLC, and, accordingly, we depend on distributions from TWM LLC to pay our taxes and expenses, including payments under the Tax Receivable Agreement” and Part I, Item 1A. – “Risk Factors — Risks Relating to Ownership of our Class A Common Stock — We intend to continue to pay regular dividends on our Class A common stock and Class B common stock, but our ability to do so may be limited.”</w:t>
      </w:r>
    </w:p>
    <w:p>
      <w:pPr>
        <w:spacing w:after="0" w:line="16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During 2025, Tradeweb Markets Inc. paid quarterly cash dividends of $0.12 per share, in an aggregate amount of $102.3 million, to the holders of Class A common stock and Class B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400"/>
          </w:cols>
          <w:pgMar w:left="900" w:top="8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400"/>
          </w:cols>
          <w:pgMar w:left="900" w:top="831" w:right="94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See Part III, Item 12 of this Annual Report for information about securities authorized for issuance under our equity compensation plans.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three months ended December 31, 2025, we repurchased the following shares of Class A common stock:</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6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Dollar Value of</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as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Shares That</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8"/>
              </w:rPr>
              <w:t>May Yet Be</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Purchased</w:t>
            </w: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6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Plans or</w:t>
            </w:r>
          </w:p>
        </w:tc>
        <w:tc>
          <w:tcPr>
            <w:tcW w:w="6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 the Plans</w:t>
            </w:r>
          </w:p>
        </w:tc>
      </w:tr>
      <w:tr>
        <w:trPr>
          <w:trHeight w:val="217"/>
        </w:trPr>
        <w:tc>
          <w:tcPr>
            <w:tcW w:w="5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6"/>
              </w:rPr>
              <w:t xml:space="preserve">Programs </w:t>
            </w:r>
            <w:r>
              <w:rPr>
                <w:rFonts w:ascii="Times New Roman" w:cs="Times New Roman" w:eastAsia="Times New Roman" w:hAnsi="Times New Roman"/>
                <w:sz w:val="20"/>
                <w:szCs w:val="20"/>
                <w:b w:val="1"/>
                <w:bCs w:val="1"/>
                <w:color w:val="auto"/>
                <w:w w:val="96"/>
                <w:vertAlign w:val="superscript"/>
              </w:rPr>
              <w:t>(1)</w:t>
            </w:r>
          </w:p>
        </w:tc>
        <w:tc>
          <w:tcPr>
            <w:tcW w:w="60" w:type="dxa"/>
            <w:vAlign w:val="bottom"/>
          </w:tcPr>
          <w:p>
            <w:pPr>
              <w:spacing w:after="0"/>
              <w:rPr>
                <w:sz w:val="18"/>
                <w:szCs w:val="18"/>
                <w:color w:val="auto"/>
              </w:rPr>
            </w:pPr>
          </w:p>
        </w:tc>
        <w:tc>
          <w:tcPr>
            <w:tcW w:w="1240" w:type="dxa"/>
            <w:vAlign w:val="bottom"/>
            <w:tcBorders>
              <w:bottom w:val="single" w:sz="8" w:color="auto"/>
            </w:tcBorders>
            <w:gridSpan w:val="2"/>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7"/>
              </w:rPr>
              <w:t xml:space="preserve">or Programs </w:t>
            </w:r>
            <w:r>
              <w:rPr>
                <w:rFonts w:ascii="Times New Roman" w:cs="Times New Roman" w:eastAsia="Times New Roman" w:hAnsi="Times New Roman"/>
                <w:sz w:val="20"/>
                <w:szCs w:val="20"/>
                <w:b w:val="1"/>
                <w:bCs w:val="1"/>
                <w:color w:val="auto"/>
                <w:w w:val="97"/>
                <w:vertAlign w:val="superscript"/>
              </w:rPr>
              <w:t>(1)</w:t>
            </w:r>
          </w:p>
        </w:tc>
      </w:tr>
      <w:tr>
        <w:trPr>
          <w:trHeight w:val="274"/>
        </w:trPr>
        <w:tc>
          <w:tcPr>
            <w:tcW w:w="5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288"/>
        </w:trPr>
        <w:tc>
          <w:tcPr>
            <w:tcW w:w="5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October 1, 2025 – October 31, 2025</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179,898</w:t>
            </w:r>
          </w:p>
        </w:tc>
      </w:tr>
      <w:tr>
        <w:trPr>
          <w:trHeight w:val="285"/>
        </w:trPr>
        <w:tc>
          <w:tcPr>
            <w:tcW w:w="5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 1, 2025 – November 30, 2025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457,628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457,628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130,521</w:t>
            </w:r>
          </w:p>
        </w:tc>
      </w:tr>
      <w:tr>
        <w:trPr>
          <w:trHeight w:val="288"/>
        </w:trPr>
        <w:tc>
          <w:tcPr>
            <w:tcW w:w="5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December 1, 2025 – December 31, 2025</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529,751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106.77</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529,751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73,961</w:t>
            </w:r>
          </w:p>
        </w:tc>
      </w:tr>
      <w:tr>
        <w:trPr>
          <w:trHeight w:val="245"/>
        </w:trPr>
        <w:tc>
          <w:tcPr>
            <w:tcW w:w="5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987,379</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987,379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62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6654800" cy="762000"/>
                    </a:xfrm>
                    <a:prstGeom prst="rect">
                      <a:avLst/>
                    </a:prstGeom>
                    <a:noFill/>
                  </pic:spPr>
                </pic:pic>
              </a:graphicData>
            </a:graphic>
          </wp:anchor>
        </w:drawing>
      </w:r>
    </w:p>
    <w:p>
      <w:pPr>
        <w:spacing w:after="0" w:line="200" w:lineRule="exact"/>
        <w:rPr>
          <w:sz w:val="20"/>
          <w:szCs w:val="20"/>
          <w:color w:val="auto"/>
        </w:rPr>
      </w:pPr>
    </w:p>
    <w:p>
      <w:pPr>
        <w:ind w:left="360" w:hanging="360"/>
        <w:spacing w:after="0"/>
        <w:tabs>
          <w:tab w:leader="none" w:pos="3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5, 2022, we announced that our board of directors authorized the 2022 Share Repurchase Program, after completing in October 2022, the</w:t>
      </w:r>
    </w:p>
    <w:p>
      <w:pPr>
        <w:spacing w:after="0" w:line="24" w:lineRule="exact"/>
        <w:rPr>
          <w:rFonts w:ascii="Times New Roman" w:cs="Times New Roman" w:eastAsia="Times New Roman" w:hAnsi="Times New Roman"/>
          <w:sz w:val="16"/>
          <w:szCs w:val="16"/>
          <w:color w:val="auto"/>
        </w:rPr>
      </w:pPr>
    </w:p>
    <w:p>
      <w:pPr>
        <w:ind w:left="360" w:right="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$150.0 million of total repurchases of Class A common stock authorized under our previous share repurchase program. The 2022 Share Repurchase Program was authorized to continue to offset annual dilution from stock-based compensation plans, as well as to opportunistically repurchase Class A common stock. The 2022 Share Repurchase Program authorizes the purchase of up to $300.0 million of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2022 Share Repurchase Program does not require the Company to acquire a specific number of shares and may be suspended, amended or discontinued at any time.</w:t>
      </w:r>
    </w:p>
    <w:p>
      <w:pPr>
        <w:spacing w:after="0" w:line="175" w:lineRule="exact"/>
        <w:rPr>
          <w:rFonts w:ascii="Times New Roman" w:cs="Times New Roman" w:eastAsia="Times New Roman" w:hAnsi="Times New Roman"/>
          <w:sz w:val="16"/>
          <w:szCs w:val="16"/>
          <w:color w:val="auto"/>
        </w:rPr>
      </w:pPr>
    </w:p>
    <w:p>
      <w:pPr>
        <w:ind w:left="360" w:right="12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Class A common stock repurchased pursuant to the 2022 Share Repurchase Program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w:t>
      </w:r>
    </w:p>
    <w:p>
      <w:pPr>
        <w:spacing w:after="0" w:line="1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On February 5, 2026, our board of directors approved the 2026 Share Repurchase Program. See Part II, Item 7. – “Management’s Discussion and Analysis of Financial Condition and Results of Operations – Liquidity and Capital Resources – Factors Influencing Our Liquidity and Capital Resources – Share Repurchase Program” for additional information.</w:t>
      </w:r>
    </w:p>
    <w:p>
      <w:pPr>
        <w:spacing w:after="0" w:line="15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The table above does not reflect shares surrendered to cover the payroll tax withholding obligations upon the exercise of stock options and vesting of performance-based restricted stock units (“PRSUs”) and restricted stock units (“RSUs”). During the three months ended December 31, 2025, the Company withheld 4,883 shares of Class A common stock in connection with such exercises and vesting of stock awards.</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440"/>
          </w:cols>
          <w:pgMar w:left="900" w:top="831" w:right="90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following graph shows a comparison of the cumulative total return for (i) our Class A common stock, (ii) the S&amp;P 500 Index and (iii) the Dow Jones U.S. Financials Index, in each case for the past five years. The figures in this graph assume an initial investment of $100 in our Class A common stock and in each index on December 31, 2020, and that all dividends were reinvested. Historical stock price performance should not be relied upon as an indication of future stock price performance</w:t>
      </w:r>
      <w:r>
        <w:rPr>
          <w:rFonts w:ascii="Times New Roman" w:cs="Times New Roman" w:eastAsia="Times New Roman" w:hAnsi="Times New Roman"/>
          <w:sz w:val="20"/>
          <w:szCs w:val="20"/>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629400" cy="3743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6629400" cy="374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or Exchange Act, except to the extent that we specifically incorporate it by reference into such filing.</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360"/>
          </w:cols>
          <w:pgMar w:left="900" w:top="83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360"/>
          </w:cols>
          <w:pgMar w:left="900" w:top="831" w:right="980" w:bottom="0" w:gutter="0" w:footer="0" w:header="0"/>
          <w:type w:val="continuous"/>
        </w:sectPr>
      </w:pPr>
    </w:p>
    <w:bookmarkStart w:id="82" w:name="page83"/>
    <w:bookmarkEnd w:id="82"/>
    <w:p>
      <w:pPr>
        <w:ind w:right="640"/>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of our financial condition and results of operations should be read in conjunction with the sections titled “Introductory Note,” “Use of Non-GAAP Financial Measures” and our audited consolidated financial statements and related notes and other information included elsewhere in this Annual Report on Form 10-K.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includes a comparison of our results of operations, cash flows and liquidity and capital resources for the years ended December 31, 2025 and 2024, respectively. A comparison of our results of operations, cash flows and liquidity and capital resources for the years ended December 31, 2024 and December 31, 2023 may be found in Part II, Item 7. – “Management’s Discussion and Analysis of Financial Condition and Results of Operations,” of our Annual Report on Form 10-K for the year ended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are a leader in building and operating electronic marketplaces for our global network of more than 3,000 clients across the financial ecosystem. Our network is comprised of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The Tradeweb platform includes marketplaces that facilitate trading global products across a range of asset classes, including rates, credit, equities and money markets. We are a global company serving clients through offices in North America, South America, Europe, Australia, Asia and the Middle East. We believe our proprietary technology and culture of collaborative innovation allow us to adapt our platform offerings to enter new markets, create new trading marketplaces and solutions and adjust to regulations quickly and efficiently. We support our clients by providing solutions across the trade lifecycle, including pre-trade, execution, post-trade and data and analytics.</w:t>
      </w:r>
    </w:p>
    <w:p>
      <w:pPr>
        <w:spacing w:after="0" w:line="176"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20"/>
          <w:szCs w:val="20"/>
          <w:color w:val="auto"/>
        </w:rPr>
        <w:t>Our institutional client sector serves institutional investors in over 85 countries around the globe and across over 30 currencies. We connect institutional investors with deep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6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In our wholesale client sector, we provide a broad range of fully electronic, voice and hybrid trading options to dealers and financial institutions trading on our platform. We entered the wholesale client sector through our acquisitions of the inter-dealer broker Hilliard Farber &amp; Co. in 2008, Inc. and then Rafferty Capital Markets in 2011 and in June 2021, we acquired Nasdaq’s U.S. fixed income electronic trading platform (formerly known as eSpeed) (the “NFI Acquisition”). Today, we actively compete in wholesale trading across a range of rates, credit, money markets, derivatives and equity markets.</w:t>
      </w:r>
    </w:p>
    <w:p>
      <w:pPr>
        <w:spacing w:after="0" w:line="164"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In our retail client sector, our platform provides advanced trading solutions for financial advisory firms and traders. We entered the retail sector through our acquisition of LeverTrade in 2006 and scaled our retail market position through our acquisition of BondDesk in 2013. Through our platform we provide financial advisory firms access to live offerings, accurate pricing in the retail marketplace and fast execution.</w:t>
      </w:r>
    </w:p>
    <w:p>
      <w:pPr>
        <w:spacing w:after="0" w:line="1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In our corporates client sector, we provide comprehensive investment technology and research solutions tailored to the needs of corporate treasury organizations globally. These solutions enable efficient trading of institutional money market funds and other short-term investments. We expanded into the corporates client sector through our acquisition of ICD on August 1, 2024. The addition of ICD to our platform broadened our product suite, further diversified our client and revenue bases and strengthened our position in the corporate treasury space, enabling us to provide a more comprehensive range of liquidity management tools and services.</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440"/>
          </w:cols>
          <w:pgMar w:left="900" w:top="831" w:right="900" w:bottom="0" w:gutter="0" w:footer="0" w:header="0"/>
          <w:type w:val="continuous"/>
        </w:sectPr>
      </w:pPr>
    </w:p>
    <w:bookmarkStart w:id="83" w:name="page84"/>
    <w:bookmarkEnd w:id="83"/>
    <w:p>
      <w:pPr>
        <w:ind w:right="80"/>
        <w:spacing w:after="0" w:line="254" w:lineRule="auto"/>
        <w:rPr>
          <w:sz w:val="20"/>
          <w:szCs w:val="20"/>
          <w:color w:val="auto"/>
        </w:rPr>
      </w:pPr>
      <w:r>
        <w:rPr>
          <w:rFonts w:ascii="Times New Roman" w:cs="Times New Roman" w:eastAsia="Times New Roman" w:hAnsi="Times New Roman"/>
          <w:sz w:val="20"/>
          <w:szCs w:val="20"/>
          <w:color w:val="auto"/>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 provides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 and electronic trading solutions will continue to grow.</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Trends and Other Factors Impacting Our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Acquisitions and Investments</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From time to time, we may evaluate potential strategic acquisitions and investments and engage in discussions and negotiations regarding potential acquisitions and investments. Our revenues and profitability are affected by our acquisition activity, including the speed and cost at which we successfully integrate completed consolidated acquisitions into our existing business operations. In addition, our earnings volatility and profitability may be affected by any unrealized or realized gains or losses or income or losses from our Canton Coin holdings or unconsolidated minority equity or debt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LSEG Market Data Agreement</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November 2023, we entered into a new market data license agreement with affiliates of LSEG, pursuant to which, among other things, we license certain market data (including real time feeds) for multiple fixed income and derivative products to LSEG which distributes such data directly to LSEG customers through its flagship financial platforms. This agreement was initiated in 2010 with a former owner of the LSEG Data &amp; Analytics business and most recently amended effective November 1, 2025. We primarily earn fixed license fees under the amended market data license agreement, which has an initial 3-year license period through October 31, 2028. The amended market data license agreement is expected to result in higher annual revenue for the year ending December 31, 2026 as compared to the $93.2 million of revenue generated under the market data license agreement in 2025. The majority of the revenue expected to be earned under the amended market data license agreement will be recorded as revenue on a straight-line basis over its initial term ending October 31, 2028, with a portion of such revenue to be recognized when usage occurs based on a revenue share. We will seek to further monetize our data over time both through potential expansion of our existing market data license agreement with LSEG and through distributing additional datasets, derived data and analytics offerings through our own platform or through other third-party networks.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Environment</w:t>
      </w:r>
    </w:p>
    <w:p>
      <w:pPr>
        <w:spacing w:after="0" w:line="13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in 2026 include, among other things, evolving monetary policies of central banks, economic, political and social conditions, global geopolitical tensions, legislative, regulatory or government policy changes, including the recent and potential future changes in tariffs, international trade agreements or trade policies and other potential material changes to prior laws, rules and regulations, guidance and enforcement stances and concerns with respect to the banking industry, including as a result of any bank failures.</w:t>
      </w:r>
    </w:p>
    <w:p>
      <w:pPr>
        <w:spacing w:after="0" w:line="9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Annual Report on Form 10-K. To the extent inflation, along with other factors, continues to result in elevated interest rates and has other adverse effects on the securities markets and the overall economy, it may adversely affect our results of operations and financial condition.</w:t>
      </w:r>
    </w:p>
    <w:p>
      <w:pPr>
        <w:spacing w:after="0" w:line="9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440"/>
          </w:cols>
          <w:pgMar w:left="900" w:top="838" w:right="90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Environment</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business is subject to extensive regulations in the United States and internationally, which may expose us to significant regulatory risk and cause additional legal costs to ensure compliance. See Part I, Item 1. – “Business – Regulation.” The existing legal framework that governs the financial markets is periodically reviewed and amended, typically resulting in enforcement of new laws and regulations that apply to our business. The regulatory environment in the United States and abroad may be subject to future legislative and regulatory changes driven by current U.S. and global issues and priorities. Legislative and regulatory changes may include the promulgation of new or revised laws and regulations, or the adoption of changes in the interpretation of or the repeal of existing laws and regulations, or the abandonment of any pending legislative or regulatory proposals. The impact of any changes in the legal or regulatory landscape on us and our operations generally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 and, as a result, our profitability. However, under certain circumstances regulation may increase demand for our platform and solutions, and we believe we are well positioned to benefit from any potential increased electronification due to regulatory changes as market participants seek platforms that meet regulatory requirements and solutions that help them comply with their regulatory obligations. Currently, we believe that uncertainty and potential delays around the final form of certain new rules and regulations may negatively impact our clients and trading volumes in certain markets in which we transact, although a relaxation of or the amendment of existing rules and regulations could potentially have a positive impact on certain markets.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Environment</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 Our ability to compete is influenced by key factors such as (i) developments in trading platforms and solutions, (ii) the liquidity we provide on transactions, (iii) the transaction costs we incur in providing our solutions, (iv) the efficiency in execution of transactions on our platform, (v) our ability to hire and retain talent, (vi) our ability to pursue strategic acquisitions and alliances and (vii) our ability to maintain the security of our platform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Part I, Item 1. – “Business – Competition” for more detail on our competitors.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Technology and Cybersecurity Environment</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 offerings is essential to maintaining our level of competitiveness in the market and attracting new clients seeking platforms that provide advanced automation and better liquidity. We believe we will continue to increase demand for our platform and solutions and the volume of transactions on our platform,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 and solutions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 See Part I, Item 1C. – “Cybersecurity – Governance” for further detail regarding our cybersecurity risk management, strategy and governance structure.</w:t>
      </w:r>
    </w:p>
    <w:p>
      <w:pPr>
        <w:sectPr>
          <w:pgSz w:w="12240" w:h="15840" w:orient="portrait"/>
          <w:cols w:equalWidth="0" w:num="1">
            <w:col w:w="10420"/>
          </w:cols>
          <w:pgMar w:left="900" w:top="82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420"/>
          </w:cols>
          <w:pgMar w:left="900" w:top="829" w:right="92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Rate Environment</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II, Item 7A. – “Quantitative and Qualitative Disclosures About Market Risk – Foreign Currency and Derivative Risk” elsewhere in this Annual Report on Form 10-K, for the change in revenue and operating income caused by fluctuations in foreign currency rates and realized and unrealized gains/losses from foreign currency during the years ended December 31, 2025, 2024 and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Taxation</w:t>
      </w:r>
    </w:p>
    <w:p>
      <w:pPr>
        <w:spacing w:after="0" w:line="2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consolidated statements of financial condition, income or cash flows as of or for the year ended December 31, 2025. The Company will continue to evaluate the implications of this legislation on future periods.</w:t>
      </w:r>
    </w:p>
    <w:p>
      <w:pPr>
        <w:spacing w:after="0" w:line="16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 material impact on the Company’s consolidated statements of financial condition, income or cash flows as of or for the years ended December 31, 2025, 2024 and 2023. The Company is subject to the current 15% CAMT, however, it did not have an impact on the Company’s effective tax rate for the years ended December 31, 2025, 2024 or 2023. The IRA also has not had an impact to our non-GAAP adjusted effective tax rate used for purposes of calculating our non-GAAP measure of Adjusted Net Income.</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 material impact on the Company’s consolidated statements of financial condition, income or cash flows as of or for the years ended December 31, 2025 and 2024. The Company continues to monitor developments related to the G7’s discussions on global tax reform and is awaiting legislative updates.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revenue is derived primarily from transaction fees, commissions, subscription fees and market data fees.</w:t>
      </w:r>
    </w:p>
    <w:p>
      <w:pPr>
        <w:sectPr>
          <w:pgSz w:w="12240" w:h="15840" w:orient="portrait"/>
          <w:cols w:equalWidth="0" w:num="1">
            <w:col w:w="10420"/>
          </w:cols>
          <w:pgMar w:left="900" w:top="82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420"/>
          </w:cols>
          <w:pgMar w:left="900" w:top="829" w:right="92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Fees and Commissions</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earn transaction fees and/or commissions from transactions executed on our trading platform on both a variable and fixed price basis, which vary by geographic region, product type and trade size. For most of our products, clients pay both fixed minimum monthly transaction fees and variable transaction fees on a per transaction basis in excess of the monthly minimum. Clients may also pay a subscription fee in addition to or instead of the minimum monthly transaction fees. For other products, instead of a minimum monthly transaction fee, clients may pay a fixed transaction fee or only a variable transaction fee on a per transaction basis. We also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to-be-announced mortgage backed securities (“TBA-MBS”), U.S. Treasury and repurchase agreement transactions executed by our wholesale clients, we also generate revenue from fixed commissions that are generally invoiced monthly.</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For variable transaction fees and commissions, we charge clients based on the mix of products traded and the volume of transactions executed. Transaction volume is determined by using a measure of the notional volume of the products traded, a count of the number of trades or, in the case of the ICD Portal, the client’s average daily balance (“ADB”) invested in the money market funds during a calendar month. Because transaction fees and commissions are sometimes subject to plans with tiered pricing based on product mix, volume, monthly minimums and monthly maximum fee caps, average variable fees per million dollars of volume traded generated for a client may vary each month depending on the mix of products and volume traded. Furthermore, because transaction fees and commissions vary by geographic region, product type and trade size, our revenues may not correlate with volume growth. The mix between fixed and variable revenue may change over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Subscription Fees</w:t>
      </w:r>
    </w:p>
    <w:p>
      <w:pPr>
        <w:spacing w:after="0" w:line="21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20"/>
          <w:szCs w:val="20"/>
          <w:color w:val="auto"/>
        </w:rPr>
        <w:t>We earn subscription fees primarily for granting clients access to our platform for trading and market data. For a limited number of products, we only charge subscription fees and no transaction fees or commissions. Subscription fees are generally charged on a fixed price basis.</w:t>
      </w:r>
    </w:p>
    <w:p>
      <w:pPr>
        <w:spacing w:after="0" w:line="15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Revenue</w:t>
      </w:r>
    </w:p>
    <w:p>
      <w:pPr>
        <w:spacing w:after="0" w:line="2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In line with our digital asset strategy, currently included in our other revenue is revenue earned for performing Super Validator and Validator services on the Canton Network (collectively “Validator Revenue”). For these services, we earn Canton Coins and the number of Canton Coins earned in a particular period is variable based on the Canton Network’s minting curve and burn-mint equilibrium and the amount of time that our nodes are active during any given minting cycle (with new rounds beginning at regular 10 minute intervals throughout each day), in comparison to other network participants. Validator Revenue is recognized based on the fair value of each Canton Coin at contract inception, which has been deemed to be the start of each validation round, and therefore Validator Revenue will also vary based on any changes in the fair value of the Canton Coin, which may be highly volatile. As our digital asset strategy continues to evolve, in the future, we may also begin earning revenue from applications developed on the Canton Network.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Compensation and Benefits</w:t>
      </w:r>
    </w:p>
    <w:p>
      <w:pPr>
        <w:spacing w:after="0" w:line="21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or acquire additional employees to support revenue and earnings growth. As a result, employee compensation and benefits can vary from period to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21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Depreciation and amortization expense consists of costs relating to the depreciation and amortization of acquired and internally developed software, other intangible assets, leasehold improvements, furniture and equipment.</w:t>
      </w:r>
    </w:p>
    <w:p>
      <w:pPr>
        <w:sectPr>
          <w:pgSz w:w="12240" w:h="15840" w:orient="portrait"/>
          <w:cols w:equalWidth="0" w:num="1">
            <w:col w:w="10420"/>
          </w:cols>
          <w:pgMar w:left="900" w:top="8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420"/>
          </w:cols>
          <w:pgMar w:left="900" w:top="834" w:right="92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Technology and Communications</w:t>
      </w:r>
    </w:p>
    <w:p>
      <w:pPr>
        <w:spacing w:after="0" w:line="2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Professional Fees</w:t>
      </w:r>
    </w:p>
    <w:p>
      <w:pPr>
        <w:spacing w:after="0" w:line="214"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Professional fees consist primarily of accounting, tax and legal fees and fees paid to technology and software consultants to maintain our platform and infrastructure, as well as costs related to business acquisition transactions.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Occupancy</w:t>
      </w:r>
    </w:p>
    <w:p>
      <w:pPr>
        <w:spacing w:after="0" w:line="2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Occupancy expense consists of operating lease rent and related costs for office space and data centers leased in North America, South America, Europe, Australia, Asia and the Middle East. We expect occupancy expense to increase as our space needs grow in line with our global expansion.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 Liability Adjustment</w:t>
      </w: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The tax receivable agreement liability adjustment reflects changes in the tax receivable agreement liability recorded in our consolidated statements of financial condition as a result of changes in the mix of earnings, tax legislation and tax rates in various jurisdictions which impacted our estimated future tax savings.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1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Interest income consists primarily of interest earned from our cash deposited with large commercial banks and money market funds, as well as interest earned from our investments in available-for-sale debt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1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20"/>
          <w:szCs w:val="20"/>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(Loss), Net</w:t>
      </w:r>
    </w:p>
    <w:p>
      <w:pPr>
        <w:spacing w:after="0" w:line="2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Other income (loss), net consists of any income or loss earned from investments, any mark-to-market adjustments or impairments recorded on investments, any unrealized and realized gain/loss on foreign exchange derivative contracts entered into for foreign exchange risk management purposes relating to investing activities and any other non-operating items. Other income (loss), net may vary period over period based on any changes in the fair value of the Canton Coin, which may be highly volatile.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ectPr>
          <w:pgSz w:w="12240" w:h="15840" w:orient="portrait"/>
          <w:cols w:equalWidth="0" w:num="1">
            <w:col w:w="10380"/>
          </w:cols>
          <w:pgMar w:left="900" w:top="83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380"/>
          </w:cols>
          <w:pgMar w:left="900" w:top="834" w:right="96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Attributable to Non-Controlling Interests</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We are the sole manager of TWM LLC. As a result of this control, and because we have a substantial financial interest in TWM LLC, we consolidate the financial results of TWM LLC and report a non-controlling interest in our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As of December 31, 2025, we owned 90.2% of TWM LLC and Continuing LLC Owners owned the remaining 9.8% of TWM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 the Years Ended December 31, 2025 and December 31,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a summary of our statements of income for the years ended December 31, 2025 and 2024:</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6"/>
        </w:trPr>
        <w:tc>
          <w:tcPr>
            <w:tcW w:w="5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0"/>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4"/>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2,052,429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1,725,949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18.9 %</w:t>
            </w: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Total expenses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1,217,091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1,047,921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169,170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16.1 %</w:t>
            </w:r>
          </w:p>
        </w:tc>
      </w:tr>
      <w:tr>
        <w:trPr>
          <w:trHeight w:val="262"/>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835,338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678,028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157,310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Tax receivable agreement liability adjustment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7,730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26.6 %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74,037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(54.6)%</w:t>
            </w: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(loss), net</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263,384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264,498</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2"/>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taxes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1,174,974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754,402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420,572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55.7 %</w:t>
            </w: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(253,474)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(184,439)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(69,035)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37.4 %</w:t>
            </w:r>
          </w:p>
        </w:tc>
      </w:tr>
      <w:tr>
        <w:trPr>
          <w:trHeight w:val="262"/>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921,500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569,963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351,537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61.7 %</w:t>
            </w: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Less: Net income attributable to non-controlling interests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108,708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68,456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58.8 %</w:t>
            </w:r>
          </w:p>
        </w:tc>
      </w:tr>
      <w:tr>
        <w:trPr>
          <w:trHeight w:val="24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812,792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501,507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311,285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62.1 %</w:t>
            </w: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-2202815</wp:posOffset>
            </wp:positionV>
            <wp:extent cx="6654800" cy="2209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extLst>
                    </a:blip>
                    <a:srcRect/>
                    <a:stretch>
                      <a:fillRect/>
                    </a:stretch>
                  </pic:blipFill>
                  <pic:spPr bwMode="auto">
                    <a:xfrm>
                      <a:off x="0" y="0"/>
                      <a:ext cx="6654800" cy="2209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N/M = not meaningful</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440"/>
          </w:cols>
          <w:pgMar w:left="900" w:top="829" w:right="90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revenues for the years ended December 31, 2025 and 2024, and the resulting dollar and percentage changes, were as follows: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6"/>
        </w:trPr>
        <w:tc>
          <w:tcPr>
            <w:tcW w:w="2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0"/>
        </w:trPr>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83"/>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7"/>
        </w:trPr>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2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2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64"/>
        </w:trPr>
        <w:tc>
          <w:tcPr>
            <w:tcW w:w="2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8"/>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Transaction fees and</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81"/>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commissions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1,700,427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1,423,547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276,880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19.5 %</w:t>
            </w:r>
          </w:p>
        </w:tc>
      </w:tr>
      <w:tr>
        <w:trPr>
          <w:trHeight w:val="289"/>
        </w:trPr>
        <w:tc>
          <w:tcPr>
            <w:tcW w:w="262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Subscription fees </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327,214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20"/>
                <w:szCs w:val="20"/>
                <w:color w:val="auto"/>
              </w:rPr>
              <w:t>15.9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288,804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67"/>
              <w:spacing w:after="0"/>
              <w:rPr>
                <w:sz w:val="20"/>
                <w:szCs w:val="20"/>
                <w:color w:val="auto"/>
              </w:rPr>
            </w:pPr>
            <w:r>
              <w:rPr>
                <w:rFonts w:ascii="Times New Roman" w:cs="Times New Roman" w:eastAsia="Times New Roman" w:hAnsi="Times New Roman"/>
                <w:sz w:val="20"/>
                <w:szCs w:val="20"/>
                <w:color w:val="auto"/>
              </w:rPr>
              <w:t>16.7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38,410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13.3 %</w:t>
            </w:r>
          </w:p>
        </w:tc>
      </w:tr>
      <w:tr>
        <w:trPr>
          <w:trHeight w:val="284"/>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24,788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13,598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11,190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82.3 %</w:t>
            </w:r>
          </w:p>
        </w:tc>
      </w:tr>
      <w:tr>
        <w:trPr>
          <w:trHeight w:val="24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2,052,429</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1,725,949</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326,480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18.9 %</w:t>
            </w:r>
          </w:p>
        </w:tc>
      </w:tr>
      <w:tr>
        <w:trPr>
          <w:trHeight w:val="20"/>
        </w:trPr>
        <w:tc>
          <w:tcPr>
            <w:tcW w:w="26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03"/>
        </w:trPr>
        <w:tc>
          <w:tcPr>
            <w:tcW w:w="410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Components of total revenue growth:</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3"/>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Constant currency change </w:t>
            </w:r>
            <w:r>
              <w:rPr>
                <w:rFonts w:ascii="Times New Roman" w:cs="Times New Roman" w:eastAsia="Times New Roman" w:hAnsi="Times New Roman"/>
                <w:sz w:val="26"/>
                <w:szCs w:val="26"/>
                <w:color w:val="auto"/>
                <w:vertAlign w:val="superscript"/>
              </w:rPr>
              <w:t>(2)</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17.5 %</w:t>
            </w:r>
          </w:p>
        </w:tc>
      </w:tr>
      <w:tr>
        <w:trPr>
          <w:trHeight w:val="284"/>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impact</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1.4 %</w:t>
            </w:r>
          </w:p>
        </w:tc>
      </w:tr>
      <w:tr>
        <w:trPr>
          <w:trHeight w:val="245"/>
        </w:trPr>
        <w:tc>
          <w:tcPr>
            <w:tcW w:w="2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revenue growth</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18.9 %</w:t>
            </w:r>
          </w:p>
        </w:tc>
      </w:tr>
      <w:tr>
        <w:trPr>
          <w:trHeight w:val="20"/>
        </w:trPr>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-1993265</wp:posOffset>
            </wp:positionV>
            <wp:extent cx="6654800" cy="20002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extLst>
                    </a:blip>
                    <a:srcRect/>
                    <a:stretch>
                      <a:fillRect/>
                    </a:stretch>
                  </pic:blipFill>
                  <pic:spPr bwMode="auto">
                    <a:xfrm>
                      <a:off x="0" y="0"/>
                      <a:ext cx="6654800" cy="2000250"/>
                    </a:xfrm>
                    <a:prstGeom prst="rect">
                      <a:avLst/>
                    </a:prstGeom>
                    <a:noFill/>
                  </pic:spPr>
                </pic:pic>
              </a:graphicData>
            </a:graphic>
          </wp:anchor>
        </w:drawing>
      </w:r>
    </w:p>
    <w:p>
      <w:pPr>
        <w:spacing w:after="0" w:line="100" w:lineRule="exact"/>
        <w:rPr>
          <w:sz w:val="20"/>
          <w:szCs w:val="20"/>
          <w:color w:val="auto"/>
        </w:rPr>
      </w:pPr>
    </w:p>
    <w:p>
      <w:pPr>
        <w:ind w:left="360" w:hanging="360"/>
        <w:spacing w:after="0"/>
        <w:tabs>
          <w:tab w:leader="none" w:pos="3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Subscription fees for the years ended December 31, 2025 and 2024 include $93.2 million and $82.1 million, respectively, of LSEG market data fees.</w:t>
      </w:r>
    </w:p>
    <w:p>
      <w:pPr>
        <w:spacing w:after="0" w:line="24" w:lineRule="exact"/>
        <w:rPr>
          <w:rFonts w:ascii="Times New Roman" w:cs="Times New Roman" w:eastAsia="Times New Roman" w:hAnsi="Times New Roman"/>
          <w:sz w:val="16"/>
          <w:szCs w:val="16"/>
          <w:color w:val="auto"/>
        </w:rPr>
      </w:pPr>
    </w:p>
    <w:p>
      <w:pPr>
        <w:ind w:left="360" w:right="120" w:hanging="360"/>
        <w:spacing w:after="0" w:line="253" w:lineRule="auto"/>
        <w:tabs>
          <w:tab w:leader="none" w:pos="3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186"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0"/>
          <w:szCs w:val="20"/>
          <w:color w:val="auto"/>
        </w:rPr>
        <w:t>Our strong results for the year ended December 31, 2025 reflected significant organic growth, strong client engagement and contributions from our acquisition of ICD on August 1, 2024. Our markets remained resilient despite the dynamic volatility. The year was marked by several notable events, including heightened volatility in April, brought on by evolving central bank policy expectations, the announcement of new U.S. tariffs and rising geopolitical tensions globally, all of which influenced trading activity across the broader financial ecosystem. The primary driver of the $326.5 million increase in revenue was related to a $276.9 million increase in transaction fees and commissions to $1.7 billion for the year ended December 31, 2025 from $1.4 billion for the year ended December 31, 2024, primarily due to higher revenues for rates derivatives products, municipals, U.S government bonds, international and U.S. ETFs, repurchase agreements, credit derivatives products and mortgages, as well as a full year of basis point commissions earned on the ADB of client money market fund investments made through the ICD Portal during the year ended December 31, 2025 compared to five months during the year ended December 31, 2024 for the period subsequent to the August 1, 2024 acquisition. Additionally, there was a $38.4 million increase in subscription fees to $327.2 million for the year ended December 31, 2025 from $288.8 million for the year ended December 31, 2024, primarily due to certain market participants switching from fully variable pricing plans to pricing plans that include subscriptions, resulting in a shift of a portion of revenues from transaction fees and commissions to subscription fees.</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440"/>
          </w:cols>
          <w:pgMar w:left="900" w:top="834" w:right="900" w:bottom="0" w:gutter="0" w:footer="0" w:header="0"/>
          <w:type w:val="continuous"/>
        </w:sectPr>
      </w:pPr>
    </w:p>
    <w:bookmarkStart w:id="90" w:name="page91"/>
    <w:bookmarkEnd w:id="90"/>
    <w:p>
      <w:pPr>
        <w:ind w:right="720"/>
        <w:spacing w:after="0" w:line="281" w:lineRule="auto"/>
        <w:rPr>
          <w:sz w:val="20"/>
          <w:szCs w:val="20"/>
          <w:color w:val="auto"/>
        </w:rPr>
      </w:pPr>
      <w:r>
        <w:rPr>
          <w:rFonts w:ascii="Times New Roman" w:cs="Times New Roman" w:eastAsia="Times New Roman" w:hAnsi="Times New Roman"/>
          <w:sz w:val="20"/>
          <w:szCs w:val="20"/>
          <w:color w:val="auto"/>
        </w:rPr>
        <w:t>Our total revenue by asset class for the years ended December 31, 2025 and 2024, and the resulting dollar and percentage changes, were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center"/>
              <w:ind w:right="18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6"/>
        </w:trPr>
        <w:tc>
          <w:tcPr>
            <w:tcW w:w="5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8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0"/>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4"/>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Rates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1,093,529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904,938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188,591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488,037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459,040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28,997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Equities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104,184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21.9 %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Money Markets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173,860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115,220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50.9 %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Market Data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118,020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13.3 %</w:t>
            </w: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36,255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24,547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47.7 %</w:t>
            </w:r>
          </w:p>
        </w:tc>
      </w:tr>
      <w:tr>
        <w:trPr>
          <w:trHeight w:val="24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2,052,429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1,725,949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18.9 %</w:t>
            </w: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6654800" cy="1485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extLst>
                    </a:blip>
                    <a:srcRect/>
                    <a:stretch>
                      <a:fillRect/>
                    </a:stretch>
                  </pic:blipFill>
                  <pic:spPr bwMode="auto">
                    <a:xfrm>
                      <a:off x="0" y="0"/>
                      <a:ext cx="6654800" cy="1485900"/>
                    </a:xfrm>
                    <a:prstGeom prst="rect">
                      <a:avLst/>
                    </a:prstGeom>
                    <a:noFill/>
                  </pic:spPr>
                </pic:pic>
              </a:graphicData>
            </a:graphic>
          </wp:anchor>
        </w:drawing>
      </w:r>
    </w:p>
    <w:p>
      <w:pPr>
        <w:spacing w:after="0" w:line="18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auto"/>
        </w:rPr>
        <w:t>Our variable and fixed revenues by asset class for the years ended December 31, 2025 and 2024, and the resulting dollar and percentage changes, were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6"/>
        </w:trPr>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0"/>
        </w:trPr>
        <w:tc>
          <w:tcPr>
            <w:tcW w:w="1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12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1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Fixed</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Fixed</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60" w:type="dxa"/>
            <w:vAlign w:val="bottom"/>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19"/>
                <w:szCs w:val="19"/>
                <w:color w:val="auto"/>
              </w:rPr>
            </w:pPr>
          </w:p>
        </w:tc>
        <w:tc>
          <w:tcPr>
            <w:tcW w:w="10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Fixed</w:t>
            </w:r>
          </w:p>
        </w:tc>
      </w:tr>
      <w:tr>
        <w:trPr>
          <w:trHeight w:val="274"/>
        </w:trPr>
        <w:tc>
          <w:tcPr>
            <w:tcW w:w="1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00" w:type="dxa"/>
            <w:vAlign w:val="bottom"/>
            <w:gridSpan w:val="4"/>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8"/>
        </w:trPr>
        <w:tc>
          <w:tcPr>
            <w:tcW w:w="1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5"/>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Rates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813,244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280,285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660,438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152,806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35,785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23.1 %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14.6 %</w:t>
            </w:r>
          </w:p>
        </w:tc>
      </w:tr>
      <w:tr>
        <w:trPr>
          <w:trHeight w:val="285"/>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Credit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425,317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62,720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423,708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35,332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27,388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77.5 %</w:t>
            </w:r>
          </w:p>
        </w:tc>
      </w:tr>
      <w:tr>
        <w:trPr>
          <w:trHeight w:val="285"/>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Equities</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117,520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9,504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94,964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22,556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23.8 %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3.1 %</w:t>
            </w:r>
          </w:p>
        </w:tc>
      </w:tr>
      <w:tr>
        <w:trPr>
          <w:trHeight w:val="285"/>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Markets</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156,224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17,636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98,216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58,008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632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59.1 %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3.7 %</w:t>
            </w:r>
          </w:p>
        </w:tc>
      </w:tr>
      <w:tr>
        <w:trPr>
          <w:trHeight w:val="285"/>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Market Data</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133,309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117,563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15,746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13.4 %</w:t>
            </w:r>
          </w:p>
        </w:tc>
      </w:tr>
      <w:tr>
        <w:trPr>
          <w:trHeight w:val="288"/>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11,692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24,563</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10,711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997</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4.2 %</w:t>
            </w:r>
          </w:p>
        </w:tc>
      </w:tr>
      <w:tr>
        <w:trPr>
          <w:trHeight w:val="245"/>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1,524,412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528,017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1,278,764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447,185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245,648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80,832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19.2 %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18.1 %</w:t>
            </w:r>
          </w:p>
        </w:tc>
      </w:tr>
      <w:tr>
        <w:trPr>
          <w:trHeight w:val="20"/>
        </w:trPr>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6654800" cy="1485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extLst>
                    </a:blip>
                    <a:srcRect/>
                    <a:stretch>
                      <a:fillRect/>
                    </a:stretch>
                  </pic:blipFill>
                  <pic:spPr bwMode="auto">
                    <a:xfrm>
                      <a:off x="0" y="0"/>
                      <a:ext cx="6654800" cy="1485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key drivers of the change in total revenue by asset class are summarized as follows:</w:t>
      </w:r>
    </w:p>
    <w:p>
      <w:pPr>
        <w:spacing w:after="0" w:line="23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xml:space="preserve"> Revenues from our rates asset class increased by $188.6 million or 20.8% to $1.1 billion for the year ended December 31, 2025 compared to $904.9 million for the year ended December 31, 2024 primarily due to higher variable transaction fees and commissions on higher trading volumes for rates derivatives products and U.S. government bonds. The increase in fixed revenue was primarily driven by changes to certain contracts that, among other items, introduced minimum fee floors or subscription fees, resulting in a shift of a portion of revenues from variable to fixed revenue.</w:t>
      </w:r>
    </w:p>
    <w:p>
      <w:pPr>
        <w:spacing w:after="0" w:line="189"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Revenues from our credit asset class increased by $29.0 million or 6.3% to $488.0 million for the year ended December 31, 2025 compared to $459.0 million for the year ended December 31, 2024 primarily due to an increase in fixed revenues, primarily driven by certain market participants switching from fully variable pricing plans to pricing plans that include minimum fee floors or subscription fees, resulting in a shift of a portion of revenues from variable to fixed revenue. Revenues from our credit asset class also increased due to higher variable transaction fees and commissions on higher trading volumes for municipals, credit derivatives products and European and emerging markets corporate bonds.</w:t>
      </w:r>
    </w:p>
    <w:p>
      <w:pPr>
        <w:spacing w:after="0" w:line="188"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9"/>
          <w:szCs w:val="19"/>
          <w:u w:val="single" w:color="auto"/>
          <w:color w:val="auto"/>
        </w:rPr>
        <w:t>Equities.</w:t>
      </w:r>
      <w:r>
        <w:rPr>
          <w:rFonts w:ascii="Times New Roman" w:cs="Times New Roman" w:eastAsia="Times New Roman" w:hAnsi="Times New Roman"/>
          <w:sz w:val="19"/>
          <w:szCs w:val="19"/>
          <w:color w:val="auto"/>
        </w:rPr>
        <w:t xml:space="preserve"> Revenues from our equities asset class increased by $22.8 million or 21.9% to $127.0 million for the year ended December 31, 2025 compared to $104.2 million for the year ended December 31, 2024 primarily due to higher variable transaction fees and commissions on higher trading volumes for international and U.S. ETFs and equity derivatives products.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440"/>
          </w:cols>
          <w:pgMar w:left="900" w:top="838" w:right="900" w:bottom="0" w:gutter="0" w:footer="0" w:header="0"/>
          <w:type w:val="continuous"/>
        </w:sectPr>
      </w:pPr>
    </w:p>
    <w:bookmarkStart w:id="91" w:name="page92"/>
    <w:bookmarkEnd w:id="91"/>
    <w:p>
      <w:pPr>
        <w:ind w:right="20"/>
        <w:spacing w:after="0"/>
        <w:rPr>
          <w:sz w:val="20"/>
          <w:szCs w:val="20"/>
          <w:color w:val="auto"/>
        </w:rPr>
      </w:pPr>
      <w:r>
        <w:rPr>
          <w:rFonts w:ascii="Times New Roman" w:cs="Times New Roman" w:eastAsia="Times New Roman" w:hAnsi="Times New Roman"/>
          <w:sz w:val="20"/>
          <w:szCs w:val="20"/>
          <w:u w:val="single" w:color="auto"/>
          <w:color w:val="auto"/>
        </w:rPr>
        <w:t>Money Markets.</w:t>
      </w:r>
      <w:r>
        <w:rPr>
          <w:rFonts w:ascii="Times New Roman" w:cs="Times New Roman" w:eastAsia="Times New Roman" w:hAnsi="Times New Roman"/>
          <w:sz w:val="20"/>
          <w:szCs w:val="20"/>
          <w:color w:val="auto"/>
        </w:rPr>
        <w:t xml:space="preserve"> Revenues from our money markets asset class increased by $58.6 million or 50.9% to $173.9 million for the year ended December 31, 2025 compared to $115.2 million for the year ended December 31, 2024 primarily due to a full year of basis point commissions earned on the ADB of client money market fund investments made through the ICD Portal during the year ended December 31, 2025 compared to five months during the year ended December 31, 2024 for the period subsequent to the August 1, 2024 acquisition, as well as higher variable transaction fees and commissions on higher trading volumes for repurchase agreements.</w:t>
      </w:r>
    </w:p>
    <w:p>
      <w:pPr>
        <w:spacing w:after="0" w:line="18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u w:val="single" w:color="auto"/>
          <w:color w:val="auto"/>
        </w:rPr>
        <w:t>Market Data.</w:t>
      </w:r>
      <w:r>
        <w:rPr>
          <w:rFonts w:ascii="Times New Roman" w:cs="Times New Roman" w:eastAsia="Times New Roman" w:hAnsi="Times New Roman"/>
          <w:sz w:val="20"/>
          <w:szCs w:val="20"/>
          <w:color w:val="auto"/>
        </w:rPr>
        <w:t xml:space="preserve"> Revenues from our market data asset class increased by $15.7 million or 13.3% to $133.7 million for the year ended December 31, 2025 compared to $118.0 million for the year ended December 31, 2024. The increase was primarily due to increased LSEG market data fees, with $8.4 million from the periodic delivery of historical data sets which occurred during the three months ended March 31, 2025, as well as higher fees resulting from our amended LSEG market data license agreement effective November 1, 2025 and other increases in proprietary third party market data revenue.</w:t>
      </w:r>
    </w:p>
    <w:p>
      <w:pPr>
        <w:spacing w:after="0" w:line="16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u w:val="single" w:color="auto"/>
          <w:color w:val="auto"/>
        </w:rPr>
        <w:t>Other.</w:t>
      </w:r>
      <w:r>
        <w:rPr>
          <w:rFonts w:ascii="Times New Roman" w:cs="Times New Roman" w:eastAsia="Times New Roman" w:hAnsi="Times New Roman"/>
          <w:sz w:val="20"/>
          <w:szCs w:val="20"/>
          <w:color w:val="auto"/>
        </w:rPr>
        <w:t xml:space="preserve"> Revenues from our other asset class increased by $11.7 million or 47.7% to $36.3 million for the year ended December 31, 2025 compared to $24.5 million for the year ended December 31, 2024 primarily due to an increase in digital asset revenue earned for performing validation services on the Canton Network. We began earning Canton Coins for providing services to the Canton Network during the third quarter of 2024.</w:t>
      </w:r>
    </w:p>
    <w:p>
      <w:pPr>
        <w:spacing w:after="0" w:line="16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We generate revenue from a diverse portfolio of client sectors. Our total revenue by client sector for the years ended December 31, 2025 and 2024, and the resulting dollar and percentage changes, were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center"/>
              <w:ind w:right="18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6"/>
        </w:trPr>
        <w:tc>
          <w:tcPr>
            <w:tcW w:w="5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8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0"/>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4"/>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Institutional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1,275,547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1,035,775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239,772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23.1 %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Wholesale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400,753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385,673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143,247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Corporates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95,895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43,234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52,661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121.8 %</w:t>
            </w: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Market Data</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133,724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118,020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15,704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13.3 %</w:t>
            </w:r>
          </w:p>
        </w:tc>
      </w:tr>
      <w:tr>
        <w:trPr>
          <w:trHeight w:val="24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2,052,429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1,725,949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18.9 %</w:t>
            </w: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-1297940</wp:posOffset>
            </wp:positionV>
            <wp:extent cx="6654800" cy="1317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extLst>
                    </a:blip>
                    <a:srcRect/>
                    <a:stretch>
                      <a:fillRect/>
                    </a:stretch>
                  </pic:blipFill>
                  <pic:spPr bwMode="auto">
                    <a:xfrm>
                      <a:off x="0" y="0"/>
                      <a:ext cx="6654800" cy="1317625"/>
                    </a:xfrm>
                    <a:prstGeom prst="rect">
                      <a:avLst/>
                    </a:prstGeom>
                    <a:noFill/>
                  </pic:spPr>
                </pic:pic>
              </a:graphicData>
            </a:graphic>
          </wp:anchor>
        </w:drawing>
      </w:r>
    </w:p>
    <w:p>
      <w:pPr>
        <w:spacing w:after="0" w:line="18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u w:val="single" w:color="auto"/>
          <w:color w:val="auto"/>
        </w:rPr>
        <w:t>Institutional.</w:t>
      </w:r>
      <w:r>
        <w:rPr>
          <w:rFonts w:ascii="Times New Roman" w:cs="Times New Roman" w:eastAsia="Times New Roman" w:hAnsi="Times New Roman"/>
          <w:sz w:val="20"/>
          <w:szCs w:val="20"/>
          <w:color w:val="auto"/>
        </w:rPr>
        <w:t xml:space="preserve"> Revenues from our institutional client sector increased by $239.8 million or 23.1% to $1.3 billion for the year ended December 31, 2025 compared to $1.0 billion for the year ended December 31, 2024. The increase was derived primarily from higher revenues for rates derivatives products, international and U.S. ETFs, U.S. and European corporate bonds, European and U.S. government bonds, mortgages and credit derivative products as well as an increase in digital asset revenue earned for performing validation services on the Canton Network.</w:t>
      </w:r>
    </w:p>
    <w:p>
      <w:pPr>
        <w:spacing w:after="0" w:line="16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u w:val="single" w:color="auto"/>
          <w:color w:val="auto"/>
        </w:rPr>
        <w:t>Wholesale.</w:t>
      </w:r>
      <w:r>
        <w:rPr>
          <w:rFonts w:ascii="Times New Roman" w:cs="Times New Roman" w:eastAsia="Times New Roman" w:hAnsi="Times New Roman"/>
          <w:sz w:val="20"/>
          <w:szCs w:val="20"/>
          <w:color w:val="auto"/>
        </w:rPr>
        <w:t xml:space="preserve"> Revenues from our wholesale client sector increased by $15.1 million or 3.9% to $400.8 million for the year ended December 31, 2025 compared to $385.7 million for the year ended December 31, 2024. The increase was derived primarily from higher revenues for U.S. government bonds, repurchase agreements and equity derivatives products, partially offset by lower revenues for U.S. corporate bonds.</w:t>
      </w:r>
    </w:p>
    <w:p>
      <w:pPr>
        <w:spacing w:after="0" w:line="161" w:lineRule="exact"/>
        <w:rPr>
          <w:sz w:val="20"/>
          <w:szCs w:val="20"/>
          <w:color w:val="auto"/>
        </w:rPr>
      </w:pPr>
    </w:p>
    <w:p>
      <w:pPr>
        <w:ind w:right="460"/>
        <w:spacing w:after="0" w:line="249" w:lineRule="auto"/>
        <w:rPr>
          <w:sz w:val="20"/>
          <w:szCs w:val="20"/>
          <w:color w:val="auto"/>
        </w:rPr>
      </w:pPr>
      <w:r>
        <w:rPr>
          <w:rFonts w:ascii="Times New Roman" w:cs="Times New Roman" w:eastAsia="Times New Roman" w:hAnsi="Times New Roman"/>
          <w:sz w:val="20"/>
          <w:szCs w:val="20"/>
          <w:u w:val="single" w:color="auto"/>
          <w:color w:val="auto"/>
        </w:rPr>
        <w:t>Retail.</w:t>
      </w:r>
      <w:r>
        <w:rPr>
          <w:rFonts w:ascii="Times New Roman" w:cs="Times New Roman" w:eastAsia="Times New Roman" w:hAnsi="Times New Roman"/>
          <w:sz w:val="20"/>
          <w:szCs w:val="20"/>
          <w:color w:val="auto"/>
        </w:rPr>
        <w:t xml:space="preserve"> Revenues from our retail client sector were relatively flat at $146.5 million for the year ended December 31, 2025, an increase of $3.3 million or 2.3% compared to $143.2 million for the year ended December 31, 2024 as higher revenues for municipals were partially offset by lower revenues for U.S. corporate bonds.</w:t>
      </w:r>
    </w:p>
    <w:p>
      <w:pPr>
        <w:spacing w:after="0" w:line="1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u w:val="single" w:color="auto"/>
          <w:color w:val="auto"/>
        </w:rPr>
        <w:t>Corporates.</w:t>
      </w:r>
      <w:r>
        <w:rPr>
          <w:rFonts w:ascii="Times New Roman" w:cs="Times New Roman" w:eastAsia="Times New Roman" w:hAnsi="Times New Roman"/>
          <w:sz w:val="20"/>
          <w:szCs w:val="20"/>
          <w:color w:val="auto"/>
        </w:rPr>
        <w:t xml:space="preserve"> Revenues from our corporates client sector increased by $52.7 million or 121.8% to $95.9 million for the year ended December 31, 2025 compared to $43.2 million for the year ended December 31, 2024. We entered the corporates client sector with the August 1, 2024 acquisition of ICD and its proprietary institutional investment technology. This client channel primarily serves corporate treasury organizations worldwide in investing in money market funds. The primary driver of the increase was a full year of basis point commissions earned on the ADB of client money market fund investments made through the ICD Portal during the year ended December 31, 2025 compared to five months during the year ended December 31, 2024 for the period subsequent to the August 1, 2024 acquisition.</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440"/>
          </w:cols>
          <w:pgMar w:left="900" w:top="838" w:right="900" w:bottom="0" w:gutter="0" w:footer="0" w:header="0"/>
          <w:type w:val="continuous"/>
        </w:sectPr>
      </w:pPr>
    </w:p>
    <w:bookmarkStart w:id="92" w:name="page93"/>
    <w:bookmarkEnd w:id="92"/>
    <w:p>
      <w:pPr>
        <w:ind w:right="140"/>
        <w:spacing w:after="0" w:line="258" w:lineRule="auto"/>
        <w:rPr>
          <w:sz w:val="20"/>
          <w:szCs w:val="20"/>
          <w:color w:val="auto"/>
        </w:rPr>
      </w:pPr>
      <w:r>
        <w:rPr>
          <w:rFonts w:ascii="Times New Roman" w:cs="Times New Roman" w:eastAsia="Times New Roman" w:hAnsi="Times New Roman"/>
          <w:sz w:val="20"/>
          <w:szCs w:val="20"/>
          <w:u w:val="single" w:color="auto"/>
          <w:color w:val="auto"/>
        </w:rPr>
        <w:t>Market Data.</w:t>
      </w:r>
      <w:r>
        <w:rPr>
          <w:rFonts w:ascii="Times New Roman" w:cs="Times New Roman" w:eastAsia="Times New Roman" w:hAnsi="Times New Roman"/>
          <w:sz w:val="20"/>
          <w:szCs w:val="20"/>
          <w:color w:val="auto"/>
        </w:rPr>
        <w:t xml:space="preserve"> Revenues from our market data client sector increased by $15.7 million or 13.3% to $133.7 million for the year ended December 31, 2025 compared to $118.0 million for the year ended December 31, 2024. The increase was primarily due to increased LSEG market data fees, with $8.4 million from the periodic delivery of historical data sets which occurred during the three months ended March 31, 2025, as well as higher fees resulting from our amended LSEG market data license agreement effective November 1, 2025 and other increases in proprietary third party market data revenue.</w:t>
      </w:r>
    </w:p>
    <w:p>
      <w:pPr>
        <w:spacing w:after="0" w:line="16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Our revenues and client base are also diversified by geography. Our total revenue by geography (based on client location) for the years ended December 31, 2025 and 2024, and the resulting dollar and percentage changes, were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6"/>
        </w:trPr>
        <w:tc>
          <w:tcPr>
            <w:tcW w:w="5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0"/>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4"/>
          </w:tcPr>
          <w:p>
            <w:pPr>
              <w:jc w:val="center"/>
              <w:ind w:right="165"/>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1,194,062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1,060,697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133,365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12.6 %</w:t>
            </w: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858,367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665,252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193,115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29.0 %</w:t>
            </w:r>
          </w:p>
        </w:tc>
      </w:tr>
      <w:tr>
        <w:trPr>
          <w:trHeight w:val="24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2,052,429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1,725,949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18.9 %</w:t>
            </w: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74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extLst>
                    </a:blip>
                    <a:srcRect/>
                    <a:stretch>
                      <a:fillRect/>
                    </a:stretch>
                  </pic:blipFill>
                  <pic:spPr bwMode="auto">
                    <a:xfrm>
                      <a:off x="0" y="0"/>
                      <a:ext cx="6654800" cy="774700"/>
                    </a:xfrm>
                    <a:prstGeom prst="rect">
                      <a:avLst/>
                    </a:prstGeom>
                    <a:noFill/>
                  </pic:spPr>
                </pic:pic>
              </a:graphicData>
            </a:graphic>
          </wp:anchor>
        </w:drawing>
      </w:r>
    </w:p>
    <w:p>
      <w:pPr>
        <w:spacing w:after="0" w:line="21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xml:space="preserve"> Revenues from U.S. clients increased by $133.4 million or 12.6% to $1.2 billion for the year ended December 31, 2025 compared to $1.1 billion for the year ended December 31, 2024 primarily due to higher revenues for money markets, including the contribution from the ICD acquisition, rates derivatives products, municipals, U.S. government bonds, mortgages and U.S. ETFs as well as an increase in digital asset revenue earned for performing validation services on the Canton Network.</w:t>
      </w:r>
    </w:p>
    <w:p>
      <w:pPr>
        <w:spacing w:after="0" w:line="17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u w:val="single" w:color="auto"/>
          <w:color w:val="auto"/>
        </w:rPr>
        <w:t>International.</w:t>
      </w:r>
      <w:r>
        <w:rPr>
          <w:rFonts w:ascii="Times New Roman" w:cs="Times New Roman" w:eastAsia="Times New Roman" w:hAnsi="Times New Roman"/>
          <w:sz w:val="20"/>
          <w:szCs w:val="20"/>
          <w:color w:val="auto"/>
        </w:rPr>
        <w:t xml:space="preserve"> Revenues from international clients increased by $193.1 million or 29.0% to $858.4 million for the year ended December 31, 2025 compared to $665.3 million for the year ended December 31, 2024 primarily due to higher revenues for rates derivatives products, money markets, including the contribution from the ICD acquisition, market data, European government bonds, international ETFs and European corporate bonds.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expenses for the years ended December 31, 2025 and 2024 were as follows: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center"/>
              <w:ind w:right="18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6"/>
        </w:trPr>
        <w:tc>
          <w:tcPr>
            <w:tcW w:w="5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8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0"/>
        </w:trPr>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tcPr>
          <w:p>
            <w:pPr>
              <w:spacing w:after="0"/>
              <w:rPr>
                <w:sz w:val="19"/>
                <w:szCs w:val="19"/>
                <w:color w:val="auto"/>
              </w:rPr>
            </w:pPr>
          </w:p>
        </w:tc>
        <w:tc>
          <w:tcPr>
            <w:tcW w:w="12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4"/>
        </w:trPr>
        <w:tc>
          <w:tcPr>
            <w:tcW w:w="5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4"/>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Employee compensation and benefits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670,831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592,690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250,189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219,999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30,190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Technology and communications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128,327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98,568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29,759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30.2 %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88,402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56,317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57.0 %</w:t>
            </w: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53,391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60,132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Occupancy</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25,951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20,215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5,736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28.4 %</w:t>
            </w:r>
          </w:p>
        </w:tc>
      </w:tr>
      <w:tr>
        <w:trPr>
          <w:trHeight w:val="24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Total expenses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1,217,091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1,047,921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169,170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16.1 %</w:t>
            </w: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-1297940</wp:posOffset>
            </wp:positionV>
            <wp:extent cx="6654800" cy="1317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extLst>
                    </a:blip>
                    <a:srcRect/>
                    <a:stretch>
                      <a:fillRect/>
                    </a:stretch>
                  </pic:blipFill>
                  <pic:spPr bwMode="auto">
                    <a:xfrm>
                      <a:off x="0" y="0"/>
                      <a:ext cx="6654800" cy="1317625"/>
                    </a:xfrm>
                    <a:prstGeom prst="rect">
                      <a:avLst/>
                    </a:prstGeom>
                    <a:noFill/>
                  </pic:spPr>
                </pic:pic>
              </a:graphicData>
            </a:graphic>
          </wp:anchor>
        </w:drawing>
      </w:r>
    </w:p>
    <w:p>
      <w:pPr>
        <w:spacing w:after="0" w:line="21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u w:val="single" w:color="auto"/>
          <w:color w:val="auto"/>
        </w:rPr>
        <w:t>Employee Compensation and Benefits.</w:t>
      </w:r>
      <w:r>
        <w:rPr>
          <w:rFonts w:ascii="Times New Roman" w:cs="Times New Roman" w:eastAsia="Times New Roman" w:hAnsi="Times New Roman"/>
          <w:sz w:val="20"/>
          <w:szCs w:val="20"/>
          <w:color w:val="auto"/>
        </w:rPr>
        <w:t xml:space="preserve"> Expenses related to employee compensation and benefits increased by $78.1 million or 13.2% to $670.8 million for the year ended December 31, 2025 from $592.7 million for the year ended December 31, 2024. The increase was primarily due to an increase in headcount and related salaries, bonus, benefits and stock-based compensation associated with our continued growth, including the August 1, 2024 ICD acquisition. As of December 31, 2025 and 2024, we had 1,569 and 1,412 employees globally, respectively. An increase in incentive compensation expense tied to our financial performance also contributed to the overall increase in employee compensation and benefits expenses.</w:t>
      </w:r>
    </w:p>
    <w:p>
      <w:pPr>
        <w:spacing w:after="0" w:line="188"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u w:val="single" w:color="auto"/>
          <w:color w:val="auto"/>
        </w:rPr>
        <w:t>Depreciation and Amortization.</w:t>
      </w:r>
      <w:r>
        <w:rPr>
          <w:rFonts w:ascii="Times New Roman" w:cs="Times New Roman" w:eastAsia="Times New Roman" w:hAnsi="Times New Roman"/>
          <w:sz w:val="20"/>
          <w:szCs w:val="20"/>
          <w:color w:val="auto"/>
        </w:rPr>
        <w:t xml:space="preserve"> Expenses related to depreciation and amortization increased by $30.2 million or 13.7% to $250.2 million for the year ended December 31, 2025 from $220.0 million for the year ended December 31, 2024. The increase was primarily due to increases in amortization of assets acquired in connection with the ICD acquisition on August 1, 2024 and increases in amortization of software development costs and hardware driven by increases in investment in our infrastructure and the relocation of our New York City corporate headquarters during September 2025.</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440"/>
          </w:cols>
          <w:pgMar w:left="900" w:top="838" w:right="900" w:bottom="0" w:gutter="0" w:footer="0" w:header="0"/>
          <w:type w:val="continuous"/>
        </w:sectPr>
      </w:pPr>
    </w:p>
    <w:bookmarkStart w:id="93" w:name="page94"/>
    <w:bookmarkEnd w:id="93"/>
    <w:p>
      <w:pPr>
        <w:ind w:right="220"/>
        <w:spacing w:after="0" w:line="244" w:lineRule="auto"/>
        <w:rPr>
          <w:sz w:val="20"/>
          <w:szCs w:val="20"/>
          <w:color w:val="auto"/>
        </w:rPr>
      </w:pPr>
      <w:r>
        <w:rPr>
          <w:rFonts w:ascii="Times New Roman" w:cs="Times New Roman" w:eastAsia="Times New Roman" w:hAnsi="Times New Roman"/>
          <w:sz w:val="20"/>
          <w:szCs w:val="20"/>
          <w:u w:val="single" w:color="auto"/>
          <w:color w:val="auto"/>
        </w:rPr>
        <w:t>Technology and Communications.</w:t>
      </w:r>
      <w:r>
        <w:rPr>
          <w:rFonts w:ascii="Times New Roman" w:cs="Times New Roman" w:eastAsia="Times New Roman" w:hAnsi="Times New Roman"/>
          <w:sz w:val="20"/>
          <w:szCs w:val="20"/>
          <w:color w:val="auto"/>
        </w:rPr>
        <w:t xml:space="preserve"> Expenses related to technology and communications increased by $29.8 million or 30.2% to $128.3 million for the year ended December 31, 2025 from $98.6 million for the year ended December 31, 2024. The increase was primarily due to increased investment in our data strategy and infrastructure and increased clearance and data fees driven primarily by higher trading volumes period-over-period.</w:t>
      </w:r>
    </w:p>
    <w:p>
      <w:pPr>
        <w:spacing w:after="0" w:line="185"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u w:val="single" w:color="auto"/>
          <w:color w:val="auto"/>
        </w:rPr>
        <w:t>General and Administrative.</w:t>
      </w:r>
      <w:r>
        <w:rPr>
          <w:rFonts w:ascii="Times New Roman" w:cs="Times New Roman" w:eastAsia="Times New Roman" w:hAnsi="Times New Roman"/>
          <w:sz w:val="20"/>
          <w:szCs w:val="20"/>
          <w:color w:val="auto"/>
        </w:rPr>
        <w:t xml:space="preserve"> Expenses related to general and administrative costs increased by $32.1 million or 57.0% to $88.4 million for the year ended December 31, 2025 from $56.3 million for the year ended December 31, 2024. The increase was primarily due to a $27.5 million increase in foreign exchange losses during the year ended December 31, 2025 compared to the year ended December 31, 2024. Realized and unrealized foreign currency losses totaled $17.1 million during the year ended December 31, 2025 as compared to $10.4 million in gains during the year ended December 31, 2024. The change was primarily driven by the change in fair value of our foreign currency forward contracts used in connection with our foreign currency risk management program, partially offset by an increase in foreign currency re-measurement gains on transactions in nonfunctional currencies. Increases in travel and entertainment costs to support our continued growth also contributed to the overall increase in general and administrative expenses.</w:t>
      </w:r>
    </w:p>
    <w:p>
      <w:pPr>
        <w:spacing w:after="0" w:line="196"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u w:val="single" w:color="auto"/>
          <w:color w:val="auto"/>
        </w:rPr>
        <w:t>Professional Fees.</w:t>
      </w:r>
      <w:r>
        <w:rPr>
          <w:rFonts w:ascii="Times New Roman" w:cs="Times New Roman" w:eastAsia="Times New Roman" w:hAnsi="Times New Roman"/>
          <w:sz w:val="20"/>
          <w:szCs w:val="20"/>
          <w:color w:val="auto"/>
        </w:rPr>
        <w:t xml:space="preserve"> Expenses related to professional fees decreased by $6.7 million or 11.2% to $53.4 million for the year ended December 31, 2025 from $60.1 million for the year ended December 31, 2024 primarily due to a decrease in professional fees related to acquisitions.</w:t>
      </w:r>
    </w:p>
    <w:p>
      <w:pPr>
        <w:spacing w:after="0" w:line="18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u w:val="single" w:color="auto"/>
          <w:color w:val="auto"/>
        </w:rPr>
        <w:t>Occupancy.</w:t>
      </w:r>
      <w:r>
        <w:rPr>
          <w:rFonts w:ascii="Times New Roman" w:cs="Times New Roman" w:eastAsia="Times New Roman" w:hAnsi="Times New Roman"/>
          <w:sz w:val="20"/>
          <w:szCs w:val="20"/>
          <w:color w:val="auto"/>
        </w:rPr>
        <w:t xml:space="preserve"> Expenses related to occupancy costs increased by $5.7 million or 28.4% to $26.0 million for the year ended December 31, 2025 as compared to $20.2 million for the year ended December 31, 2024. The increase was primarily due to higher office and data center rent expense associated with our global expansion, including the commencement in September 2025 of the lease for our new corporate headquarters in New York City.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 Liability Adjustment</w:t>
      </w:r>
    </w:p>
    <w:p>
      <w:pPr>
        <w:spacing w:after="0" w:line="21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tax receivable agreement liability adjustment was $9.8 million of income for the year ended December 31, 2025 compared to $7.7 million of income for the year ended December 31, 2024, due to changes in the tax receivable agreement liability recorded in our consolidated statements of financial condition primarily as a result of changes to tax legislation and tax rates in various jurisdictions, which impacted our estimated future tax savings.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3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Interest income decreased by $5.6 million to $68.4 million for the year ended December 31, 2025 from $74.0 million for the year ended December 31, 2024 primarily due to a decrease in the average interest rates earned period-over-period. This decrease was partially offset by an increase in the average invested cash balance and interest earned on a federal income tax refund received during the year ended December 31,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3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Interest expense decreased by $2.3 million to $1.9 million for the year ended December 31, 2025 from $4.3 million for the year ended December 31, 2024 primarily due to the timing of payments made under the Tax Receivable Agreement. No interest expense was incurred on payments due under the Tax Receivable Agreement during the year ended December 31, 2025 compared to $2.1 million of interest expense during the year ended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(Loss), Net</w:t>
      </w:r>
    </w:p>
    <w:p>
      <w:pPr>
        <w:spacing w:after="0" w:line="238"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0"/>
          <w:szCs w:val="20"/>
          <w:color w:val="auto"/>
        </w:rPr>
        <w:t>Other income was $263.4 million for the year ended December 31, 2025 versus a loss of $1.1 million for the year ended December 31, 2024. Other income increased primarily due to realized and unrealized gains on our Canton Coin holdings, which totaled $270.9 million during the year ended December 31, 2025 compared to $0.2 million in gains during the year ended December 31, 2024. Other income in both years was partially offset by a combination of various other impairments, net unrealized losses on investments or our pro rata share of losses from our equity method investment.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Income tax expense increased by $69.0 million or 37.4% to $253.5 million for the year ended December 31, 2025 from $184.4 million for the year ended December 31, 2024. The provision for income taxes includes U.S. federal, state, local, and foreign taxes. The effective tax rate for the year ended December 31, 2025 was approximately 21.6%, compared with 24.4% for the year ended December 31, 2024. The effective tax rate for the years ended December 31, 2025 and 2024 differed from the U.S. federal statutory rate of 21.0% primarily due to state and local taxes net of the benefit related to the effect of non-controlling interests and foreign-derived intangible income.</w:t>
      </w:r>
    </w:p>
    <w:p>
      <w:pPr>
        <w:sectPr>
          <w:pgSz w:w="12240" w:h="15840" w:orient="portrait"/>
          <w:cols w:equalWidth="0" w:num="1">
            <w:col w:w="10400"/>
          </w:cols>
          <w:pgMar w:left="900" w:top="838" w:right="94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400"/>
          </w:cols>
          <w:pgMar w:left="900" w:top="838" w:right="94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i w:val="1"/>
          <w:iCs w:val="1"/>
          <w:color w:val="auto"/>
        </w:rPr>
        <w:t>Effects of Inflation</w:t>
      </w:r>
    </w:p>
    <w:p>
      <w:pPr>
        <w:spacing w:after="0" w:line="2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While inflation may impact our revenues and operating expenses, we believe the effects of inflation, if any, on our results of operations and financial condition have not been significant during the years ended December 31, 2025 and 2024. However, there can be no assurance that our results of operations and financial condition will not be materially impacted by inflation in the future. See “— Trends and Other Factors Impacting Our Performance — Economic Environment”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19"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20"/>
          <w:szCs w:val="20"/>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and their sufficiency to fund our operating and investing activities.</w:t>
      </w:r>
    </w:p>
    <w:p>
      <w:pPr>
        <w:spacing w:after="0" w:line="16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Historically, we have generated significant cash flows from operations and have funded our business operations through cash on hand and cash flows from operations.</w:t>
      </w:r>
    </w:p>
    <w:p>
      <w:pPr>
        <w:spacing w:after="0" w:line="141"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20"/>
          <w:szCs w:val="20"/>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55"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20"/>
          <w:szCs w:val="20"/>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1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we had cash and cash equivalents of approximately $2.1 billion and $1.3 billion, respectively. All cash and cash equivalents were held in accounts with financial institutions or money market funds such that the funds are immediately available or in fixed term deposits or investments with a maximum maturity of three months. See Part II, Item 7A. – “Quantitative and Qualitative Disclosures About Market Risk – Credit Risk” elsewhere in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Factors Influencing Our Liquidity and Capital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 Policy</w:t>
      </w:r>
    </w:p>
    <w:p>
      <w:pPr>
        <w:spacing w:after="0" w:line="2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Subject to legally available funds, we intend to pay quarterly cash dividends on our Class A common stock and Class B common stock equal to $0.14 per share. As discussed below, our ability to pay these quarterly cash dividends on our Class A common stock and Class B common stock will depend on distributions to us from TWM LLC.</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440"/>
          </w:cols>
          <w:pgMar w:left="900" w:top="829" w:right="900" w:bottom="0" w:gutter="0" w:footer="0" w:header="0"/>
          <w:type w:val="continuous"/>
        </w:sectPr>
      </w:pPr>
    </w:p>
    <w:bookmarkStart w:id="95" w:name="page96"/>
    <w:bookmarkEnd w:id="95"/>
    <w:p>
      <w:pPr>
        <w:ind w:right="20"/>
        <w:spacing w:after="0" w:line="253" w:lineRule="auto"/>
        <w:rPr>
          <w:sz w:val="20"/>
          <w:szCs w:val="20"/>
          <w:color w:val="auto"/>
        </w:rPr>
      </w:pPr>
      <w:r>
        <w:rPr>
          <w:rFonts w:ascii="Times New Roman" w:cs="Times New Roman" w:eastAsia="Times New Roman" w:hAnsi="Times New Roman"/>
          <w:sz w:val="20"/>
          <w:szCs w:val="20"/>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 See Part I, Item 1A. – “Risk Factors — Risks Relating to our Organizational Structure and Governance — Our principal asset is our equity interest in TWM LLC, and, accordingly, we depend on distributions from TWM LLC to pay our taxes and expenses, including payments under the Tax Receivable Agreement” and “Risk Factors — Risks Relating to Ownership of our Class A Common Stock — We intend to continue to pay regular dividends on our Class A common stock and Class B common stock, but our ability to do so may be limited.”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Dividends</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On February 5, 2026, the board of directors of Tradeweb Markets Inc. declared a cash dividend of $0.14 per share of Class A common stock and Class B common stock for the first quarter of 2026. This dividend will be payable on March 16, 2026 to stockholders of record as of March 2, 2026. The February 2026 dividend declaration of $0.14 represents a 16.7% per share increase from our 2025 quarterly dividend of $0.12. During 2025, Tradeweb Markets Inc. paid quarterly cash dividends of $0.12 per share to holders of Class A common stock and Class B common stock in an aggregate amount totaling $102.3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Distributions</w:t>
      </w:r>
    </w:p>
    <w:p>
      <w:pPr>
        <w:spacing w:after="0" w:line="21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auto"/>
        </w:rPr>
        <w:t>On February 5, 2026, Tradeweb Markets Inc., as the sole manager, approved a distribution by TWM LLC to its equityholders, including Tradeweb Markets Inc., in an aggregate amount of $78.1 million, as adjusted by required state and local tax withholdings that will be determined prior to the record date of March 2, 2026, payable on March 12, 2026.</w:t>
      </w:r>
    </w:p>
    <w:p>
      <w:pPr>
        <w:spacing w:after="0" w:line="15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During 2025, TWM LLC made quarterly cash distributions to its equityholders in an aggregate amount of $253.1 million, including distributions to Tradeweb Markets Inc. of $228.4 million and distributions to non-controlling interests of $24.7 million. The proceeds of the cash distributions were used by Tradeweb Markets Inc. to fund dividend payments, taxes and expenses.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Share Repurchase Program</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On December 5, 2022, the Company announced our board of directors authorized the 2022 Share Repurchase Program to continue to offset annual dilution from stock-based compensation plans, as well as to opportunistically repurchase the Company’s Class A common stock. The 2022 Share Repurchase Program authorized the purchase of up to $300.0 million of our Class A common stock at our discretion and had no termination date. During the year ended December 31, 2025, the Company acquired a total of 987,379 shares of Class A common stock, at an average price of $107.29, for purchases totaling $105.9 million, pursuant to the 2022 Share Repurchase Program. As of December 31, 2025, a total of $74.0 million remained available for repurchase pursuant to the 2022 Share Repurchase Program.</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420"/>
          </w:cols>
          <w:pgMar w:left="900" w:top="838" w:right="920" w:bottom="0" w:gutter="0" w:footer="0" w:header="0"/>
          <w:type w:val="continuous"/>
        </w:sectPr>
      </w:pPr>
    </w:p>
    <w:bookmarkStart w:id="96" w:name="page97"/>
    <w:bookmarkEnd w:id="96"/>
    <w:p>
      <w:pPr>
        <w:spacing w:after="0" w:line="253" w:lineRule="auto"/>
        <w:rPr>
          <w:sz w:val="20"/>
          <w:szCs w:val="20"/>
          <w:color w:val="auto"/>
        </w:rPr>
      </w:pPr>
      <w:r>
        <w:rPr>
          <w:rFonts w:ascii="Times New Roman" w:cs="Times New Roman" w:eastAsia="Times New Roman" w:hAnsi="Times New Roman"/>
          <w:sz w:val="20"/>
          <w:szCs w:val="20"/>
          <w:color w:val="auto"/>
        </w:rPr>
        <w:t>On February 5, 2026, our board of directors approved a share repurchase program with an indefinite term under which the Company may purchase up to $500 million of its Class A common stock (the “2026 Share Repurchase Program”) once the 2022 Share Repurchase Program has been exhausted. As of February 5, 2026, $23.2 million remained available for repurchase pursuant to the 2022 Share Repurchase Program. The 2026 Share Repurchase Program was authorized to continue to offset annual dilution from stock-based compensation plans, as well as to opportunistically repurchase Class A common stock. Pursuant to the 2026 Share Repurchase Program, the Company may repurchase its Class A common stock from time to time, in amounts, at prices and at such times as it deems appropriate, subject to market conditions and other considerations. The Company may make repurchases in the open market, through privately negotiated transactions, through accelerated repurchase programs (including through the use of derivatives), pursuant to Rule 10b5-1 plans or through enhanced open-market repurchases (eOMR). The 2026 Share Repurchase Program will be conducted in compliance with applicable legal requirements and shall be subject to market conditions and other factors. The manner, timing and amount of any purchase will be based on an evaluation of market conditions, stock price and other factors. The 2026 Share Repurchase Program has no termination date, may be suspended, amended or discontinued at any time and does not obligate the Company to acquire any amount of Class A common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Share Repurchases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In addition to the share repurchase programs discussed above, we may also withhold shares to cover the payroll tax withholding obligations upon the exercise of stock options and vesting of PRSUs, RSUs and performance-based restricted stock units that vest based on market conditions (“PSUs”).</w:t>
      </w:r>
    </w:p>
    <w:p>
      <w:pPr>
        <w:spacing w:after="0" w:line="15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2025, the Company withheld 360,041 shares of common stock from employee stock option, PRSU and RSU awards, at an average price per share of $137.13 and an aggregate value of $49.4 million, based on the price of the Class A common stock on the date the relevant withholding occurred.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We are obligated to make payments under the Tax Receivable Agreement. See Note 10 – Tax Receivable Agreement to our audited consolidated financial statements included elsewhere in this Annual Report on Form 10-K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December 31, 2025, total amounts due to Continuing LLC Owners under the Tax Receivable Agreement were $336.5 million, substantially all due to be paid over 15 years following the purchase of LLC Interests from Continuing LLC Owners or redemption or exchanges by Continuing LLC Owners of LLC Interests.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Liabilities under the Tax Receivable Agreement include amounts to be paid to Continuing LLC Owners, assuming we will have sufficient taxable income over the term of the Tax Receivable Agreement to utilize the related tax benefits. In determining the estimated timing of payments, the current year’s taxable income is used to extrapolate an estimate of future taxable income. The Company is subject to CAMT, which has impacted the estimated period in which the payments will be made, as reflected in the payment schedule below. As of December 31, 2025, we had the following obligations expected to be paid pursuant to the Tax Receivable Agreement. We may choose, at our discretion, to make estimated payments ahead of contractual due dates in an effort to reduce interest expense payable on the current liability and as a result, timing of actual payments may differ from the schedule below.</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83"/>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More than 5</w:t>
            </w:r>
          </w:p>
        </w:tc>
      </w:tr>
      <w:tr>
        <w:trPr>
          <w:trHeight w:val="217"/>
        </w:trPr>
        <w:tc>
          <w:tcPr>
            <w:tcW w:w="3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8"/>
                <w:szCs w:val="18"/>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Less than 1 year</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1 to 3 years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3 to 5 years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years</w:t>
            </w:r>
          </w:p>
        </w:tc>
      </w:tr>
      <w:tr>
        <w:trPr>
          <w:trHeight w:val="274"/>
        </w:trPr>
        <w:tc>
          <w:tcPr>
            <w:tcW w:w="3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2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Tax receivable agreement liability</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336,519</w:t>
            </w:r>
          </w:p>
        </w:tc>
        <w:tc>
          <w:tcPr>
            <w:tcW w:w="60" w:type="dxa"/>
            <w:vAlign w:val="bottom"/>
          </w:tcPr>
          <w:p>
            <w:pPr>
              <w:spacing w:after="0"/>
              <w:rPr>
                <w:sz w:val="23"/>
                <w:szCs w:val="23"/>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36,290</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61,480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96,143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142,606</w:t>
            </w:r>
          </w:p>
        </w:tc>
      </w:tr>
      <w:tr>
        <w:trPr>
          <w:trHeight w:val="20"/>
        </w:trPr>
        <w:tc>
          <w:tcPr>
            <w:tcW w:w="3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6667500" cy="231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extLst>
                    </a:blip>
                    <a:srcRect/>
                    <a:stretch>
                      <a:fillRect/>
                    </a:stretch>
                  </pic:blipFill>
                  <pic:spPr bwMode="auto">
                    <a:xfrm>
                      <a:off x="0" y="0"/>
                      <a:ext cx="6667500" cy="231775"/>
                    </a:xfrm>
                    <a:prstGeom prst="rect">
                      <a:avLst/>
                    </a:prstGeom>
                    <a:noFill/>
                  </pic:spPr>
                </pic:pic>
              </a:graphicData>
            </a:graphic>
          </wp:anchor>
        </w:drawing>
      </w:r>
    </w:p>
    <w:p>
      <w:pPr>
        <w:spacing w:after="0" w:line="18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440"/>
          </w:cols>
          <w:pgMar w:left="900" w:top="838" w:right="90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auto"/>
        </w:rPr>
        <w:t>Indebtedness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and 2024, we had no outstanding indebtedness.</w:t>
      </w:r>
    </w:p>
    <w:p>
      <w:pPr>
        <w:spacing w:after="0" w:line="21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On November 21, 2023, TWM LLC entered into the 2023 Revolving Credit Facility with a syndicate of banks, which replaced its secured credit facility entered into on April 8, 2019. The 2023 Revolving Credit Facility provides borrowing capacity to be used to fund ongoing working capital needs, letters of credit and for general corporate purposes, including potential future acquisitions and expansions.</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 2023 Revolving Credit Facility permits borrowings of up to $500.0 million by TWM LLC. Subject to the satisfaction of certain conditions, we will be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68"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auto"/>
        </w:rPr>
        <w:t>As of December 31, 2025, there were $0.5 million in letters of credit issued under the 2023 Revolving Credit Facility and no borrowings outstanding. As of December 31, 2025, we had availability of $499.5 million.</w:t>
      </w:r>
    </w:p>
    <w:p>
      <w:pPr>
        <w:spacing w:after="0" w:line="1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Borrowings under the 2023 Revolving Credit Facility bear interest at a rate equal to, at the Company’s option, either (a) a base rate equal to the greatest of (i) 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We are also required to pay customary letter of credit fees and agency fees.</w:t>
      </w:r>
    </w:p>
    <w:p>
      <w:pPr>
        <w:spacing w:after="0" w:line="16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We have the option to voluntarily repay outstanding loans at any time without premium or penalty other than customary “breakage” costs with respect to Term SOFR, SONIA and EURIBOR loans. There will be no scheduled amortization under the 2023 Revolving Credit Facility. The principal amount outstanding will be due and payable in full at maturity.</w:t>
      </w:r>
    </w:p>
    <w:p>
      <w:pPr>
        <w:spacing w:after="0" w:line="155"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auto"/>
        </w:rPr>
        <w:t>The 2023 Revolving Credit Facility is unsecured and as of December 31, 2025, obligations under the 2023 Revolving Credit Facility are not guaranteed by any of the Company’s subsidiaries.</w:t>
      </w:r>
    </w:p>
    <w:p>
      <w:pPr>
        <w:spacing w:after="0" w:line="14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9"/>
          <w:szCs w:val="19"/>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w:t>
      </w:r>
    </w:p>
    <w:p>
      <w:pPr>
        <w:spacing w:after="0" w:line="13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The 2023 Revolving Credit Facility contains a financial covenant requiring compliance with a (i) maximum total net leverage ratio tested as of the last day of each fiscal quarter not to exceed 3.5 to 1.0 (increasing to 4.0 to 1.0 for the four-quarter period following a material acquisition and the fiscal quarter in which such material acquisition is consummated) and (ii) minimum cash interest coverage ratio tested as of the last day of each fiscal quarter not less than 3.0 to 1.0.</w:t>
      </w:r>
    </w:p>
    <w:p>
      <w:pPr>
        <w:spacing w:after="0" w:line="16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The credit agreement that governs the 2023 Revolving Credit Facility also contains certain affirmative covenants and events of default customary for facilities of this type, including relating to a change of control. If an event of default occurs, the lenders under the 2023 Revolving Credit Facility will be entitled to take various actions, including the acceleration of amounts due under the 2023 Revolving Credit Facility.</w:t>
      </w:r>
    </w:p>
    <w:p>
      <w:pPr>
        <w:spacing w:after="0" w:line="163" w:lineRule="exact"/>
        <w:rPr>
          <w:sz w:val="20"/>
          <w:szCs w:val="20"/>
          <w:color w:val="auto"/>
        </w:rPr>
      </w:pPr>
    </w:p>
    <w:p>
      <w:pPr>
        <w:ind w:right="800"/>
        <w:spacing w:after="0" w:line="459" w:lineRule="auto"/>
        <w:rPr>
          <w:sz w:val="20"/>
          <w:szCs w:val="20"/>
          <w:color w:val="auto"/>
        </w:rPr>
      </w:pPr>
      <w:r>
        <w:rPr>
          <w:rFonts w:ascii="Times New Roman" w:cs="Times New Roman" w:eastAsia="Times New Roman" w:hAnsi="Times New Roman"/>
          <w:sz w:val="20"/>
          <w:szCs w:val="20"/>
          <w:color w:val="auto"/>
        </w:rPr>
        <w:t xml:space="preserve">As of December 31, 2025, we were in compliance with all the covenants set forth in the 2023 Revolving Credit Facility. </w:t>
      </w:r>
      <w:r>
        <w:rPr>
          <w:rFonts w:ascii="Times New Roman" w:cs="Times New Roman" w:eastAsia="Times New Roman" w:hAnsi="Times New Roman"/>
          <w:sz w:val="20"/>
          <w:szCs w:val="20"/>
          <w:b w:val="1"/>
          <w:bCs w:val="1"/>
          <w:i w:val="1"/>
          <w:iCs w:val="1"/>
          <w:color w:val="auto"/>
        </w:rPr>
        <w:t>Operating Lease Obligations</w:t>
      </w:r>
    </w:p>
    <w:p>
      <w:pPr>
        <w:jc w:val="both"/>
        <w:ind w:right="300"/>
        <w:spacing w:after="0" w:line="266" w:lineRule="auto"/>
        <w:rPr>
          <w:sz w:val="20"/>
          <w:szCs w:val="20"/>
          <w:color w:val="auto"/>
        </w:rPr>
      </w:pPr>
      <w:r>
        <w:rPr>
          <w:rFonts w:ascii="Times New Roman" w:cs="Times New Roman" w:eastAsia="Times New Roman" w:hAnsi="Times New Roman"/>
          <w:sz w:val="20"/>
          <w:szCs w:val="20"/>
          <w:color w:val="auto"/>
        </w:rPr>
        <w:t>We currently have operating leases for corporate offices and data centers with initial lease terms ranging from one to 16 years. Our operating lease obligations are primarily related to rental payments under lease agreements for office space in the United States and the United Kingdom through May 2041.</w:t>
      </w:r>
    </w:p>
    <w:p>
      <w:pPr>
        <w:spacing w:after="0" w:line="15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As of December 31, 2025, our operating lease liabilities totaled $139.2 million, with payments pursuant to these obligations due within the next 12 months and thereafter totaling $18.3 million and $176.7 million, respectively.</w:t>
      </w:r>
    </w:p>
    <w:p>
      <w:pPr>
        <w:sectPr>
          <w:pgSz w:w="12240" w:h="15840" w:orient="portrait"/>
          <w:cols w:equalWidth="0" w:num="1">
            <w:col w:w="10400"/>
          </w:cols>
          <w:pgMar w:left="900" w:top="834" w:right="94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400"/>
          </w:cols>
          <w:pgMar w:left="900" w:top="834" w:right="94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Our business also requires continued investment in our technology for product innovation, proprietary technology architecture, operational reliability and cybersecurity. We expect total cash paid for capital expenditures and software development costs for fiscal year 2026 to be between $107 million and $117 million, compared to expenditures of $103.1 million and $88.9 million in fiscal years 2025 and 2024, respectively, with the midpoint of our 2026 capital expenditure guidance up approximately 9% versus fiscal year 2025 primarily driven by platform enhancements, infrastructure modernization and cyber security initiatives to support long-term growth.</w:t>
      </w:r>
    </w:p>
    <w:p>
      <w:pPr>
        <w:spacing w:after="0" w:line="168" w:lineRule="exact"/>
        <w:rPr>
          <w:sz w:val="20"/>
          <w:szCs w:val="20"/>
          <w:color w:val="auto"/>
        </w:rPr>
      </w:pPr>
    </w:p>
    <w:p>
      <w:pPr>
        <w:ind w:right="860"/>
        <w:spacing w:after="0" w:line="459" w:lineRule="auto"/>
        <w:rPr>
          <w:sz w:val="20"/>
          <w:szCs w:val="20"/>
          <w:color w:val="auto"/>
        </w:rPr>
      </w:pPr>
      <w:r>
        <w:rPr>
          <w:rFonts w:ascii="Times New Roman" w:cs="Times New Roman" w:eastAsia="Times New Roman" w:hAnsi="Times New Roman"/>
          <w:sz w:val="20"/>
          <w:szCs w:val="20"/>
          <w:color w:val="auto"/>
        </w:rPr>
        <w:t xml:space="preserve">As of December 31, 2025, we also had $5.0 million in unfunded capital commitments to our equity method investment. </w:t>
      </w:r>
      <w:r>
        <w:rPr>
          <w:rFonts w:ascii="Times New Roman" w:cs="Times New Roman" w:eastAsia="Times New Roman" w:hAnsi="Times New Roman"/>
          <w:sz w:val="20"/>
          <w:szCs w:val="20"/>
          <w:b w:val="1"/>
          <w:bCs w:val="1"/>
          <w:i w:val="1"/>
          <w:iCs w:val="1"/>
          <w:color w:val="auto"/>
        </w:rPr>
        <w:t>Other Cash and Liquidity Requirements</w:t>
      </w:r>
    </w:p>
    <w:p>
      <w:pPr>
        <w:ind w:right="100"/>
        <w:spacing w:after="0" w:line="253" w:lineRule="auto"/>
        <w:rPr>
          <w:sz w:val="20"/>
          <w:szCs w:val="20"/>
          <w:color w:val="auto"/>
        </w:rPr>
      </w:pPr>
      <w:r>
        <w:rPr>
          <w:rFonts w:ascii="Times New Roman" w:cs="Times New Roman" w:eastAsia="Times New Roman" w:hAnsi="Times New Roman"/>
          <w:sz w:val="20"/>
          <w:szCs w:val="20"/>
          <w:color w:val="auto"/>
        </w:rPr>
        <w:t>Certain of our U.S. subsidiaries are registered as broker-dealers, SEFs, SBSEFs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FCA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December 31, 2025 and 2024, each of our regulated subsidiaries had maintained sufficient net capital or financial resources to at least satisfy their minimum requirements, which in aggregate were $90.0 million and</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$83.0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 The Fixed Income Clearing Corporation (“FICC”) and some of our clearing brokers require us to post collateral on unsettled positions, included within deposits with clearing organizations in our consolidated statements of financial condition. Collateral amounts are marked to market on a daily basis, requiring us to pay or receive margin amounts as part of the daily funds settlement. Margin call requirements can vary significantly across periods based on daily market changes and may represent a significant and unpredictable use of our liquidity.</w:t>
      </w:r>
    </w:p>
    <w:p>
      <w:pPr>
        <w:spacing w:after="0" w:line="1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At times, wholesale transactions executed on our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We self-clear wholesale U.S. Treasury trades executed by non-FICC members on our platform. The number of self-cleared trades that settle over the fed wire, instead of FICC clearing, may impact the number of U.S. Treasury failed settlement transactions. As of December 31, 2025, we recorded an $8.6 million receivable and a $3.4 million payable from/to brokers and dealers and clearing organizations related to failed settlement transactions and we self-funded the remaining $5.3 million difference between the fail to deliver and fail to receive. All of the failed settlement transactions outstanding as of December 31, 2025 were fully settled during January 2026. See below for further details regarding the changes to working capital as a result of these failed settlement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Working Capital</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receivable and due from related parties and other current assets. Current liabilities consist of, as applicable, securities sold under agreements to repurchase, payable to brokers and dealers and clearing organizations, accrued compensation, deferred revenue, payable and due to related parties,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 and solutions.</w:t>
      </w:r>
    </w:p>
    <w:p>
      <w:pPr>
        <w:sectPr>
          <w:pgSz w:w="12240" w:h="15840" w:orient="portrait"/>
          <w:cols w:equalWidth="0" w:num="1">
            <w:col w:w="10420"/>
          </w:cols>
          <w:pgMar w:left="900" w:top="8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420"/>
          </w:cols>
          <w:pgMar w:left="900" w:top="834" w:right="92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Our working capital as of December 31, 2025 and 2024 was as follows: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0"/>
        </w:trPr>
        <w:tc>
          <w:tcPr>
            <w:tcW w:w="7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4"/>
        </w:trPr>
        <w:tc>
          <w:tcPr>
            <w:tcW w:w="7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2,084,739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1,340,302</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Receivable from brokers and dealers and clearing organizations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67,805</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Deposits with clearing organizations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58,282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54,702</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257,845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222,268</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Receivable and due from related parties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8,094</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other assets</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71,239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43,163</w:t>
            </w:r>
          </w:p>
        </w:tc>
      </w:tr>
      <w:tr>
        <w:trPr>
          <w:trHeight w:val="26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2,490,038</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1,737,334</w:t>
            </w:r>
          </w:p>
        </w:tc>
      </w:tr>
      <w:tr>
        <w:trPr>
          <w:trHeight w:val="262"/>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Payable to brokers and dealers and clearing organizations</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67,816</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251,169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222,959</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29,030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30,800</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Payable and due to related parties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w:t>
            </w:r>
          </w:p>
        </w:tc>
      </w:tr>
      <w:tr>
        <w:trPr>
          <w:trHeight w:val="264"/>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06"/>
        </w:trPr>
        <w:tc>
          <w:tcPr>
            <w:tcW w:w="7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 accrued expenses and other liabilities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182,583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94,620</w:t>
            </w:r>
          </w:p>
        </w:tc>
      </w:tr>
      <w:tr>
        <w:trPr>
          <w:trHeight w:val="285"/>
        </w:trPr>
        <w:tc>
          <w:tcPr>
            <w:tcW w:w="7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Lease liabilities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11,963</w:t>
            </w:r>
          </w:p>
        </w:tc>
      </w:tr>
      <w:tr>
        <w:trPr>
          <w:trHeight w:val="288"/>
        </w:trPr>
        <w:tc>
          <w:tcPr>
            <w:tcW w:w="7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Tax receivable agreement liability</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36,290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3,981</w:t>
            </w:r>
          </w:p>
        </w:tc>
      </w:tr>
      <w:tr>
        <w:trPr>
          <w:trHeight w:val="26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521,437</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432,902</w:t>
            </w:r>
          </w:p>
        </w:tc>
      </w:tr>
      <w:tr>
        <w:trPr>
          <w:trHeight w:val="24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Total working capital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1,968,601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1,304,432</w:t>
            </w:r>
          </w:p>
        </w:tc>
      </w:tr>
      <w:tr>
        <w:trPr>
          <w:trHeight w:val="20"/>
        </w:trPr>
        <w:tc>
          <w:tcPr>
            <w:tcW w:w="7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-3288665</wp:posOffset>
            </wp:positionV>
            <wp:extent cx="6654800" cy="32956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extLst>
                    </a:blip>
                    <a:srcRect/>
                    <a:stretch>
                      <a:fillRect/>
                    </a:stretch>
                  </pic:blipFill>
                  <pic:spPr bwMode="auto">
                    <a:xfrm>
                      <a:off x="0" y="0"/>
                      <a:ext cx="6654800" cy="329565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Assets</w:t>
      </w:r>
    </w:p>
    <w:p>
      <w:pPr>
        <w:spacing w:after="0" w:line="21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auto"/>
        </w:rPr>
        <w:t>Current assets increased to $2.5 billion as of December 31, 2025 from $1.7 billion as of December 31, 2024 primarily due to an increase in cash and cash equivalents due to our operating performance and the timing of collection of accounts receivable. See “—Cash Flows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below for further discussion of the change in cash and cash equivalents.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Liabilities</w:t>
      </w:r>
    </w:p>
    <w:p>
      <w:pPr>
        <w:spacing w:after="0" w:line="214"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19"/>
          <w:szCs w:val="19"/>
          <w:color w:val="auto"/>
        </w:rPr>
        <w:t>Current liabilities increased to $521.4 million as of December 31, 2025 from $432.9 million as of December 31, 2024 primarily due to an increase in current income taxes payable and an increase in the current portion of our tax receivable agreement liability.</w:t>
      </w:r>
    </w:p>
    <w:p>
      <w:pPr>
        <w:spacing w:after="0" w:line="117"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auto"/>
        </w:rPr>
        <w:t>See “—Other Cash and Liquidity Requirements” above for a discussion on how capital requirements can impact our working capital.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cash flows for the years ended December 31, 2025, 2024 and 2023 were as follows: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60" w:type="dxa"/>
            <w:vAlign w:val="bottom"/>
            <w:gridSpan w:val="6"/>
          </w:tcPr>
          <w:p>
            <w:pPr>
              <w:jc w:val="center"/>
              <w:ind w:left="606"/>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1,167,646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897,741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746,089</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(126,533)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(969,190)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(132,765)</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(307,475)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(290,261)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(168,174)</w:t>
            </w: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Effect of exchange rate changes on cash, cash equivalents and restricted cash</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10,799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4,089</w:t>
            </w: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744,437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(366,166)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449,239</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654800" cy="942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extLst>
                    </a:blip>
                    <a:srcRect/>
                    <a:stretch>
                      <a:fillRect/>
                    </a:stretch>
                  </pic:blipFill>
                  <pic:spPr bwMode="auto">
                    <a:xfrm>
                      <a:off x="0" y="0"/>
                      <a:ext cx="6654800" cy="942975"/>
                    </a:xfrm>
                    <a:prstGeom prst="rect">
                      <a:avLst/>
                    </a:prstGeom>
                    <a:noFill/>
                  </pic:spPr>
                </pic:pic>
              </a:graphicData>
            </a:graphic>
          </wp:anchor>
        </w:drawing>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440"/>
          </w:cols>
          <w:pgMar w:left="900" w:top="838" w:right="90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1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auto"/>
        </w:rPr>
        <w:t>Operating activities consist primarily of net income adjusted for non-cash items that primarily include depreciation and amortization, stock-based compensation expense, digital assets received as revenue, deferred taxes and other income and changes in working capital. Cash flows from operating activities can fluctuate significantly from period-to-period as working capital needs and the timing of payments for accrued compensation (primarily in the first quarter) and other items impact reported cash flows.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Net cash provided by operating activities for the year ended December 31, 2025 was $1.2 billion, an increase of $269.9 million as compared to the year ended December 31, 2024, primarily driven by an increase in net income, a decrease in cash paid for taxes due to changes in the timing of tax payments year over year and other net changes in working capital. During 2026, we plan to satisfy approximately $71 million related to our 2025 tax year obligations through the purchase of transferable tax credits or through cash payments to the applicable taxing authorities.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1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Investing activities consist primarily of software development costs, investments in technology hardware, purchases of equipment and other tangible assets, business acquisitions and investments.</w:t>
      </w:r>
    </w:p>
    <w:p>
      <w:pPr>
        <w:spacing w:after="0" w:line="1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Net cash used in investing activities was $126.5 million for the year ended December 31, 2025, which consisted of $62.5 million of capitalized software development costs, $40.6 million of purchases of furniture, equipment, purchased software and leasehold improvements and $38.4 million of cash paid for investments, partially offset by $15.0 million in cash received from the sale of Canton Coins. Net cash used in investing activities was $969.2 million for the year ended December 31, 2024, which consisted of $860.1 million of total net cash paid for the acquisitions of ICD and r8fin (net of cash acquired), $47.9 million of capitalized software development costs, $41.0 million of purchases of furniture, equipment, purchased software and leasehold improvements and $20.2 million of cash paid for investments.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Net cash used in financing activities for the year ended December 31, 2025 was $307.5 million, which consisted of $104.2 million in share repurchases pursuant to our 2022 Share Repurchase Program, $102.3 million in cash dividends to our Class A and Class B common stockholders, $49.5 million in payroll tax payments for options, PRSUs and RSUs, $26.7 million in payments made under our Tax Receivable Agreement and $24.7 million in distributions to non-controlling interest holders. Net cash used in financing activities for the year ended December 31, 2024 was $290.3 million, which consisted of $85.2 million in cash dividends to our Class A and Class B common stockholders, $77.0 million in payments made under our Tax Receivable Agreement, $59.1 million in share repurchases pursuant to our 2022 Share Repurchase Program, $41.3 million in payroll tax payments for options, PRSUs and RSUs, net of proceeds from stock-based compensation option exercises and $27.8 million in distributions to non-controlling interest 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Free Cash Flow</w:t>
      </w:r>
    </w:p>
    <w:p>
      <w:pPr>
        <w:spacing w:after="0" w:line="21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20"/>
          <w:szCs w:val="20"/>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5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5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ectPr>
          <w:pgSz w:w="12240" w:h="15840" w:orient="portrait"/>
          <w:cols w:equalWidth="0" w:num="1">
            <w:col w:w="10420"/>
          </w:cols>
          <w:pgMar w:left="900" w:top="8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420"/>
          </w:cols>
          <w:pgMar w:left="900" w:top="834" w:right="920" w:bottom="0" w:gutter="0" w:footer="0" w:header="0"/>
          <w:type w:val="continuous"/>
        </w:sectPr>
      </w:pPr>
    </w:p>
    <w:bookmarkStart w:id="101" w:name="page102"/>
    <w:bookmarkEnd w:id="101"/>
    <w:p>
      <w:pPr>
        <w:ind w:right="520"/>
        <w:spacing w:after="0" w:line="281" w:lineRule="auto"/>
        <w:rPr>
          <w:sz w:val="20"/>
          <w:szCs w:val="20"/>
          <w:color w:val="auto"/>
        </w:rPr>
      </w:pPr>
      <w:r>
        <w:rPr>
          <w:rFonts w:ascii="Times New Roman" w:cs="Times New Roman" w:eastAsia="Times New Roman" w:hAnsi="Times New Roman"/>
          <w:sz w:val="20"/>
          <w:szCs w:val="20"/>
          <w:color w:val="auto"/>
        </w:rPr>
        <w:t>The table set forth below presents a reconciliation of our cash flow from operating activities to Free Cash Flow for the years ended December 31, 2025, 2024 and 2023:</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60" w:type="dxa"/>
            <w:vAlign w:val="bottom"/>
            <w:gridSpan w:val="6"/>
          </w:tcPr>
          <w:p>
            <w:pPr>
              <w:jc w:val="center"/>
              <w:ind w:left="607"/>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Cash flow from operating activities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1,167,646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897,741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746,089</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Less: Capitalization of software development costs</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(62,541)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(43,235)</w:t>
            </w: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Less: Purchases of furniture, equipment and leasehold improvements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(40,552)</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(40,960)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(18,529)</w:t>
            </w: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Free Cash Flow</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1,064,553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808,872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684,325</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620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extLst>
                    </a:blip>
                    <a:srcRect/>
                    <a:stretch>
                      <a:fillRect/>
                    </a:stretch>
                  </pic:blipFill>
                  <pic:spPr bwMode="auto">
                    <a:xfrm>
                      <a:off x="0" y="0"/>
                      <a:ext cx="6654800" cy="762000"/>
                    </a:xfrm>
                    <a:prstGeom prst="rect">
                      <a:avLst/>
                    </a:prstGeom>
                    <a:noFill/>
                  </pic:spPr>
                </pic:pic>
              </a:graphicData>
            </a:graphic>
          </wp:anchor>
        </w:drawing>
      </w:r>
    </w:p>
    <w:p>
      <w:pPr>
        <w:spacing w:after="0" w:line="179"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Adjusted EBITDA, Adjusted EBITDA margin, Adjusted EBIT, Adjusted EBIT margin, Adjusted Net Income and Adjusted Diluted EPS</w:t>
      </w:r>
    </w:p>
    <w:p>
      <w:pPr>
        <w:spacing w:after="0" w:line="13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 Adjusted EBITDA margin, Adjusted EBIT and Adjusted EBIT margin</w:t>
      </w: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6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6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440"/>
          </w:cols>
          <w:pgMar w:left="900" w:top="838" w:right="900" w:bottom="0" w:gutter="0" w:footer="0" w:header="0"/>
          <w:type w:val="continuous"/>
        </w:sectPr>
      </w:pPr>
    </w:p>
    <w:bookmarkStart w:id="102" w:name="page103"/>
    <w:bookmarkEnd w:id="102"/>
    <w:p>
      <w:pPr>
        <w:ind w:right="20"/>
        <w:spacing w:after="0" w:line="251" w:lineRule="auto"/>
        <w:rPr>
          <w:sz w:val="20"/>
          <w:szCs w:val="20"/>
          <w:color w:val="auto"/>
        </w:rPr>
      </w:pPr>
      <w:r>
        <w:rPr>
          <w:rFonts w:ascii="Times New Roman" w:cs="Times New Roman" w:eastAsia="Times New Roman" w:hAnsi="Times New Roman"/>
          <w:sz w:val="20"/>
          <w:szCs w:val="20"/>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audited consolidated financial statements included elsewhere in this Annual Report on Form 10-K and post-IPO options awarded in 2019 to management and other employees as well as payroll taxes associated with exercises of such options during the applicable period. The value of all previously issued options was fully expensed as of March 31, 2024, however we will continue to incur payroll tax expense as previously issued options are exercised by the holders. For applicable periods, we also exclude the incremental non-cash accelerated stock-based compensation expense and related payroll taxes associated with former and/or departing executive officers. We also exclude stock-based compensation expense associated with special equity awards granted to help ensure the retention of key employees during the integration of acquisitions. We believe it is useful to exclude these stock-based compensation expenses and, as applicable, associated payroll taxes because the amount of expense may not directly correlate to the underlying performance of our business and will vary across periods.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 and Adjusted Diluted EPS</w:t>
      </w:r>
    </w:p>
    <w:p>
      <w:pPr>
        <w:spacing w:after="0" w:line="2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use Adjusted Net Income and Adjusted Diluted EPS as supplemental metrics to evaluate our business performance in a way that also considers our ability to generate profit without the impact of certain items. We exclude certain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420"/>
          </w:cols>
          <w:pgMar w:left="900" w:top="838" w:right="920" w:bottom="0" w:gutter="0" w:footer="0" w:header="0"/>
          <w:type w:val="continuous"/>
        </w:sectPr>
      </w:pPr>
    </w:p>
    <w:bookmarkStart w:id="103" w:name="page104"/>
    <w:bookmarkEnd w:id="103"/>
    <w:p>
      <w:pPr>
        <w:ind w:right="80"/>
        <w:spacing w:after="0" w:line="253" w:lineRule="auto"/>
        <w:rPr>
          <w:sz w:val="20"/>
          <w:szCs w:val="20"/>
          <w:color w:val="auto"/>
        </w:rPr>
      </w:pPr>
      <w:r>
        <w:rPr>
          <w:rFonts w:ascii="Times New Roman" w:cs="Times New Roman" w:eastAsia="Times New Roman" w:hAnsi="Times New Roman"/>
          <w:sz w:val="20"/>
          <w:szCs w:val="20"/>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7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The table set forth below presents a reconciliation of net income and net income margin to Adjusted EBITDA, Adjusted EBITDA margin, Adjusted EBIT and Adjusted EBIT margin for the years ended December 31, 2025, 2024 and 2023:</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4"/>
        </w:trPr>
        <w:tc>
          <w:tcPr>
            <w:tcW w:w="6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921,500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569,963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419,503</w:t>
            </w:r>
          </w:p>
        </w:tc>
        <w:tc>
          <w:tcPr>
            <w:tcW w:w="0" w:type="dxa"/>
            <w:vAlign w:val="bottom"/>
          </w:tcPr>
          <w:p>
            <w:pPr>
              <w:spacing w:after="0"/>
              <w:rPr>
                <w:sz w:val="1"/>
                <w:szCs w:val="1"/>
                <w:color w:val="auto"/>
              </w:rPr>
            </w:pPr>
          </w:p>
        </w:tc>
      </w:tr>
      <w:tr>
        <w:trPr>
          <w:trHeight w:val="31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Merger and acquisition transaction and integration costs </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6,891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22,823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8,042</w:t>
            </w:r>
          </w:p>
        </w:tc>
        <w:tc>
          <w:tcPr>
            <w:tcW w:w="0" w:type="dxa"/>
            <w:vAlign w:val="bottom"/>
          </w:tcPr>
          <w:p>
            <w:pPr>
              <w:spacing w:after="0"/>
              <w:rPr>
                <w:sz w:val="1"/>
                <w:szCs w:val="1"/>
                <w:color w:val="auto"/>
              </w:rPr>
            </w:pPr>
          </w:p>
        </w:tc>
      </w:tr>
      <w:tr>
        <w:trPr>
          <w:trHeight w:val="26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(74,037)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(67,397)</w:t>
            </w:r>
          </w:p>
        </w:tc>
        <w:tc>
          <w:tcPr>
            <w:tcW w:w="0" w:type="dxa"/>
            <w:vAlign w:val="bottom"/>
          </w:tcPr>
          <w:p>
            <w:pPr>
              <w:spacing w:after="0"/>
              <w:rPr>
                <w:sz w:val="1"/>
                <w:szCs w:val="1"/>
                <w:color w:val="auto"/>
              </w:rPr>
            </w:pPr>
          </w:p>
        </w:tc>
      </w:tr>
      <w:tr>
        <w:trPr>
          <w:trHeight w:val="285"/>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1,941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4,279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2,047</w:t>
            </w:r>
          </w:p>
        </w:tc>
        <w:tc>
          <w:tcPr>
            <w:tcW w:w="0" w:type="dxa"/>
            <w:vAlign w:val="bottom"/>
          </w:tcPr>
          <w:p>
            <w:pPr>
              <w:spacing w:after="0"/>
              <w:rPr>
                <w:sz w:val="1"/>
                <w:szCs w:val="1"/>
                <w:color w:val="auto"/>
              </w:rPr>
            </w:pPr>
          </w:p>
        </w:tc>
      </w:tr>
      <w:tr>
        <w:trPr>
          <w:trHeight w:val="285"/>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250,189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219,999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185,350</w:t>
            </w:r>
          </w:p>
        </w:tc>
        <w:tc>
          <w:tcPr>
            <w:tcW w:w="0" w:type="dxa"/>
            <w:vAlign w:val="bottom"/>
          </w:tcPr>
          <w:p>
            <w:pPr>
              <w:spacing w:after="0"/>
              <w:rPr>
                <w:sz w:val="1"/>
                <w:szCs w:val="1"/>
                <w:color w:val="auto"/>
              </w:rPr>
            </w:pPr>
          </w:p>
        </w:tc>
      </w:tr>
      <w:tr>
        <w:trPr>
          <w:trHeight w:val="31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Stock-based compensation expense </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2,327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6,096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2,947</w:t>
            </w:r>
          </w:p>
        </w:tc>
        <w:tc>
          <w:tcPr>
            <w:tcW w:w="0" w:type="dxa"/>
            <w:vAlign w:val="bottom"/>
          </w:tcPr>
          <w:p>
            <w:pPr>
              <w:spacing w:after="0"/>
              <w:rPr>
                <w:sz w:val="1"/>
                <w:szCs w:val="1"/>
                <w:color w:val="auto"/>
              </w:rPr>
            </w:pPr>
          </w:p>
        </w:tc>
      </w:tr>
      <w:tr>
        <w:trPr>
          <w:trHeight w:val="26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8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253,474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184,439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128,477</w:t>
            </w:r>
          </w:p>
        </w:tc>
        <w:tc>
          <w:tcPr>
            <w:tcW w:w="0" w:type="dxa"/>
            <w:vAlign w:val="bottom"/>
          </w:tcPr>
          <w:p>
            <w:pPr>
              <w:spacing w:after="0"/>
              <w:rPr>
                <w:sz w:val="1"/>
                <w:szCs w:val="1"/>
                <w:color w:val="auto"/>
              </w:rPr>
            </w:pPr>
          </w:p>
        </w:tc>
      </w:tr>
      <w:tr>
        <w:trPr>
          <w:trHeight w:val="31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exchange (gains) / losses </w:t>
            </w:r>
            <w:r>
              <w:rPr>
                <w:rFonts w:ascii="Times New Roman" w:cs="Times New Roman" w:eastAsia="Times New Roman" w:hAnsi="Times New Roman"/>
                <w:sz w:val="26"/>
                <w:szCs w:val="26"/>
                <w:color w:val="auto"/>
                <w:vertAlign w:val="superscript"/>
              </w:rPr>
              <w:t>(3)</w:t>
            </w:r>
          </w:p>
        </w:tc>
        <w:tc>
          <w:tcPr>
            <w:tcW w:w="18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13,112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(6,326)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85"/>
        </w:trPr>
        <w:tc>
          <w:tcPr>
            <w:tcW w:w="646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Tax receivable agreement liability adjustment </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(7,730)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9,517</w:t>
            </w:r>
          </w:p>
        </w:tc>
        <w:tc>
          <w:tcPr>
            <w:tcW w:w="0" w:type="dxa"/>
            <w:vAlign w:val="bottom"/>
          </w:tcPr>
          <w:p>
            <w:pPr>
              <w:spacing w:after="0"/>
              <w:rPr>
                <w:sz w:val="1"/>
                <w:szCs w:val="1"/>
                <w:color w:val="auto"/>
              </w:rPr>
            </w:pPr>
          </w:p>
        </w:tc>
      </w:tr>
      <w:tr>
        <w:trPr>
          <w:trHeight w:val="263"/>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loss, net</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(263,384)</w:t>
            </w:r>
          </w:p>
        </w:tc>
        <w:tc>
          <w:tcPr>
            <w:tcW w:w="1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1,114</w:t>
            </w: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13,122</w:t>
            </w:r>
          </w:p>
        </w:tc>
        <w:tc>
          <w:tcPr>
            <w:tcW w:w="0" w:type="dxa"/>
            <w:vAlign w:val="bottom"/>
          </w:tcPr>
          <w:p>
            <w:pPr>
              <w:spacing w:after="0"/>
              <w:rPr>
                <w:sz w:val="1"/>
                <w:szCs w:val="1"/>
                <w:color w:val="auto"/>
              </w:rPr>
            </w:pPr>
          </w:p>
        </w:tc>
      </w:tr>
      <w:tr>
        <w:trPr>
          <w:trHeight w:val="245"/>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1,107,857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920,620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701,561</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Less: Depreciation and amortization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4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(250,189)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(219,999)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(185,350)</w:t>
            </w:r>
          </w:p>
        </w:tc>
        <w:tc>
          <w:tcPr>
            <w:tcW w:w="0" w:type="dxa"/>
            <w:vAlign w:val="bottom"/>
          </w:tcPr>
          <w:p>
            <w:pPr>
              <w:spacing w:after="0"/>
              <w:rPr>
                <w:sz w:val="1"/>
                <w:szCs w:val="1"/>
                <w:color w:val="auto"/>
              </w:rPr>
            </w:pPr>
          </w:p>
        </w:tc>
      </w:tr>
      <w:tr>
        <w:trPr>
          <w:trHeight w:val="270"/>
        </w:trPr>
        <w:tc>
          <w:tcPr>
            <w:tcW w:w="6460" w:type="dxa"/>
            <w:vAlign w:val="bottom"/>
          </w:tcPr>
          <w:p>
            <w:pPr>
              <w:spacing w:after="0" w:line="270" w:lineRule="exact"/>
              <w:rPr>
                <w:sz w:val="20"/>
                <w:szCs w:val="20"/>
                <w:color w:val="auto"/>
              </w:rPr>
            </w:pPr>
            <w:r>
              <w:rPr>
                <w:rFonts w:ascii="Times New Roman" w:cs="Times New Roman" w:eastAsia="Times New Roman" w:hAnsi="Times New Roman"/>
                <w:sz w:val="20"/>
                <w:szCs w:val="20"/>
                <w:color w:val="auto"/>
              </w:rPr>
              <w:t xml:space="preserve">Add: D&amp;A related to acquisitions and the Refinitiv Transaction </w:t>
            </w:r>
            <w:r>
              <w:rPr>
                <w:rFonts w:ascii="Times New Roman" w:cs="Times New Roman" w:eastAsia="Times New Roman" w:hAnsi="Times New Roman"/>
                <w:sz w:val="26"/>
                <w:szCs w:val="26"/>
                <w:color w:val="auto"/>
                <w:vertAlign w:val="superscript"/>
              </w:rPr>
              <w:t>(5)</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176,322</w:t>
            </w:r>
          </w:p>
        </w:tc>
        <w:tc>
          <w:tcPr>
            <w:tcW w:w="1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156,489</w:t>
            </w:r>
          </w:p>
        </w:tc>
        <w:tc>
          <w:tcPr>
            <w:tcW w:w="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127,731</w:t>
            </w:r>
          </w:p>
        </w:tc>
        <w:tc>
          <w:tcPr>
            <w:tcW w:w="0" w:type="dxa"/>
            <w:vAlign w:val="bottom"/>
          </w:tcPr>
          <w:p>
            <w:pPr>
              <w:spacing w:after="0"/>
              <w:rPr>
                <w:sz w:val="1"/>
                <w:szCs w:val="1"/>
                <w:color w:val="auto"/>
              </w:rPr>
            </w:pPr>
          </w:p>
        </w:tc>
      </w:tr>
      <w:tr>
        <w:trPr>
          <w:trHeight w:val="245"/>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1,033,990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857,110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643,942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-2564765</wp:posOffset>
            </wp:positionV>
            <wp:extent cx="6645275" cy="3101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extLst>
                    </a:blip>
                    <a:srcRect/>
                    <a:stretch>
                      <a:fillRect/>
                    </a:stretch>
                  </pic:blipFill>
                  <pic:spPr bwMode="auto">
                    <a:xfrm>
                      <a:off x="0" y="0"/>
                      <a:ext cx="6645275" cy="310197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6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Net income margin</w:t>
            </w:r>
          </w:p>
        </w:tc>
        <w:tc>
          <w:tcPr>
            <w:tcW w:w="3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44.9 %</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33.0 %</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31.3 %</w:t>
            </w:r>
          </w:p>
        </w:tc>
      </w:tr>
      <w:tr>
        <w:trPr>
          <w:trHeight w:val="26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margin</w:t>
            </w:r>
          </w:p>
        </w:tc>
        <w:tc>
          <w:tcPr>
            <w:tcW w:w="3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54.0 %</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53.3 %</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52.4 %</w:t>
            </w:r>
          </w:p>
        </w:tc>
      </w:tr>
      <w:tr>
        <w:trPr>
          <w:trHeight w:val="285"/>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 margin</w:t>
            </w:r>
          </w:p>
        </w:tc>
        <w:tc>
          <w:tcPr>
            <w:tcW w:w="3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50.4 %</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49.7 %</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48.1 %</w:t>
            </w:r>
          </w:p>
        </w:tc>
      </w:tr>
    </w:tbl>
    <w:p>
      <w:pPr>
        <w:spacing w:after="0" w:line="163" w:lineRule="exact"/>
        <w:rPr>
          <w:sz w:val="20"/>
          <w:szCs w:val="20"/>
          <w:color w:val="auto"/>
        </w:rPr>
      </w:pPr>
    </w:p>
    <w:p>
      <w:pPr>
        <w:ind w:left="360" w:hanging="360"/>
        <w:spacing w:after="0" w:line="257" w:lineRule="auto"/>
        <w:tabs>
          <w:tab w:leader="none" w:pos="3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1" w:lineRule="exact"/>
        <w:rPr>
          <w:rFonts w:ascii="Times New Roman" w:cs="Times New Roman" w:eastAsia="Times New Roman" w:hAnsi="Times New Roman"/>
          <w:sz w:val="16"/>
          <w:szCs w:val="16"/>
          <w:color w:val="auto"/>
        </w:rPr>
      </w:pPr>
    </w:p>
    <w:p>
      <w:pPr>
        <w:ind w:left="360" w:right="20" w:hanging="360"/>
        <w:spacing w:after="0" w:line="250" w:lineRule="auto"/>
        <w:tabs>
          <w:tab w:leader="none" w:pos="3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associated with the Special Option Award and post-IPO options awarded in 2019 and payroll taxes associated with the exercise of such options. During the years ended December 31, 2025 and 2024, this adjustment also includes $2.3 million and $1.0 million, respectively, of non-cash stock-based compensation expense and related payroll taxes associated with RSAs and RSUs issued to help retain key ICD employees during the integration of ICD. During the year ended December 31, 2024, this adjustment also includes $2.7 million of non-cash accelerated stock-based compensation expense and related payroll taxes associated with our former President.</w:t>
      </w:r>
    </w:p>
    <w:p>
      <w:pPr>
        <w:spacing w:after="0" w:line="1" w:lineRule="exact"/>
        <w:rPr>
          <w:rFonts w:ascii="Times New Roman" w:cs="Times New Roman" w:eastAsia="Times New Roman" w:hAnsi="Times New Roman"/>
          <w:sz w:val="16"/>
          <w:szCs w:val="16"/>
          <w:color w:val="auto"/>
        </w:rPr>
      </w:pPr>
    </w:p>
    <w:p>
      <w:pPr>
        <w:ind w:left="360" w:right="640" w:hanging="360"/>
        <w:spacing w:after="0" w:line="250" w:lineRule="auto"/>
        <w:tabs>
          <w:tab w:leader="none" w:pos="3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unrealized gain or loss recognized on foreign currency forward contracts and foreign exchange gain or loss from the revaluation of cash denominated in a different currency than the entity’s functional currency.</w:t>
      </w:r>
    </w:p>
    <w:p>
      <w:pPr>
        <w:ind w:left="360" w:right="20" w:hanging="360"/>
        <w:spacing w:after="0" w:line="250" w:lineRule="auto"/>
        <w:tabs>
          <w:tab w:leader="none" w:pos="3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spacing w:after="0" w:line="1" w:lineRule="exact"/>
        <w:rPr>
          <w:rFonts w:ascii="Times New Roman" w:cs="Times New Roman" w:eastAsia="Times New Roman" w:hAnsi="Times New Roman"/>
          <w:sz w:val="16"/>
          <w:szCs w:val="16"/>
          <w:color w:val="auto"/>
        </w:rPr>
      </w:pPr>
    </w:p>
    <w:p>
      <w:pPr>
        <w:jc w:val="both"/>
        <w:ind w:left="360" w:right="40" w:hanging="360"/>
        <w:spacing w:after="0" w:line="255" w:lineRule="auto"/>
        <w:tabs>
          <w:tab w:leader="none" w:pos="3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440"/>
          </w:cols>
          <w:pgMar w:left="900" w:top="838" w:right="900" w:bottom="0" w:gutter="0" w:footer="0" w:header="0"/>
          <w:type w:val="continuous"/>
        </w:sectPr>
      </w:pPr>
    </w:p>
    <w:bookmarkStart w:id="104" w:name="page105"/>
    <w:bookmarkEnd w:id="104"/>
    <w:tbl>
      <w:tblPr>
        <w:tblLayout w:type="fixed"/>
        <w:tblInd w:w="6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2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Basis Point</w:t>
            </w:r>
          </w:p>
        </w:tc>
        <w:tc>
          <w:tcPr>
            <w:tcW w:w="60" w:type="dxa"/>
            <w:vAlign w:val="bottom"/>
          </w:tcPr>
          <w:p>
            <w:pPr>
              <w:spacing w:after="0"/>
              <w:rPr>
                <w:sz w:val="13"/>
                <w:szCs w:val="13"/>
                <w:color w:val="auto"/>
              </w:rPr>
            </w:pPr>
          </w:p>
        </w:tc>
        <w:tc>
          <w:tcPr>
            <w:tcW w:w="12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160"/>
        </w:trPr>
        <w:tc>
          <w:tcPr>
            <w:tcW w:w="5220" w:type="dxa"/>
            <w:vAlign w:val="bottom"/>
          </w:tcPr>
          <w:p>
            <w:pPr>
              <w:spacing w:after="0"/>
              <w:rPr>
                <w:sz w:val="13"/>
                <w:szCs w:val="13"/>
                <w:color w:val="auto"/>
              </w:rPr>
            </w:pPr>
          </w:p>
        </w:tc>
        <w:tc>
          <w:tcPr>
            <w:tcW w:w="1240" w:type="dxa"/>
            <w:vAlign w:val="bottom"/>
            <w:vMerge w:val="restart"/>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vMerge w:val="restart"/>
          </w:tcPr>
          <w:p>
            <w:pPr>
              <w:spacing w:after="0"/>
              <w:rPr>
                <w:sz w:val="13"/>
                <w:szCs w:val="13"/>
                <w:color w:val="auto"/>
              </w:rPr>
            </w:pPr>
          </w:p>
        </w:tc>
        <w:tc>
          <w:tcPr>
            <w:tcW w:w="126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Currency Basis</w:t>
            </w:r>
          </w:p>
        </w:tc>
        <w:tc>
          <w:tcPr>
            <w:tcW w:w="0" w:type="dxa"/>
            <w:vAlign w:val="bottom"/>
          </w:tcPr>
          <w:p>
            <w:pPr>
              <w:spacing w:after="0"/>
              <w:rPr>
                <w:sz w:val="1"/>
                <w:szCs w:val="1"/>
                <w:color w:val="auto"/>
              </w:rPr>
            </w:pPr>
          </w:p>
        </w:tc>
      </w:tr>
      <w:tr>
        <w:trPr>
          <w:trHeight w:val="214"/>
        </w:trPr>
        <w:tc>
          <w:tcPr>
            <w:tcW w:w="52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6"/>
              </w:rPr>
              <w:t xml:space="preserve">Point Change </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322"/>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margin</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53.3 %</w:t>
            </w:r>
          </w:p>
        </w:tc>
        <w:tc>
          <w:tcPr>
            <w:tcW w:w="60" w:type="dxa"/>
            <w:vAlign w:val="bottom"/>
          </w:tcPr>
          <w:p>
            <w:pPr>
              <w:spacing w:after="0"/>
              <w:rPr>
                <w:sz w:val="24"/>
                <w:szCs w:val="24"/>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+64 bps</w:t>
            </w:r>
          </w:p>
        </w:tc>
        <w:tc>
          <w:tcPr>
            <w:tcW w:w="60" w:type="dxa"/>
            <w:vAlign w:val="bottom"/>
          </w:tcPr>
          <w:p>
            <w:pPr>
              <w:spacing w:after="0"/>
              <w:rPr>
                <w:sz w:val="24"/>
                <w:szCs w:val="24"/>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+70 bps</w:t>
            </w:r>
          </w:p>
        </w:tc>
        <w:tc>
          <w:tcPr>
            <w:tcW w:w="0" w:type="dxa"/>
            <w:vAlign w:val="bottom"/>
          </w:tcPr>
          <w:p>
            <w:pPr>
              <w:spacing w:after="0"/>
              <w:rPr>
                <w:sz w:val="1"/>
                <w:szCs w:val="1"/>
                <w:color w:val="auto"/>
              </w:rPr>
            </w:pPr>
          </w:p>
        </w:tc>
      </w:tr>
      <w:tr>
        <w:trPr>
          <w:trHeight w:val="28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 margin</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49.7 %</w:t>
            </w:r>
          </w:p>
        </w:tc>
        <w:tc>
          <w:tcPr>
            <w:tcW w:w="60" w:type="dxa"/>
            <w:vAlign w:val="bottom"/>
          </w:tcPr>
          <w:p>
            <w:pPr>
              <w:spacing w:after="0"/>
              <w:rPr>
                <w:sz w:val="24"/>
                <w:szCs w:val="24"/>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+72 bps</w:t>
            </w:r>
          </w:p>
        </w:tc>
        <w:tc>
          <w:tcPr>
            <w:tcW w:w="60" w:type="dxa"/>
            <w:vAlign w:val="bottom"/>
          </w:tcPr>
          <w:p>
            <w:pPr>
              <w:spacing w:after="0"/>
              <w:rPr>
                <w:sz w:val="24"/>
                <w:szCs w:val="24"/>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+75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143" w:lineRule="exact"/>
        <w:rPr>
          <w:sz w:val="20"/>
          <w:szCs w:val="20"/>
          <w:color w:val="auto"/>
        </w:rPr>
      </w:pPr>
    </w:p>
    <w:p>
      <w:pPr>
        <w:ind w:left="360" w:right="40" w:hanging="360"/>
        <w:spacing w:after="0" w:line="255" w:lineRule="auto"/>
        <w:tabs>
          <w:tab w:leader="none" w:pos="3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164" w:lineRule="exact"/>
        <w:rPr>
          <w:sz w:val="20"/>
          <w:szCs w:val="20"/>
          <w:color w:val="auto"/>
        </w:rPr>
      </w:pPr>
    </w:p>
    <w:p>
      <w:pPr>
        <w:ind w:right="700"/>
        <w:spacing w:after="0" w:line="309" w:lineRule="auto"/>
        <w:rPr>
          <w:sz w:val="20"/>
          <w:szCs w:val="20"/>
          <w:color w:val="auto"/>
        </w:rPr>
      </w:pPr>
      <w:r>
        <w:rPr>
          <w:rFonts w:ascii="Times New Roman" w:cs="Times New Roman" w:eastAsia="Times New Roman" w:hAnsi="Times New Roman"/>
          <w:sz w:val="19"/>
          <w:szCs w:val="19"/>
          <w:color w:val="auto"/>
        </w:rPr>
        <w:t>The table set forth below presents a reconciliation of net income attributable to Tradeweb Markets Inc. and net income, as applicable, to Adjusted Net Income and Adjusted Diluted EPS for the years ended December 31, 2025, 2024 and 2023:</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4"/>
        </w:trPr>
        <w:tc>
          <w:tcPr>
            <w:tcW w:w="6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40" w:type="dxa"/>
            <w:vAlign w:val="bottom"/>
            <w:gridSpan w:val="7"/>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(dollars in thousands, except per share amounts)</w:t>
            </w:r>
          </w:p>
        </w:tc>
        <w:tc>
          <w:tcPr>
            <w:tcW w:w="0" w:type="dxa"/>
            <w:vAlign w:val="bottom"/>
          </w:tcPr>
          <w:p>
            <w:pPr>
              <w:spacing w:after="0"/>
              <w:rPr>
                <w:sz w:val="1"/>
                <w:szCs w:val="1"/>
                <w:color w:val="auto"/>
              </w:rPr>
            </w:pPr>
          </w:p>
        </w:tc>
      </w:tr>
      <w:tr>
        <w:trPr>
          <w:trHeight w:val="271"/>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diluted share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3.78</w:t>
            </w:r>
          </w:p>
        </w:tc>
        <w:tc>
          <w:tcPr>
            <w:tcW w:w="6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520" w:type="dxa"/>
            <w:vAlign w:val="bottom"/>
            <w:vMerge w:val="continue"/>
          </w:tcPr>
          <w:p>
            <w:pPr>
              <w:spacing w:after="0"/>
              <w:rPr>
                <w:sz w:val="22"/>
                <w:szCs w:val="22"/>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812,792</w:t>
            </w:r>
          </w:p>
        </w:tc>
        <w:tc>
          <w:tcPr>
            <w:tcW w:w="6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501,507</w:t>
            </w:r>
          </w:p>
        </w:tc>
        <w:tc>
          <w:tcPr>
            <w:tcW w:w="60" w:type="dxa"/>
            <w:vAlign w:val="bottom"/>
          </w:tcPr>
          <w:p>
            <w:pPr>
              <w:spacing w:after="0"/>
              <w:rPr>
                <w:sz w:val="22"/>
                <w:szCs w:val="22"/>
                <w:color w:val="auto"/>
              </w:rPr>
            </w:pPr>
          </w:p>
        </w:tc>
        <w:tc>
          <w:tcPr>
            <w:tcW w:w="3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364,866</w:t>
            </w:r>
          </w:p>
        </w:tc>
        <w:tc>
          <w:tcPr>
            <w:tcW w:w="0" w:type="dxa"/>
            <w:vAlign w:val="bottom"/>
          </w:tcPr>
          <w:p>
            <w:pPr>
              <w:spacing w:after="0"/>
              <w:rPr>
                <w:sz w:val="1"/>
                <w:szCs w:val="1"/>
                <w:color w:val="auto"/>
              </w:rPr>
            </w:pPr>
          </w:p>
        </w:tc>
      </w:tr>
      <w:tr>
        <w:trPr>
          <w:trHeight w:val="270"/>
        </w:trPr>
        <w:tc>
          <w:tcPr>
            <w:tcW w:w="6520" w:type="dxa"/>
            <w:vAlign w:val="bottom"/>
          </w:tcPr>
          <w:p>
            <w:pPr>
              <w:spacing w:after="0" w:line="270" w:lineRule="exact"/>
              <w:rPr>
                <w:sz w:val="20"/>
                <w:szCs w:val="20"/>
                <w:color w:val="auto"/>
              </w:rPr>
            </w:pPr>
            <w:r>
              <w:rPr>
                <w:rFonts w:ascii="Times New Roman" w:cs="Times New Roman" w:eastAsia="Times New Roman" w:hAnsi="Times New Roman"/>
                <w:sz w:val="20"/>
                <w:szCs w:val="20"/>
                <w:color w:val="auto"/>
              </w:rPr>
              <w:t xml:space="preserve">Net income attributable to non-controlling interests </w:t>
            </w:r>
            <w:r>
              <w:rPr>
                <w:rFonts w:ascii="Times New Roman" w:cs="Times New Roman" w:eastAsia="Times New Roman" w:hAnsi="Times New Roman"/>
                <w:sz w:val="26"/>
                <w:szCs w:val="26"/>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108,708</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68,456</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54,637</w:t>
            </w: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921,500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569,963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419,503</w:t>
            </w:r>
          </w:p>
        </w:tc>
        <w:tc>
          <w:tcPr>
            <w:tcW w:w="0" w:type="dxa"/>
            <w:vAlign w:val="bottom"/>
          </w:tcPr>
          <w:p>
            <w:pPr>
              <w:spacing w:after="0"/>
              <w:rPr>
                <w:sz w:val="1"/>
                <w:szCs w:val="1"/>
                <w:color w:val="auto"/>
              </w:rPr>
            </w:pP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2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253,474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128,477</w:t>
            </w:r>
          </w:p>
        </w:tc>
        <w:tc>
          <w:tcPr>
            <w:tcW w:w="0" w:type="dxa"/>
            <w:vAlign w:val="bottom"/>
          </w:tcPr>
          <w:p>
            <w:pPr>
              <w:spacing w:after="0"/>
              <w:rPr>
                <w:sz w:val="1"/>
                <w:szCs w:val="1"/>
                <w:color w:val="auto"/>
              </w:rPr>
            </w:pPr>
          </w:p>
        </w:tc>
      </w:tr>
      <w:tr>
        <w:trPr>
          <w:trHeight w:val="31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Merger and acquisition transaction and integration costs </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6,891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8,042</w:t>
            </w:r>
          </w:p>
        </w:tc>
        <w:tc>
          <w:tcPr>
            <w:tcW w:w="0" w:type="dxa"/>
            <w:vAlign w:val="bottom"/>
          </w:tcPr>
          <w:p>
            <w:pPr>
              <w:spacing w:after="0"/>
              <w:rPr>
                <w:sz w:val="1"/>
                <w:szCs w:val="1"/>
                <w:color w:val="auto"/>
              </w:rPr>
            </w:pPr>
          </w:p>
        </w:tc>
      </w:tr>
      <w:tr>
        <w:trPr>
          <w:trHeight w:val="285"/>
        </w:trPr>
        <w:tc>
          <w:tcPr>
            <w:tcW w:w="65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D&amp;A related to acquisitions and the Refinitiv Transaction </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176,322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156,489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127,731</w:t>
            </w:r>
          </w:p>
        </w:tc>
        <w:tc>
          <w:tcPr>
            <w:tcW w:w="0" w:type="dxa"/>
            <w:vAlign w:val="bottom"/>
          </w:tcPr>
          <w:p>
            <w:pPr>
              <w:spacing w:after="0"/>
              <w:rPr>
                <w:sz w:val="1"/>
                <w:szCs w:val="1"/>
                <w:color w:val="auto"/>
              </w:rPr>
            </w:pPr>
          </w:p>
        </w:tc>
      </w:tr>
      <w:tr>
        <w:trPr>
          <w:trHeight w:val="264"/>
        </w:trPr>
        <w:tc>
          <w:tcPr>
            <w:tcW w:w="6520" w:type="dxa"/>
            <w:vAlign w:val="bottom"/>
          </w:tcPr>
          <w:p>
            <w:pPr>
              <w:spacing w:after="0" w:line="265" w:lineRule="exact"/>
              <w:rPr>
                <w:sz w:val="20"/>
                <w:szCs w:val="20"/>
                <w:color w:val="auto"/>
              </w:rPr>
            </w:pPr>
            <w:r>
              <w:rPr>
                <w:rFonts w:ascii="Times New Roman" w:cs="Times New Roman" w:eastAsia="Times New Roman" w:hAnsi="Times New Roman"/>
                <w:sz w:val="20"/>
                <w:szCs w:val="20"/>
                <w:color w:val="auto"/>
              </w:rPr>
              <w:t xml:space="preserve">Stock-based compensation expense </w:t>
            </w:r>
            <w:r>
              <w:rPr>
                <w:rFonts w:ascii="Times New Roman" w:cs="Times New Roman" w:eastAsia="Times New Roman" w:hAnsi="Times New Roman"/>
                <w:sz w:val="26"/>
                <w:szCs w:val="26"/>
                <w:color w:val="auto"/>
                <w:vertAlign w:val="superscript"/>
              </w:rPr>
              <w:t>(4)</w:t>
            </w:r>
          </w:p>
        </w:tc>
        <w:tc>
          <w:tcPr>
            <w:tcW w:w="2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2,327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2,947</w:t>
            </w:r>
          </w:p>
        </w:tc>
        <w:tc>
          <w:tcPr>
            <w:tcW w:w="0" w:type="dxa"/>
            <w:vAlign w:val="bottom"/>
          </w:tcPr>
          <w:p>
            <w:pPr>
              <w:spacing w:after="0"/>
              <w:rPr>
                <w:sz w:val="1"/>
                <w:szCs w:val="1"/>
                <w:color w:val="auto"/>
              </w:rPr>
            </w:pPr>
          </w:p>
        </w:tc>
      </w:tr>
      <w:tr>
        <w:trPr>
          <w:trHeight w:val="306"/>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exchange (gains) / losses </w:t>
            </w:r>
            <w:r>
              <w:rPr>
                <w:rFonts w:ascii="Times New Roman" w:cs="Times New Roman" w:eastAsia="Times New Roman" w:hAnsi="Times New Roman"/>
                <w:sz w:val="26"/>
                <w:szCs w:val="26"/>
                <w:color w:val="auto"/>
                <w:vertAlign w:val="superscript"/>
              </w:rPr>
              <w:t>(5)</w:t>
            </w:r>
          </w:p>
        </w:tc>
        <w:tc>
          <w:tcPr>
            <w:tcW w:w="22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13,112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85"/>
        </w:trPr>
        <w:tc>
          <w:tcPr>
            <w:tcW w:w="65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Tax receivable agreement liability adjustment </w:t>
            </w:r>
            <w:r>
              <w:rPr>
                <w:rFonts w:ascii="Times New Roman" w:cs="Times New Roman" w:eastAsia="Times New Roman" w:hAnsi="Times New Roman"/>
                <w:sz w:val="26"/>
                <w:szCs w:val="26"/>
                <w:color w:val="auto"/>
                <w:vertAlign w:val="superscript"/>
              </w:rPr>
              <w:t>(6)</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9,517</w:t>
            </w: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loss, net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(263,384)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13,122</w:t>
            </w: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Income before income taxes</w:t>
            </w:r>
          </w:p>
        </w:tc>
        <w:tc>
          <w:tcPr>
            <w:tcW w:w="2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1,100,456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926,868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709,292</w:t>
            </w:r>
          </w:p>
        </w:tc>
        <w:tc>
          <w:tcPr>
            <w:tcW w:w="0" w:type="dxa"/>
            <w:vAlign w:val="bottom"/>
          </w:tcPr>
          <w:p>
            <w:pPr>
              <w:spacing w:after="0"/>
              <w:rPr>
                <w:sz w:val="1"/>
                <w:szCs w:val="1"/>
                <w:color w:val="auto"/>
              </w:rPr>
            </w:pPr>
          </w:p>
        </w:tc>
      </w:tr>
      <w:tr>
        <w:trPr>
          <w:trHeight w:val="288"/>
        </w:trPr>
        <w:tc>
          <w:tcPr>
            <w:tcW w:w="652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Adjusted income taxes </w:t>
            </w:r>
            <w:r>
              <w:rPr>
                <w:rFonts w:ascii="Times New Roman" w:cs="Times New Roman" w:eastAsia="Times New Roman" w:hAnsi="Times New Roman"/>
                <w:sz w:val="26"/>
                <w:szCs w:val="26"/>
                <w:color w:val="auto"/>
                <w:vertAlign w:val="superscript"/>
              </w:rPr>
              <w:t>(7)</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(275,114)</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(231,717)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(173,777)</w:t>
            </w:r>
          </w:p>
        </w:tc>
        <w:tc>
          <w:tcPr>
            <w:tcW w:w="0" w:type="dxa"/>
            <w:vAlign w:val="bottom"/>
          </w:tcPr>
          <w:p>
            <w:pPr>
              <w:spacing w:after="0"/>
              <w:rPr>
                <w:sz w:val="1"/>
                <w:szCs w:val="1"/>
                <w:color w:val="auto"/>
              </w:rPr>
            </w:pP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Income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825,342</w:t>
            </w: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695,151</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535,515</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line="265" w:lineRule="exact"/>
              <w:rPr>
                <w:sz w:val="20"/>
                <w:szCs w:val="20"/>
                <w:color w:val="auto"/>
              </w:rPr>
            </w:pPr>
            <w:r>
              <w:rPr>
                <w:rFonts w:ascii="Times New Roman" w:cs="Times New Roman" w:eastAsia="Times New Roman" w:hAnsi="Times New Roman"/>
                <w:sz w:val="20"/>
                <w:szCs w:val="20"/>
                <w:color w:val="auto"/>
              </w:rPr>
              <w:t xml:space="preserve">Adjusted Diluted EPS </w:t>
            </w:r>
            <w:r>
              <w:rPr>
                <w:rFonts w:ascii="Times New Roman" w:cs="Times New Roman" w:eastAsia="Times New Roman" w:hAnsi="Times New Roman"/>
                <w:sz w:val="26"/>
                <w:szCs w:val="26"/>
                <w:color w:val="auto"/>
                <w:vertAlign w:val="superscript"/>
              </w:rPr>
              <w:t>(8)</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2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auto"/>
            </w:tcBorders>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rPr>
              <w:t>3.47</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2.92</w:t>
            </w: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2.26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-2745740</wp:posOffset>
            </wp:positionV>
            <wp:extent cx="6654800" cy="2752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extLst>
                    </a:blip>
                    <a:srcRect/>
                    <a:stretch>
                      <a:fillRect/>
                    </a:stretch>
                  </pic:blipFill>
                  <pic:spPr bwMode="auto">
                    <a:xfrm>
                      <a:off x="0" y="0"/>
                      <a:ext cx="6654800" cy="2752725"/>
                    </a:xfrm>
                    <a:prstGeom prst="rect">
                      <a:avLst/>
                    </a:prstGeom>
                    <a:noFill/>
                  </pic:spPr>
                </pic:pic>
              </a:graphicData>
            </a:graphic>
          </wp:anchor>
        </w:drawing>
      </w:r>
    </w:p>
    <w:p>
      <w:pPr>
        <w:spacing w:after="0" w:line="100" w:lineRule="exact"/>
        <w:rPr>
          <w:sz w:val="20"/>
          <w:szCs w:val="20"/>
          <w:color w:val="auto"/>
        </w:rPr>
      </w:pPr>
    </w:p>
    <w:p>
      <w:pPr>
        <w:ind w:left="360" w:right="140" w:hanging="360"/>
        <w:spacing w:after="0" w:line="261" w:lineRule="auto"/>
        <w:tabs>
          <w:tab w:leader="none" w:pos="3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reallocation of net income attributable to non-controlling interests from the assumed exchange of all outstanding LLC Interests held by non-controlling interests for shares of Class A or Class B common stock.</w:t>
      </w:r>
    </w:p>
    <w:p>
      <w:pPr>
        <w:ind w:left="360" w:hanging="360"/>
        <w:spacing w:after="0" w:line="250" w:lineRule="auto"/>
        <w:tabs>
          <w:tab w:leader="none" w:pos="3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1" w:lineRule="exact"/>
        <w:rPr>
          <w:rFonts w:ascii="Times New Roman" w:cs="Times New Roman" w:eastAsia="Times New Roman" w:hAnsi="Times New Roman"/>
          <w:sz w:val="16"/>
          <w:szCs w:val="16"/>
          <w:color w:val="auto"/>
        </w:rPr>
      </w:pPr>
    </w:p>
    <w:p>
      <w:pPr>
        <w:jc w:val="both"/>
        <w:ind w:left="360" w:right="40" w:hanging="360"/>
        <w:spacing w:after="0" w:line="250" w:lineRule="auto"/>
        <w:tabs>
          <w:tab w:leader="none" w:pos="3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6"/>
          <w:szCs w:val="16"/>
          <w:color w:val="auto"/>
        </w:rPr>
      </w:pPr>
    </w:p>
    <w:p>
      <w:pPr>
        <w:ind w:left="360" w:right="20" w:hanging="360"/>
        <w:spacing w:after="0" w:line="250" w:lineRule="auto"/>
        <w:tabs>
          <w:tab w:leader="none" w:pos="3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associated with the Special Option Award and post-IPO options awarded in 2019 and payroll taxes associated with the exercise of such options. During the years ended December 31, 2025 and 2024, this adjustment also includes $2.3 million and $1.0 million, respectively, of non-cash stock-based compensation expense and related payroll taxes associated with RSAs and RSUs issued to help retain key ICD employees during the integration of ICD. During the year ended December 31, 2024, this adjustment also includes $2.7 million of non-cash accelerated stock-based compensation expense and related payroll taxes associated with our former President.</w:t>
      </w:r>
    </w:p>
    <w:p>
      <w:pPr>
        <w:spacing w:after="0" w:line="1" w:lineRule="exact"/>
        <w:rPr>
          <w:rFonts w:ascii="Times New Roman" w:cs="Times New Roman" w:eastAsia="Times New Roman" w:hAnsi="Times New Roman"/>
          <w:sz w:val="16"/>
          <w:szCs w:val="16"/>
          <w:color w:val="auto"/>
        </w:rPr>
      </w:pPr>
    </w:p>
    <w:p>
      <w:pPr>
        <w:ind w:left="360" w:right="640" w:hanging="360"/>
        <w:spacing w:after="0" w:line="250" w:lineRule="auto"/>
        <w:tabs>
          <w:tab w:leader="none" w:pos="3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unrealized gain or loss recognized on foreign currency forward contracts and foreign exchange gain or loss from the revaluation of cash denominated in a different currency than the entity’s functional currency.</w:t>
      </w:r>
    </w:p>
    <w:p>
      <w:pPr>
        <w:ind w:left="360" w:right="20" w:hanging="360"/>
        <w:spacing w:after="0" w:line="250" w:lineRule="auto"/>
        <w:tabs>
          <w:tab w:leader="none" w:pos="3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spacing w:after="0" w:line="1" w:lineRule="exact"/>
        <w:rPr>
          <w:rFonts w:ascii="Times New Roman" w:cs="Times New Roman" w:eastAsia="Times New Roman" w:hAnsi="Times New Roman"/>
          <w:sz w:val="16"/>
          <w:szCs w:val="16"/>
          <w:color w:val="auto"/>
        </w:rPr>
      </w:pPr>
    </w:p>
    <w:p>
      <w:pPr>
        <w:ind w:left="360" w:right="40" w:hanging="360"/>
        <w:spacing w:after="0" w:line="250" w:lineRule="auto"/>
        <w:tabs>
          <w:tab w:leader="none" w:pos="3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corporate income taxes at an assumed effective tax rate of 25.0%, 25.0% and 24.5%, applied to Adjusted Net Income before income taxes for the years ended December 31, 2025, 2024 and 2023, respectively.</w:t>
      </w:r>
    </w:p>
    <w:p>
      <w:pPr>
        <w:ind w:left="360" w:right="480" w:hanging="360"/>
        <w:spacing w:after="0" w:line="260" w:lineRule="auto"/>
        <w:tabs>
          <w:tab w:leader="none" w:pos="3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summary of the calculation of Adjusted Diluted EPS, see “Reconciliation of Diluted Weighted Average Shares Outstanding to Adjusted Diluted Weighted Average Shares Outstanding and Adjusted Diluted EPS” below.</w:t>
      </w:r>
    </w:p>
    <w:p>
      <w:pPr>
        <w:sectPr>
          <w:pgSz w:w="12240" w:h="15840" w:orient="portrait"/>
          <w:cols w:equalWidth="0" w:num="1">
            <w:col w:w="10440"/>
          </w:cols>
          <w:pgMar w:left="900" w:top="913" w:right="90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440"/>
          </w:cols>
          <w:pgMar w:left="900" w:top="913" w:right="90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color w:val="auto"/>
        </w:rPr>
        <w:t>The following table summarizes the calculation of Adjusted Diluted EPS for the years ended December 31, 2025, 2024 and 2023:</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Reconciliation of Diluted Weighted Average Shares Outstanding to Adjusted Diluted</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and Adjusted Diluted EPS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2"/>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Diluted weighted average shares of Class A and Class B common stock</w:t>
            </w:r>
          </w:p>
        </w:tc>
        <w:tc>
          <w:tcPr>
            <w:tcW w:w="160" w:type="dxa"/>
            <w:vAlign w:val="bottom"/>
          </w:tcPr>
          <w:p>
            <w:pPr>
              <w:spacing w:after="0"/>
              <w:rPr>
                <w:sz w:val="21"/>
                <w:szCs w:val="21"/>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w w:val="97"/>
              </w:rPr>
              <w:t>214,898,240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214,924,763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212,668,808</w:t>
            </w:r>
          </w:p>
        </w:tc>
        <w:tc>
          <w:tcPr>
            <w:tcW w:w="0" w:type="dxa"/>
            <w:vAlign w:val="bottom"/>
          </w:tcPr>
          <w:p>
            <w:pPr>
              <w:spacing w:after="0"/>
              <w:rPr>
                <w:sz w:val="1"/>
                <w:szCs w:val="1"/>
                <w:color w:val="auto"/>
              </w:rPr>
            </w:pPr>
          </w:p>
        </w:tc>
      </w:tr>
      <w:tr>
        <w:trPr>
          <w:trHeight w:val="260"/>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outstanding</w:t>
            </w: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580" w:type="dxa"/>
            <w:vAlign w:val="bottom"/>
            <w:gridSpan w:val="2"/>
          </w:tcPr>
          <w:p>
            <w:pPr>
              <w:ind w:left="60"/>
              <w:spacing w:after="0" w:line="290" w:lineRule="exact"/>
              <w:rPr>
                <w:sz w:val="20"/>
                <w:szCs w:val="20"/>
                <w:color w:val="auto"/>
              </w:rPr>
            </w:pPr>
            <w:r>
              <w:rPr>
                <w:rFonts w:ascii="Times New Roman" w:cs="Times New Roman" w:eastAsia="Times New Roman" w:hAnsi="Times New Roman"/>
                <w:sz w:val="20"/>
                <w:szCs w:val="20"/>
                <w:color w:val="auto"/>
              </w:rPr>
              <w:t xml:space="preserve">Weighted average of other participating securities </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167,018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165,565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270,249</w:t>
            </w:r>
          </w:p>
        </w:tc>
        <w:tc>
          <w:tcPr>
            <w:tcW w:w="0" w:type="dxa"/>
            <w:vAlign w:val="bottom"/>
          </w:tcPr>
          <w:p>
            <w:pPr>
              <w:spacing w:after="0"/>
              <w:rPr>
                <w:sz w:val="1"/>
                <w:szCs w:val="1"/>
                <w:color w:val="auto"/>
              </w:rPr>
            </w:pPr>
          </w:p>
        </w:tc>
      </w:tr>
      <w:tr>
        <w:trPr>
          <w:trHeight w:val="200"/>
        </w:trPr>
        <w:tc>
          <w:tcPr>
            <w:tcW w:w="658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Assumed exchange of LLC Interests for shares of Class A or Class B common</w:t>
            </w:r>
          </w:p>
        </w:tc>
        <w:tc>
          <w:tcPr>
            <w:tcW w:w="160" w:type="dxa"/>
            <w:vAlign w:val="bottom"/>
          </w:tcPr>
          <w:p>
            <w:pPr>
              <w:spacing w:after="0"/>
              <w:rPr>
                <w:sz w:val="17"/>
                <w:szCs w:val="17"/>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23,063,110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23,076,373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23,902,379</w:t>
            </w:r>
          </w:p>
        </w:tc>
        <w:tc>
          <w:tcPr>
            <w:tcW w:w="0" w:type="dxa"/>
            <w:vAlign w:val="bottom"/>
          </w:tcPr>
          <w:p>
            <w:pPr>
              <w:spacing w:after="0"/>
              <w:rPr>
                <w:sz w:val="1"/>
                <w:szCs w:val="1"/>
                <w:color w:val="auto"/>
              </w:rPr>
            </w:pPr>
          </w:p>
        </w:tc>
      </w:tr>
      <w:tr>
        <w:trPr>
          <w:trHeight w:val="263"/>
        </w:trPr>
        <w:tc>
          <w:tcPr>
            <w:tcW w:w="6580" w:type="dxa"/>
            <w:vAlign w:val="bottom"/>
            <w:gridSpan w:val="2"/>
          </w:tcPr>
          <w:p>
            <w:pPr>
              <w:ind w:left="60"/>
              <w:spacing w:after="0" w:line="263" w:lineRule="exact"/>
              <w:rPr>
                <w:sz w:val="20"/>
                <w:szCs w:val="20"/>
                <w:color w:val="auto"/>
              </w:rPr>
            </w:pPr>
            <w:r>
              <w:rPr>
                <w:rFonts w:ascii="Times New Roman" w:cs="Times New Roman" w:eastAsia="Times New Roman" w:hAnsi="Times New Roman"/>
                <w:sz w:val="20"/>
                <w:szCs w:val="20"/>
                <w:color w:val="auto"/>
              </w:rPr>
              <w:t xml:space="preserve">stock </w:t>
            </w:r>
            <w:r>
              <w:rPr>
                <w:rFonts w:ascii="Times New Roman" w:cs="Times New Roman" w:eastAsia="Times New Roman" w:hAnsi="Times New Roman"/>
                <w:sz w:val="26"/>
                <w:szCs w:val="26"/>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Adjusted diluted weighted average shares outstanding</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w w:val="97"/>
              </w:rPr>
              <w:t>238,128,368</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238,166,701</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236,841,436</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Adjusted Net Income (in thousands)</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80" w:type="dxa"/>
            <w:vAlign w:val="bottom"/>
            <w:gridSpan w:val="2"/>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825,342</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695,151</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535,515</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Adjusted Diluted EPS</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80" w:type="dxa"/>
            <w:vAlign w:val="bottom"/>
            <w:gridSpan w:val="2"/>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3.47</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2.92</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2.26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-1345565</wp:posOffset>
            </wp:positionV>
            <wp:extent cx="6654800" cy="1352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extLst>
                    </a:blip>
                    <a:srcRect/>
                    <a:stretch>
                      <a:fillRect/>
                    </a:stretch>
                  </pic:blipFill>
                  <pic:spPr bwMode="auto">
                    <a:xfrm>
                      <a:off x="0" y="0"/>
                      <a:ext cx="6654800" cy="1352550"/>
                    </a:xfrm>
                    <a:prstGeom prst="rect">
                      <a:avLst/>
                    </a:prstGeom>
                    <a:noFill/>
                  </pic:spPr>
                </pic:pic>
              </a:graphicData>
            </a:graphic>
          </wp:anchor>
        </w:drawing>
      </w:r>
    </w:p>
    <w:p>
      <w:pPr>
        <w:spacing w:after="0" w:line="100" w:lineRule="exact"/>
        <w:rPr>
          <w:sz w:val="20"/>
          <w:szCs w:val="20"/>
          <w:color w:val="auto"/>
        </w:rPr>
      </w:pPr>
    </w:p>
    <w:p>
      <w:pPr>
        <w:ind w:left="360" w:right="380" w:hanging="360"/>
        <w:spacing w:after="0" w:line="272" w:lineRule="auto"/>
        <w:tabs>
          <w:tab w:leader="none" w:pos="36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audited consolidated financial statements included elsewhere in this Annual Report on Form 10-K for a discussion of the two-class method.</w:t>
      </w:r>
    </w:p>
    <w:p>
      <w:pPr>
        <w:spacing w:after="0" w:line="2" w:lineRule="exact"/>
        <w:rPr>
          <w:rFonts w:ascii="Times New Roman" w:cs="Times New Roman" w:eastAsia="Times New Roman" w:hAnsi="Times New Roman"/>
          <w:sz w:val="15"/>
          <w:szCs w:val="15"/>
          <w:color w:val="auto"/>
        </w:rPr>
      </w:pPr>
    </w:p>
    <w:p>
      <w:pPr>
        <w:jc w:val="both"/>
        <w:ind w:left="360" w:right="500" w:hanging="360"/>
        <w:spacing w:after="0" w:line="294" w:lineRule="auto"/>
        <w:tabs>
          <w:tab w:leader="none" w:pos="36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forms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audited consolidated financial statements included elsewhere in this Annual Report on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We enter into contracts with our clients to provide a stand-ready connection to our electronic marketplaces, which facilitates the execution of trades by our clients. The access to our electronic marketplaces includes market data and continuous pricing data refreshes and the processing and reporting of trades thereon, which are highly interrelated services. The stand-ready connection to our electronic marketplaces is considered a single performance obligation satisfied over time as the client simultaneously receives and consumes the benefit from our performance as access is provided. This performance obligation constitutes a series of services that are substantially the same in nature and are provided over time using the same measure of progress.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440"/>
          </w:cols>
          <w:pgMar w:left="900" w:top="838" w:right="900" w:bottom="0" w:gutter="0" w:footer="0" w:header="0"/>
          <w:type w:val="continuous"/>
        </w:sectPr>
      </w:pPr>
    </w:p>
    <w:bookmarkStart w:id="106" w:name="page107"/>
    <w:bookmarkEnd w:id="106"/>
    <w:p>
      <w:pPr>
        <w:ind w:right="40"/>
        <w:spacing w:after="0" w:line="253" w:lineRule="auto"/>
        <w:rPr>
          <w:sz w:val="20"/>
          <w:szCs w:val="20"/>
          <w:color w:val="auto"/>
        </w:rPr>
      </w:pPr>
      <w:r>
        <w:rPr>
          <w:rFonts w:ascii="Times New Roman" w:cs="Times New Roman" w:eastAsia="Times New Roman" w:hAnsi="Times New Roman"/>
          <w:sz w:val="20"/>
          <w:szCs w:val="20"/>
          <w:color w:val="auto"/>
        </w:rPr>
        <w:t>For our services, we may earn subscription fees for granting access to our electronic marketplaces. We may also earn transaction fees and/or commissions from transactions executed on our trading platform, including the basis point commissions earned on the monthly ADB of money market fund investments made through our ICD Portal and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and commissions or monthly transaction fee and commission minimums are generally earned on a monthly basis in the period the stand-ready trading services are provided. Variable transaction fee and commission revenue associated with a particular trade is recognized and recorded on a trade-date basis when the individual trade occurs. Variable commission revenue based upon a clients’ ADB invested in money market funds during a calendar month is recorded monthly. Variable discounts or rebates on transaction fees and commissions are generally earned and applied monthly or quarterly, are resolved within the same reporting period and are recorded as a reduction to revenue in the period the relevant trades occur.</w:t>
      </w:r>
    </w:p>
    <w:p>
      <w:pPr>
        <w:spacing w:after="0" w:line="173"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20"/>
          <w:szCs w:val="20"/>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contact period, as the data is provided, and fees for historical data sets which are recognized when the historical data set is provided to LSEG.</w:t>
      </w:r>
    </w:p>
    <w:p>
      <w:pPr>
        <w:spacing w:after="0" w:line="163"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20"/>
          <w:szCs w:val="20"/>
          <w:color w:val="auto"/>
        </w:rPr>
        <w:t>We are required to make significant judgments for the LSEG market data fees. Significant judgments used in accounting for this contract include the following determinations:</w:t>
      </w:r>
    </w:p>
    <w:p>
      <w:pPr>
        <w:spacing w:after="0" w:line="141" w:lineRule="exact"/>
        <w:rPr>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real-time market data feeds and historical data sets are distinct performance obligations.</w:t>
      </w:r>
    </w:p>
    <w:p>
      <w:pPr>
        <w:spacing w:after="0" w:line="210" w:lineRule="exact"/>
        <w:rPr>
          <w:rFonts w:ascii="Times New Roman" w:cs="Times New Roman" w:eastAsia="Times New Roman" w:hAnsi="Times New Roman"/>
          <w:sz w:val="20"/>
          <w:szCs w:val="20"/>
          <w:color w:val="auto"/>
        </w:rPr>
      </w:pPr>
    </w:p>
    <w:p>
      <w:pPr>
        <w:ind w:left="720" w:right="100" w:hanging="360"/>
        <w:spacing w:after="0" w:line="281"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obligations under this contract are recognized over time from the initial delivery of the data feeds until the end of the contract term or at a point in time upon delivery of each historical data set.</w:t>
      </w:r>
    </w:p>
    <w:p>
      <w:pPr>
        <w:spacing w:after="0" w:line="141"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63"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20"/>
          <w:szCs w:val="20"/>
          <w:color w:val="auto"/>
        </w:rPr>
        <w:t>During each of the years ended December 31, 2025, 2024 and 2023, there were no material changes in the methodology or assumptions used to determine the LSEG market data fees.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1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20"/>
          <w:szCs w:val="20"/>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w:t>
      </w:r>
    </w:p>
    <w:p>
      <w:pPr>
        <w:spacing w:after="0" w:line="15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For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17, 2025, we granted 65,532 PSUs with a grant date fair value totaling $14.2 million, which will be amortized into expense on a straight-line basis through December 31, 2027. The significant assumptions used in determining the grant date fair value of the award were a maturity of 2.8 years, annualized volatility of 25.04% and a risk-free interest rate of 3.95%. A change in any of the assumptions used to value these awards could materially affect stock-based compensation expense recorded in the current and future periods. During each of the years ended December 31, 2025, 2024 and 2023, there were no material changes in the methodology or assumptions used to determine the valuation of our annual PSU grants.</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420"/>
          </w:cols>
          <w:pgMar w:left="900" w:top="838" w:right="920" w:bottom="0" w:gutter="0" w:footer="0" w:header="0"/>
          <w:type w:val="continuous"/>
        </w:sectPr>
      </w:pPr>
    </w:p>
    <w:bookmarkStart w:id="107" w:name="page108"/>
    <w:bookmarkEnd w:id="107"/>
    <w:p>
      <w:pPr>
        <w:ind w:right="140"/>
        <w:spacing w:after="0" w:line="254" w:lineRule="auto"/>
        <w:rPr>
          <w:sz w:val="20"/>
          <w:szCs w:val="20"/>
          <w:color w:val="auto"/>
        </w:rPr>
      </w:pPr>
      <w:r>
        <w:rPr>
          <w:rFonts w:ascii="Times New Roman" w:cs="Times New Roman" w:eastAsia="Times New Roman" w:hAnsi="Times New Roman"/>
          <w:sz w:val="20"/>
          <w:szCs w:val="20"/>
          <w:color w:val="auto"/>
        </w:rPr>
        <w:t>For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For PRSUs granted during 2025 and 2024, the financial performance of the Company will be determined based on the compound annual growth rate over a three-year performance period beginning on January 1 in the year of grant and the performance modifier can vary between 0% (minimum) and 250% (maximum) of the target (100%) award amount. As of December 31, 2025, a 10% decrease in the estimated final share payouts would decrease the total expense recognized for these awards for the year ended December 31, 2025 by approximately $4.1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December 31, 2025 and December 31, 2024, we had a valuation allowance established on our deferred tax assets totaling</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$3.0 million and $1.7 million, respectively.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9 – Income Taxes to our audited consolidated financial statements included elsewhere in this Annual Report on Form 10-K.</w:t>
      </w:r>
    </w:p>
    <w:p>
      <w:pPr>
        <w:spacing w:after="0" w:line="17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9"/>
          <w:szCs w:val="19"/>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ectPr>
          <w:pgSz w:w="12240" w:h="15840" w:orient="portrait"/>
          <w:cols w:equalWidth="0" w:num="1">
            <w:col w:w="10440"/>
          </w:cols>
          <w:pgMar w:left="900" w:top="838" w:right="900" w:bottom="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440"/>
          </w:cols>
          <w:pgMar w:left="900" w:top="838" w:right="900" w:bottom="0" w:gutter="0" w:footer="0" w:header="0"/>
          <w:type w:val="continuous"/>
        </w:sectPr>
      </w:pPr>
    </w:p>
    <w:bookmarkStart w:id="108" w:name="page109"/>
    <w:bookmarkEnd w:id="108"/>
    <w:p>
      <w:pPr>
        <w:ind w:right="100"/>
        <w:spacing w:after="0" w:line="266" w:lineRule="auto"/>
        <w:rPr>
          <w:sz w:val="20"/>
          <w:szCs w:val="20"/>
          <w:color w:val="auto"/>
        </w:rPr>
      </w:pPr>
      <w:r>
        <w:rPr>
          <w:rFonts w:ascii="Times New Roman" w:cs="Times New Roman" w:eastAsia="Times New Roman" w:hAnsi="Times New Roman"/>
          <w:sz w:val="20"/>
          <w:szCs w:val="20"/>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1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auto"/>
        </w:rPr>
        <w:t>See Note 2 – Significant Accounting Policies to our audited consolidated financial statements included elsewhere in this Annual Report on Form 10-K for a discussion of recent accounting pronouncements.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and Derivative Risk</w:t>
      </w:r>
    </w:p>
    <w:p>
      <w:pPr>
        <w:spacing w:after="0" w:line="2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We have global operations and substantial portions of our revenues, expenses, assets and liabilities are generated and denominated in non-U.S. dollar currencies.</w:t>
      </w:r>
    </w:p>
    <w:p>
      <w:pPr>
        <w:spacing w:after="0" w:line="14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shows the percentage breakdown of our revenue and operating expenses denominated in currencies other than the U.S. dollar for the years ended December 31, 2025, 2024 and 2023:</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1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1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87"/>
        </w:trPr>
        <w:tc>
          <w:tcPr>
            <w:tcW w:w="6520" w:type="dxa"/>
            <w:vAlign w:val="bottom"/>
          </w:tcPr>
          <w:p>
            <w:pPr>
              <w:spacing w:after="0" w:line="287" w:lineRule="exact"/>
              <w:rPr>
                <w:sz w:val="20"/>
                <w:szCs w:val="20"/>
                <w:color w:val="auto"/>
              </w:rPr>
            </w:pPr>
            <w:r>
              <w:rPr>
                <w:rFonts w:ascii="Times New Roman" w:cs="Times New Roman" w:eastAsia="Times New Roman" w:hAnsi="Times New Roman"/>
                <w:sz w:val="20"/>
                <w:szCs w:val="20"/>
                <w:color w:val="auto"/>
              </w:rPr>
              <w:t xml:space="preserve">% of revenue denominated in foreign currencies </w:t>
            </w:r>
            <w:r>
              <w:rPr>
                <w:rFonts w:ascii="Times New Roman" w:cs="Times New Roman" w:eastAsia="Times New Roman" w:hAnsi="Times New Roman"/>
                <w:sz w:val="26"/>
                <w:szCs w:val="26"/>
                <w:color w:val="auto"/>
                <w:vertAlign w:val="superscript"/>
              </w:rPr>
              <w:t>(1)</w:t>
            </w:r>
          </w:p>
        </w:tc>
        <w:tc>
          <w:tcPr>
            <w:tcW w:w="12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30%</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29%</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28%</w:t>
            </w:r>
          </w:p>
        </w:tc>
      </w:tr>
      <w:tr>
        <w:trPr>
          <w:trHeight w:val="35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 of operating expenses denominated in foreign currencies </w:t>
            </w:r>
            <w:r>
              <w:rPr>
                <w:rFonts w:ascii="Times New Roman" w:cs="Times New Roman" w:eastAsia="Times New Roman" w:hAnsi="Times New Roman"/>
                <w:sz w:val="26"/>
                <w:szCs w:val="26"/>
                <w:color w:val="auto"/>
                <w:vertAlign w:val="superscript"/>
              </w:rPr>
              <w:t>(2)</w:t>
            </w:r>
          </w:p>
        </w:tc>
        <w:tc>
          <w:tcPr>
            <w:tcW w:w="12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16%</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16%</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20"/>
                <w:szCs w:val="20"/>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-422275</wp:posOffset>
            </wp:positionV>
            <wp:extent cx="6654800" cy="387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5">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54" w:lineRule="exact"/>
        <w:rPr>
          <w:sz w:val="20"/>
          <w:szCs w:val="20"/>
          <w:color w:val="auto"/>
        </w:rPr>
      </w:pPr>
    </w:p>
    <w:p>
      <w:pPr>
        <w:ind w:left="360" w:hanging="360"/>
        <w:spacing w:after="0"/>
        <w:tabs>
          <w:tab w:leader="none" w:pos="3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in foreign currencies is primarily denominated in euros.</w:t>
      </w:r>
    </w:p>
    <w:p>
      <w:pPr>
        <w:spacing w:after="0" w:line="24"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 foreign currencies are primarily denominated in British pounds sterling.</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Realized and unrealized losses from foreign currency remeasurement of transactions in nonfunctional currencies recognized in the consolidated statements of income within general and administrative expense totaled a gain of $3.9 million, a loss of $4.5 million and a loss of $1.6 million for the years ended December 31, 2025, 2024 and 2023, respectively.</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Since our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7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years ended December 31, 2025, 2024 and 2023:</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Euros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British pound sterling</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440"/>
          </w:cols>
          <w:pgMar w:left="900" w:top="838" w:right="900" w:bottom="0" w:gutter="0" w:footer="0" w:header="0"/>
          <w:type w:val="continuous"/>
        </w:sectPr>
      </w:pPr>
    </w:p>
    <w:bookmarkStart w:id="109" w:name="page110"/>
    <w:bookmarkEnd w:id="109"/>
    <w:p>
      <w:pPr>
        <w:ind w:right="260"/>
        <w:spacing w:after="0" w:line="281" w:lineRule="auto"/>
        <w:rPr>
          <w:sz w:val="20"/>
          <w:szCs w:val="20"/>
          <w:color w:val="auto"/>
        </w:rPr>
      </w:pPr>
      <w:r>
        <w:rPr>
          <w:rFonts w:ascii="Times New Roman" w:cs="Times New Roman" w:eastAsia="Times New Roman" w:hAnsi="Times New Roman"/>
          <w:sz w:val="20"/>
          <w:szCs w:val="20"/>
          <w:color w:val="auto"/>
        </w:rPr>
        <w:t>The following table shows the change in revenue and operating income caused by fluctuations in foreign currency rates used in translation during the years ended December 31, 2025, 2024 and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Impact of Foreign Currency Rate Fluctuations (dollars in thousands)</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Increase (decrease) in revenue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22,900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6,300</w:t>
            </w:r>
          </w:p>
        </w:tc>
      </w:tr>
      <w:tr>
        <w:trPr>
          <w:trHeight w:val="285"/>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Increase (decrease) in operating income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18,200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3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years ended December 31, 2025,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r>
      <w:tr>
        <w:trPr>
          <w:trHeight w:val="220"/>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Hypothetical 10% Change in Value of U.S. Dollar (dollars in thousands)</w:t>
            </w:r>
          </w:p>
        </w:tc>
        <w:tc>
          <w:tcPr>
            <w:tcW w:w="34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65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All currencies</w:t>
            </w: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83"/>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Effect of 10% change on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41,800</w:t>
            </w:r>
          </w:p>
        </w:tc>
      </w:tr>
      <w:tr>
        <w:trPr>
          <w:trHeight w:val="285"/>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Effect of 10% change on 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27,000</w:t>
            </w:r>
          </w:p>
        </w:tc>
      </w:tr>
      <w:tr>
        <w:trPr>
          <w:trHeight w:val="285"/>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Euros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85"/>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Effect of 10% change on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37,500</w:t>
            </w:r>
          </w:p>
        </w:tc>
      </w:tr>
      <w:tr>
        <w:trPr>
          <w:trHeight w:val="285"/>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Effect of 10% change on 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35,600</w:t>
            </w:r>
          </w:p>
        </w:tc>
      </w:tr>
      <w:tr>
        <w:trPr>
          <w:trHeight w:val="285"/>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British pound sterling</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85"/>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Effect of 10% change on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w:t>
            </w:r>
          </w:p>
        </w:tc>
      </w:tr>
      <w:tr>
        <w:trPr>
          <w:trHeight w:val="285"/>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Effect of 10% change on 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-1270635</wp:posOffset>
            </wp:positionV>
            <wp:extent cx="6654800" cy="206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8">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-908685</wp:posOffset>
            </wp:positionV>
            <wp:extent cx="6654800" cy="206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-546735</wp:posOffset>
            </wp:positionV>
            <wp:extent cx="6654800" cy="2063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-184785</wp:posOffset>
            </wp:positionV>
            <wp:extent cx="6654800" cy="2063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-1632585</wp:posOffset>
            </wp:positionV>
            <wp:extent cx="6654800" cy="206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have derivative risk relating to our foreign exchange derivative contracts. We enter into foreign currency forward contracts to mitigate our U.S. dollar and British pound sterling versus euro exposure, generally with a duration of not more than 12 months. In June 2023, we also entered into a foreign currency call option on Australian dollars, in order to partially mitigate the Company’s U.S. dollar versus Australian dollar foreign exchange exposure on the then-anticipated payment of the Australian dollar denominated purchase price for the Yieldbroker acquisition. The out-of-the-money foreign currency call option was unwound in August 2023 and we recognized losses during the year ended December 31, 2023 totaling $1.3 million relating to this option. We do not use derivative instruments for trading or speculative purposes.</w:t>
      </w:r>
    </w:p>
    <w:p>
      <w:pPr>
        <w:spacing w:after="0" w:line="1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As of December 31, 2025 and 2024, the notional amount of our foreign currency forward contracts was $339.8 million and $238.2 million, respectively. Realized and unrealized gains on foreign currency forward contracts totaled a loss of $21.0 million, a gain of $15.0 million and a gain of $0.8 million for the years ended December 31, 2025, 2024 and 2023, respectively.</w:t>
      </w:r>
    </w:p>
    <w:p>
      <w:pPr>
        <w:spacing w:after="0" w:line="15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December 31, 2025 and 2024, the counterparty on each of the foreign exchange derivative contracts was an affiliate of LSEG.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21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6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We have credit risk relating to our receivables, which are primarily receivables from financial institutions, including investment managers and brokers and dealers. As of December 31, 2025 and 2024, the allowance for credit losses with regard to these receivables totaled $0.6 million and $0.4 million, respectively.</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440"/>
          </w:cols>
          <w:pgMar w:left="900" w:top="838" w:right="900" w:bottom="0" w:gutter="0" w:footer="0" w:header="0"/>
          <w:type w:val="continuous"/>
        </w:sectPr>
      </w:pPr>
    </w:p>
    <w:bookmarkStart w:id="110" w:name="page111"/>
    <w:bookmarkEnd w:id="110"/>
    <w:p>
      <w:pPr>
        <w:spacing w:after="0" w:line="258" w:lineRule="auto"/>
        <w:rPr>
          <w:sz w:val="20"/>
          <w:szCs w:val="20"/>
          <w:color w:val="auto"/>
        </w:rPr>
      </w:pPr>
      <w:r>
        <w:rPr>
          <w:rFonts w:ascii="Times New Roman" w:cs="Times New Roman" w:eastAsia="Times New Roman" w:hAnsi="Times New Roman"/>
          <w:sz w:val="20"/>
          <w:szCs w:val="20"/>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Additionally, in the normal course of business, the Company, as an introducing broker, executes transactions on behalf of or with clients of the Company, which are cleared by a clearing broker. Under the arrangement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64"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20"/>
          <w:szCs w:val="20"/>
          <w:color w:val="auto"/>
        </w:rPr>
        <w:t>We also have credit risk relating to our investments in a digital asset loan receivable and available-for-sale debt securities. As of December 31, 2025, the Company maintained an allowance for credit loss with regards to its digital asset loan receivable totaling $0.2 million. There was no allowance for credit losses recorded on available-for-sale debt securities as of December 31, 2025 and 2024.</w:t>
      </w:r>
    </w:p>
    <w:p>
      <w:pPr>
        <w:spacing w:after="0" w:line="16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ectPr>
          <w:pgSz w:w="12240" w:h="15840" w:orient="portrait"/>
          <w:cols w:equalWidth="0" w:num="1">
            <w:col w:w="10400"/>
          </w:cols>
          <w:pgMar w:left="900" w:top="8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400"/>
          </w:cols>
          <w:pgMar w:left="900" w:top="838" w:right="94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347"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34"/>
        </w:trPr>
        <w:tc>
          <w:tcPr>
            <w:tcW w:w="6400" w:type="dxa"/>
            <w:vAlign w:val="bottom"/>
            <w:gridSpan w:val="8"/>
          </w:tcPr>
          <w:p>
            <w:pPr>
              <w:spacing w:after="0"/>
              <w:rPr>
                <w:sz w:val="20"/>
                <w:szCs w:val="20"/>
                <w:color w:val="auto"/>
              </w:rPr>
            </w:pPr>
            <w:r>
              <w:rPr>
                <w:rFonts w:ascii="Times New Roman" w:cs="Times New Roman" w:eastAsia="Times New Roman" w:hAnsi="Times New Roman"/>
                <w:sz w:val="20"/>
                <w:szCs w:val="20"/>
                <w:color w:val="282828"/>
                <w:w w:val="99"/>
              </w:rPr>
              <w:t>Reports of Independent Registered Public Accounting Firm (PCAOB ID N</w:t>
            </w:r>
            <w:r>
              <w:rPr>
                <w:rFonts w:ascii="Times New Roman" w:cs="Times New Roman" w:eastAsia="Times New Roman" w:hAnsi="Times New Roman"/>
                <w:sz w:val="20"/>
                <w:szCs w:val="20"/>
                <w:color w:val="3F3F3F"/>
                <w:w w:val="99"/>
              </w:rPr>
              <w:t>o.34)</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103</w:t>
            </w:r>
          </w:p>
        </w:tc>
      </w:tr>
      <w:tr>
        <w:trPr>
          <w:trHeight w:val="280"/>
        </w:trPr>
        <w:tc>
          <w:tcPr>
            <w:tcW w:w="3840" w:type="dxa"/>
            <w:vAlign w:val="bottom"/>
            <w:tcBorders>
              <w:top w:val="single" w:sz="8" w:color="282828"/>
              <w:bottom w:val="single" w:sz="8" w:color="282828"/>
            </w:tcBorders>
            <w:gridSpan w:val="5"/>
          </w:tcPr>
          <w:p>
            <w:pPr>
              <w:spacing w:after="0"/>
              <w:rPr>
                <w:sz w:val="20"/>
                <w:szCs w:val="20"/>
                <w:color w:val="auto"/>
              </w:rPr>
            </w:pPr>
            <w:r>
              <w:rPr>
                <w:rFonts w:ascii="Times New Roman" w:cs="Times New Roman" w:eastAsia="Times New Roman" w:hAnsi="Times New Roman"/>
                <w:sz w:val="20"/>
                <w:szCs w:val="20"/>
                <w:color w:val="282828"/>
                <w:w w:val="99"/>
              </w:rPr>
              <w:t>Consolidated Statements of Financial Condition</w:t>
            </w:r>
          </w:p>
        </w:tc>
        <w:tc>
          <w:tcPr>
            <w:tcW w:w="2160" w:type="dxa"/>
            <w:vAlign w:val="bottom"/>
            <w:tcBorders>
              <w:top w:val="single" w:sz="8" w:color="282828"/>
            </w:tcBorders>
            <w:gridSpan w:val="2"/>
          </w:tcPr>
          <w:p>
            <w:pPr>
              <w:spacing w:after="0"/>
              <w:rPr>
                <w:sz w:val="24"/>
                <w:szCs w:val="24"/>
                <w:color w:val="auto"/>
              </w:rPr>
            </w:pPr>
          </w:p>
        </w:tc>
        <w:tc>
          <w:tcPr>
            <w:tcW w:w="400" w:type="dxa"/>
            <w:vAlign w:val="bottom"/>
            <w:tcBorders>
              <w:top w:val="single" w:sz="8" w:color="3F3F3F"/>
            </w:tcBorders>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107</w:t>
            </w:r>
          </w:p>
        </w:tc>
      </w:tr>
      <w:tr>
        <w:trPr>
          <w:trHeight w:val="280"/>
        </w:trPr>
        <w:tc>
          <w:tcPr>
            <w:tcW w:w="2840" w:type="dxa"/>
            <w:vAlign w:val="bottom"/>
            <w:tcBorders>
              <w:bottom w:val="single" w:sz="8" w:color="282828"/>
            </w:tcBorders>
          </w:tcPr>
          <w:p>
            <w:pPr>
              <w:spacing w:after="0"/>
              <w:rPr>
                <w:sz w:val="20"/>
                <w:szCs w:val="20"/>
                <w:color w:val="auto"/>
              </w:rPr>
            </w:pPr>
            <w:r>
              <w:rPr>
                <w:rFonts w:ascii="Times New Roman" w:cs="Times New Roman" w:eastAsia="Times New Roman" w:hAnsi="Times New Roman"/>
                <w:sz w:val="20"/>
                <w:szCs w:val="20"/>
                <w:color w:val="282828"/>
                <w:w w:val="98"/>
              </w:rPr>
              <w:t>Consolidated Statements of Income</w:t>
            </w:r>
          </w:p>
        </w:tc>
        <w:tc>
          <w:tcPr>
            <w:tcW w:w="3560" w:type="dxa"/>
            <w:vAlign w:val="bottom"/>
            <w:gridSpan w:val="7"/>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108</w:t>
            </w:r>
          </w:p>
        </w:tc>
      </w:tr>
      <w:tr>
        <w:trPr>
          <w:trHeight w:val="280"/>
        </w:trPr>
        <w:tc>
          <w:tcPr>
            <w:tcW w:w="6400" w:type="dxa"/>
            <w:vAlign w:val="bottom"/>
            <w:gridSpan w:val="8"/>
          </w:tcPr>
          <w:p>
            <w:pPr>
              <w:spacing w:after="0"/>
              <w:rPr>
                <w:sz w:val="20"/>
                <w:szCs w:val="20"/>
                <w:color w:val="auto"/>
              </w:rPr>
            </w:pPr>
            <w:r>
              <w:rPr>
                <w:rFonts w:ascii="Times New Roman" w:cs="Times New Roman" w:eastAsia="Times New Roman" w:hAnsi="Times New Roman"/>
                <w:sz w:val="20"/>
                <w:szCs w:val="20"/>
                <w:color w:val="282828"/>
              </w:rPr>
              <w:t>Consolidated Statements of Comprehensive Income</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109</w:t>
            </w:r>
          </w:p>
        </w:tc>
      </w:tr>
      <w:tr>
        <w:trPr>
          <w:trHeight w:val="280"/>
        </w:trPr>
        <w:tc>
          <w:tcPr>
            <w:tcW w:w="3720" w:type="dxa"/>
            <w:vAlign w:val="bottom"/>
            <w:tcBorders>
              <w:top w:val="single" w:sz="8" w:color="282828"/>
              <w:bottom w:val="single" w:sz="8" w:color="282828"/>
            </w:tcBorders>
            <w:gridSpan w:val="4"/>
          </w:tcPr>
          <w:p>
            <w:pPr>
              <w:spacing w:after="0"/>
              <w:rPr>
                <w:sz w:val="20"/>
                <w:szCs w:val="20"/>
                <w:color w:val="auto"/>
              </w:rPr>
            </w:pPr>
            <w:r>
              <w:rPr>
                <w:rFonts w:ascii="Times New Roman" w:cs="Times New Roman" w:eastAsia="Times New Roman" w:hAnsi="Times New Roman"/>
                <w:sz w:val="20"/>
                <w:szCs w:val="20"/>
                <w:color w:val="282828"/>
                <w:w w:val="99"/>
              </w:rPr>
              <w:t>Consolidated Statements of Changes in Equity</w:t>
            </w:r>
          </w:p>
        </w:tc>
        <w:tc>
          <w:tcPr>
            <w:tcW w:w="420" w:type="dxa"/>
            <w:vAlign w:val="bottom"/>
            <w:tcBorders>
              <w:top w:val="single" w:sz="8" w:color="282828"/>
            </w:tcBorders>
            <w:gridSpan w:val="2"/>
          </w:tcPr>
          <w:p>
            <w:pPr>
              <w:spacing w:after="0"/>
              <w:rPr>
                <w:sz w:val="24"/>
                <w:szCs w:val="24"/>
                <w:color w:val="auto"/>
              </w:rPr>
            </w:pPr>
          </w:p>
        </w:tc>
        <w:tc>
          <w:tcPr>
            <w:tcW w:w="2260" w:type="dxa"/>
            <w:vAlign w:val="bottom"/>
            <w:gridSpan w:val="2"/>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110</w:t>
            </w:r>
          </w:p>
        </w:tc>
      </w:tr>
      <w:tr>
        <w:trPr>
          <w:trHeight w:val="280"/>
        </w:trPr>
        <w:tc>
          <w:tcPr>
            <w:tcW w:w="3180" w:type="dxa"/>
            <w:vAlign w:val="bottom"/>
            <w:tcBorders>
              <w:bottom w:val="single" w:sz="8" w:color="282828"/>
            </w:tcBorders>
            <w:gridSpan w:val="2"/>
          </w:tcPr>
          <w:p>
            <w:pPr>
              <w:spacing w:after="0"/>
              <w:rPr>
                <w:sz w:val="20"/>
                <w:szCs w:val="20"/>
                <w:color w:val="auto"/>
              </w:rPr>
            </w:pPr>
            <w:r>
              <w:rPr>
                <w:rFonts w:ascii="Times New Roman" w:cs="Times New Roman" w:eastAsia="Times New Roman" w:hAnsi="Times New Roman"/>
                <w:sz w:val="20"/>
                <w:szCs w:val="20"/>
                <w:color w:val="282828"/>
                <w:w w:val="99"/>
              </w:rPr>
              <w:t>Consolidated Statements of Cash Flows</w:t>
            </w:r>
          </w:p>
        </w:tc>
        <w:tc>
          <w:tcPr>
            <w:tcW w:w="3220" w:type="dxa"/>
            <w:vAlign w:val="bottom"/>
            <w:gridSpan w:val="6"/>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111</w:t>
            </w:r>
          </w:p>
        </w:tc>
      </w:tr>
      <w:tr>
        <w:trPr>
          <w:trHeight w:val="280"/>
        </w:trPr>
        <w:tc>
          <w:tcPr>
            <w:tcW w:w="6400" w:type="dxa"/>
            <w:vAlign w:val="bottom"/>
            <w:gridSpan w:val="8"/>
          </w:tcPr>
          <w:p>
            <w:pPr>
              <w:spacing w:after="0"/>
              <w:rPr>
                <w:sz w:val="20"/>
                <w:szCs w:val="20"/>
                <w:color w:val="auto"/>
              </w:rPr>
            </w:pPr>
            <w:r>
              <w:rPr>
                <w:rFonts w:ascii="Times New Roman" w:cs="Times New Roman" w:eastAsia="Times New Roman" w:hAnsi="Times New Roman"/>
                <w:sz w:val="20"/>
                <w:szCs w:val="20"/>
                <w:color w:val="282828"/>
              </w:rPr>
              <w:t>Notes to Consolidated Financial Statements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113</w:t>
            </w:r>
          </w:p>
        </w:tc>
      </w:tr>
      <w:tr>
        <w:trPr>
          <w:trHeight w:val="20"/>
        </w:trPr>
        <w:tc>
          <w:tcPr>
            <w:tcW w:w="2840" w:type="dxa"/>
            <w:vAlign w:val="bottom"/>
            <w:shd w:val="clear" w:color="auto" w:fill="282828"/>
          </w:tcPr>
          <w:p>
            <w:pPr>
              <w:spacing w:after="0" w:line="20" w:lineRule="exact"/>
              <w:rPr>
                <w:sz w:val="1"/>
                <w:szCs w:val="1"/>
                <w:color w:val="auto"/>
              </w:rPr>
            </w:pPr>
          </w:p>
        </w:tc>
        <w:tc>
          <w:tcPr>
            <w:tcW w:w="340" w:type="dxa"/>
            <w:vAlign w:val="bottom"/>
            <w:shd w:val="clear" w:color="auto" w:fill="282828"/>
          </w:tcPr>
          <w:p>
            <w:pPr>
              <w:spacing w:after="0" w:line="20" w:lineRule="exact"/>
              <w:rPr>
                <w:sz w:val="1"/>
                <w:szCs w:val="1"/>
                <w:color w:val="auto"/>
              </w:rPr>
            </w:pPr>
          </w:p>
        </w:tc>
        <w:tc>
          <w:tcPr>
            <w:tcW w:w="300" w:type="dxa"/>
            <w:vAlign w:val="bottom"/>
            <w:shd w:val="clear" w:color="auto" w:fill="28282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90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260"/>
          </w:cols>
          <w:pgMar w:left="900" w:top="831" w:right="1080" w:bottom="0" w:gutter="0" w:footer="0" w:header="0"/>
          <w:type w:val="continuous"/>
        </w:sectPr>
      </w:pPr>
    </w:p>
    <w:bookmarkStart w:id="112" w:name="page113"/>
    <w:bookmarkEnd w:id="112"/>
    <w:p>
      <w:pPr>
        <w:ind w:right="3560"/>
        <w:spacing w:after="0" w:line="46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Tradeweb Markets Inc.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financial condition of Tradeweb Markets Inc. and subsidiaries (the “Company”) as of December 31, 2025 and 2024, the related consolidated statements of income, comprehensive income,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7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b w:val="1"/>
          <w:bCs w:val="1"/>
          <w:i w:val="1"/>
          <w:iCs w:val="1"/>
          <w:color w:val="auto"/>
        </w:rPr>
        <w:t xml:space="preserve">Internal Control — Integrated Framework (2013) </w:t>
      </w:r>
      <w:r>
        <w:rPr>
          <w:rFonts w:ascii="Times New Roman" w:cs="Times New Roman" w:eastAsia="Times New Roman" w:hAnsi="Times New Roman"/>
          <w:sz w:val="20"/>
          <w:szCs w:val="20"/>
          <w:color w:val="auto"/>
        </w:rPr>
        <w:t>issued by the Committee of Sponsoring Organizations of the Treadway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Commission and our report dated February 5, 2026 expressed an unqualified opinion on the Company’s internal control over financial reporting.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61" w:lineRule="exact"/>
        <w:rPr>
          <w:sz w:val="20"/>
          <w:szCs w:val="20"/>
          <w:color w:val="auto"/>
        </w:rPr>
      </w:pPr>
    </w:p>
    <w:p>
      <w:pPr>
        <w:ind w:right="4680"/>
        <w:spacing w:after="0" w:line="462" w:lineRule="auto"/>
        <w:rPr>
          <w:sz w:val="20"/>
          <w:szCs w:val="20"/>
          <w:color w:val="auto"/>
        </w:rPr>
      </w:pPr>
      <w:r>
        <w:rPr>
          <w:rFonts w:ascii="Times New Roman" w:cs="Times New Roman" w:eastAsia="Times New Roman" w:hAnsi="Times New Roman"/>
          <w:sz w:val="20"/>
          <w:szCs w:val="20"/>
          <w:b w:val="1"/>
          <w:bCs w:val="1"/>
          <w:color w:val="auto"/>
        </w:rPr>
        <w:t xml:space="preserve">Digital Assets — Refer to Notes 2 and 15 to the financial statements </w:t>
      </w:r>
      <w:r>
        <w:rPr>
          <w:rFonts w:ascii="Times New Roman" w:cs="Times New Roman" w:eastAsia="Times New Roman" w:hAnsi="Times New Roman"/>
          <w:sz w:val="20"/>
          <w:szCs w:val="20"/>
          <w:b w:val="1"/>
          <w:bCs w:val="1"/>
          <w:i w:val="1"/>
          <w:iCs w:val="1"/>
          <w:color w:val="auto"/>
        </w:rPr>
        <w:t>Critical Audit Matter Description</w:t>
      </w:r>
    </w:p>
    <w:p>
      <w:pPr>
        <w:spacing w:after="0" w:line="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As discussed in Notes 2 and 15 to the financial statements, the Company recognizes Canton Coins, which are digital assets earned through its role as a Validator and Super Validator on the Global Synchronizer, the Canton Network’s decentralized interoperability infrastructure, as a component of digital assets and other investments at fair value on the consolidated statements of financial condition. The Company generally holds the Canton Coins on its balance sheet for investment purposes and accounts for these digital assets at fair value with changes in fair value recognized in net income in accordance with ASC 350-60, Crypto Assets. As of December 31, 2025, the fair value of the Company’s digital assets was $243 million.</w:t>
      </w:r>
    </w:p>
    <w:p>
      <w:pPr>
        <w:spacing w:after="0" w:line="16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auto"/>
        </w:rPr>
        <w:t>We identified the evaluation of audit evidence pertaining to the existence of the digital assets and whether the Company has rights and obligations related to the digital assets as a critical audit matter. Subjective auditor judgment was involved in determining the nature, timing, and extent of evidence required to assess the existence of the digital assets and whether the Company controls the digital assets, as control over the digital assets is provided through private cryptographic keys maintained by the Company.</w:t>
      </w:r>
    </w:p>
    <w:p>
      <w:pPr>
        <w:sectPr>
          <w:pgSz w:w="12240" w:h="15840" w:orient="portrait"/>
          <w:cols w:equalWidth="0" w:num="1">
            <w:col w:w="10420"/>
          </w:cols>
          <w:pgMar w:left="900" w:top="83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420"/>
          </w:cols>
          <w:pgMar w:left="900" w:top="831" w:right="92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w:t>
      </w:r>
    </w:p>
    <w:p>
      <w:pPr>
        <w:spacing w:after="0" w:line="210" w:lineRule="exact"/>
        <w:rPr>
          <w:sz w:val="20"/>
          <w:szCs w:val="20"/>
          <w:color w:val="auto"/>
        </w:rPr>
      </w:pPr>
    </w:p>
    <w:p>
      <w:pPr>
        <w:ind w:left="720" w:hanging="36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design and tested the operating effectiveness of certain internal controls over digital assets.</w:t>
      </w:r>
    </w:p>
    <w:p>
      <w:pPr>
        <w:spacing w:after="0" w:line="210" w:lineRule="exact"/>
        <w:rPr>
          <w:rFonts w:ascii="Times New Roman" w:cs="Times New Roman" w:eastAsia="Times New Roman" w:hAnsi="Times New Roman"/>
          <w:sz w:val="20"/>
          <w:szCs w:val="20"/>
          <w:color w:val="auto"/>
        </w:rPr>
      </w:pPr>
    </w:p>
    <w:p>
      <w:pPr>
        <w:ind w:left="720" w:right="60" w:hanging="360"/>
        <w:spacing w:after="0" w:line="266"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involved IT professionals with specialized skills and knowledge in blockchain technology, who assisted in evaluating certain internal controls over digital assets related specifically to the generation, encryption, safeguarding and segregation of the private cryptographic keys.</w:t>
      </w:r>
    </w:p>
    <w:p>
      <w:pPr>
        <w:spacing w:after="0" w:line="155" w:lineRule="exact"/>
        <w:rPr>
          <w:rFonts w:ascii="Times New Roman" w:cs="Times New Roman" w:eastAsia="Times New Roman" w:hAnsi="Times New Roman"/>
          <w:sz w:val="20"/>
          <w:szCs w:val="20"/>
          <w:color w:val="auto"/>
        </w:rPr>
      </w:pPr>
    </w:p>
    <w:p>
      <w:pPr>
        <w:ind w:left="720" w:right="280" w:hanging="360"/>
        <w:spacing w:after="0" w:line="281"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obtained evidence that the Company has control of the private cryptographic keys required to access digital assets through observing the movement of selected digital assets.</w:t>
      </w:r>
    </w:p>
    <w:p>
      <w:pPr>
        <w:spacing w:after="0" w:line="141" w:lineRule="exact"/>
        <w:rPr>
          <w:rFonts w:ascii="Times New Roman" w:cs="Times New Roman" w:eastAsia="Times New Roman" w:hAnsi="Times New Roman"/>
          <w:sz w:val="20"/>
          <w:szCs w:val="20"/>
          <w:color w:val="auto"/>
        </w:rPr>
      </w:pPr>
    </w:p>
    <w:p>
      <w:pPr>
        <w:ind w:left="720" w:right="240" w:hanging="360"/>
        <w:spacing w:after="0" w:line="281"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compared the Company’s record of digital asset transactions to the records on the public-permissioned blockchain using a software audit tool.</w:t>
      </w:r>
    </w:p>
    <w:p>
      <w:pPr>
        <w:spacing w:after="0" w:line="141" w:lineRule="exact"/>
        <w:rPr>
          <w:rFonts w:ascii="Times New Roman" w:cs="Times New Roman" w:eastAsia="Times New Roman" w:hAnsi="Times New Roman"/>
          <w:sz w:val="20"/>
          <w:szCs w:val="20"/>
          <w:color w:val="auto"/>
        </w:rPr>
      </w:pPr>
    </w:p>
    <w:p>
      <w:pPr>
        <w:ind w:left="720" w:right="520" w:hanging="360"/>
        <w:spacing w:after="0" w:line="281"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sufficiency and appropriateness of audit evidence obtained by assessing the results of procedures performed over the digital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 — Refer to Note 9 to the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 Description</w:t>
      </w:r>
    </w:p>
    <w:p>
      <w:pPr>
        <w:spacing w:after="0" w:line="2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Company is subject to U.S. federal, state and local income taxes with respect to its taxable income, including its allocable share of any taxable income of Tradeweb Markets LLC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The Company has deferred tax assets and liabilities for the expected future tax consequences of temporary differences between financial reporting and tax bases of assets and liabilities. The Company also records uncertain tax positions and recognizes the amount of tax benefit that is more than 50 percent likely to be realized upon ultimate settlement with the related tax authority.</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Auditing management’s estimates related to income taxes required a high degree of auditor judgment and an increased extent of effort, including the need to involve our income tax specialists, when performing procedures to audit the application of relevant income tax laws, income allocations and apportionment among the taxing jurisdictions, and the flow-through of earnings to the partners of TWM LLC. Given the Company’s legal structure, the multiple jurisdictions in which the Company files its tax returns, and the breadth of applicable tax laws and regulations, auditing management’s tax balances is complex.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w:t>
      </w:r>
    </w:p>
    <w:p>
      <w:pPr>
        <w:spacing w:after="0" w:line="210" w:lineRule="exact"/>
        <w:rPr>
          <w:sz w:val="20"/>
          <w:szCs w:val="20"/>
          <w:color w:val="auto"/>
        </w:rPr>
      </w:pPr>
    </w:p>
    <w:p>
      <w:pPr>
        <w:ind w:left="720" w:right="260" w:hanging="360"/>
        <w:spacing w:after="0" w:line="281"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design and tested the operating effectiveness of controls over certain income tax balances, including the provision for income taxes, deferred tax assets and liabilities and unrecognized tax benefits.</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involved income tax specialists who assisted in the procedures performed.</w:t>
      </w:r>
    </w:p>
    <w:p>
      <w:pPr>
        <w:spacing w:after="0" w:line="210" w:lineRule="exact"/>
        <w:rPr>
          <w:rFonts w:ascii="Times New Roman" w:cs="Times New Roman" w:eastAsia="Times New Roman" w:hAnsi="Times New Roman"/>
          <w:sz w:val="20"/>
          <w:szCs w:val="20"/>
          <w:color w:val="auto"/>
        </w:rPr>
      </w:pPr>
    </w:p>
    <w:p>
      <w:pPr>
        <w:ind w:left="720" w:right="160" w:hanging="360"/>
        <w:spacing w:after="0" w:line="271" w:lineRule="auto"/>
        <w:tabs>
          <w:tab w:leader="none" w:pos="7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evaluated the Company’s income tax provision calculation, including: (1) testing the appropriateness of income tax rates applied by agreeing to applicable Federal and state tax laws, (2) testing the accuracy of income allocations and apportionment among the taxing jurisdictions based on the Company’s structure, source of revenues, and other factors,</w:t>
      </w:r>
    </w:p>
    <w:p>
      <w:pPr>
        <w:ind w:left="720" w:right="40"/>
        <w:spacing w:after="0" w:line="26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 testing, on a sample basis, the completeness and accuracy of book to tax differences, and (4) testing the mathematical accuracy of the income tax provision calculation.</w:t>
      </w:r>
    </w:p>
    <w:p>
      <w:pPr>
        <w:spacing w:after="0" w:line="161" w:lineRule="exact"/>
        <w:rPr>
          <w:rFonts w:ascii="Times New Roman" w:cs="Times New Roman" w:eastAsia="Times New Roman" w:hAnsi="Times New Roman"/>
          <w:sz w:val="19"/>
          <w:szCs w:val="19"/>
          <w:color w:val="auto"/>
        </w:rPr>
      </w:pPr>
    </w:p>
    <w:p>
      <w:pPr>
        <w:ind w:left="720" w:right="120" w:hanging="360"/>
        <w:spacing w:after="0" w:line="255"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Company’s analyses supporting its conclusions, in the context of the Company’s specific structure, as to the recognition and measurement of deferred tax assets and liabilities, including the calculation of the deferred tax asset related to the tax basis step-up received in connection with the Company’s equity public offerings. We considered whether permanent and temporary differences had been appropriately identified by evaluating the Company’s trial balance and transactions and applying tax specialists’ knowledge of tax laws and the Company’s business. We also tested that the tax rates used to measure the deferred tax assets and liabilities were appropriate in accordance with Federal and state tax laws.</w:t>
      </w:r>
    </w:p>
    <w:p>
      <w:pPr>
        <w:sectPr>
          <w:pgSz w:w="12240" w:h="15840" w:orient="portrait"/>
          <w:cols w:equalWidth="0" w:num="1">
            <w:col w:w="10420"/>
          </w:cols>
          <w:pgMar w:left="900" w:top="8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420"/>
          </w:cols>
          <w:pgMar w:left="900" w:top="834" w:right="920" w:bottom="0" w:gutter="0" w:footer="0" w:header="0"/>
          <w:type w:val="continuous"/>
        </w:sectPr>
      </w:pPr>
    </w:p>
    <w:bookmarkStart w:id="114" w:name="page115"/>
    <w:bookmarkEnd w:id="114"/>
    <w:p>
      <w:pPr>
        <w:ind w:left="720" w:right="80" w:hanging="360"/>
        <w:spacing w:after="0" w:line="260"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Company’s analyses regarding the impact of tax legislation, such as the One Big Beautiful Bill Act (“OBBBA”), on the Company’s income tax provision and disclosures. We also evaluated the Company’s application of accounting guidance relevant to income taxes, such as the enhanced income tax disclosures under Accounting Standards Update No. 2023-09 Income Taxes (Topic 740)—Improvements to Income Tax Disclosures.</w:t>
      </w:r>
    </w:p>
    <w:p>
      <w:pPr>
        <w:spacing w:after="0" w:line="163" w:lineRule="exact"/>
        <w:rPr>
          <w:rFonts w:ascii="Times New Roman" w:cs="Times New Roman" w:eastAsia="Times New Roman" w:hAnsi="Times New Roman"/>
          <w:sz w:val="20"/>
          <w:szCs w:val="20"/>
          <w:color w:val="auto"/>
        </w:rPr>
      </w:pPr>
    </w:p>
    <w:p>
      <w:pPr>
        <w:ind w:left="720" w:right="240" w:hanging="360"/>
        <w:spacing w:after="0" w:line="281"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both positive and negative evidence in management’s assessment of the Company’s ability to utilize the deferred tax assets in future years to conclude if it is appropriate to continue to recognize a deferred tax asset.</w:t>
      </w:r>
    </w:p>
    <w:p>
      <w:pPr>
        <w:spacing w:after="0" w:line="141" w:lineRule="exact"/>
        <w:rPr>
          <w:rFonts w:ascii="Times New Roman" w:cs="Times New Roman" w:eastAsia="Times New Roman" w:hAnsi="Times New Roman"/>
          <w:sz w:val="20"/>
          <w:szCs w:val="20"/>
          <w:color w:val="auto"/>
        </w:rPr>
      </w:pPr>
    </w:p>
    <w:p>
      <w:pPr>
        <w:ind w:left="720" w:hanging="360"/>
        <w:spacing w:after="0" w:line="266"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appropriateness of the recognition, measurement and accuracy of the Company’s unrecognized tax benefits (“UTB”) to determine if they have been correctly recognized if they meet the “more likely than not threshold” to be realized.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5,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420"/>
          </w:cols>
          <w:pgMar w:left="900" w:top="838" w:right="920" w:bottom="0" w:gutter="0" w:footer="0" w:header="0"/>
          <w:type w:val="continuous"/>
        </w:sectPr>
      </w:pPr>
    </w:p>
    <w:bookmarkStart w:id="115" w:name="page116"/>
    <w:bookmarkEnd w:id="115"/>
    <w:p>
      <w:pPr>
        <w:ind w:right="3580"/>
        <w:spacing w:after="0" w:line="46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Tradeweb Markets Inc. </w:t>
      </w:r>
      <w:r>
        <w:rPr>
          <w:rFonts w:ascii="Times New Roman" w:cs="Times New Roman" w:eastAsia="Times New Roman" w:hAnsi="Times New Roman"/>
          <w:sz w:val="20"/>
          <w:szCs w:val="20"/>
          <w:b w:val="1"/>
          <w:bCs w:val="1"/>
          <w:color w:val="auto"/>
        </w:rPr>
        <w:t>Opinion on Internal Control over Financial Reporting</w:t>
      </w:r>
    </w:p>
    <w:p>
      <w:pPr>
        <w:spacing w:after="0" w:line="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We have audited the internal control over financial reporting of Tradeweb Markets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16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December 31, 2025, of the Company and our report dated February 5, 2026 expressed an unqualified opinion on those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1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right="20"/>
        <w:spacing w:after="0" w:line="252" w:lineRule="auto"/>
        <w:tabs>
          <w:tab w:leader="none" w:pos="28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right="640"/>
        <w:spacing w:after="0" w:line="286"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/s/Deloitte &amp; Touche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5, 2026</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440"/>
          </w:cols>
          <w:pgMar w:left="900" w:top="831" w:right="900" w:bottom="0" w:gutter="0" w:footer="0" w:header="0"/>
          <w:type w:val="continuous"/>
        </w:sectPr>
      </w:pPr>
    </w:p>
    <w:bookmarkStart w:id="116" w:name="page117"/>
    <w:bookmarkEnd w:id="116"/>
    <w:p>
      <w:pPr>
        <w:ind w:left="310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4"/>
          <w:szCs w:val="24"/>
          <w:b w:val="1"/>
          <w:bCs w:val="1"/>
          <w:color w:val="auto"/>
        </w:rPr>
        <w:t>Consolidated Statements of Financial Condition</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199"/>
        </w:trPr>
        <w:tc>
          <w:tcPr>
            <w:tcW w:w="7840" w:type="dxa"/>
            <w:vAlign w:val="bottom"/>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2,084,739</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1,340,302</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Receivable from brokers and dealers and clearing organizations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67,805</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Deposits with clearing organizations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58,282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54,702</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$587 and $447 at December 31, 2025 and 2024, respectively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257,845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222,268</w:t>
            </w:r>
          </w:p>
        </w:tc>
        <w:tc>
          <w:tcPr>
            <w:tcW w:w="0" w:type="dxa"/>
            <w:vAlign w:val="bottom"/>
          </w:tcPr>
          <w:p>
            <w:pPr>
              <w:spacing w:after="0"/>
              <w:rPr>
                <w:sz w:val="1"/>
                <w:szCs w:val="1"/>
                <w:color w:val="auto"/>
              </w:rPr>
            </w:pPr>
          </w:p>
        </w:tc>
      </w:tr>
      <w:tr>
        <w:trPr>
          <w:trHeight w:val="180"/>
        </w:trPr>
        <w:tc>
          <w:tcPr>
            <w:tcW w:w="7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Furniture, equipment, purchased software and leasehold improvements, net of accumulated depreciation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45,973</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Lease right-of-use assets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123,065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33,550</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Software development costs, net of accumulated amortization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270,295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296,721</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3,150,112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3,150,112</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 of accumulated amortization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1,148,015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1,280,892</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Receivable and due from related parties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8,303</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568,832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659,203</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Digital assets and other investments at fair value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291,997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11,206</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140,249</w:t>
            </w: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96,165</w:t>
            </w:r>
          </w:p>
        </w:tc>
        <w:tc>
          <w:tcPr>
            <w:tcW w:w="0" w:type="dxa"/>
            <w:vAlign w:val="bottom"/>
          </w:tcPr>
          <w:p>
            <w:pPr>
              <w:spacing w:after="0"/>
              <w:rPr>
                <w:sz w:val="1"/>
                <w:szCs w:val="1"/>
                <w:color w:val="auto"/>
              </w:rPr>
            </w:pPr>
          </w:p>
        </w:tc>
      </w:tr>
      <w:tr>
        <w:trPr>
          <w:trHeight w:val="200"/>
        </w:trPr>
        <w:tc>
          <w:tcPr>
            <w:tcW w:w="7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8,189,557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7,267,993</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31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Payable to brokers and dealers and clearing organizations</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67,816</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222,959</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30,800</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183,970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95,290</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139,168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35,748</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Payable and due to related parties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42,893</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 agreement liability</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336,519</w:t>
            </w: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372,839</w:t>
            </w:r>
          </w:p>
        </w:tc>
        <w:tc>
          <w:tcPr>
            <w:tcW w:w="0" w:type="dxa"/>
            <w:vAlign w:val="bottom"/>
          </w:tcPr>
          <w:p>
            <w:pPr>
              <w:spacing w:after="0"/>
              <w:rPr>
                <w:sz w:val="1"/>
                <w:szCs w:val="1"/>
                <w:color w:val="auto"/>
              </w:rPr>
            </w:pPr>
          </w:p>
        </w:tc>
      </w:tr>
      <w:tr>
        <w:trPr>
          <w:trHeight w:val="220"/>
        </w:trPr>
        <w:tc>
          <w:tcPr>
            <w:tcW w:w="7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1,000,320</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869,108</w:t>
            </w:r>
          </w:p>
        </w:tc>
        <w:tc>
          <w:tcPr>
            <w:tcW w:w="0" w:type="dxa"/>
            <w:vAlign w:val="bottom"/>
          </w:tcPr>
          <w:p>
            <w:pPr>
              <w:spacing w:after="0"/>
              <w:rPr>
                <w:sz w:val="1"/>
                <w:szCs w:val="1"/>
                <w:color w:val="auto"/>
              </w:rPr>
            </w:pPr>
          </w:p>
        </w:tc>
      </w:tr>
      <w:tr>
        <w:trPr>
          <w:trHeight w:val="46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$0.00001 par value; 250,000,000 shares authorized; none issued or outstanding</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$0.00001 par value; 1,000,000,000 shares authorized; 115,502,689 and 115,977,551 shares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issued and outstanding as of December 31, 2025 and 2024, respectively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 $0.00001 par value; 450,000,000 shares authorized; 96,933,192 and 96,933,192 shares issued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and outstanding as of December 31, 2025 and 2024, respectively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C common stock, $0.00001 par value; 350,000,000 shares authorized; 18,000,000 and 18,000,000 shares issued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and outstanding as of December 31, 2025 and 2024, respectively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Class D common stock, $0.00001 par value; 300,000,000 shares authorized; 5,056,868 and 5,073,538 shares issued and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as of December 31, 2025 and 2024, respectively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4,895,810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4,813,408</w:t>
            </w: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1,601,044</w:t>
            </w: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996,763</w:t>
            </w:r>
          </w:p>
        </w:tc>
        <w:tc>
          <w:tcPr>
            <w:tcW w:w="0" w:type="dxa"/>
            <w:vAlign w:val="bottom"/>
          </w:tcPr>
          <w:p>
            <w:pPr>
              <w:spacing w:after="0"/>
              <w:rPr>
                <w:sz w:val="1"/>
                <w:szCs w:val="1"/>
                <w:color w:val="auto"/>
              </w:rPr>
            </w:pPr>
          </w:p>
        </w:tc>
      </w:tr>
      <w:tr>
        <w:trPr>
          <w:trHeight w:val="214"/>
        </w:trPr>
        <w:tc>
          <w:tcPr>
            <w:tcW w:w="7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stockholders’ equity attributable to Tradeweb Markets Inc.</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6,507,755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5,800,192</w:t>
            </w:r>
          </w:p>
        </w:tc>
        <w:tc>
          <w:tcPr>
            <w:tcW w:w="0" w:type="dxa"/>
            <w:vAlign w:val="bottom"/>
          </w:tcPr>
          <w:p>
            <w:pPr>
              <w:spacing w:after="0"/>
              <w:rPr>
                <w:sz w:val="1"/>
                <w:szCs w:val="1"/>
                <w:color w:val="auto"/>
              </w:rPr>
            </w:pPr>
          </w:p>
        </w:tc>
      </w:tr>
      <w:tr>
        <w:trPr>
          <w:trHeight w:val="246"/>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681,482</w:t>
            </w:r>
          </w:p>
        </w:tc>
        <w:tc>
          <w:tcPr>
            <w:tcW w:w="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598,693</w:t>
            </w:r>
          </w:p>
        </w:tc>
        <w:tc>
          <w:tcPr>
            <w:tcW w:w="0" w:type="dxa"/>
            <w:vAlign w:val="bottom"/>
          </w:tcPr>
          <w:p>
            <w:pPr>
              <w:spacing w:after="0"/>
              <w:rPr>
                <w:sz w:val="1"/>
                <w:szCs w:val="1"/>
                <w:color w:val="auto"/>
              </w:rPr>
            </w:pPr>
          </w:p>
        </w:tc>
      </w:tr>
      <w:tr>
        <w:trPr>
          <w:trHeight w:val="220"/>
        </w:trPr>
        <w:tc>
          <w:tcPr>
            <w:tcW w:w="7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7,189,237</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6,398,885</w:t>
            </w:r>
          </w:p>
        </w:tc>
        <w:tc>
          <w:tcPr>
            <w:tcW w:w="0" w:type="dxa"/>
            <w:vAlign w:val="bottom"/>
          </w:tcPr>
          <w:p>
            <w:pPr>
              <w:spacing w:after="0"/>
              <w:rPr>
                <w:sz w:val="1"/>
                <w:szCs w:val="1"/>
                <w:color w:val="auto"/>
              </w:rPr>
            </w:pPr>
          </w:p>
        </w:tc>
      </w:tr>
      <w:tr>
        <w:trPr>
          <w:trHeight w:val="200"/>
        </w:trPr>
        <w:tc>
          <w:tcPr>
            <w:tcW w:w="7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8,189,557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7,267,993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-7327265</wp:posOffset>
            </wp:positionV>
            <wp:extent cx="6654800" cy="73342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3">
                      <a:extLst>
                        <a:ext uri="{28A0092B-C50C-407E-A947-70E740481C1C}"/>
                      </a:extLst>
                    </a:blip>
                    <a:srcRect/>
                    <a:stretch>
                      <a:fillRect/>
                    </a:stretch>
                  </pic:blipFill>
                  <pic:spPr bwMode="auto">
                    <a:xfrm>
                      <a:off x="0" y="0"/>
                      <a:ext cx="6654800" cy="7334250"/>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380"/>
          </w:cols>
          <w:pgMar w:left="960" w:top="81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380"/>
          </w:cols>
          <w:pgMar w:left="960" w:top="816" w:right="900" w:bottom="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Consolidated Statements of Income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 fees and commissions</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1,700,427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1,423,547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1,078,344</w:t>
            </w:r>
          </w:p>
        </w:tc>
        <w:tc>
          <w:tcPr>
            <w:tcW w:w="0" w:type="dxa"/>
            <w:vAlign w:val="bottom"/>
          </w:tcPr>
          <w:p>
            <w:pPr>
              <w:spacing w:after="0"/>
              <w:rPr>
                <w:sz w:val="1"/>
                <w:szCs w:val="1"/>
                <w:color w:val="auto"/>
              </w:rPr>
            </w:pP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Subscription fees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234,017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206,659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183,972</w:t>
            </w:r>
          </w:p>
        </w:tc>
        <w:tc>
          <w:tcPr>
            <w:tcW w:w="0" w:type="dxa"/>
            <w:vAlign w:val="bottom"/>
          </w:tcPr>
          <w:p>
            <w:pPr>
              <w:spacing w:after="0"/>
              <w:rPr>
                <w:sz w:val="1"/>
                <w:szCs w:val="1"/>
                <w:color w:val="auto"/>
              </w:rPr>
            </w:pP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LSEG market data fees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93,197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82,145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64,336</w:t>
            </w:r>
          </w:p>
        </w:tc>
        <w:tc>
          <w:tcPr>
            <w:tcW w:w="0" w:type="dxa"/>
            <w:vAlign w:val="bottom"/>
          </w:tcPr>
          <w:p>
            <w:pPr>
              <w:spacing w:after="0"/>
              <w:rPr>
                <w:sz w:val="1"/>
                <w:szCs w:val="1"/>
                <w:color w:val="auto"/>
              </w:rPr>
            </w:pPr>
          </w:p>
        </w:tc>
      </w:tr>
      <w:tr>
        <w:trPr>
          <w:trHeight w:val="246"/>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24,788</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13,598</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11,567</w:t>
            </w:r>
          </w:p>
        </w:tc>
        <w:tc>
          <w:tcPr>
            <w:tcW w:w="0" w:type="dxa"/>
            <w:vAlign w:val="bottom"/>
          </w:tcPr>
          <w:p>
            <w:pPr>
              <w:spacing w:after="0"/>
              <w:rPr>
                <w:sz w:val="1"/>
                <w:szCs w:val="1"/>
                <w:color w:val="auto"/>
              </w:rPr>
            </w:pPr>
          </w:p>
        </w:tc>
      </w:tr>
      <w:tr>
        <w:trPr>
          <w:trHeight w:val="214"/>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2,052,429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1,725,949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1,338,219</w:t>
            </w:r>
          </w:p>
        </w:tc>
        <w:tc>
          <w:tcPr>
            <w:tcW w:w="0" w:type="dxa"/>
            <w:vAlign w:val="bottom"/>
          </w:tcPr>
          <w:p>
            <w:pPr>
              <w:spacing w:after="0"/>
              <w:rPr>
                <w:sz w:val="1"/>
                <w:szCs w:val="1"/>
                <w:color w:val="auto"/>
              </w:rPr>
            </w:pPr>
          </w:p>
        </w:tc>
      </w:tr>
      <w:tr>
        <w:trPr>
          <w:trHeight w:val="465"/>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670,831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592,690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460,305</w:t>
            </w:r>
          </w:p>
        </w:tc>
        <w:tc>
          <w:tcPr>
            <w:tcW w:w="0" w:type="dxa"/>
            <w:vAlign w:val="bottom"/>
          </w:tcPr>
          <w:p>
            <w:pPr>
              <w:spacing w:after="0"/>
              <w:rPr>
                <w:sz w:val="1"/>
                <w:szCs w:val="1"/>
                <w:color w:val="auto"/>
              </w:rPr>
            </w:pP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250,189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219,999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185,350</w:t>
            </w:r>
          </w:p>
        </w:tc>
        <w:tc>
          <w:tcPr>
            <w:tcW w:w="0" w:type="dxa"/>
            <w:vAlign w:val="bottom"/>
          </w:tcPr>
          <w:p>
            <w:pPr>
              <w:spacing w:after="0"/>
              <w:rPr>
                <w:sz w:val="1"/>
                <w:szCs w:val="1"/>
                <w:color w:val="auto"/>
              </w:rPr>
            </w:pP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Technology and communications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128,327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98,568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77,506</w:t>
            </w:r>
          </w:p>
        </w:tc>
        <w:tc>
          <w:tcPr>
            <w:tcW w:w="0" w:type="dxa"/>
            <w:vAlign w:val="bottom"/>
          </w:tcPr>
          <w:p>
            <w:pPr>
              <w:spacing w:after="0"/>
              <w:rPr>
                <w:sz w:val="1"/>
                <w:szCs w:val="1"/>
                <w:color w:val="auto"/>
              </w:rPr>
            </w:pP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88,402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51,495</w:t>
            </w:r>
          </w:p>
        </w:tc>
        <w:tc>
          <w:tcPr>
            <w:tcW w:w="0" w:type="dxa"/>
            <w:vAlign w:val="bottom"/>
          </w:tcPr>
          <w:p>
            <w:pPr>
              <w:spacing w:after="0"/>
              <w:rPr>
                <w:sz w:val="1"/>
                <w:szCs w:val="1"/>
                <w:color w:val="auto"/>
              </w:rPr>
            </w:pP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Professional fees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53,391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42,364</w:t>
            </w:r>
          </w:p>
        </w:tc>
        <w:tc>
          <w:tcPr>
            <w:tcW w:w="0" w:type="dxa"/>
            <w:vAlign w:val="bottom"/>
          </w:tcPr>
          <w:p>
            <w:pPr>
              <w:spacing w:after="0"/>
              <w:rPr>
                <w:sz w:val="1"/>
                <w:szCs w:val="1"/>
                <w:color w:val="auto"/>
              </w:rPr>
            </w:pPr>
          </w:p>
        </w:tc>
      </w:tr>
      <w:tr>
        <w:trPr>
          <w:trHeight w:val="246"/>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25,951</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20,215</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15,930</w:t>
            </w:r>
          </w:p>
        </w:tc>
        <w:tc>
          <w:tcPr>
            <w:tcW w:w="0" w:type="dxa"/>
            <w:vAlign w:val="bottom"/>
          </w:tcPr>
          <w:p>
            <w:pPr>
              <w:spacing w:after="0"/>
              <w:rPr>
                <w:sz w:val="1"/>
                <w:szCs w:val="1"/>
                <w:color w:val="auto"/>
              </w:rPr>
            </w:pPr>
          </w:p>
        </w:tc>
      </w:tr>
      <w:tr>
        <w:trPr>
          <w:trHeight w:val="220"/>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1,217,091</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1,047,921</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832,950</w:t>
            </w:r>
          </w:p>
        </w:tc>
        <w:tc>
          <w:tcPr>
            <w:tcW w:w="0" w:type="dxa"/>
            <w:vAlign w:val="bottom"/>
          </w:tcPr>
          <w:p>
            <w:pPr>
              <w:spacing w:after="0"/>
              <w:rPr>
                <w:sz w:val="1"/>
                <w:szCs w:val="1"/>
                <w:color w:val="auto"/>
              </w:rPr>
            </w:pP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835,338</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678,028</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505,269</w:t>
            </w:r>
          </w:p>
        </w:tc>
        <w:tc>
          <w:tcPr>
            <w:tcW w:w="0" w:type="dxa"/>
            <w:vAlign w:val="bottom"/>
          </w:tcPr>
          <w:p>
            <w:pPr>
              <w:spacing w:after="0"/>
              <w:rPr>
                <w:sz w:val="1"/>
                <w:szCs w:val="1"/>
                <w:color w:val="auto"/>
              </w:rPr>
            </w:pPr>
          </w:p>
        </w:tc>
      </w:tr>
      <w:tr>
        <w:trPr>
          <w:trHeight w:val="233"/>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Tax receivable agreement liability adjustment </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0" w:type="dxa"/>
            <w:vAlign w:val="bottom"/>
          </w:tcPr>
          <w:p>
            <w:pPr>
              <w:spacing w:after="0"/>
              <w:rPr>
                <w:sz w:val="1"/>
                <w:szCs w:val="1"/>
                <w:color w:val="auto"/>
              </w:rPr>
            </w:pPr>
          </w:p>
        </w:tc>
      </w:tr>
      <w:tr>
        <w:trPr>
          <w:trHeight w:val="221"/>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67,397</w:t>
            </w:r>
          </w:p>
        </w:tc>
        <w:tc>
          <w:tcPr>
            <w:tcW w:w="0" w:type="dxa"/>
            <w:vAlign w:val="bottom"/>
          </w:tcPr>
          <w:p>
            <w:pPr>
              <w:spacing w:after="0"/>
              <w:rPr>
                <w:sz w:val="1"/>
                <w:szCs w:val="1"/>
                <w:color w:val="auto"/>
              </w:rPr>
            </w:pP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0" w:type="dxa"/>
            <w:vAlign w:val="bottom"/>
          </w:tcPr>
          <w:p>
            <w:pPr>
              <w:spacing w:after="0"/>
              <w:rPr>
                <w:sz w:val="1"/>
                <w:szCs w:val="1"/>
                <w:color w:val="auto"/>
              </w:rPr>
            </w:pPr>
          </w:p>
        </w:tc>
      </w:tr>
      <w:tr>
        <w:trPr>
          <w:trHeight w:val="246"/>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(loss), net</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263,384</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(13,122)</w:t>
            </w:r>
          </w:p>
        </w:tc>
        <w:tc>
          <w:tcPr>
            <w:tcW w:w="0" w:type="dxa"/>
            <w:vAlign w:val="bottom"/>
          </w:tcPr>
          <w:p>
            <w:pPr>
              <w:spacing w:after="0"/>
              <w:rPr>
                <w:sz w:val="1"/>
                <w:szCs w:val="1"/>
                <w:color w:val="auto"/>
              </w:rPr>
            </w:pP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taxes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1,174,974</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754,402</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547,980</w:t>
            </w:r>
          </w:p>
        </w:tc>
        <w:tc>
          <w:tcPr>
            <w:tcW w:w="0" w:type="dxa"/>
            <w:vAlign w:val="bottom"/>
          </w:tcPr>
          <w:p>
            <w:pPr>
              <w:spacing w:after="0"/>
              <w:rPr>
                <w:sz w:val="1"/>
                <w:szCs w:val="1"/>
                <w:color w:val="auto"/>
              </w:rPr>
            </w:pP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(253,474)</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(184,439)</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(128,477)</w:t>
            </w:r>
          </w:p>
        </w:tc>
        <w:tc>
          <w:tcPr>
            <w:tcW w:w="0" w:type="dxa"/>
            <w:vAlign w:val="bottom"/>
          </w:tcPr>
          <w:p>
            <w:pPr>
              <w:spacing w:after="0"/>
              <w:rPr>
                <w:sz w:val="1"/>
                <w:szCs w:val="1"/>
                <w:color w:val="auto"/>
              </w:rPr>
            </w:pPr>
          </w:p>
        </w:tc>
      </w:tr>
      <w:tr>
        <w:trPr>
          <w:trHeight w:val="214"/>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921,500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569,963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419,503</w:t>
            </w: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108,708</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68,456</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54,637</w:t>
            </w:r>
          </w:p>
        </w:tc>
        <w:tc>
          <w:tcPr>
            <w:tcW w:w="0" w:type="dxa"/>
            <w:vAlign w:val="bottom"/>
          </w:tcPr>
          <w:p>
            <w:pPr>
              <w:spacing w:after="0"/>
              <w:rPr>
                <w:sz w:val="1"/>
                <w:szCs w:val="1"/>
                <w:color w:val="auto"/>
              </w:rPr>
            </w:pPr>
          </w:p>
        </w:tc>
      </w:tr>
      <w:tr>
        <w:trPr>
          <w:trHeight w:val="200"/>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Tradeweb Markets Inc.</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812,792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501,507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364,866</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 attributable to Tradeweb Markets Inc. Class A and B common stockholders: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20" w:type="dxa"/>
            <w:vAlign w:val="bottom"/>
            <w:vMerge w:val="continue"/>
          </w:tcPr>
          <w:p>
            <w:pPr>
              <w:spacing w:after="0"/>
              <w:rPr>
                <w:sz w:val="15"/>
                <w:szCs w:val="15"/>
                <w:color w:val="auto"/>
              </w:rPr>
            </w:pPr>
          </w:p>
        </w:tc>
        <w:tc>
          <w:tcPr>
            <w:tcW w:w="260" w:type="dxa"/>
            <w:vAlign w:val="bottom"/>
            <w:tcBorders>
              <w:top w:val="single" w:sz="8" w:color="auto"/>
              <w:bottom w:val="single" w:sz="8" w:color="auto"/>
            </w:tcBorders>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3.78</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6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5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213,213,371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213,030,056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210,796,802</w:t>
            </w:r>
          </w:p>
        </w:tc>
        <w:tc>
          <w:tcPr>
            <w:tcW w:w="0" w:type="dxa"/>
            <w:vAlign w:val="bottom"/>
          </w:tcPr>
          <w:p>
            <w:pPr>
              <w:spacing w:after="0"/>
              <w:rPr>
                <w:sz w:val="1"/>
                <w:szCs w:val="1"/>
                <w:color w:val="auto"/>
              </w:rPr>
            </w:pP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214,898,240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214,924,763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212,668,808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-4878705</wp:posOffset>
            </wp:positionV>
            <wp:extent cx="6654800" cy="49022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
                      <a:extLst>
                        <a:ext uri="{28A0092B-C50C-407E-A947-70E740481C1C}"/>
                      </a:extLst>
                    </a:blip>
                    <a:srcRect/>
                    <a:stretch>
                      <a:fillRect/>
                    </a:stretch>
                  </pic:blipFill>
                  <pic:spPr bwMode="auto">
                    <a:xfrm>
                      <a:off x="0" y="0"/>
                      <a:ext cx="6654800" cy="4902200"/>
                    </a:xfrm>
                    <a:prstGeom prst="rect">
                      <a:avLst/>
                    </a:prstGeom>
                    <a:noFill/>
                  </pic:spPr>
                </pic:pic>
              </a:graphicData>
            </a:graphic>
          </wp:anchor>
        </w:drawing>
      </w:r>
    </w:p>
    <w:p>
      <w:pPr>
        <w:spacing w:after="0" w:line="14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See Note 10 – Tax Receivable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440"/>
          </w:cols>
          <w:pgMar w:left="900" w:top="81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440"/>
          </w:cols>
          <w:pgMar w:left="900" w:top="816" w:right="900" w:bottom="0" w:gutter="0" w:footer="0" w:header="0"/>
          <w:type w:val="continuous"/>
        </w:sectPr>
      </w:pPr>
    </w:p>
    <w:bookmarkStart w:id="118" w:name="page119"/>
    <w:bookmarkEnd w:id="118"/>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Consolidated Statements of Comprehensive Income</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921,500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569,963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419,503</w:t>
            </w:r>
          </w:p>
        </w:tc>
      </w:tr>
      <w:tr>
        <w:trPr>
          <w:trHeight w:val="201"/>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192"/>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with no tax benefit for each of the years ended</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5"/>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2025, 2024 and 2023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w:t>
            </w:r>
          </w:p>
        </w:tc>
      </w:tr>
      <w:tr>
        <w:trPr>
          <w:trHeight w:val="180"/>
        </w:trPr>
        <w:tc>
          <w:tcPr>
            <w:tcW w:w="65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Unrealized gain on available-for-sale debt security, net of tax expense of $3,387 for the year</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2"/>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ended December 31, 2025</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23,487</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5,419</w:t>
            </w:r>
          </w:p>
        </w:tc>
      </w:tr>
      <w:tr>
        <w:trPr>
          <w:trHeight w:val="45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944,987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564,875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424,922</w:t>
            </w:r>
          </w:p>
        </w:tc>
      </w:tr>
      <w:tr>
        <w:trPr>
          <w:trHeight w:val="24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54,637</w:t>
            </w:r>
          </w:p>
        </w:tc>
      </w:tr>
      <w:tr>
        <w:trPr>
          <w:trHeight w:val="246"/>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Less: Other comprehensive income (loss) attributable to non-controlling interests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0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attributable to Tradeweb Markets Inc.</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833,679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496,917</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369,716</w:t>
            </w:r>
          </w:p>
        </w:tc>
      </w:tr>
      <w:tr>
        <w:trPr>
          <w:trHeight w:val="20"/>
        </w:trPr>
        <w:tc>
          <w:tcPr>
            <w:tcW w:w="6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-1764665</wp:posOffset>
            </wp:positionV>
            <wp:extent cx="6654800" cy="17716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5">
                      <a:extLst>
                        <a:ext uri="{28A0092B-C50C-407E-A947-70E740481C1C}"/>
                      </a:extLst>
                    </a:blip>
                    <a:srcRect/>
                    <a:stretch>
                      <a:fillRect/>
                    </a:stretch>
                  </pic:blipFill>
                  <pic:spPr bwMode="auto">
                    <a:xfrm>
                      <a:off x="0" y="0"/>
                      <a:ext cx="6654800" cy="1771650"/>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380"/>
          </w:cols>
          <w:pgMar w:left="960" w:top="110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380"/>
          </w:cols>
          <w:pgMar w:left="960" w:top="1104" w:right="900" w:bottom="0" w:gutter="0" w:footer="0" w:header="0"/>
          <w:type w:val="continuous"/>
        </w:sectPr>
      </w:pPr>
    </w:p>
    <w:bookmarkStart w:id="119" w:name="page120"/>
    <w:bookmarkEnd w:id="119"/>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Tradeweb Markets Inc. and Subsidiaries</w:t>
      </w:r>
    </w:p>
    <w:p>
      <w:pPr>
        <w:spacing w:after="0" w:line="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Consolidated Statements of Changes in Equity</w:t>
      </w:r>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(dollars in thousands, except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Tradeweb Markets Inc. Stockholders’ Equity</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6"/>
              </w:rPr>
              <w:t>Class C</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6"/>
              </w:rPr>
              <w:t>Class 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3"/>
              <w:spacing w:after="0" w:line="150"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3"/>
              <w:spacing w:after="0" w:line="136"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6"/>
        </w:trPr>
        <w:tc>
          <w:tcPr>
            <w:tcW w:w="3180" w:type="dxa"/>
            <w:vAlign w:val="bottom"/>
          </w:tcPr>
          <w:p>
            <w:pPr>
              <w:spacing w:after="0"/>
              <w:rPr>
                <w:sz w:val="11"/>
                <w:szCs w:val="11"/>
                <w:color w:val="auto"/>
              </w:rPr>
            </w:pPr>
          </w:p>
        </w:tc>
        <w:tc>
          <w:tcPr>
            <w:tcW w:w="7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0" w:type="dxa"/>
            <w:vAlign w:val="bottom"/>
          </w:tcPr>
          <w:p>
            <w:pPr>
              <w:spacing w:after="0"/>
              <w:rPr>
                <w:sz w:val="11"/>
                <w:szCs w:val="11"/>
                <w:color w:val="auto"/>
              </w:rPr>
            </w:pPr>
          </w:p>
        </w:tc>
        <w:tc>
          <w:tcPr>
            <w:tcW w:w="7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40" w:type="dxa"/>
            <w:vAlign w:val="bottom"/>
          </w:tcPr>
          <w:p>
            <w:pPr>
              <w:spacing w:after="0"/>
              <w:rPr>
                <w:sz w:val="11"/>
                <w:szCs w:val="11"/>
                <w:color w:val="auto"/>
              </w:rPr>
            </w:pPr>
          </w:p>
        </w:tc>
        <w:tc>
          <w:tcPr>
            <w:tcW w:w="7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60" w:type="dxa"/>
            <w:vAlign w:val="bottom"/>
          </w:tcPr>
          <w:p>
            <w:pPr>
              <w:spacing w:after="0"/>
              <w:rPr>
                <w:sz w:val="11"/>
                <w:szCs w:val="11"/>
                <w:color w:val="auto"/>
              </w:rPr>
            </w:pPr>
          </w:p>
        </w:tc>
        <w:tc>
          <w:tcPr>
            <w:tcW w:w="7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63"/>
              <w:spacing w:after="0" w:line="136"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1"/>
                <w:szCs w:val="11"/>
                <w:color w:val="auto"/>
              </w:rPr>
            </w:pPr>
          </w:p>
        </w:tc>
        <w:tc>
          <w:tcPr>
            <w:tcW w:w="10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8"/>
              </w:rPr>
              <w:t>Controlling</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6"/>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4,577,270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592,525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5,546,316</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equity incentive</w:t>
            </w:r>
          </w:p>
        </w:tc>
        <w:tc>
          <w:tcPr>
            <w:tcW w:w="120" w:type="dxa"/>
            <w:vAlign w:val="bottom"/>
          </w:tcPr>
          <w:p>
            <w:pPr>
              <w:spacing w:after="0"/>
              <w:rPr>
                <w:sz w:val="16"/>
                <w:szCs w:val="16"/>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15,238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15,238</w:t>
            </w:r>
          </w:p>
        </w:tc>
        <w:tc>
          <w:tcPr>
            <w:tcW w:w="0" w:type="dxa"/>
            <w:vAlign w:val="bottom"/>
          </w:tcPr>
          <w:p>
            <w:pPr>
              <w:spacing w:after="0"/>
              <w:rPr>
                <w:sz w:val="1"/>
                <w:szCs w:val="1"/>
                <w:color w:val="auto"/>
              </w:rPr>
            </w:pP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plans</w:t>
            </w: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Share repurchases pursuant to share repurchase</w:t>
            </w:r>
          </w:p>
        </w:tc>
        <w:tc>
          <w:tcPr>
            <w:tcW w:w="120" w:type="dxa"/>
            <w:vAlign w:val="bottom"/>
          </w:tcPr>
          <w:p>
            <w:pPr>
              <w:spacing w:after="0"/>
              <w:rPr>
                <w:sz w:val="16"/>
                <w:szCs w:val="16"/>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(35,205)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(35,205)</w:t>
            </w:r>
          </w:p>
        </w:tc>
        <w:tc>
          <w:tcPr>
            <w:tcW w:w="0" w:type="dxa"/>
            <w:vAlign w:val="bottom"/>
          </w:tcPr>
          <w:p>
            <w:pPr>
              <w:spacing w:after="0"/>
              <w:rPr>
                <w:sz w:val="1"/>
                <w:szCs w:val="1"/>
                <w:color w:val="auto"/>
              </w:rPr>
            </w:pP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programs</w:t>
            </w: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 agreement liability and deferred</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taxes arising from LLC Interest ownership</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exchanges and the issuance of common stock</w:t>
            </w:r>
          </w:p>
        </w:tc>
        <w:tc>
          <w:tcPr>
            <w:tcW w:w="12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53,395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53,395</w:t>
            </w:r>
          </w:p>
        </w:tc>
        <w:tc>
          <w:tcPr>
            <w:tcW w:w="0" w:type="dxa"/>
            <w:vAlign w:val="bottom"/>
          </w:tcPr>
          <w:p>
            <w:pPr>
              <w:spacing w:after="0"/>
              <w:rPr>
                <w:sz w:val="1"/>
                <w:szCs w:val="1"/>
                <w:color w:val="auto"/>
              </w:rPr>
            </w:pP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from equity incentive plans</w:t>
            </w: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non-controlling interests</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(77,641)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(12,439)</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Dividends ($0.36 per share)</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(75,909)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(75,909)</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66,607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66,607</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Payroll taxes paid for stock-based compensation</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(51,519)</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364,866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419,503</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5,419</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4,738,758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640,384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557,651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5,931,406</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common stock from equity incentive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6,743</w:t>
            </w:r>
          </w:p>
        </w:tc>
        <w:tc>
          <w:tcPr>
            <w:tcW w:w="0" w:type="dxa"/>
            <w:vAlign w:val="bottom"/>
          </w:tcPr>
          <w:p>
            <w:pPr>
              <w:spacing w:after="0"/>
              <w:rPr>
                <w:sz w:val="1"/>
                <w:szCs w:val="1"/>
                <w:color w:val="auto"/>
              </w:rPr>
            </w:pP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plans</w:t>
            </w: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 business</w:t>
            </w:r>
          </w:p>
        </w:tc>
        <w:tc>
          <w:tcPr>
            <w:tcW w:w="120" w:type="dxa"/>
            <w:vAlign w:val="bottom"/>
          </w:tcPr>
          <w:p>
            <w:pPr>
              <w:spacing w:after="0"/>
              <w:rPr>
                <w:sz w:val="16"/>
                <w:szCs w:val="16"/>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40,025</w:t>
            </w:r>
          </w:p>
        </w:tc>
        <w:tc>
          <w:tcPr>
            <w:tcW w:w="0" w:type="dxa"/>
            <w:vAlign w:val="bottom"/>
          </w:tcPr>
          <w:p>
            <w:pPr>
              <w:spacing w:after="0"/>
              <w:rPr>
                <w:sz w:val="1"/>
                <w:szCs w:val="1"/>
                <w:color w:val="auto"/>
              </w:rPr>
            </w:pP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Share repurchases pursuant to the share</w:t>
            </w:r>
          </w:p>
        </w:tc>
        <w:tc>
          <w:tcPr>
            <w:tcW w:w="120" w:type="dxa"/>
            <w:vAlign w:val="bottom"/>
          </w:tcPr>
          <w:p>
            <w:pPr>
              <w:spacing w:after="0"/>
              <w:rPr>
                <w:sz w:val="16"/>
                <w:szCs w:val="16"/>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(59,896)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(59,896)</w:t>
            </w:r>
          </w:p>
        </w:tc>
        <w:tc>
          <w:tcPr>
            <w:tcW w:w="0" w:type="dxa"/>
            <w:vAlign w:val="bottom"/>
          </w:tcPr>
          <w:p>
            <w:pPr>
              <w:spacing w:after="0"/>
              <w:rPr>
                <w:sz w:val="1"/>
                <w:szCs w:val="1"/>
                <w:color w:val="auto"/>
              </w:rPr>
            </w:pP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repurchase programs</w:t>
            </w: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 agreement liability and deferred</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taxes arising from LLC Interest ownership</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exchanges and the issuance of common stock</w:t>
            </w:r>
          </w:p>
        </w:tc>
        <w:tc>
          <w:tcPr>
            <w:tcW w:w="12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(15,326)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(15,326)</w:t>
            </w:r>
          </w:p>
        </w:tc>
        <w:tc>
          <w:tcPr>
            <w:tcW w:w="0" w:type="dxa"/>
            <w:vAlign w:val="bottom"/>
          </w:tcPr>
          <w:p>
            <w:pPr>
              <w:spacing w:after="0"/>
              <w:rPr>
                <w:sz w:val="1"/>
                <w:szCs w:val="1"/>
                <w:color w:val="auto"/>
              </w:rPr>
            </w:pP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from equity incentive plans</w:t>
            </w: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non-controlling interests</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(27,767)</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Dividends ($0.40 per share)</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(85,232)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(85,232)</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92,009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92,009</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Payroll taxes paid for stock-based compensation</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(47,952)</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501,507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569,963</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4,813,408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996,763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598,693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6,398,885</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Share repurchases pursuant to the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(106,167)</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(106,167)</w:t>
            </w:r>
          </w:p>
        </w:tc>
        <w:tc>
          <w:tcPr>
            <w:tcW w:w="0" w:type="dxa"/>
            <w:vAlign w:val="bottom"/>
          </w:tcPr>
          <w:p>
            <w:pPr>
              <w:spacing w:after="0"/>
              <w:rPr>
                <w:sz w:val="1"/>
                <w:szCs w:val="1"/>
                <w:color w:val="auto"/>
              </w:rPr>
            </w:pP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repurchase programs</w:t>
            </w: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 agreement liability and deferred</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taxes arising from LLC Interest ownership</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exchanges and the issuance of common stock</w:t>
            </w:r>
          </w:p>
        </w:tc>
        <w:tc>
          <w:tcPr>
            <w:tcW w:w="12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21,459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21,459</w:t>
            </w:r>
          </w:p>
        </w:tc>
        <w:tc>
          <w:tcPr>
            <w:tcW w:w="0" w:type="dxa"/>
            <w:vAlign w:val="bottom"/>
          </w:tcPr>
          <w:p>
            <w:pPr>
              <w:spacing w:after="0"/>
              <w:rPr>
                <w:sz w:val="1"/>
                <w:szCs w:val="1"/>
                <w:color w:val="auto"/>
              </w:rPr>
            </w:pP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from equity incentive plans</w:t>
            </w: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non-controlling interests</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(24,705)</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Dividends ($0.48 per share)</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(102,344)</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106,497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106,497</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Payroll taxes paid for stock-based compensation</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w:t>
            </w: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812,792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921,500</w:t>
            </w: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20,887</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23,487</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4,895,810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1,601,044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681,482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7,189,237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-6553835</wp:posOffset>
            </wp:positionV>
            <wp:extent cx="7130415" cy="65608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extLst>
                    </a:blip>
                    <a:srcRect/>
                    <a:stretch>
                      <a:fillRect/>
                    </a:stretch>
                  </pic:blipFill>
                  <pic:spPr bwMode="auto">
                    <a:xfrm>
                      <a:off x="0" y="0"/>
                      <a:ext cx="7130415" cy="6560820"/>
                    </a:xfrm>
                    <a:prstGeom prst="rect">
                      <a:avLst/>
                    </a:prstGeom>
                    <a:noFill/>
                  </pic:spPr>
                </pic:pic>
              </a:graphicData>
            </a:graphic>
          </wp:anchor>
        </w:drawing>
      </w: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2240" w:h="15840" w:orient="portrait"/>
          <w:cols w:equalWidth="0" w:num="1">
            <w:col w:w="11140"/>
          </w:cols>
          <w:pgMar w:left="580" w:top="386"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1140"/>
          </w:cols>
          <w:pgMar w:left="580" w:top="386" w:right="520" w:bottom="0" w:gutter="0" w:footer="0" w:header="0"/>
          <w:type w:val="continuous"/>
        </w:sectPr>
      </w:pPr>
    </w:p>
    <w:bookmarkStart w:id="120" w:name="page121"/>
    <w:bookmarkEnd w:id="120"/>
    <w:p>
      <w:pPr>
        <w:ind w:left="308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4"/>
          <w:szCs w:val="24"/>
          <w:b w:val="1"/>
          <w:bCs w:val="1"/>
          <w:color w:val="auto"/>
        </w:rPr>
        <w:t>Consolidated Statements of Cash Flows</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5"/>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921,500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569,963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419,503</w:t>
            </w: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2"/>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250,189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219,999</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185,350</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103,537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89,649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65,128</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Digital assets received as revenue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expense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89,896</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receivable agreement liability adjustment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9,517</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loss,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(263,384)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13,122</w:t>
            </w:r>
          </w:p>
        </w:tc>
      </w:tr>
      <w:tr>
        <w:trPr>
          <w:trHeight w:val="228"/>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decrease in operating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2"/>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 from/payable to brokers and dealers and clearing organizations,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(28,946)</w:t>
            </w:r>
          </w:p>
        </w:tc>
      </w:tr>
      <w:tr>
        <w:trPr>
          <w:trHeight w:val="240"/>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Deposits with clearing organizations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(12,799)</w:t>
            </w:r>
          </w:p>
        </w:tc>
      </w:tr>
      <w:tr>
        <w:trPr>
          <w:trHeight w:val="240"/>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(21,081)</w:t>
            </w:r>
          </w:p>
        </w:tc>
      </w:tr>
      <w:tr>
        <w:trPr>
          <w:trHeight w:val="240"/>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 and due from related parties/payable and due to related parties,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w:t>
            </w:r>
          </w:p>
        </w:tc>
      </w:tr>
      <w:tr>
        <w:trPr>
          <w:trHeight w:val="240"/>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 asset as a result of transferable tax credit purchase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w:t>
            </w:r>
          </w:p>
        </w:tc>
      </w:tr>
      <w:tr>
        <w:trPr>
          <w:trHeight w:val="228"/>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(decrease) in operating liabilities: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2"/>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21,612</w:t>
            </w:r>
          </w:p>
        </w:tc>
      </w:tr>
      <w:tr>
        <w:trPr>
          <w:trHeight w:val="240"/>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7,964</w:t>
            </w:r>
          </w:p>
        </w:tc>
      </w:tr>
      <w:tr>
        <w:trPr>
          <w:trHeight w:val="240"/>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r>
      <w:tr>
        <w:trPr>
          <w:trHeight w:val="246"/>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87,142</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29,758</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w:t>
            </w:r>
          </w:p>
        </w:tc>
      </w:tr>
      <w:tr>
        <w:trPr>
          <w:trHeight w:val="220"/>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1,167,646</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897,741</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746,089</w:t>
            </w:r>
          </w:p>
        </w:tc>
      </w:tr>
      <w:tr>
        <w:trPr>
          <w:trHeight w:val="199"/>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5"/>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(860,126)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(69,712)</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foreign currency call option, net of sale proceeds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investments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(38,440)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received from sale of digital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furniture, equipment, software and leasehold improvements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(18,529)</w:t>
            </w:r>
          </w:p>
        </w:tc>
      </w:tr>
      <w:tr>
        <w:trPr>
          <w:trHeight w:val="246"/>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(62,541)</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(47,909)</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(43,235)</w:t>
            </w:r>
          </w:p>
        </w:tc>
      </w:tr>
      <w:tr>
        <w:trPr>
          <w:trHeight w:val="220"/>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(126,533)</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(969,190)</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(132,765)</w:t>
            </w:r>
          </w:p>
        </w:tc>
      </w:tr>
      <w:tr>
        <w:trPr>
          <w:trHeight w:val="199"/>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5"/>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repurchases pursuant to share repurchase programs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(104,173)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(35,205)</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stock-based compensation exercises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15,238</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(102,344)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(85,232)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(75,909)</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(12,439)</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Payroll taxes paid for stock-based compensation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(51,341)</w:t>
            </w:r>
          </w:p>
        </w:tc>
      </w:tr>
      <w:tr>
        <w:trPr>
          <w:trHeight w:val="246"/>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on tax receivable agreement liability</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(26,745)</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(76,956)</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(5,724)</w:t>
            </w:r>
          </w:p>
        </w:tc>
      </w:tr>
      <w:tr>
        <w:trPr>
          <w:trHeight w:val="220"/>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(307,475)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(290,261)</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(168,174)</w:t>
            </w: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10,799</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w:t>
            </w:r>
          </w:p>
        </w:tc>
      </w:tr>
      <w:tr>
        <w:trPr>
          <w:trHeight w:val="214"/>
        </w:trPr>
        <w:tc>
          <w:tcPr>
            <w:tcW w:w="6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744,437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(366,166)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449,239</w:t>
            </w:r>
          </w:p>
        </w:tc>
      </w:tr>
      <w:tr>
        <w:trPr>
          <w:trHeight w:val="225"/>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1"/>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1,341,302</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1,707,468</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1,258,229</w:t>
            </w:r>
          </w:p>
        </w:tc>
      </w:tr>
      <w:tr>
        <w:trPr>
          <w:trHeight w:val="20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2,085,739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1,341,302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1,707,468</w:t>
            </w:r>
          </w:p>
        </w:tc>
      </w:tr>
      <w:tr>
        <w:trPr>
          <w:trHeight w:val="20"/>
        </w:trPr>
        <w:tc>
          <w:tcPr>
            <w:tcW w:w="6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-6736715</wp:posOffset>
            </wp:positionV>
            <wp:extent cx="6654800" cy="6743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
                      <a:extLst>
                        <a:ext uri="{28A0092B-C50C-407E-A947-70E740481C1C}"/>
                      </a:extLst>
                    </a:blip>
                    <a:srcRect/>
                    <a:stretch>
                      <a:fillRect/>
                    </a:stretch>
                  </pic:blipFill>
                  <pic:spPr bwMode="auto">
                    <a:xfrm>
                      <a:off x="0" y="0"/>
                      <a:ext cx="6654800" cy="6743700"/>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380"/>
          </w:cols>
          <w:pgMar w:left="960" w:top="5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380"/>
          </w:cols>
          <w:pgMar w:left="960" w:top="546" w:right="900" w:bottom="0" w:gutter="0" w:footer="0" w:header="0"/>
          <w:type w:val="continuous"/>
        </w:sectPr>
      </w:pPr>
    </w:p>
    <w:bookmarkStart w:id="121" w:name="page122"/>
    <w:bookmarkEnd w:id="121"/>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Consolidated Statements of Cash Flows - (Continued)</w:t>
      </w:r>
    </w:p>
    <w:p>
      <w:pPr>
        <w:spacing w:after="0" w:line="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5"/>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152,012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28,641</w:t>
            </w:r>
          </w:p>
        </w:tc>
      </w:tr>
      <w:tr>
        <w:trPr>
          <w:trHeight w:val="24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r>
      <w:tr>
        <w:trPr>
          <w:trHeight w:val="225"/>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5"/>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 business acquisitions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Digital asset loan receivable obtained in exchange for digital assets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Furniture, equipment, software and leasehold improvement additions included in accounts payable</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w:t>
            </w:r>
          </w:p>
        </w:tc>
      </w:tr>
      <w:tr>
        <w:trPr>
          <w:trHeight w:val="211"/>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Lease right-of-use assets obtained in exchange for lease liabilities, net of modifications and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terminations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101,660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10,395</w:t>
            </w:r>
          </w:p>
        </w:tc>
      </w:tr>
      <w:tr>
        <w:trPr>
          <w:trHeight w:val="24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 obtained in exchange for lease liabilities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Unsettled share repurchases and excise tax included in other liabilities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taxes payable relating to stock-based compensation settlements included in accrued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4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 capitalized to software development costs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Items arising from LLC Interest ownership changes: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2"/>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Establishment of liabilities under tax receivable agreement</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28,006</w:t>
            </w:r>
          </w:p>
        </w:tc>
      </w:tr>
      <w:tr>
        <w:trPr>
          <w:trHeight w:val="240"/>
        </w:trPr>
        <w:tc>
          <w:tcPr>
            <w:tcW w:w="6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asset</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-2516505</wp:posOffset>
            </wp:positionV>
            <wp:extent cx="6654800" cy="2540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extLst>
                    </a:blip>
                    <a:srcRect/>
                    <a:stretch>
                      <a:fillRect/>
                    </a:stretch>
                  </pic:blipFill>
                  <pic:spPr bwMode="auto">
                    <a:xfrm>
                      <a:off x="0" y="0"/>
                      <a:ext cx="6654800" cy="254000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as shown on the statements of</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20"/>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condition: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2,084,739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1,340,302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1,706,468</w:t>
            </w:r>
          </w:p>
        </w:tc>
      </w:tr>
      <w:tr>
        <w:trPr>
          <w:trHeight w:val="246"/>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shown in the statement of cash flows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2,085,739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1,341,302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1,707,468</w:t>
            </w:r>
          </w:p>
        </w:tc>
      </w:tr>
      <w:tr>
        <w:trPr>
          <w:trHeight w:val="20"/>
        </w:trPr>
        <w:tc>
          <w:tcPr>
            <w:tcW w:w="6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-488315</wp:posOffset>
            </wp:positionV>
            <wp:extent cx="6654800" cy="177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9">
                      <a:extLst>
                        <a:ext uri="{28A0092B-C50C-407E-A947-70E740481C1C}"/>
                      </a:extLst>
                    </a:blip>
                    <a:srcRect/>
                    <a:stretch>
                      <a:fillRect/>
                    </a:stretch>
                  </pic:blipFill>
                  <pic:spPr bwMode="auto">
                    <a:xfrm>
                      <a:off x="0" y="0"/>
                      <a:ext cx="6654800" cy="17780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-183515</wp:posOffset>
            </wp:positionV>
            <wp:extent cx="6654800" cy="190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0">
                      <a:extLst>
                        <a:ext uri="{28A0092B-C50C-407E-A947-70E740481C1C}"/>
                      </a:extLst>
                    </a:blip>
                    <a:srcRect/>
                    <a:stretch>
                      <a:fillRect/>
                    </a:stretch>
                  </pic:blipFill>
                  <pic:spPr bwMode="auto">
                    <a:xfrm>
                      <a:off x="0" y="0"/>
                      <a:ext cx="6654800" cy="190500"/>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380"/>
          </w:cols>
          <w:pgMar w:left="960" w:top="5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380"/>
          </w:cols>
          <w:pgMar w:left="960" w:top="546" w:right="900" w:bottom="0" w:gutter="0" w:footer="0" w:header="0"/>
          <w:type w:val="continuous"/>
        </w:sectPr>
      </w:pPr>
    </w:p>
    <w:bookmarkStart w:id="122" w:name="page123"/>
    <w:bookmarkEnd w:id="122"/>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9"/>
        </w:trPr>
        <w:tc>
          <w:tcPr>
            <w:tcW w:w="540" w:type="dxa"/>
            <w:vAlign w:val="bottom"/>
            <w:tcBorders>
              <w:bottom w:val="single" w:sz="8" w:color="3F3F3F"/>
            </w:tcBorders>
          </w:tcPr>
          <w:p>
            <w:pPr>
              <w:spacing w:after="0" w:line="219" w:lineRule="exact"/>
              <w:rPr>
                <w:sz w:val="20"/>
                <w:szCs w:val="20"/>
                <w:color w:val="auto"/>
              </w:rPr>
            </w:pPr>
            <w:r>
              <w:rPr>
                <w:rFonts w:ascii="Times New Roman" w:cs="Times New Roman" w:eastAsia="Times New Roman" w:hAnsi="Times New Roman"/>
                <w:sz w:val="20"/>
                <w:szCs w:val="20"/>
                <w:color w:val="3F3F3F"/>
                <w:w w:val="96"/>
              </w:rPr>
              <w:t>Note 1</w:t>
            </w:r>
          </w:p>
        </w:tc>
        <w:tc>
          <w:tcPr>
            <w:tcW w:w="240" w:type="dxa"/>
            <w:vAlign w:val="bottom"/>
            <w:gridSpan w:val="2"/>
          </w:tcPr>
          <w:p>
            <w:pPr>
              <w:spacing w:after="0"/>
              <w:rPr>
                <w:sz w:val="19"/>
                <w:szCs w:val="19"/>
                <w:color w:val="auto"/>
              </w:rPr>
            </w:pPr>
          </w:p>
        </w:tc>
        <w:tc>
          <w:tcPr>
            <w:tcW w:w="1060" w:type="dxa"/>
            <w:vAlign w:val="bottom"/>
            <w:tcBorders>
              <w:bottom w:val="single" w:sz="8" w:color="3F3F3F"/>
            </w:tcBorders>
            <w:gridSpan w:val="5"/>
          </w:tcPr>
          <w:p>
            <w:pPr>
              <w:spacing w:after="0" w:line="219" w:lineRule="exact"/>
              <w:rPr>
                <w:sz w:val="20"/>
                <w:szCs w:val="20"/>
                <w:color w:val="auto"/>
              </w:rPr>
            </w:pPr>
            <w:r>
              <w:rPr>
                <w:rFonts w:ascii="Times New Roman" w:cs="Times New Roman" w:eastAsia="Times New Roman" w:hAnsi="Times New Roman"/>
                <w:sz w:val="20"/>
                <w:szCs w:val="20"/>
                <w:color w:val="3F3F3F"/>
                <w:w w:val="99"/>
              </w:rPr>
              <w:t>Organization</w:t>
            </w:r>
          </w:p>
        </w:tc>
        <w:tc>
          <w:tcPr>
            <w:tcW w:w="3220" w:type="dxa"/>
            <w:vAlign w:val="bottom"/>
            <w:gridSpan w:val="15"/>
          </w:tcPr>
          <w:p>
            <w:pPr>
              <w:spacing w:after="0"/>
              <w:rPr>
                <w:sz w:val="19"/>
                <w:szCs w:val="19"/>
                <w:color w:val="auto"/>
              </w:rPr>
            </w:pPr>
          </w:p>
        </w:tc>
        <w:tc>
          <w:tcPr>
            <w:tcW w:w="53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3F3F3F"/>
              </w:rPr>
              <w:t>114</w:t>
            </w:r>
          </w:p>
        </w:tc>
      </w:tr>
      <w:tr>
        <w:trPr>
          <w:trHeight w:val="265"/>
        </w:trPr>
        <w:tc>
          <w:tcPr>
            <w:tcW w:w="540" w:type="dxa"/>
            <w:vAlign w:val="bottom"/>
            <w:tcBorders>
              <w:bottom w:val="single" w:sz="8" w:color="3F3F3F"/>
            </w:tcBorders>
          </w:tcPr>
          <w:p>
            <w:pPr>
              <w:spacing w:after="0"/>
              <w:rPr>
                <w:sz w:val="20"/>
                <w:szCs w:val="20"/>
                <w:color w:val="auto"/>
              </w:rPr>
            </w:pPr>
            <w:r>
              <w:rPr>
                <w:rFonts w:ascii="Times New Roman" w:cs="Times New Roman" w:eastAsia="Times New Roman" w:hAnsi="Times New Roman"/>
                <w:sz w:val="20"/>
                <w:szCs w:val="20"/>
                <w:color w:val="3F3F3F"/>
                <w:w w:val="96"/>
              </w:rPr>
              <w:t>Note 2</w:t>
            </w:r>
          </w:p>
        </w:tc>
        <w:tc>
          <w:tcPr>
            <w:tcW w:w="240" w:type="dxa"/>
            <w:vAlign w:val="bottom"/>
            <w:gridSpan w:val="2"/>
          </w:tcPr>
          <w:p>
            <w:pPr>
              <w:spacing w:after="0"/>
              <w:rPr>
                <w:sz w:val="23"/>
                <w:szCs w:val="23"/>
                <w:color w:val="auto"/>
              </w:rPr>
            </w:pPr>
          </w:p>
        </w:tc>
        <w:tc>
          <w:tcPr>
            <w:tcW w:w="2560" w:type="dxa"/>
            <w:vAlign w:val="bottom"/>
            <w:tcBorders>
              <w:bottom w:val="single" w:sz="8" w:color="3F3F3F"/>
            </w:tcBorders>
            <w:gridSpan w:val="16"/>
          </w:tcPr>
          <w:p>
            <w:pPr>
              <w:spacing w:after="0"/>
              <w:rPr>
                <w:sz w:val="20"/>
                <w:szCs w:val="20"/>
                <w:color w:val="auto"/>
              </w:rPr>
            </w:pPr>
            <w:r>
              <w:rPr>
                <w:rFonts w:ascii="Times New Roman" w:cs="Times New Roman" w:eastAsia="Times New Roman" w:hAnsi="Times New Roman"/>
                <w:sz w:val="20"/>
                <w:szCs w:val="20"/>
                <w:color w:val="3F3F3F"/>
                <w:w w:val="99"/>
              </w:rPr>
              <w:t>Significant Accounting Policies</w:t>
            </w:r>
          </w:p>
        </w:tc>
        <w:tc>
          <w:tcPr>
            <w:tcW w:w="1720" w:type="dxa"/>
            <w:vAlign w:val="bottom"/>
            <w:gridSpan w:val="4"/>
          </w:tcPr>
          <w:p>
            <w:pPr>
              <w:spacing w:after="0"/>
              <w:rPr>
                <w:sz w:val="23"/>
                <w:szCs w:val="23"/>
                <w:color w:val="auto"/>
              </w:rPr>
            </w:pP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117</w:t>
            </w:r>
          </w:p>
        </w:tc>
      </w:tr>
      <w:tr>
        <w:trPr>
          <w:trHeight w:val="265"/>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3F3F3F"/>
                <w:w w:val="96"/>
              </w:rPr>
              <w:t>Note 3</w:t>
            </w:r>
          </w:p>
        </w:tc>
        <w:tc>
          <w:tcPr>
            <w:tcW w:w="240" w:type="dxa"/>
            <w:vAlign w:val="bottom"/>
            <w:gridSpan w:val="2"/>
          </w:tcPr>
          <w:p>
            <w:pPr>
              <w:spacing w:after="0"/>
              <w:rPr>
                <w:sz w:val="23"/>
                <w:szCs w:val="23"/>
                <w:color w:val="auto"/>
              </w:rPr>
            </w:pPr>
          </w:p>
        </w:tc>
        <w:tc>
          <w:tcPr>
            <w:tcW w:w="4280" w:type="dxa"/>
            <w:vAlign w:val="bottom"/>
            <w:gridSpan w:val="20"/>
          </w:tcPr>
          <w:p>
            <w:pPr>
              <w:spacing w:after="0"/>
              <w:rPr>
                <w:sz w:val="20"/>
                <w:szCs w:val="20"/>
                <w:color w:val="auto"/>
              </w:rPr>
            </w:pPr>
            <w:r>
              <w:rPr>
                <w:rFonts w:ascii="Times New Roman" w:cs="Times New Roman" w:eastAsia="Times New Roman" w:hAnsi="Times New Roman"/>
                <w:sz w:val="20"/>
                <w:szCs w:val="20"/>
                <w:color w:val="3F3F3F"/>
              </w:rPr>
              <w:t>Restricted Cash</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124</w:t>
            </w:r>
          </w:p>
        </w:tc>
      </w:tr>
      <w:tr>
        <w:trPr>
          <w:trHeight w:val="265"/>
        </w:trPr>
        <w:tc>
          <w:tcPr>
            <w:tcW w:w="540" w:type="dxa"/>
            <w:vAlign w:val="bottom"/>
            <w:tcBorders>
              <w:top w:val="single" w:sz="8" w:color="3F3F3F"/>
              <w:bottom w:val="single" w:sz="8" w:color="3F3F3F"/>
            </w:tcBorders>
          </w:tcPr>
          <w:p>
            <w:pPr>
              <w:spacing w:after="0"/>
              <w:rPr>
                <w:sz w:val="20"/>
                <w:szCs w:val="20"/>
                <w:color w:val="auto"/>
              </w:rPr>
            </w:pPr>
            <w:r>
              <w:rPr>
                <w:rFonts w:ascii="Times New Roman" w:cs="Times New Roman" w:eastAsia="Times New Roman" w:hAnsi="Times New Roman"/>
                <w:sz w:val="20"/>
                <w:szCs w:val="20"/>
                <w:color w:val="3F3F3F"/>
                <w:w w:val="96"/>
              </w:rPr>
              <w:t>Note 4</w:t>
            </w:r>
          </w:p>
        </w:tc>
        <w:tc>
          <w:tcPr>
            <w:tcW w:w="240" w:type="dxa"/>
            <w:vAlign w:val="bottom"/>
            <w:gridSpan w:val="2"/>
          </w:tcPr>
          <w:p>
            <w:pPr>
              <w:spacing w:after="0"/>
              <w:rPr>
                <w:sz w:val="23"/>
                <w:szCs w:val="23"/>
                <w:color w:val="auto"/>
              </w:rPr>
            </w:pPr>
          </w:p>
        </w:tc>
        <w:tc>
          <w:tcPr>
            <w:tcW w:w="1020" w:type="dxa"/>
            <w:vAlign w:val="bottom"/>
            <w:tcBorders>
              <w:top w:val="single" w:sz="8" w:color="3F3F3F"/>
              <w:bottom w:val="single" w:sz="8" w:color="3F3F3F"/>
            </w:tcBorders>
            <w:gridSpan w:val="4"/>
          </w:tcPr>
          <w:p>
            <w:pPr>
              <w:spacing w:after="0"/>
              <w:rPr>
                <w:sz w:val="20"/>
                <w:szCs w:val="20"/>
                <w:color w:val="auto"/>
              </w:rPr>
            </w:pPr>
            <w:r>
              <w:rPr>
                <w:rFonts w:ascii="Times New Roman" w:cs="Times New Roman" w:eastAsia="Times New Roman" w:hAnsi="Times New Roman"/>
                <w:sz w:val="20"/>
                <w:szCs w:val="20"/>
                <w:color w:val="3F3F3F"/>
                <w:w w:val="98"/>
              </w:rPr>
              <w:t>Acquisitions</w:t>
            </w:r>
          </w:p>
        </w:tc>
        <w:tc>
          <w:tcPr>
            <w:tcW w:w="240" w:type="dxa"/>
            <w:vAlign w:val="bottom"/>
            <w:tcBorders>
              <w:top w:val="single" w:sz="8" w:color="3F3F3F"/>
            </w:tcBorders>
            <w:gridSpan w:val="3"/>
          </w:tcPr>
          <w:p>
            <w:pPr>
              <w:spacing w:after="0"/>
              <w:rPr>
                <w:sz w:val="23"/>
                <w:szCs w:val="23"/>
                <w:color w:val="auto"/>
              </w:rPr>
            </w:pPr>
          </w:p>
        </w:tc>
        <w:tc>
          <w:tcPr>
            <w:tcW w:w="3020" w:type="dxa"/>
            <w:vAlign w:val="bottom"/>
            <w:gridSpan w:val="13"/>
          </w:tcPr>
          <w:p>
            <w:pPr>
              <w:spacing w:after="0"/>
              <w:rPr>
                <w:sz w:val="23"/>
                <w:szCs w:val="23"/>
                <w:color w:val="auto"/>
              </w:rPr>
            </w:pP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125</w:t>
            </w:r>
          </w:p>
        </w:tc>
      </w:tr>
      <w:tr>
        <w:trPr>
          <w:trHeight w:val="265"/>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3F3F3F"/>
                <w:w w:val="96"/>
              </w:rPr>
              <w:t>Note 5</w:t>
            </w:r>
          </w:p>
        </w:tc>
        <w:tc>
          <w:tcPr>
            <w:tcW w:w="240" w:type="dxa"/>
            <w:vAlign w:val="bottom"/>
            <w:gridSpan w:val="2"/>
          </w:tcPr>
          <w:p>
            <w:pPr>
              <w:spacing w:after="0"/>
              <w:rPr>
                <w:sz w:val="23"/>
                <w:szCs w:val="23"/>
                <w:color w:val="auto"/>
              </w:rPr>
            </w:pPr>
          </w:p>
        </w:tc>
        <w:tc>
          <w:tcPr>
            <w:tcW w:w="4280" w:type="dxa"/>
            <w:vAlign w:val="bottom"/>
            <w:gridSpan w:val="20"/>
          </w:tcPr>
          <w:p>
            <w:pPr>
              <w:spacing w:after="0"/>
              <w:rPr>
                <w:sz w:val="20"/>
                <w:szCs w:val="20"/>
                <w:color w:val="auto"/>
              </w:rPr>
            </w:pPr>
            <w:r>
              <w:rPr>
                <w:rFonts w:ascii="Times New Roman" w:cs="Times New Roman" w:eastAsia="Times New Roman" w:hAnsi="Times New Roman"/>
                <w:sz w:val="20"/>
                <w:szCs w:val="20"/>
                <w:color w:val="3F3F3F"/>
              </w:rPr>
              <w:t>Software Development Costs</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127</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3F3F3F"/>
          </w:tcPr>
          <w:p>
            <w:pPr>
              <w:spacing w:after="0" w:line="20" w:lineRule="exact"/>
              <w:rPr>
                <w:sz w:val="1"/>
                <w:szCs w:val="1"/>
                <w:color w:val="auto"/>
              </w:rPr>
            </w:pPr>
          </w:p>
        </w:tc>
        <w:tc>
          <w:tcPr>
            <w:tcW w:w="140" w:type="dxa"/>
            <w:vAlign w:val="bottom"/>
            <w:shd w:val="clear" w:color="auto" w:fill="3F3F3F"/>
          </w:tcPr>
          <w:p>
            <w:pPr>
              <w:spacing w:after="0" w:line="20" w:lineRule="exact"/>
              <w:rPr>
                <w:sz w:val="1"/>
                <w:szCs w:val="1"/>
                <w:color w:val="auto"/>
              </w:rPr>
            </w:pPr>
          </w:p>
        </w:tc>
        <w:tc>
          <w:tcPr>
            <w:tcW w:w="220" w:type="dxa"/>
            <w:vAlign w:val="bottom"/>
            <w:shd w:val="clear" w:color="auto" w:fill="3F3F3F"/>
          </w:tcPr>
          <w:p>
            <w:pPr>
              <w:spacing w:after="0" w:line="20" w:lineRule="exact"/>
              <w:rPr>
                <w:sz w:val="1"/>
                <w:szCs w:val="1"/>
                <w:color w:val="auto"/>
              </w:rPr>
            </w:pPr>
          </w:p>
        </w:tc>
        <w:tc>
          <w:tcPr>
            <w:tcW w:w="220" w:type="dxa"/>
            <w:vAlign w:val="bottom"/>
            <w:gridSpan w:val="3"/>
            <w:shd w:val="clear" w:color="auto" w:fill="3F3F3F"/>
          </w:tcPr>
          <w:p>
            <w:pPr>
              <w:spacing w:after="0" w:line="20" w:lineRule="exact"/>
              <w:rPr>
                <w:sz w:val="1"/>
                <w:szCs w:val="1"/>
                <w:color w:val="auto"/>
              </w:rPr>
            </w:pPr>
          </w:p>
        </w:tc>
        <w:tc>
          <w:tcPr>
            <w:tcW w:w="380" w:type="dxa"/>
            <w:vAlign w:val="bottom"/>
            <w:gridSpan w:val="2"/>
            <w:shd w:val="clear" w:color="auto" w:fill="3F3F3F"/>
          </w:tcPr>
          <w:p>
            <w:pPr>
              <w:spacing w:after="0" w:line="20" w:lineRule="exact"/>
              <w:rPr>
                <w:sz w:val="1"/>
                <w:szCs w:val="1"/>
                <w:color w:val="auto"/>
              </w:rPr>
            </w:pPr>
          </w:p>
        </w:tc>
        <w:tc>
          <w:tcPr>
            <w:tcW w:w="20" w:type="dxa"/>
            <w:vAlign w:val="bottom"/>
            <w:shd w:val="clear" w:color="auto" w:fill="3F3F3F"/>
          </w:tcPr>
          <w:p>
            <w:pPr>
              <w:spacing w:after="0" w:line="20" w:lineRule="exact"/>
              <w:rPr>
                <w:sz w:val="1"/>
                <w:szCs w:val="1"/>
                <w:color w:val="auto"/>
              </w:rPr>
            </w:pPr>
          </w:p>
        </w:tc>
        <w:tc>
          <w:tcPr>
            <w:tcW w:w="160" w:type="dxa"/>
            <w:vAlign w:val="bottom"/>
            <w:shd w:val="clear" w:color="auto" w:fill="3F3F3F"/>
          </w:tcPr>
          <w:p>
            <w:pPr>
              <w:spacing w:after="0" w:line="20" w:lineRule="exact"/>
              <w:rPr>
                <w:sz w:val="1"/>
                <w:szCs w:val="1"/>
                <w:color w:val="auto"/>
              </w:rPr>
            </w:pPr>
          </w:p>
        </w:tc>
        <w:tc>
          <w:tcPr>
            <w:tcW w:w="360" w:type="dxa"/>
            <w:vAlign w:val="bottom"/>
            <w:shd w:val="clear" w:color="auto" w:fill="3F3F3F"/>
          </w:tcPr>
          <w:p>
            <w:pPr>
              <w:spacing w:after="0" w:line="20" w:lineRule="exact"/>
              <w:rPr>
                <w:sz w:val="1"/>
                <w:szCs w:val="1"/>
                <w:color w:val="auto"/>
              </w:rPr>
            </w:pPr>
          </w:p>
        </w:tc>
        <w:tc>
          <w:tcPr>
            <w:tcW w:w="100" w:type="dxa"/>
            <w:vAlign w:val="bottom"/>
            <w:shd w:val="clear" w:color="auto" w:fill="3F3F3F"/>
          </w:tcPr>
          <w:p>
            <w:pPr>
              <w:spacing w:after="0" w:line="20" w:lineRule="exact"/>
              <w:rPr>
                <w:sz w:val="1"/>
                <w:szCs w:val="1"/>
                <w:color w:val="auto"/>
              </w:rPr>
            </w:pPr>
          </w:p>
        </w:tc>
        <w:tc>
          <w:tcPr>
            <w:tcW w:w="40" w:type="dxa"/>
            <w:vAlign w:val="bottom"/>
            <w:shd w:val="clear" w:color="auto" w:fill="3F3F3F"/>
          </w:tcPr>
          <w:p>
            <w:pPr>
              <w:spacing w:after="0" w:line="20" w:lineRule="exact"/>
              <w:rPr>
                <w:sz w:val="1"/>
                <w:szCs w:val="1"/>
                <w:color w:val="auto"/>
              </w:rPr>
            </w:pPr>
          </w:p>
        </w:tc>
        <w:tc>
          <w:tcPr>
            <w:tcW w:w="140" w:type="dxa"/>
            <w:vAlign w:val="bottom"/>
            <w:shd w:val="clear" w:color="auto" w:fill="3F3F3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540" w:type="dxa"/>
            <w:vAlign w:val="bottom"/>
            <w:tcBorders>
              <w:bottom w:val="single" w:sz="8" w:color="3F3F3F"/>
            </w:tcBorders>
          </w:tcPr>
          <w:p>
            <w:pPr>
              <w:spacing w:after="0"/>
              <w:rPr>
                <w:sz w:val="20"/>
                <w:szCs w:val="20"/>
                <w:color w:val="auto"/>
              </w:rPr>
            </w:pPr>
            <w:r>
              <w:rPr>
                <w:rFonts w:ascii="Times New Roman" w:cs="Times New Roman" w:eastAsia="Times New Roman" w:hAnsi="Times New Roman"/>
                <w:sz w:val="20"/>
                <w:szCs w:val="20"/>
                <w:color w:val="3F3F3F"/>
                <w:w w:val="96"/>
              </w:rPr>
              <w:t>Note 6</w:t>
            </w:r>
          </w:p>
        </w:tc>
        <w:tc>
          <w:tcPr>
            <w:tcW w:w="240" w:type="dxa"/>
            <w:vAlign w:val="bottom"/>
            <w:gridSpan w:val="2"/>
          </w:tcPr>
          <w:p>
            <w:pPr>
              <w:spacing w:after="0"/>
              <w:rPr>
                <w:sz w:val="23"/>
                <w:szCs w:val="23"/>
                <w:color w:val="auto"/>
              </w:rPr>
            </w:pPr>
          </w:p>
        </w:tc>
        <w:tc>
          <w:tcPr>
            <w:tcW w:w="2540" w:type="dxa"/>
            <w:vAlign w:val="bottom"/>
            <w:tcBorders>
              <w:bottom w:val="single" w:sz="8" w:color="3F3F3F"/>
            </w:tcBorders>
            <w:gridSpan w:val="15"/>
          </w:tcPr>
          <w:p>
            <w:pPr>
              <w:spacing w:after="0"/>
              <w:rPr>
                <w:sz w:val="20"/>
                <w:szCs w:val="20"/>
                <w:color w:val="auto"/>
              </w:rPr>
            </w:pPr>
            <w:r>
              <w:rPr>
                <w:rFonts w:ascii="Times New Roman" w:cs="Times New Roman" w:eastAsia="Times New Roman" w:hAnsi="Times New Roman"/>
                <w:sz w:val="20"/>
                <w:szCs w:val="20"/>
                <w:color w:val="3F3F3F"/>
                <w:w w:val="99"/>
              </w:rPr>
              <w:t>Goodwill and Intangible Assets</w:t>
            </w:r>
          </w:p>
        </w:tc>
        <w:tc>
          <w:tcPr>
            <w:tcW w:w="1740" w:type="dxa"/>
            <w:vAlign w:val="bottom"/>
            <w:gridSpan w:val="5"/>
          </w:tcPr>
          <w:p>
            <w:pPr>
              <w:spacing w:after="0"/>
              <w:rPr>
                <w:sz w:val="23"/>
                <w:szCs w:val="23"/>
                <w:color w:val="auto"/>
              </w:rPr>
            </w:pP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128</w:t>
            </w:r>
          </w:p>
        </w:tc>
      </w:tr>
      <w:tr>
        <w:trPr>
          <w:trHeight w:val="265"/>
        </w:trPr>
        <w:tc>
          <w:tcPr>
            <w:tcW w:w="540" w:type="dxa"/>
            <w:vAlign w:val="bottom"/>
            <w:tcBorders>
              <w:bottom w:val="single" w:sz="8" w:color="3F3F3F"/>
            </w:tcBorders>
          </w:tcPr>
          <w:p>
            <w:pPr>
              <w:spacing w:after="0"/>
              <w:rPr>
                <w:sz w:val="20"/>
                <w:szCs w:val="20"/>
                <w:color w:val="auto"/>
              </w:rPr>
            </w:pPr>
            <w:r>
              <w:rPr>
                <w:rFonts w:ascii="Times New Roman" w:cs="Times New Roman" w:eastAsia="Times New Roman" w:hAnsi="Times New Roman"/>
                <w:sz w:val="20"/>
                <w:szCs w:val="20"/>
                <w:color w:val="3F3F3F"/>
                <w:w w:val="96"/>
              </w:rPr>
              <w:t>Note 7</w:t>
            </w:r>
          </w:p>
        </w:tc>
        <w:tc>
          <w:tcPr>
            <w:tcW w:w="240" w:type="dxa"/>
            <w:vAlign w:val="bottom"/>
            <w:gridSpan w:val="2"/>
          </w:tcPr>
          <w:p>
            <w:pPr>
              <w:spacing w:after="0"/>
              <w:rPr>
                <w:sz w:val="23"/>
                <w:szCs w:val="23"/>
                <w:color w:val="auto"/>
              </w:rPr>
            </w:pPr>
          </w:p>
        </w:tc>
        <w:tc>
          <w:tcPr>
            <w:tcW w:w="560" w:type="dxa"/>
            <w:vAlign w:val="bottom"/>
            <w:tcBorders>
              <w:bottom w:val="single" w:sz="8" w:color="3F3F3F"/>
            </w:tcBorders>
          </w:tcPr>
          <w:p>
            <w:pPr>
              <w:spacing w:after="0"/>
              <w:rPr>
                <w:sz w:val="20"/>
                <w:szCs w:val="20"/>
                <w:color w:val="auto"/>
              </w:rPr>
            </w:pPr>
            <w:r>
              <w:rPr>
                <w:rFonts w:ascii="Times New Roman" w:cs="Times New Roman" w:eastAsia="Times New Roman" w:hAnsi="Times New Roman"/>
                <w:sz w:val="20"/>
                <w:szCs w:val="20"/>
                <w:color w:val="3F3F3F"/>
                <w:w w:val="99"/>
              </w:rPr>
              <w:t>Leases</w:t>
            </w:r>
          </w:p>
        </w:tc>
        <w:tc>
          <w:tcPr>
            <w:tcW w:w="3720" w:type="dxa"/>
            <w:vAlign w:val="bottom"/>
            <w:gridSpan w:val="19"/>
          </w:tcPr>
          <w:p>
            <w:pPr>
              <w:spacing w:after="0"/>
              <w:rPr>
                <w:sz w:val="23"/>
                <w:szCs w:val="23"/>
                <w:color w:val="auto"/>
              </w:rPr>
            </w:pP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129</w:t>
            </w:r>
          </w:p>
        </w:tc>
      </w:tr>
      <w:tr>
        <w:trPr>
          <w:trHeight w:val="265"/>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3F3F3F"/>
                <w:w w:val="96"/>
              </w:rPr>
              <w:t>Note 8</w:t>
            </w:r>
          </w:p>
        </w:tc>
        <w:tc>
          <w:tcPr>
            <w:tcW w:w="240" w:type="dxa"/>
            <w:vAlign w:val="bottom"/>
            <w:gridSpan w:val="2"/>
          </w:tcPr>
          <w:p>
            <w:pPr>
              <w:spacing w:after="0"/>
              <w:rPr>
                <w:sz w:val="23"/>
                <w:szCs w:val="23"/>
                <w:color w:val="auto"/>
              </w:rPr>
            </w:pPr>
          </w:p>
        </w:tc>
        <w:tc>
          <w:tcPr>
            <w:tcW w:w="4280" w:type="dxa"/>
            <w:vAlign w:val="bottom"/>
            <w:gridSpan w:val="20"/>
          </w:tcPr>
          <w:p>
            <w:pPr>
              <w:spacing w:after="0"/>
              <w:rPr>
                <w:sz w:val="20"/>
                <w:szCs w:val="20"/>
                <w:color w:val="auto"/>
              </w:rPr>
            </w:pPr>
            <w:r>
              <w:rPr>
                <w:rFonts w:ascii="Times New Roman" w:cs="Times New Roman" w:eastAsia="Times New Roman" w:hAnsi="Times New Roman"/>
                <w:sz w:val="20"/>
                <w:szCs w:val="20"/>
                <w:color w:val="3F3F3F"/>
              </w:rPr>
              <w:t>Revenue</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130</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3F3F3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540" w:type="dxa"/>
            <w:vAlign w:val="bottom"/>
            <w:tcBorders>
              <w:bottom w:val="single" w:sz="8" w:color="3F3F3F"/>
            </w:tcBorders>
          </w:tcPr>
          <w:p>
            <w:pPr>
              <w:spacing w:after="0"/>
              <w:rPr>
                <w:sz w:val="20"/>
                <w:szCs w:val="20"/>
                <w:color w:val="auto"/>
              </w:rPr>
            </w:pPr>
            <w:r>
              <w:rPr>
                <w:rFonts w:ascii="Times New Roman" w:cs="Times New Roman" w:eastAsia="Times New Roman" w:hAnsi="Times New Roman"/>
                <w:sz w:val="20"/>
                <w:szCs w:val="20"/>
                <w:color w:val="3F3F3F"/>
                <w:w w:val="96"/>
              </w:rPr>
              <w:t>Note 9</w:t>
            </w:r>
          </w:p>
        </w:tc>
        <w:tc>
          <w:tcPr>
            <w:tcW w:w="240" w:type="dxa"/>
            <w:vAlign w:val="bottom"/>
            <w:gridSpan w:val="2"/>
          </w:tcPr>
          <w:p>
            <w:pPr>
              <w:spacing w:after="0"/>
              <w:rPr>
                <w:sz w:val="23"/>
                <w:szCs w:val="23"/>
                <w:color w:val="auto"/>
              </w:rPr>
            </w:pPr>
          </w:p>
        </w:tc>
        <w:tc>
          <w:tcPr>
            <w:tcW w:w="1140" w:type="dxa"/>
            <w:vAlign w:val="bottom"/>
            <w:tcBorders>
              <w:bottom w:val="single" w:sz="8" w:color="3F3F3F"/>
            </w:tcBorders>
            <w:gridSpan w:val="6"/>
          </w:tcPr>
          <w:p>
            <w:pPr>
              <w:spacing w:after="0"/>
              <w:rPr>
                <w:sz w:val="20"/>
                <w:szCs w:val="20"/>
                <w:color w:val="auto"/>
              </w:rPr>
            </w:pPr>
            <w:r>
              <w:rPr>
                <w:rFonts w:ascii="Times New Roman" w:cs="Times New Roman" w:eastAsia="Times New Roman" w:hAnsi="Times New Roman"/>
                <w:sz w:val="20"/>
                <w:szCs w:val="20"/>
                <w:color w:val="3F3F3F"/>
                <w:w w:val="99"/>
              </w:rPr>
              <w:t>Income Taxes</w:t>
            </w:r>
          </w:p>
        </w:tc>
        <w:tc>
          <w:tcPr>
            <w:tcW w:w="3140" w:type="dxa"/>
            <w:vAlign w:val="bottom"/>
            <w:gridSpan w:val="14"/>
          </w:tcPr>
          <w:p>
            <w:pPr>
              <w:spacing w:after="0"/>
              <w:rPr>
                <w:sz w:val="23"/>
                <w:szCs w:val="23"/>
                <w:color w:val="auto"/>
              </w:rPr>
            </w:pP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132</w:t>
            </w:r>
          </w:p>
        </w:tc>
      </w:tr>
      <w:tr>
        <w:trPr>
          <w:trHeight w:val="265"/>
        </w:trPr>
        <w:tc>
          <w:tcPr>
            <w:tcW w:w="640" w:type="dxa"/>
            <w:vAlign w:val="bottom"/>
            <w:tcBorders>
              <w:bottom w:val="single" w:sz="8" w:color="3F3F3F"/>
            </w:tcBorders>
            <w:gridSpan w:val="2"/>
          </w:tcPr>
          <w:p>
            <w:pPr>
              <w:spacing w:after="0"/>
              <w:rPr>
                <w:sz w:val="20"/>
                <w:szCs w:val="20"/>
                <w:color w:val="auto"/>
              </w:rPr>
            </w:pPr>
            <w:r>
              <w:rPr>
                <w:rFonts w:ascii="Times New Roman" w:cs="Times New Roman" w:eastAsia="Times New Roman" w:hAnsi="Times New Roman"/>
                <w:sz w:val="20"/>
                <w:szCs w:val="20"/>
                <w:color w:val="3F3F3F"/>
                <w:w w:val="96"/>
              </w:rPr>
              <w:t>Note 10</w:t>
            </w:r>
          </w:p>
        </w:tc>
        <w:tc>
          <w:tcPr>
            <w:tcW w:w="140" w:type="dxa"/>
            <w:vAlign w:val="bottom"/>
          </w:tcPr>
          <w:p>
            <w:pPr>
              <w:spacing w:after="0"/>
              <w:rPr>
                <w:sz w:val="23"/>
                <w:szCs w:val="23"/>
                <w:color w:val="auto"/>
              </w:rPr>
            </w:pPr>
          </w:p>
        </w:tc>
        <w:tc>
          <w:tcPr>
            <w:tcW w:w="2200" w:type="dxa"/>
            <w:vAlign w:val="bottom"/>
            <w:tcBorders>
              <w:bottom w:val="single" w:sz="8" w:color="3F3F3F"/>
            </w:tcBorders>
            <w:gridSpan w:val="13"/>
          </w:tcPr>
          <w:p>
            <w:pPr>
              <w:spacing w:after="0"/>
              <w:rPr>
                <w:sz w:val="20"/>
                <w:szCs w:val="20"/>
                <w:color w:val="auto"/>
              </w:rPr>
            </w:pPr>
            <w:r>
              <w:rPr>
                <w:rFonts w:ascii="Times New Roman" w:cs="Times New Roman" w:eastAsia="Times New Roman" w:hAnsi="Times New Roman"/>
                <w:sz w:val="20"/>
                <w:szCs w:val="20"/>
                <w:color w:val="3F3F3F"/>
                <w:w w:val="99"/>
              </w:rPr>
              <w:t>Tax Receivable Agreement</w:t>
            </w:r>
          </w:p>
        </w:tc>
        <w:tc>
          <w:tcPr>
            <w:tcW w:w="2080" w:type="dxa"/>
            <w:vAlign w:val="bottom"/>
            <w:gridSpan w:val="7"/>
          </w:tcPr>
          <w:p>
            <w:pPr>
              <w:spacing w:after="0"/>
              <w:rPr>
                <w:sz w:val="23"/>
                <w:szCs w:val="23"/>
                <w:color w:val="auto"/>
              </w:rPr>
            </w:pP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135</w:t>
            </w:r>
          </w:p>
        </w:tc>
      </w:tr>
      <w:tr>
        <w:trPr>
          <w:trHeight w:val="265"/>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3F3F3F"/>
                <w:w w:val="96"/>
              </w:rPr>
              <w:t>Note 11</w:t>
            </w:r>
          </w:p>
        </w:tc>
        <w:tc>
          <w:tcPr>
            <w:tcW w:w="140" w:type="dxa"/>
            <w:vAlign w:val="bottom"/>
          </w:tcPr>
          <w:p>
            <w:pPr>
              <w:spacing w:after="0"/>
              <w:rPr>
                <w:sz w:val="23"/>
                <w:szCs w:val="23"/>
                <w:color w:val="auto"/>
              </w:rPr>
            </w:pPr>
          </w:p>
        </w:tc>
        <w:tc>
          <w:tcPr>
            <w:tcW w:w="4280" w:type="dxa"/>
            <w:vAlign w:val="bottom"/>
            <w:gridSpan w:val="20"/>
          </w:tcPr>
          <w:p>
            <w:pPr>
              <w:spacing w:after="0"/>
              <w:rPr>
                <w:sz w:val="20"/>
                <w:szCs w:val="20"/>
                <w:color w:val="auto"/>
              </w:rPr>
            </w:pPr>
            <w:r>
              <w:rPr>
                <w:rFonts w:ascii="Times New Roman" w:cs="Times New Roman" w:eastAsia="Times New Roman" w:hAnsi="Times New Roman"/>
                <w:sz w:val="20"/>
                <w:szCs w:val="20"/>
                <w:color w:val="3F3F3F"/>
              </w:rPr>
              <w:t>Stockholders’ Equity</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136</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3"/>
            <w:shd w:val="clear" w:color="auto" w:fill="3F3F3F"/>
          </w:tcPr>
          <w:p>
            <w:pPr>
              <w:spacing w:after="0" w:line="20" w:lineRule="exact"/>
              <w:rPr>
                <w:sz w:val="1"/>
                <w:szCs w:val="1"/>
                <w:color w:val="auto"/>
              </w:rPr>
            </w:pPr>
          </w:p>
        </w:tc>
        <w:tc>
          <w:tcPr>
            <w:tcW w:w="600" w:type="dxa"/>
            <w:vAlign w:val="bottom"/>
            <w:gridSpan w:val="5"/>
            <w:shd w:val="clear" w:color="auto" w:fill="3F3F3F"/>
          </w:tcPr>
          <w:p>
            <w:pPr>
              <w:spacing w:after="0" w:line="20" w:lineRule="exact"/>
              <w:rPr>
                <w:sz w:val="1"/>
                <w:szCs w:val="1"/>
                <w:color w:val="auto"/>
              </w:rPr>
            </w:pPr>
          </w:p>
        </w:tc>
        <w:tc>
          <w:tcPr>
            <w:tcW w:w="20" w:type="dxa"/>
            <w:vAlign w:val="bottom"/>
            <w:shd w:val="clear" w:color="auto" w:fill="3F3F3F"/>
          </w:tcPr>
          <w:p>
            <w:pPr>
              <w:spacing w:after="0" w:line="20" w:lineRule="exact"/>
              <w:rPr>
                <w:sz w:val="1"/>
                <w:szCs w:val="1"/>
                <w:color w:val="auto"/>
              </w:rPr>
            </w:pPr>
          </w:p>
        </w:tc>
        <w:tc>
          <w:tcPr>
            <w:tcW w:w="160" w:type="dxa"/>
            <w:vAlign w:val="bottom"/>
            <w:shd w:val="clear" w:color="auto" w:fill="3F3F3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3F3F3F"/>
                <w:w w:val="96"/>
              </w:rPr>
              <w:t>Note 12</w:t>
            </w:r>
          </w:p>
        </w:tc>
        <w:tc>
          <w:tcPr>
            <w:tcW w:w="140" w:type="dxa"/>
            <w:vAlign w:val="bottom"/>
          </w:tcPr>
          <w:p>
            <w:pPr>
              <w:spacing w:after="0"/>
              <w:rPr>
                <w:sz w:val="23"/>
                <w:szCs w:val="23"/>
                <w:color w:val="auto"/>
              </w:rPr>
            </w:pPr>
          </w:p>
        </w:tc>
        <w:tc>
          <w:tcPr>
            <w:tcW w:w="4280" w:type="dxa"/>
            <w:vAlign w:val="bottom"/>
            <w:gridSpan w:val="20"/>
          </w:tcPr>
          <w:p>
            <w:pPr>
              <w:spacing w:after="0"/>
              <w:rPr>
                <w:sz w:val="20"/>
                <w:szCs w:val="20"/>
                <w:color w:val="auto"/>
              </w:rPr>
            </w:pPr>
            <w:r>
              <w:rPr>
                <w:rFonts w:ascii="Times New Roman" w:cs="Times New Roman" w:eastAsia="Times New Roman" w:hAnsi="Times New Roman"/>
                <w:sz w:val="20"/>
                <w:szCs w:val="20"/>
                <w:color w:val="3F3F3F"/>
              </w:rPr>
              <w:t>Non-Controlling Interests</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138</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3"/>
            <w:shd w:val="clear" w:color="auto" w:fill="3F3F3F"/>
          </w:tcPr>
          <w:p>
            <w:pPr>
              <w:spacing w:after="0" w:line="20" w:lineRule="exact"/>
              <w:rPr>
                <w:sz w:val="1"/>
                <w:szCs w:val="1"/>
                <w:color w:val="auto"/>
              </w:rPr>
            </w:pPr>
          </w:p>
        </w:tc>
        <w:tc>
          <w:tcPr>
            <w:tcW w:w="600" w:type="dxa"/>
            <w:vAlign w:val="bottom"/>
            <w:gridSpan w:val="5"/>
            <w:shd w:val="clear" w:color="auto" w:fill="3F3F3F"/>
          </w:tcPr>
          <w:p>
            <w:pPr>
              <w:spacing w:after="0" w:line="20" w:lineRule="exact"/>
              <w:rPr>
                <w:sz w:val="1"/>
                <w:szCs w:val="1"/>
                <w:color w:val="auto"/>
              </w:rPr>
            </w:pPr>
          </w:p>
        </w:tc>
        <w:tc>
          <w:tcPr>
            <w:tcW w:w="20" w:type="dxa"/>
            <w:vAlign w:val="bottom"/>
            <w:shd w:val="clear" w:color="auto" w:fill="3F3F3F"/>
          </w:tcPr>
          <w:p>
            <w:pPr>
              <w:spacing w:after="0" w:line="20" w:lineRule="exact"/>
              <w:rPr>
                <w:sz w:val="1"/>
                <w:szCs w:val="1"/>
                <w:color w:val="auto"/>
              </w:rPr>
            </w:pPr>
          </w:p>
        </w:tc>
        <w:tc>
          <w:tcPr>
            <w:tcW w:w="520" w:type="dxa"/>
            <w:vAlign w:val="bottom"/>
            <w:gridSpan w:val="2"/>
            <w:shd w:val="clear" w:color="auto" w:fill="3F3F3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3F3F3F"/>
                <w:w w:val="96"/>
              </w:rPr>
              <w:t>Note 13</w:t>
            </w:r>
          </w:p>
        </w:tc>
        <w:tc>
          <w:tcPr>
            <w:tcW w:w="140" w:type="dxa"/>
            <w:vAlign w:val="bottom"/>
          </w:tcPr>
          <w:p>
            <w:pPr>
              <w:spacing w:after="0"/>
              <w:rPr>
                <w:sz w:val="23"/>
                <w:szCs w:val="23"/>
                <w:color w:val="auto"/>
              </w:rPr>
            </w:pPr>
          </w:p>
        </w:tc>
        <w:tc>
          <w:tcPr>
            <w:tcW w:w="4280" w:type="dxa"/>
            <w:vAlign w:val="bottom"/>
            <w:gridSpan w:val="20"/>
          </w:tcPr>
          <w:p>
            <w:pPr>
              <w:spacing w:after="0"/>
              <w:rPr>
                <w:sz w:val="20"/>
                <w:szCs w:val="20"/>
                <w:color w:val="auto"/>
              </w:rPr>
            </w:pPr>
            <w:r>
              <w:rPr>
                <w:rFonts w:ascii="Times New Roman" w:cs="Times New Roman" w:eastAsia="Times New Roman" w:hAnsi="Times New Roman"/>
                <w:sz w:val="20"/>
                <w:szCs w:val="20"/>
                <w:color w:val="3F3F3F"/>
              </w:rPr>
              <w:t>Stock-Based Compensation Plans</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139</w:t>
            </w:r>
          </w:p>
        </w:tc>
      </w:tr>
      <w:tr>
        <w:trPr>
          <w:trHeight w:val="265"/>
        </w:trPr>
        <w:tc>
          <w:tcPr>
            <w:tcW w:w="640" w:type="dxa"/>
            <w:vAlign w:val="bottom"/>
            <w:tcBorders>
              <w:top w:val="single" w:sz="8" w:color="3F3F3F"/>
              <w:bottom w:val="single" w:sz="8" w:color="3F3F3F"/>
            </w:tcBorders>
            <w:gridSpan w:val="2"/>
          </w:tcPr>
          <w:p>
            <w:pPr>
              <w:spacing w:after="0"/>
              <w:rPr>
                <w:sz w:val="20"/>
                <w:szCs w:val="20"/>
                <w:color w:val="auto"/>
              </w:rPr>
            </w:pPr>
            <w:r>
              <w:rPr>
                <w:rFonts w:ascii="Times New Roman" w:cs="Times New Roman" w:eastAsia="Times New Roman" w:hAnsi="Times New Roman"/>
                <w:sz w:val="20"/>
                <w:szCs w:val="20"/>
                <w:color w:val="3F3F3F"/>
                <w:w w:val="96"/>
              </w:rPr>
              <w:t>Note 14</w:t>
            </w:r>
          </w:p>
        </w:tc>
        <w:tc>
          <w:tcPr>
            <w:tcW w:w="140" w:type="dxa"/>
            <w:vAlign w:val="bottom"/>
          </w:tcPr>
          <w:p>
            <w:pPr>
              <w:spacing w:after="0"/>
              <w:rPr>
                <w:sz w:val="23"/>
                <w:szCs w:val="23"/>
                <w:color w:val="auto"/>
              </w:rPr>
            </w:pPr>
          </w:p>
        </w:tc>
        <w:tc>
          <w:tcPr>
            <w:tcW w:w="2160" w:type="dxa"/>
            <w:vAlign w:val="bottom"/>
            <w:tcBorders>
              <w:top w:val="single" w:sz="8" w:color="3F3F3F"/>
              <w:bottom w:val="single" w:sz="8" w:color="3F3F3F"/>
            </w:tcBorders>
            <w:gridSpan w:val="12"/>
          </w:tcPr>
          <w:p>
            <w:pPr>
              <w:spacing w:after="0"/>
              <w:rPr>
                <w:sz w:val="20"/>
                <w:szCs w:val="20"/>
                <w:color w:val="auto"/>
              </w:rPr>
            </w:pPr>
            <w:r>
              <w:rPr>
                <w:rFonts w:ascii="Times New Roman" w:cs="Times New Roman" w:eastAsia="Times New Roman" w:hAnsi="Times New Roman"/>
                <w:sz w:val="20"/>
                <w:szCs w:val="20"/>
                <w:color w:val="3F3F3F"/>
                <w:w w:val="99"/>
              </w:rPr>
              <w:t>Related Party Transactions</w:t>
            </w:r>
          </w:p>
        </w:tc>
        <w:tc>
          <w:tcPr>
            <w:tcW w:w="540" w:type="dxa"/>
            <w:vAlign w:val="bottom"/>
            <w:tcBorders>
              <w:top w:val="single" w:sz="8" w:color="3F3F3F"/>
            </w:tcBorders>
            <w:gridSpan w:val="6"/>
          </w:tcPr>
          <w:p>
            <w:pPr>
              <w:spacing w:after="0"/>
              <w:rPr>
                <w:sz w:val="23"/>
                <w:szCs w:val="23"/>
                <w:color w:val="auto"/>
              </w:rPr>
            </w:pPr>
          </w:p>
        </w:tc>
        <w:tc>
          <w:tcPr>
            <w:tcW w:w="1580" w:type="dxa"/>
            <w:vAlign w:val="bottom"/>
            <w:gridSpan w:val="2"/>
          </w:tcPr>
          <w:p>
            <w:pPr>
              <w:spacing w:after="0"/>
              <w:rPr>
                <w:sz w:val="23"/>
                <w:szCs w:val="23"/>
                <w:color w:val="auto"/>
              </w:rPr>
            </w:pP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143</w:t>
            </w:r>
          </w:p>
        </w:tc>
      </w:tr>
      <w:tr>
        <w:trPr>
          <w:trHeight w:val="265"/>
        </w:trPr>
        <w:tc>
          <w:tcPr>
            <w:tcW w:w="640" w:type="dxa"/>
            <w:vAlign w:val="bottom"/>
            <w:tcBorders>
              <w:bottom w:val="single" w:sz="8" w:color="3F3F3F"/>
            </w:tcBorders>
            <w:gridSpan w:val="2"/>
          </w:tcPr>
          <w:p>
            <w:pPr>
              <w:spacing w:after="0"/>
              <w:rPr>
                <w:sz w:val="20"/>
                <w:szCs w:val="20"/>
                <w:color w:val="auto"/>
              </w:rPr>
            </w:pPr>
            <w:r>
              <w:rPr>
                <w:rFonts w:ascii="Times New Roman" w:cs="Times New Roman" w:eastAsia="Times New Roman" w:hAnsi="Times New Roman"/>
                <w:sz w:val="20"/>
                <w:szCs w:val="20"/>
                <w:color w:val="3F3F3F"/>
                <w:w w:val="96"/>
              </w:rPr>
              <w:t>Note 15</w:t>
            </w:r>
          </w:p>
        </w:tc>
        <w:tc>
          <w:tcPr>
            <w:tcW w:w="140" w:type="dxa"/>
            <w:vAlign w:val="bottom"/>
          </w:tcPr>
          <w:p>
            <w:pPr>
              <w:spacing w:after="0"/>
              <w:rPr>
                <w:sz w:val="23"/>
                <w:szCs w:val="23"/>
                <w:color w:val="auto"/>
              </w:rPr>
            </w:pPr>
          </w:p>
        </w:tc>
        <w:tc>
          <w:tcPr>
            <w:tcW w:w="4280" w:type="dxa"/>
            <w:vAlign w:val="bottom"/>
            <w:tcBorders>
              <w:bottom w:val="single" w:sz="8" w:color="3F3F3F"/>
            </w:tcBorders>
            <w:gridSpan w:val="20"/>
          </w:tcPr>
          <w:p>
            <w:pPr>
              <w:spacing w:after="0"/>
              <w:rPr>
                <w:sz w:val="20"/>
                <w:szCs w:val="20"/>
                <w:color w:val="auto"/>
              </w:rPr>
            </w:pPr>
            <w:r>
              <w:rPr>
                <w:rFonts w:ascii="Times New Roman" w:cs="Times New Roman" w:eastAsia="Times New Roman" w:hAnsi="Times New Roman"/>
                <w:sz w:val="20"/>
                <w:szCs w:val="20"/>
                <w:color w:val="3F3F3F"/>
                <w:w w:val="99"/>
              </w:rPr>
              <w:t>Fair Value of Financial Instruments and Other Assets</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145</w:t>
            </w:r>
          </w:p>
        </w:tc>
      </w:tr>
      <w:tr>
        <w:trPr>
          <w:trHeight w:val="265"/>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3F3F3F"/>
                <w:w w:val="96"/>
              </w:rPr>
              <w:t>Note 16</w:t>
            </w:r>
          </w:p>
        </w:tc>
        <w:tc>
          <w:tcPr>
            <w:tcW w:w="140" w:type="dxa"/>
            <w:vAlign w:val="bottom"/>
          </w:tcPr>
          <w:p>
            <w:pPr>
              <w:spacing w:after="0"/>
              <w:rPr>
                <w:sz w:val="23"/>
                <w:szCs w:val="23"/>
                <w:color w:val="auto"/>
              </w:rPr>
            </w:pPr>
          </w:p>
        </w:tc>
        <w:tc>
          <w:tcPr>
            <w:tcW w:w="4280" w:type="dxa"/>
            <w:vAlign w:val="bottom"/>
            <w:gridSpan w:val="20"/>
          </w:tcPr>
          <w:p>
            <w:pPr>
              <w:spacing w:after="0"/>
              <w:rPr>
                <w:sz w:val="20"/>
                <w:szCs w:val="20"/>
                <w:color w:val="auto"/>
              </w:rPr>
            </w:pPr>
            <w:r>
              <w:rPr>
                <w:rFonts w:ascii="Times New Roman" w:cs="Times New Roman" w:eastAsia="Times New Roman" w:hAnsi="Times New Roman"/>
                <w:sz w:val="20"/>
                <w:szCs w:val="20"/>
                <w:color w:val="3F3F3F"/>
              </w:rPr>
              <w:t>Credit Risk</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151</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3"/>
            <w:shd w:val="clear" w:color="auto" w:fill="3F3F3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640" w:type="dxa"/>
            <w:vAlign w:val="bottom"/>
            <w:tcBorders>
              <w:bottom w:val="single" w:sz="8" w:color="3F3F3F"/>
            </w:tcBorders>
            <w:gridSpan w:val="2"/>
          </w:tcPr>
          <w:p>
            <w:pPr>
              <w:spacing w:after="0"/>
              <w:rPr>
                <w:sz w:val="20"/>
                <w:szCs w:val="20"/>
                <w:color w:val="auto"/>
              </w:rPr>
            </w:pPr>
            <w:r>
              <w:rPr>
                <w:rFonts w:ascii="Times New Roman" w:cs="Times New Roman" w:eastAsia="Times New Roman" w:hAnsi="Times New Roman"/>
                <w:sz w:val="20"/>
                <w:szCs w:val="20"/>
                <w:color w:val="3F3F3F"/>
                <w:w w:val="96"/>
              </w:rPr>
              <w:t>Note 17</w:t>
            </w:r>
          </w:p>
        </w:tc>
        <w:tc>
          <w:tcPr>
            <w:tcW w:w="140" w:type="dxa"/>
            <w:vAlign w:val="bottom"/>
          </w:tcPr>
          <w:p>
            <w:pPr>
              <w:spacing w:after="0"/>
              <w:rPr>
                <w:sz w:val="23"/>
                <w:szCs w:val="23"/>
                <w:color w:val="auto"/>
              </w:rPr>
            </w:pPr>
          </w:p>
        </w:tc>
        <w:tc>
          <w:tcPr>
            <w:tcW w:w="2680" w:type="dxa"/>
            <w:vAlign w:val="bottom"/>
            <w:tcBorders>
              <w:bottom w:val="single" w:sz="8" w:color="3F3F3F"/>
            </w:tcBorders>
            <w:gridSpan w:val="17"/>
          </w:tcPr>
          <w:p>
            <w:pPr>
              <w:spacing w:after="0"/>
              <w:rPr>
                <w:sz w:val="20"/>
                <w:szCs w:val="20"/>
                <w:color w:val="auto"/>
              </w:rPr>
            </w:pPr>
            <w:r>
              <w:rPr>
                <w:rFonts w:ascii="Times New Roman" w:cs="Times New Roman" w:eastAsia="Times New Roman" w:hAnsi="Times New Roman"/>
                <w:sz w:val="20"/>
                <w:szCs w:val="20"/>
                <w:color w:val="3F3F3F"/>
                <w:w w:val="99"/>
              </w:rPr>
              <w:t>Commitments and Contingencies</w:t>
            </w:r>
          </w:p>
        </w:tc>
        <w:tc>
          <w:tcPr>
            <w:tcW w:w="1600" w:type="dxa"/>
            <w:vAlign w:val="bottom"/>
            <w:gridSpan w:val="3"/>
          </w:tcPr>
          <w:p>
            <w:pPr>
              <w:spacing w:after="0"/>
              <w:rPr>
                <w:sz w:val="23"/>
                <w:szCs w:val="23"/>
                <w:color w:val="auto"/>
              </w:rPr>
            </w:pP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152</w:t>
            </w:r>
          </w:p>
        </w:tc>
      </w:tr>
      <w:tr>
        <w:trPr>
          <w:trHeight w:val="265"/>
        </w:trPr>
        <w:tc>
          <w:tcPr>
            <w:tcW w:w="640" w:type="dxa"/>
            <w:vAlign w:val="bottom"/>
            <w:tcBorders>
              <w:bottom w:val="single" w:sz="8" w:color="3F3F3F"/>
            </w:tcBorders>
            <w:gridSpan w:val="2"/>
          </w:tcPr>
          <w:p>
            <w:pPr>
              <w:spacing w:after="0"/>
              <w:rPr>
                <w:sz w:val="20"/>
                <w:szCs w:val="20"/>
                <w:color w:val="auto"/>
              </w:rPr>
            </w:pPr>
            <w:r>
              <w:rPr>
                <w:rFonts w:ascii="Times New Roman" w:cs="Times New Roman" w:eastAsia="Times New Roman" w:hAnsi="Times New Roman"/>
                <w:sz w:val="20"/>
                <w:szCs w:val="20"/>
                <w:color w:val="3F3F3F"/>
                <w:w w:val="96"/>
              </w:rPr>
              <w:t>Note 18</w:t>
            </w:r>
          </w:p>
        </w:tc>
        <w:tc>
          <w:tcPr>
            <w:tcW w:w="140" w:type="dxa"/>
            <w:vAlign w:val="bottom"/>
          </w:tcPr>
          <w:p>
            <w:pPr>
              <w:spacing w:after="0"/>
              <w:rPr>
                <w:sz w:val="23"/>
                <w:szCs w:val="23"/>
                <w:color w:val="auto"/>
              </w:rPr>
            </w:pPr>
          </w:p>
        </w:tc>
        <w:tc>
          <w:tcPr>
            <w:tcW w:w="1540" w:type="dxa"/>
            <w:vAlign w:val="bottom"/>
            <w:tcBorders>
              <w:bottom w:val="single" w:sz="8" w:color="3F3F3F"/>
            </w:tcBorders>
            <w:gridSpan w:val="9"/>
          </w:tcPr>
          <w:p>
            <w:pPr>
              <w:spacing w:after="0"/>
              <w:rPr>
                <w:sz w:val="20"/>
                <w:szCs w:val="20"/>
                <w:color w:val="auto"/>
              </w:rPr>
            </w:pPr>
            <w:r>
              <w:rPr>
                <w:rFonts w:ascii="Times New Roman" w:cs="Times New Roman" w:eastAsia="Times New Roman" w:hAnsi="Times New Roman"/>
                <w:sz w:val="20"/>
                <w:szCs w:val="20"/>
                <w:color w:val="3F3F3F"/>
                <w:w w:val="99"/>
              </w:rPr>
              <w:t>Earnings Per Share</w:t>
            </w:r>
          </w:p>
        </w:tc>
        <w:tc>
          <w:tcPr>
            <w:tcW w:w="2740" w:type="dxa"/>
            <w:vAlign w:val="bottom"/>
            <w:gridSpan w:val="11"/>
          </w:tcPr>
          <w:p>
            <w:pPr>
              <w:spacing w:after="0"/>
              <w:rPr>
                <w:sz w:val="23"/>
                <w:szCs w:val="23"/>
                <w:color w:val="auto"/>
              </w:rPr>
            </w:pP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154</w:t>
            </w:r>
          </w:p>
        </w:tc>
      </w:tr>
      <w:tr>
        <w:trPr>
          <w:trHeight w:val="265"/>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3F3F3F"/>
                <w:w w:val="96"/>
              </w:rPr>
              <w:t>Note 19</w:t>
            </w:r>
          </w:p>
        </w:tc>
        <w:tc>
          <w:tcPr>
            <w:tcW w:w="140" w:type="dxa"/>
            <w:vAlign w:val="bottom"/>
          </w:tcPr>
          <w:p>
            <w:pPr>
              <w:spacing w:after="0"/>
              <w:rPr>
                <w:sz w:val="23"/>
                <w:szCs w:val="23"/>
                <w:color w:val="auto"/>
              </w:rPr>
            </w:pPr>
          </w:p>
        </w:tc>
        <w:tc>
          <w:tcPr>
            <w:tcW w:w="4280" w:type="dxa"/>
            <w:vAlign w:val="bottom"/>
            <w:gridSpan w:val="20"/>
          </w:tcPr>
          <w:p>
            <w:pPr>
              <w:spacing w:after="0"/>
              <w:rPr>
                <w:sz w:val="20"/>
                <w:szCs w:val="20"/>
                <w:color w:val="auto"/>
              </w:rPr>
            </w:pPr>
            <w:r>
              <w:rPr>
                <w:rFonts w:ascii="Times New Roman" w:cs="Times New Roman" w:eastAsia="Times New Roman" w:hAnsi="Times New Roman"/>
                <w:sz w:val="20"/>
                <w:szCs w:val="20"/>
                <w:color w:val="3F3F3F"/>
              </w:rPr>
              <w:t>Regulatory Capital Requirements</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155</w:t>
            </w:r>
          </w:p>
        </w:tc>
      </w:tr>
      <w:tr>
        <w:trPr>
          <w:trHeight w:val="20"/>
        </w:trPr>
        <w:tc>
          <w:tcPr>
            <w:tcW w:w="640" w:type="dxa"/>
            <w:vAlign w:val="bottom"/>
            <w:gridSpan w:val="2"/>
            <w:shd w:val="clear" w:color="auto" w:fill="3F3F3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8"/>
            <w:shd w:val="clear" w:color="auto" w:fill="3F3F3F"/>
          </w:tcPr>
          <w:p>
            <w:pPr>
              <w:spacing w:after="0" w:line="20" w:lineRule="exact"/>
              <w:rPr>
                <w:sz w:val="1"/>
                <w:szCs w:val="1"/>
                <w:color w:val="auto"/>
              </w:rPr>
            </w:pPr>
          </w:p>
        </w:tc>
        <w:tc>
          <w:tcPr>
            <w:tcW w:w="1160" w:type="dxa"/>
            <w:vAlign w:val="bottom"/>
            <w:gridSpan w:val="9"/>
            <w:shd w:val="clear" w:color="auto" w:fill="3F3F3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5"/>
        </w:trPr>
        <w:tc>
          <w:tcPr>
            <w:tcW w:w="640" w:type="dxa"/>
            <w:vAlign w:val="bottom"/>
            <w:tcBorders>
              <w:bottom w:val="single" w:sz="8" w:color="3F3F3F"/>
            </w:tcBorders>
            <w:gridSpan w:val="2"/>
          </w:tcPr>
          <w:p>
            <w:pPr>
              <w:spacing w:after="0"/>
              <w:rPr>
                <w:sz w:val="20"/>
                <w:szCs w:val="20"/>
                <w:color w:val="auto"/>
              </w:rPr>
            </w:pPr>
            <w:r>
              <w:rPr>
                <w:rFonts w:ascii="Times New Roman" w:cs="Times New Roman" w:eastAsia="Times New Roman" w:hAnsi="Times New Roman"/>
                <w:sz w:val="20"/>
                <w:szCs w:val="20"/>
                <w:color w:val="3F3F3F"/>
                <w:w w:val="96"/>
              </w:rPr>
              <w:t>Note 20</w:t>
            </w:r>
          </w:p>
        </w:tc>
        <w:tc>
          <w:tcPr>
            <w:tcW w:w="140" w:type="dxa"/>
            <w:vAlign w:val="bottom"/>
          </w:tcPr>
          <w:p>
            <w:pPr>
              <w:spacing w:after="0"/>
              <w:rPr>
                <w:sz w:val="23"/>
                <w:szCs w:val="23"/>
                <w:color w:val="auto"/>
              </w:rPr>
            </w:pPr>
          </w:p>
        </w:tc>
        <w:tc>
          <w:tcPr>
            <w:tcW w:w="3800" w:type="dxa"/>
            <w:vAlign w:val="bottom"/>
            <w:tcBorders>
              <w:bottom w:val="single" w:sz="8" w:color="3F3F3F"/>
            </w:tcBorders>
            <w:gridSpan w:val="19"/>
          </w:tcPr>
          <w:p>
            <w:pPr>
              <w:spacing w:after="0"/>
              <w:rPr>
                <w:sz w:val="20"/>
                <w:szCs w:val="20"/>
                <w:color w:val="auto"/>
              </w:rPr>
            </w:pPr>
            <w:r>
              <w:rPr>
                <w:rFonts w:ascii="Times New Roman" w:cs="Times New Roman" w:eastAsia="Times New Roman" w:hAnsi="Times New Roman"/>
                <w:sz w:val="20"/>
                <w:szCs w:val="20"/>
                <w:color w:val="3F3F3F"/>
                <w:w w:val="99"/>
              </w:rPr>
              <w:t>Business Segment and Geographic Information</w:t>
            </w:r>
          </w:p>
        </w:tc>
        <w:tc>
          <w:tcPr>
            <w:tcW w:w="480" w:type="dxa"/>
            <w:vAlign w:val="bottom"/>
          </w:tcPr>
          <w:p>
            <w:pPr>
              <w:spacing w:after="0"/>
              <w:rPr>
                <w:sz w:val="23"/>
                <w:szCs w:val="23"/>
                <w:color w:val="auto"/>
              </w:rPr>
            </w:pP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155</w:t>
            </w:r>
          </w:p>
        </w:tc>
      </w:tr>
      <w:tr>
        <w:trPr>
          <w:trHeight w:val="265"/>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3F3F3F"/>
                <w:w w:val="96"/>
              </w:rPr>
              <w:t>Note 21</w:t>
            </w:r>
          </w:p>
        </w:tc>
        <w:tc>
          <w:tcPr>
            <w:tcW w:w="140" w:type="dxa"/>
            <w:vAlign w:val="bottom"/>
          </w:tcPr>
          <w:p>
            <w:pPr>
              <w:spacing w:after="0"/>
              <w:rPr>
                <w:sz w:val="23"/>
                <w:szCs w:val="23"/>
                <w:color w:val="auto"/>
              </w:rPr>
            </w:pPr>
          </w:p>
        </w:tc>
        <w:tc>
          <w:tcPr>
            <w:tcW w:w="4280" w:type="dxa"/>
            <w:vAlign w:val="bottom"/>
            <w:gridSpan w:val="20"/>
          </w:tcPr>
          <w:p>
            <w:pPr>
              <w:spacing w:after="0"/>
              <w:rPr>
                <w:sz w:val="20"/>
                <w:szCs w:val="20"/>
                <w:color w:val="auto"/>
              </w:rPr>
            </w:pPr>
            <w:r>
              <w:rPr>
                <w:rFonts w:ascii="Times New Roman" w:cs="Times New Roman" w:eastAsia="Times New Roman" w:hAnsi="Times New Roman"/>
                <w:sz w:val="20"/>
                <w:szCs w:val="20"/>
                <w:color w:val="3F3F3F"/>
              </w:rPr>
              <w:t>Subsequent Events</w:t>
            </w:r>
          </w:p>
        </w:tc>
        <w:tc>
          <w:tcPr>
            <w:tcW w:w="5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3F3F3F"/>
              </w:rPr>
              <w:t>157</w:t>
            </w:r>
          </w:p>
        </w:tc>
      </w:tr>
      <w:tr>
        <w:trPr>
          <w:trHeight w:val="20"/>
        </w:trPr>
        <w:tc>
          <w:tcPr>
            <w:tcW w:w="540" w:type="dxa"/>
            <w:vAlign w:val="bottom"/>
            <w:shd w:val="clear" w:color="auto" w:fill="3F3F3F"/>
          </w:tcPr>
          <w:p>
            <w:pPr>
              <w:spacing w:after="0" w:line="20" w:lineRule="exact"/>
              <w:rPr>
                <w:sz w:val="1"/>
                <w:szCs w:val="1"/>
                <w:color w:val="auto"/>
              </w:rPr>
            </w:pPr>
          </w:p>
        </w:tc>
        <w:tc>
          <w:tcPr>
            <w:tcW w:w="100" w:type="dxa"/>
            <w:vAlign w:val="bottom"/>
            <w:shd w:val="clear" w:color="auto" w:fill="3F3F3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3F3F3F"/>
          </w:tcPr>
          <w:p>
            <w:pPr>
              <w:spacing w:after="0" w:line="20" w:lineRule="exact"/>
              <w:rPr>
                <w:sz w:val="1"/>
                <w:szCs w:val="1"/>
                <w:color w:val="auto"/>
              </w:rPr>
            </w:pPr>
          </w:p>
        </w:tc>
        <w:tc>
          <w:tcPr>
            <w:tcW w:w="140" w:type="dxa"/>
            <w:vAlign w:val="bottom"/>
            <w:shd w:val="clear" w:color="auto" w:fill="3F3F3F"/>
          </w:tcPr>
          <w:p>
            <w:pPr>
              <w:spacing w:after="0" w:line="20" w:lineRule="exact"/>
              <w:rPr>
                <w:sz w:val="1"/>
                <w:szCs w:val="1"/>
                <w:color w:val="auto"/>
              </w:rPr>
            </w:pPr>
          </w:p>
        </w:tc>
        <w:tc>
          <w:tcPr>
            <w:tcW w:w="220" w:type="dxa"/>
            <w:vAlign w:val="bottom"/>
            <w:shd w:val="clear" w:color="auto" w:fill="3F3F3F"/>
          </w:tcPr>
          <w:p>
            <w:pPr>
              <w:spacing w:after="0" w:line="20" w:lineRule="exact"/>
              <w:rPr>
                <w:sz w:val="1"/>
                <w:szCs w:val="1"/>
                <w:color w:val="auto"/>
              </w:rPr>
            </w:pPr>
          </w:p>
        </w:tc>
        <w:tc>
          <w:tcPr>
            <w:tcW w:w="100" w:type="dxa"/>
            <w:vAlign w:val="bottom"/>
            <w:shd w:val="clear" w:color="auto" w:fill="3F3F3F"/>
          </w:tcPr>
          <w:p>
            <w:pPr>
              <w:spacing w:after="0" w:line="20" w:lineRule="exact"/>
              <w:rPr>
                <w:sz w:val="1"/>
                <w:szCs w:val="1"/>
                <w:color w:val="auto"/>
              </w:rPr>
            </w:pPr>
          </w:p>
        </w:tc>
        <w:tc>
          <w:tcPr>
            <w:tcW w:w="40" w:type="dxa"/>
            <w:vAlign w:val="bottom"/>
            <w:shd w:val="clear" w:color="auto" w:fill="3F3F3F"/>
          </w:tcPr>
          <w:p>
            <w:pPr>
              <w:spacing w:after="0" w:line="20" w:lineRule="exact"/>
              <w:rPr>
                <w:sz w:val="1"/>
                <w:szCs w:val="1"/>
                <w:color w:val="auto"/>
              </w:rPr>
            </w:pPr>
          </w:p>
        </w:tc>
        <w:tc>
          <w:tcPr>
            <w:tcW w:w="80" w:type="dxa"/>
            <w:vAlign w:val="bottom"/>
            <w:shd w:val="clear" w:color="auto" w:fill="3F3F3F"/>
          </w:tcPr>
          <w:p>
            <w:pPr>
              <w:spacing w:after="0" w:line="20" w:lineRule="exact"/>
              <w:rPr>
                <w:sz w:val="1"/>
                <w:szCs w:val="1"/>
                <w:color w:val="auto"/>
              </w:rPr>
            </w:pPr>
          </w:p>
        </w:tc>
        <w:tc>
          <w:tcPr>
            <w:tcW w:w="120" w:type="dxa"/>
            <w:vAlign w:val="bottom"/>
            <w:shd w:val="clear" w:color="auto" w:fill="3F3F3F"/>
          </w:tcPr>
          <w:p>
            <w:pPr>
              <w:spacing w:after="0" w:line="20" w:lineRule="exact"/>
              <w:rPr>
                <w:sz w:val="1"/>
                <w:szCs w:val="1"/>
                <w:color w:val="auto"/>
              </w:rPr>
            </w:pPr>
          </w:p>
        </w:tc>
        <w:tc>
          <w:tcPr>
            <w:tcW w:w="260" w:type="dxa"/>
            <w:vAlign w:val="bottom"/>
            <w:shd w:val="clear" w:color="auto" w:fill="3F3F3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380"/>
          </w:cols>
          <w:pgMar w:left="960" w:top="81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380"/>
          </w:cols>
          <w:pgMar w:left="960" w:top="816" w:right="900" w:bottom="0" w:gutter="0" w:footer="0" w:header="0"/>
          <w:type w:val="continuous"/>
        </w:sectPr>
      </w:pPr>
    </w:p>
    <w:bookmarkStart w:id="123" w:name="page124"/>
    <w:bookmarkEnd w:id="123"/>
    <w:p>
      <w:pPr>
        <w:ind w:left="3160"/>
        <w:spacing w:after="0"/>
        <w:rPr>
          <w:sz w:val="20"/>
          <w:szCs w:val="20"/>
          <w:color w:val="auto"/>
        </w:rPr>
      </w:pPr>
      <w:r>
        <w:rPr>
          <w:rFonts w:ascii="Times New Roman" w:cs="Times New Roman" w:eastAsia="Times New Roman" w:hAnsi="Times New Roman"/>
          <w:sz w:val="24"/>
          <w:szCs w:val="24"/>
          <w:b w:val="1"/>
          <w:bCs w:val="1"/>
          <w:color w:val="auto"/>
        </w:rPr>
        <w:t>Tradeweb Markets Inc. and Subsidiaries</w:t>
      </w:r>
    </w:p>
    <w:p>
      <w:pPr>
        <w:spacing w:after="0" w:line="4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4"/>
          <w:szCs w:val="24"/>
          <w:b w:val="1"/>
          <w:bCs w:val="1"/>
          <w:color w:val="auto"/>
        </w:rPr>
        <w:t>Notes to Consolidated Financial Statements</w:t>
      </w:r>
    </w:p>
    <w:p>
      <w:pPr>
        <w:spacing w:after="0" w:line="197" w:lineRule="exact"/>
        <w:rPr>
          <w:sz w:val="20"/>
          <w:szCs w:val="20"/>
          <w:color w:val="auto"/>
        </w:rPr>
      </w:pPr>
    </w:p>
    <w:p>
      <w:pPr>
        <w:ind w:left="720" w:hanging="720"/>
        <w:spacing w:after="0"/>
        <w:tabs>
          <w:tab w:leader="none" w:pos="72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w:t>
      </w:r>
    </w:p>
    <w:p>
      <w:pPr>
        <w:spacing w:after="0" w:line="2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6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0"/>
          <w:szCs w:val="20"/>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Corporation is a holding company whose principal asset is LLC Interests (as defined below) of TWM LLC. As the sole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manager of TWM LLC, the Corporation operates and controls all of the business and affairs of TWM LLC and, through TWM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LLC and its subsidiaries, conducts the Corporation’s business. As a result of this control, and because the Corporation has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substantial financial interest in TWM LLC, the Corporation consolidates the financial results of TWM LLC and reports a non-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controlling interest in the Corporation’s consolidated financial statements. As of both December 31, 2025 and 2024, Tradeweb</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Markets Inc. owned 90.2% of TWM LLC and the non-controlling interest holders owned the remaining 9.8% of TWM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LLC. References to LLC Interests held by Tradeweb Markets Inc. and comparable terminology refer to LLC Interests held by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Tradeweb Markets Inc. directly as well as indirectly through direct, wholly-owned subsidiaries of Tradeweb Markets Inc. (which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 holding companies with no independent operations).</w:t>
      </w:r>
    </w:p>
    <w:p>
      <w:pPr>
        <w:spacing w:after="0" w:line="190"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20"/>
          <w:szCs w:val="20"/>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5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ectPr>
          <w:pgSz w:w="12240" w:h="15840" w:orient="portrait"/>
          <w:cols w:equalWidth="0" w:num="1">
            <w:col w:w="10440"/>
          </w:cols>
          <w:pgMar w:left="900" w:top="81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440"/>
          </w:cols>
          <w:pgMar w:left="900" w:top="816" w:right="900" w:bottom="0" w:gutter="0" w:footer="0" w:header="0"/>
          <w:type w:val="continuous"/>
        </w:sectPr>
      </w:pPr>
    </w:p>
    <w:bookmarkStart w:id="124" w:name="page125"/>
    <w:bookmarkEnd w:id="124"/>
    <w:p>
      <w:pPr>
        <w:spacing w:after="0" w:line="253" w:lineRule="auto"/>
        <w:rPr>
          <w:sz w:val="20"/>
          <w:szCs w:val="20"/>
          <w:color w:val="auto"/>
        </w:rPr>
      </w:pPr>
      <w:r>
        <w:rPr>
          <w:rFonts w:ascii="Times New Roman" w:cs="Times New Roman" w:eastAsia="Times New Roman" w:hAnsi="Times New Roman"/>
          <w:sz w:val="20"/>
          <w:szCs w:val="20"/>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10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7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The Company is a leader in building and operating electronic marketplaces for a global network of clients across the institutional, wholesale, retail and corporates client sectors. The Company’s principal subsidiaries include:</w:t>
      </w:r>
    </w:p>
    <w:p>
      <w:pPr>
        <w:spacing w:after="0" w:line="141" w:lineRule="exact"/>
        <w:rPr>
          <w:sz w:val="20"/>
          <w:szCs w:val="20"/>
          <w:color w:val="auto"/>
        </w:rPr>
      </w:pPr>
    </w:p>
    <w:p>
      <w:pPr>
        <w:ind w:left="720" w:right="420" w:hanging="360"/>
        <w:spacing w:after="0" w:line="260"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63" w:lineRule="exact"/>
        <w:rPr>
          <w:rFonts w:ascii="Times New Roman" w:cs="Times New Roman" w:eastAsia="Times New Roman" w:hAnsi="Times New Roman"/>
          <w:sz w:val="20"/>
          <w:szCs w:val="20"/>
          <w:color w:val="auto"/>
        </w:rPr>
      </w:pPr>
    </w:p>
    <w:p>
      <w:pPr>
        <w:ind w:left="720" w:right="80" w:hanging="360"/>
        <w:spacing w:after="0" w:line="266"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Dealerweb LLC (“DW”) (formerly known as Hilliard Farber &amp; Co., Inc. and Dealerweb Inc.), a registered broker-dealer under the Exchange Act and a member of FINRA and MSRB. DW is also registered as an introducing broker with the CFTC and a member of the NFA.</w:t>
      </w:r>
    </w:p>
    <w:p>
      <w:pPr>
        <w:spacing w:after="0" w:line="155" w:lineRule="exact"/>
        <w:rPr>
          <w:rFonts w:ascii="Times New Roman" w:cs="Times New Roman" w:eastAsia="Times New Roman" w:hAnsi="Times New Roman"/>
          <w:sz w:val="20"/>
          <w:szCs w:val="20"/>
          <w:color w:val="auto"/>
        </w:rPr>
      </w:pPr>
    </w:p>
    <w:p>
      <w:pPr>
        <w:ind w:left="720" w:right="460" w:hanging="360"/>
        <w:spacing w:after="0" w:line="281"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Direct LLC (“TWD”) (formerly known as BondDesk Trading LLC), a registered broker-dealer under the Exchange Act and a member of FINRA and MSRB.</w:t>
      </w:r>
    </w:p>
    <w:p>
      <w:pPr>
        <w:spacing w:after="0" w:line="141" w:lineRule="exact"/>
        <w:rPr>
          <w:rFonts w:ascii="Times New Roman" w:cs="Times New Roman" w:eastAsia="Times New Roman" w:hAnsi="Times New Roman"/>
          <w:sz w:val="20"/>
          <w:szCs w:val="20"/>
          <w:color w:val="auto"/>
        </w:rPr>
      </w:pPr>
    </w:p>
    <w:p>
      <w:pPr>
        <w:ind w:left="720" w:right="620" w:hanging="360"/>
        <w:spacing w:after="0" w:line="281"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Institutional Cash Distributors LLC (“ICDLC”), acquired on August 1, 2024, a registered broker-dealer under the Exchange Act and a member of FINRA.</w:t>
      </w:r>
    </w:p>
    <w:p>
      <w:pPr>
        <w:spacing w:after="0" w:line="141" w:lineRule="exact"/>
        <w:rPr>
          <w:rFonts w:ascii="Times New Roman" w:cs="Times New Roman" w:eastAsia="Times New Roman" w:hAnsi="Times New Roman"/>
          <w:sz w:val="20"/>
          <w:szCs w:val="20"/>
          <w:color w:val="auto"/>
        </w:rPr>
      </w:pPr>
    </w:p>
    <w:p>
      <w:pPr>
        <w:ind w:left="720" w:right="640" w:hanging="360"/>
        <w:spacing w:after="0" w:line="309" w:lineRule="auto"/>
        <w:tabs>
          <w:tab w:leader="none" w:pos="72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Tradeweb Europe Limited (“TEL”), a MiFID Investment Firm regulated by the Financial Conduct Authority (the “FCA”) in the UK and certain other global regulators and that maintains branches in Hong Kong and Singapore.</w:t>
      </w:r>
    </w:p>
    <w:p>
      <w:pPr>
        <w:spacing w:after="0" w:line="117" w:lineRule="exact"/>
        <w:rPr>
          <w:rFonts w:ascii="Times New Roman" w:cs="Times New Roman" w:eastAsia="Times New Roman" w:hAnsi="Times New Roman"/>
          <w:sz w:val="19"/>
          <w:szCs w:val="19"/>
          <w:color w:val="auto"/>
        </w:rPr>
      </w:pPr>
    </w:p>
    <w:p>
      <w:pPr>
        <w:ind w:left="720" w:right="760" w:hanging="360"/>
        <w:spacing w:after="0" w:line="281"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 SEF LLC (“TW SEF”), a Swap Execution Facility (“SEF”) regulated by the CFTC and certain other global regulators and a registered security-based swap execution facility (“SBSEF”) under the Exchange Act.</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DW SEF LLC (“DW SEF”), a SEF regulated by the CFTC and certain other global regulators.</w:t>
      </w:r>
    </w:p>
    <w:p>
      <w:pPr>
        <w:spacing w:after="0" w:line="210" w:lineRule="exact"/>
        <w:rPr>
          <w:rFonts w:ascii="Times New Roman" w:cs="Times New Roman" w:eastAsia="Times New Roman" w:hAnsi="Times New Roman"/>
          <w:sz w:val="20"/>
          <w:szCs w:val="20"/>
          <w:color w:val="auto"/>
        </w:rPr>
      </w:pPr>
    </w:p>
    <w:p>
      <w:pPr>
        <w:ind w:left="720" w:right="100" w:hanging="360"/>
        <w:spacing w:after="0" w:line="281"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Japan K.K. (“TWJ”), a security house regulated by the Japanese Financial Services Agency (“JFSA”) and the Japan Securities Dealers Association (“JSDA”).</w:t>
      </w:r>
    </w:p>
    <w:p>
      <w:pPr>
        <w:spacing w:after="0" w:line="141" w:lineRule="exact"/>
        <w:rPr>
          <w:rFonts w:ascii="Times New Roman" w:cs="Times New Roman" w:eastAsia="Times New Roman" w:hAnsi="Times New Roman"/>
          <w:sz w:val="20"/>
          <w:szCs w:val="20"/>
          <w:color w:val="auto"/>
        </w:rPr>
      </w:pPr>
    </w:p>
    <w:p>
      <w:pPr>
        <w:ind w:left="720" w:right="60" w:hanging="360"/>
        <w:spacing w:after="0" w:line="266"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EU B.V. (“TWEU”), a MiFID Investment Firm regulated by the Netherlands Authority for the Financial Markets (“AFM”), the De Nederlandsche Bank (“DNB”) and certain other global regulators and that maintains branches in France and Italy.</w:t>
      </w:r>
    </w:p>
    <w:p>
      <w:pPr>
        <w:spacing w:after="0" w:line="155" w:lineRule="exact"/>
        <w:rPr>
          <w:rFonts w:ascii="Times New Roman" w:cs="Times New Roman" w:eastAsia="Times New Roman" w:hAnsi="Times New Roman"/>
          <w:sz w:val="20"/>
          <w:szCs w:val="20"/>
          <w:color w:val="auto"/>
        </w:rPr>
      </w:pPr>
    </w:p>
    <w:p>
      <w:pPr>
        <w:ind w:left="720" w:right="120" w:hanging="360"/>
        <w:spacing w:after="0" w:line="266"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Execution Services Limited (“TESL”), an Investment Firm (“BIPRU Firm”) regulated by the FCA in the UK with an exemption from the Australian Securities &amp; Investments Commission (“ASIC”) from having to hold an Australian financial services license.</w:t>
      </w:r>
    </w:p>
    <w:p>
      <w:pPr>
        <w:spacing w:after="0" w:line="195" w:lineRule="exact"/>
        <w:rPr>
          <w:rFonts w:ascii="Times New Roman" w:cs="Times New Roman" w:eastAsia="Times New Roman" w:hAnsi="Times New Roman"/>
          <w:sz w:val="20"/>
          <w:szCs w:val="20"/>
          <w:color w:val="auto"/>
        </w:rPr>
      </w:pPr>
    </w:p>
    <w:p>
      <w:pPr>
        <w:ind w:left="720" w:right="20" w:hanging="360"/>
        <w:spacing w:after="0" w:line="260"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203" w:lineRule="exact"/>
        <w:rPr>
          <w:rFonts w:ascii="Times New Roman" w:cs="Times New Roman" w:eastAsia="Times New Roman" w:hAnsi="Times New Roman"/>
          <w:sz w:val="20"/>
          <w:szCs w:val="20"/>
          <w:color w:val="auto"/>
        </w:rPr>
      </w:pPr>
    </w:p>
    <w:p>
      <w:pPr>
        <w:ind w:left="720" w:right="220" w:hanging="360"/>
        <w:spacing w:after="0" w:line="281"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Execution Services B.V. (“TESBV”), a MiFID Investment Firm authorized and regulated by the AFM, with permission to trade on a matched principal basis.</w:t>
      </w:r>
    </w:p>
    <w:p>
      <w:pPr>
        <w:spacing w:after="0" w:line="181" w:lineRule="exact"/>
        <w:rPr>
          <w:rFonts w:ascii="Times New Roman" w:cs="Times New Roman" w:eastAsia="Times New Roman" w:hAnsi="Times New Roman"/>
          <w:sz w:val="20"/>
          <w:szCs w:val="20"/>
          <w:color w:val="auto"/>
        </w:rPr>
      </w:pPr>
    </w:p>
    <w:p>
      <w:pPr>
        <w:ind w:left="720" w:right="280" w:hanging="360"/>
        <w:spacing w:after="0" w:line="281"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Australia Pty Ltd (formerly Yieldbroker Pty Limited) (“YB” or “Yieldbroker”), acquired in August 2023, a Tier 1 Australian Markets Licensee in Australia, regulated by ASIC.</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420"/>
          </w:cols>
          <w:pgMar w:left="900" w:top="838" w:right="920" w:bottom="0" w:gutter="0" w:footer="0" w:header="0"/>
          <w:type w:val="continuous"/>
        </w:sectPr>
      </w:pPr>
    </w:p>
    <w:bookmarkStart w:id="125" w:name="page126"/>
    <w:bookmarkEnd w:id="125"/>
    <w:p>
      <w:pPr>
        <w:ind w:left="720" w:right="160" w:hanging="360"/>
        <w:spacing w:after="0" w:line="266"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195" w:lineRule="exact"/>
        <w:rPr>
          <w:rFonts w:ascii="Times New Roman" w:cs="Times New Roman" w:eastAsia="Times New Roman" w:hAnsi="Times New Roman"/>
          <w:sz w:val="20"/>
          <w:szCs w:val="20"/>
          <w:color w:val="auto"/>
        </w:rPr>
      </w:pPr>
    </w:p>
    <w:p>
      <w:pPr>
        <w:ind w:left="720" w:right="240" w:hanging="360"/>
        <w:spacing w:after="0" w:line="266"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 Technology and Trading Private Limited (“TTTL”), a private limited company incorporated in Mumbai, India. Its business scope includes providing a sales relationship support function for Tradeweb’s offshore trading platform into India.</w:t>
      </w:r>
    </w:p>
    <w:p>
      <w:pPr>
        <w:spacing w:after="0" w:line="15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Brasil Ltda (“TWB”), a limited liability company incorporated in Sao Paulo, Brazil.</w:t>
      </w:r>
    </w:p>
    <w:p>
      <w:pPr>
        <w:spacing w:after="0" w:line="194" w:lineRule="exact"/>
        <w:rPr>
          <w:rFonts w:ascii="Times New Roman" w:cs="Times New Roman" w:eastAsia="Times New Roman" w:hAnsi="Times New Roman"/>
          <w:sz w:val="20"/>
          <w:szCs w:val="20"/>
          <w:color w:val="auto"/>
        </w:rPr>
      </w:pPr>
    </w:p>
    <w:p>
      <w:pPr>
        <w:ind w:left="720" w:right="540" w:hanging="360"/>
        <w:spacing w:after="0" w:line="281"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Institutional Cash Distributors Limited (“ICDLT”), acquired on August 1, 2024, a firm engaged in the provision of intermediary services authorized and regulated by the FCA in the UK.</w:t>
      </w:r>
    </w:p>
    <w:p>
      <w:pPr>
        <w:spacing w:after="0" w:line="141" w:lineRule="exact"/>
        <w:rPr>
          <w:rFonts w:ascii="Times New Roman" w:cs="Times New Roman" w:eastAsia="Times New Roman" w:hAnsi="Times New Roman"/>
          <w:sz w:val="20"/>
          <w:szCs w:val="20"/>
          <w:color w:val="auto"/>
        </w:rPr>
      </w:pPr>
    </w:p>
    <w:p>
      <w:pPr>
        <w:ind w:left="720" w:right="40" w:hanging="360"/>
        <w:spacing w:after="0" w:line="266"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ICD Europa - Empresa de Investimento, S.A. (“ICDEU”), acquired on August 1, 2024, was an investment firm regulated by the Comissão do Mercado de Valores Mobiliários (“CMVM”) in Portugal. ICDEU was dissolved and liquidated on June 17, 2025.</w:t>
      </w:r>
    </w:p>
    <w:p>
      <w:pPr>
        <w:spacing w:after="0" w:line="155" w:lineRule="exact"/>
        <w:rPr>
          <w:rFonts w:ascii="Times New Roman" w:cs="Times New Roman" w:eastAsia="Times New Roman" w:hAnsi="Times New Roman"/>
          <w:sz w:val="20"/>
          <w:szCs w:val="20"/>
          <w:color w:val="auto"/>
        </w:rPr>
      </w:pPr>
    </w:p>
    <w:p>
      <w:pPr>
        <w:ind w:left="720" w:right="240" w:hanging="360"/>
        <w:spacing w:after="0" w:line="281"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Company, a Joint Stock Company incorporated in the Kingdom of Saudi Arabia (“TWSA”), authorized and regulated by the Capital Markets Authority (“CMA”) to operate an Alternative Trading System (“ATS”).</w:t>
      </w:r>
    </w:p>
    <w:p>
      <w:pPr>
        <w:spacing w:after="0" w:line="14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Tradeweb Asia Pte. Ltd. (“TAPL”), a Singapore based company which received a Capital Markets Services License from the Monetary Authority of Singapore (“MAS”) on October 31, 2025.</w:t>
      </w:r>
    </w:p>
    <w:p>
      <w:pPr>
        <w:spacing w:after="0" w:line="141" w:lineRule="exact"/>
        <w:rPr>
          <w:rFonts w:ascii="Times New Roman" w:cs="Times New Roman" w:eastAsia="Times New Roman" w:hAnsi="Times New Roman"/>
          <w:sz w:val="20"/>
          <w:szCs w:val="20"/>
          <w:color w:val="auto"/>
        </w:rPr>
      </w:pPr>
    </w:p>
    <w:p>
      <w:pPr>
        <w:ind w:left="720" w:right="180" w:hanging="360"/>
        <w:spacing w:after="0" w:line="281"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 Global Capability Centre Private Limited (India) (“TWGC”), a private limited company based in Bangalore, India, operates as a support center for various administrative functions.</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August 2024, the Company acquired Institutional Cash Distributors (“ICD”) by purchasing all of the outstanding equity interests of each of ICD Intermediate Holdco 1, LLC, SCIC - ICD Blocker 1, Inc. and Parthenon Investors V ICD Blocker, Inc. (the “ICD Acquisition”). 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2024 acquisition of ICD and its proprietary technology, the Company added “corporates” as a client channel, serving corporate treasury professionals, complementing the Company’s previously existing focus on institutional, wholesale and retail clients. See Note 4 – Acquisitions for additional details on this acquisition.</w:t>
      </w:r>
    </w:p>
    <w:p>
      <w:pPr>
        <w:spacing w:after="0" w:line="17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In January 2024, the Company acquired R8FIN Holdings LP (together with its subsidiaries, “r8fin”) (the “r8fin Acquisition”).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 See Note 4 – Acquisitions for additional details on this acquisition.</w:t>
      </w:r>
    </w:p>
    <w:p>
      <w:pPr>
        <w:spacing w:after="0" w:line="16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In August 2023, the Company acquired Yieldbroker, a leading Australian trading platform for Australian and New Zealand government bonds and interest rate derivatives, covering the institutional and wholesale client sector (the “Yieldbroker Acquisition”). This acquisition combined Australia and New Zealand’s highly attractive, fast-growing markets with Tradeweb’s international reach and scale.</w:t>
      </w:r>
    </w:p>
    <w:p>
      <w:pPr>
        <w:spacing w:after="0" w:line="163" w:lineRule="exact"/>
        <w:rPr>
          <w:sz w:val="20"/>
          <w:szCs w:val="20"/>
          <w:color w:val="auto"/>
        </w:rPr>
      </w:pPr>
    </w:p>
    <w:p>
      <w:pPr>
        <w:ind w:right="420"/>
        <w:spacing w:after="0" w:line="309" w:lineRule="auto"/>
        <w:rPr>
          <w:sz w:val="20"/>
          <w:szCs w:val="20"/>
          <w:color w:val="auto"/>
        </w:rPr>
      </w:pPr>
      <w:r>
        <w:rPr>
          <w:rFonts w:ascii="Times New Roman" w:cs="Times New Roman" w:eastAsia="Times New Roman" w:hAnsi="Times New Roman"/>
          <w:sz w:val="19"/>
          <w:szCs w:val="19"/>
          <w:color w:val="auto"/>
        </w:rPr>
        <w:t>In June 2021, the Company acquired Nasdaq’s U.S. fixed income electronic trading platform, formerly known as eSpeed (the “NFI Acquisition”), which is a fully executable CLOB for electronic trading in on-the-run (“OTR”) U.S. government bonds.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w:t>
      </w:r>
    </w:p>
    <w:p>
      <w:pPr>
        <w:spacing w:after="0" w:line="210" w:lineRule="exact"/>
        <w:rPr>
          <w:sz w:val="20"/>
          <w:szCs w:val="20"/>
          <w:color w:val="auto"/>
        </w:rPr>
      </w:pPr>
    </w:p>
    <w:p>
      <w:pPr>
        <w:jc w:val="both"/>
        <w:ind w:left="720" w:right="580" w:hanging="360"/>
        <w:spacing w:after="0" w:line="266"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 investors collectively owned 115,502,689 shares of Class A common stock, representing 10.0% of the combined voting power of Tradeweb Markets Inc.’s issued and outstanding common stock and indirectly, through Tradeweb Markets Inc., owned 49.0% of the economic interest in TWM LLC;</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440"/>
          </w:cols>
          <w:pgMar w:left="900" w:top="838" w:right="900" w:bottom="0" w:gutter="0" w:footer="0" w:header="0"/>
          <w:type w:val="continuous"/>
        </w:sectPr>
      </w:pPr>
    </w:p>
    <w:bookmarkStart w:id="126" w:name="page127"/>
    <w:bookmarkEnd w:id="126"/>
    <w:p>
      <w:pPr>
        <w:ind w:left="720" w:right="40" w:hanging="360"/>
        <w:spacing w:after="0" w:line="260"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Refinitiv collectively owned 96,933,192 shares of Class B common stock, 18,000,000 shares of Class C common stock and 4,988,329 shares of Class D common stock, representing 89.9% of the combined voting power of Tradeweb Markets Inc.’s issued and outstanding common stock and directly and indirectly, through Tradeweb Markets Inc., owned 50.9% of the economic interest in TWM LLC; and</w:t>
      </w:r>
    </w:p>
    <w:p>
      <w:pPr>
        <w:spacing w:after="0" w:line="163" w:lineRule="exact"/>
        <w:rPr>
          <w:rFonts w:ascii="Times New Roman" w:cs="Times New Roman" w:eastAsia="Times New Roman" w:hAnsi="Times New Roman"/>
          <w:sz w:val="20"/>
          <w:szCs w:val="20"/>
          <w:color w:val="auto"/>
        </w:rPr>
      </w:pPr>
    </w:p>
    <w:p>
      <w:pPr>
        <w:ind w:left="720" w:right="20" w:hanging="360"/>
        <w:spacing w:after="0" w:line="266"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stockholders that continued to own LLC Interests also collectively owned 68,539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1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addition, the Company’s basic and diluted earnings per share calculations for year ended December 31, 2025 were impacted by 167,018 of weighted average shares resulting from unvested or unsettled vested stock awards that were considered participating securities for purposes of calculating earnings per share in accordance with the two-class method. The Company’s diluted earnings per share calculation for year ended December 31, 2025 also includes 1,684,869 of weighted average shares resulting from the dilutive effect of its equity incentive plans. See Note 18 – Earnings Per Share for additional details.</w:t>
      </w:r>
    </w:p>
    <w:p>
      <w:pPr>
        <w:spacing w:after="0" w:line="157" w:lineRule="exact"/>
        <w:rPr>
          <w:sz w:val="20"/>
          <w:szCs w:val="20"/>
          <w:color w:val="auto"/>
        </w:rPr>
      </w:pPr>
    </w:p>
    <w:p>
      <w:pPr>
        <w:ind w:left="720" w:hanging="670"/>
        <w:spacing w:after="0"/>
        <w:tabs>
          <w:tab w:leader="none" w:pos="72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significant accounting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consolidated financial statements have been presented in conformity with accounting principles generally accepted in the United States of America (“GAAP” or “U.S. GAAP”). The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consolidated financial statements represent the financial condition and results of operations of the Company and report a non-controlling interest related to the LLC Interests held by Continuing LLC Owners.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1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Reclassifications</w:t>
      </w:r>
    </w:p>
    <w:p>
      <w:pPr>
        <w:spacing w:after="0" w:line="21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0"/>
          <w:szCs w:val="20"/>
          <w:color w:val="auto"/>
        </w:rPr>
        <w:t>Certain reclassifications have been made to the December 31, 2024 consolidated statement of financial condition, and related financial information, to conform to the current period presentation. These primarily include reclassifying approximately $11.2 million of digital assets and other investments recorded at fair value as of December 31, 2024 from other assets to digital assets and other investments at fair value. These reclassifications had no impact on total assets, total liabilities or total equity on the consolidated statement of financial condition, nor did they have any impact on the consolidated statements of income, comprehensive income, changes in equity or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xml:space="preserve"> (“ASC 805”). The total cost of an acquisition is allocated to the underlying net assets based on their respective estimated fair values. The 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73"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20"/>
          <w:szCs w:val="20"/>
          <w:color w:val="auto"/>
        </w:rPr>
        <w:t>Transaction costs incurred to effect a business combination are expensed as incurred and are included as a component of professional fees or general and administrative expenses in the consolidated statements of income.</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440"/>
          </w:cols>
          <w:pgMar w:left="900" w:top="838" w:right="900" w:bottom="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Pushdown Accounting</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1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20"/>
          <w:szCs w:val="20"/>
          <w:color w:val="auto"/>
        </w:rPr>
        <w:t>Cash and cash equivalents consists of cash and highly liquid investments with remaining maturities at the time of purchase of three months or less.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Allowance for Credit Losses</w:t>
      </w:r>
    </w:p>
    <w:p>
      <w:pPr>
        <w:spacing w:after="0" w:line="2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An analysis of the financial condition of the Company’s counterparties is also performed. Additions to the allowance for credit losses relating to receivables are charged to credit loss expense, included as a component of general and administrative expenses in the consolidated statements of income. Aged balances that are determined to be uncollectible are written off against the allowance for credit losses.</w:t>
      </w:r>
    </w:p>
    <w:p>
      <w:pPr>
        <w:spacing w:after="0" w:line="17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An allowance for credit losses is also recognized for any credit impairment of the Company’s digital asset loan receivable and available-for-sale debt securities, with the credit loss included as a component of other income (loss), net in the consolidated statements of income. See Note 16 – Credit Risk for additional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Receivable from and Payable to Brokers and Dealers and Clearing Organizations</w:t>
      </w:r>
    </w:p>
    <w:p>
      <w:pPr>
        <w:spacing w:after="0" w:line="2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Receivable from and payable to brokers and dealers and clearing organizations consists of proceeds from wholesale transactions executed on the Company’s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Deposits with Clearing Organizations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Deposits with clearing organizations are comprised of cash deposits.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Furniture, Equipment, Purchased Software and Leasehold Improvements</w:t>
      </w:r>
    </w:p>
    <w:p>
      <w:pPr>
        <w:spacing w:after="0" w:line="21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6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Furniture, equipment, purchased software and leasehold improvements are tested for impairment whenever events or changes in circumstances suggest that an asset’s carrying value may not be fully recoverable.</w:t>
      </w:r>
    </w:p>
    <w:p>
      <w:pPr>
        <w:spacing w:after="0" w:line="14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As of December 31, 2025 and 2024, accumulated depreciation related to furniture, equipment, purchased software and leasehold improvements totaled $96.7 million and $92.0 million, respectively. Depreciation expense for furniture, equipment, purchased software and leasehold improvements for the years ended December 31, 2025, 2024 and 2023 was $25.6 million, $22.7 million and $21.3 million, respectively.</w:t>
      </w:r>
    </w:p>
    <w:p>
      <w:pPr>
        <w:sectPr>
          <w:pgSz w:w="12240" w:h="15840" w:orient="portrait"/>
          <w:cols w:equalWidth="0" w:num="1">
            <w:col w:w="10340"/>
          </w:cols>
          <w:pgMar w:left="9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340"/>
          </w:cols>
          <w:pgMar w:left="900" w:top="831" w:right="100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Software Development Costs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ICD Acquisition are amortized over eight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1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ICD Acquisition, the r8fin Acquisition, the Yieldbroker Acquisition and the NFI Acquisition, which were all accounted for as business combinations.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76" w:lineRule="exact"/>
        <w:rPr>
          <w:sz w:val="20"/>
          <w:szCs w:val="20"/>
          <w:color w:val="auto"/>
        </w:rPr>
      </w:pPr>
    </w:p>
    <w:p>
      <w:pPr>
        <w:ind w:right="1860"/>
        <w:spacing w:after="0" w:line="459" w:lineRule="auto"/>
        <w:rPr>
          <w:sz w:val="20"/>
          <w:szCs w:val="20"/>
          <w:color w:val="auto"/>
        </w:rPr>
      </w:pPr>
      <w:r>
        <w:rPr>
          <w:rFonts w:ascii="Times New Roman" w:cs="Times New Roman" w:eastAsia="Times New Roman" w:hAnsi="Times New Roman"/>
          <w:sz w:val="20"/>
          <w:szCs w:val="20"/>
          <w:color w:val="auto"/>
        </w:rPr>
        <w:t xml:space="preserve">Goodwill was last tested for impairment on October 1, 2025 and no impairment of goodwill was identified. </w:t>
      </w:r>
      <w:r>
        <w:rPr>
          <w:rFonts w:ascii="Times New Roman" w:cs="Times New Roman" w:eastAsia="Times New Roman" w:hAnsi="Times New Roman"/>
          <w:sz w:val="20"/>
          <w:szCs w:val="20"/>
          <w:b w:val="1"/>
          <w:bCs w:val="1"/>
          <w:color w:val="auto"/>
        </w:rPr>
        <w:t>Intangible Assets</w:t>
      </w:r>
    </w:p>
    <w:p>
      <w:pPr>
        <w:ind w:right="20"/>
        <w:spacing w:after="0" w:line="258" w:lineRule="auto"/>
        <w:rPr>
          <w:sz w:val="20"/>
          <w:szCs w:val="20"/>
          <w:color w:val="auto"/>
        </w:rPr>
      </w:pPr>
      <w:r>
        <w:rPr>
          <w:rFonts w:ascii="Times New Roman" w:cs="Times New Roman" w:eastAsia="Times New Roman" w:hAnsi="Times New Roman"/>
          <w:sz w:val="20"/>
          <w:szCs w:val="20"/>
          <w:color w:val="auto"/>
        </w:rPr>
        <w:t>Intangible assets with a finite life are amortized over the estimated lives, ranging from four to fifteen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in Digital Assets - Canton Coins</w:t>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Company performs services as a Super Validator and Validator on the Global Synchronizer, the Canton Network’s decentralized interoperability infrastructure. The Canton Network is a public-permissioned blockchain network designed with privacy and controls to facilitate the exchange of regulated financial assets. The Canton Network’s Global Synchronizer includes a utility token, which is a digital asset called the Canton Coin. As a Super Validator and Validator on the network, the Company verifies network transactions and contributes to the consensus mechanism of the network. For these validation services, the Company earns Canton Coins and then generally holds the Canton Coins on its balance sheet for investment purposes and may use Canton Coins to pay fees associated with its own Canton Network activity. The cost basis of the Canton Coins received throughout each day is initially recorded at its fair value on the date of receipt as a component of digital assets and other investments at fair value on the consolidated statements of financial condition. The Canton Coins are then remeasured to fair market value at the end of each reporting period through an adjustment to unrealized gain/(loss), included as a component of other income (loss), net on the consolidated statements of income. The Company employs the first-in-first-out (“FIFO”) method to determine the cost basis of its Canton Coins for the computation of gains and losses on any disposal or sale of Canton Coins. Realized gain/(loss) on any disposal or sale of Canton Coins are included as a component of other income (loss), net in the consolidated statements of income.</w:t>
      </w:r>
    </w:p>
    <w:p>
      <w:pPr>
        <w:sectPr>
          <w:pgSz w:w="12240" w:h="15840" w:orient="portrait"/>
          <w:cols w:equalWidth="0" w:num="1">
            <w:col w:w="10420"/>
          </w:cols>
          <w:pgMar w:left="900" w:top="83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10420"/>
          </w:cols>
          <w:pgMar w:left="900" w:top="831" w:right="92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Investments in Available-for-Sale Debt Securities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Investments in available-for-sale debt securities are carried at fair value with unrealized gains or losses excluded from earnings and reported in accumulated other comprehensive loss in the consolidated statements of financial condition until realized. On a quarterly basis, the Company assesses whether an impairment loss on its available-for-sale debt securities has occurred due to declines in fair value or other market conditions. When the amortized cost basis of an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consolidated statements of income.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digital assets and other investments at fair value on the consolidated statements of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Investments</w:t>
      </w: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When the Company does not have a controlling financial interest in an entity but is able to exercise significant influence over the entity’s operating and financial policies, the equity investment is accounted under the equity method of accounting. The Company records its estimated pro rata share of earnings or losses each reporting period as a component of other income (loss) in the consolidated statements of income and records any dividends as a reduction of the investment balance. Equity method investments are reviewed for impairment whenever events or changes in circumstances indicate that the carrying amount of the investment may not be recoverable. If the estimated fair value of the investment is less than the carrying amount and management considers the decline in value to be other than temporary, the excess of the carrying amount over the estimated fair value is recognized in net income as an impairment in the period the impairment occurs.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For minority investments in equity securities without a readily determinable fair value that are not accounted for under the equity method, the Company applies the measurement alternative. Under the measurement alternative, these investments are measured at cost, less impairment, plus or minus observable price changes (in orderly transactions) of an identical or similar investment of the same issuer. On a quarterly basis, the Company performs a qualitative assessment to evaluate whether the equity investment is impaired and if the Company determines that the equity investment is impaired on the basis of a qualitative assessment, the Company will recognize an impairment loss in net income equal to the amount by which the investment’s carrying amount exceeds its fair value.</w:t>
      </w:r>
    </w:p>
    <w:p>
      <w:pPr>
        <w:spacing w:after="0" w:line="170"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20"/>
          <w:szCs w:val="20"/>
          <w:color w:val="auto"/>
        </w:rPr>
        <w:t>Equity method investments and investments in equity securities without a readily determinable fair value are included as a component of other assets on the consolidated statements of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Sold Under Agreements to Repurchase</w:t>
      </w:r>
    </w:p>
    <w:p>
      <w:pPr>
        <w:spacing w:after="0" w:line="21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From time to time, the Company sells securities under agreements to repurchase in order to facilitate the clearance of securities. Securities sold under agreements to repurchase are treated as collateralized financings and are presented in the consolidated statements of financial condition at the amounts of cash received. Receivables and payables arising from these agreements are not offset in the consolidated statements of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The Company’s classification of revenues in the consolidated statements of income primarily represents revenues from contracts with customers disaggregated by type of revenue. See Note 8 – Revenue for additional details regarding revenue types and the Company’s policies regarding revenue recognition.</w:t>
      </w:r>
    </w:p>
    <w:p>
      <w:pPr>
        <w:sectPr>
          <w:pgSz w:w="12240" w:h="15840" w:orient="portrait"/>
          <w:cols w:equalWidth="0" w:num="1">
            <w:col w:w="10420"/>
          </w:cols>
          <w:pgMar w:left="900" w:top="831" w:right="920" w:bottom="0"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10420"/>
          </w:cols>
          <w:pgMar w:left="900" w:top="831" w:right="92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auto"/>
        </w:rPr>
        <w:t>Translation of Foreign Currency and Foreign Exchange Derivative Contracts</w:t>
      </w:r>
    </w:p>
    <w:p>
      <w:pPr>
        <w:spacing w:after="0" w:line="2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consolidated statements of income within general and administrative expenses. The realized and unrealized gains/losses totaled a gain of $3.9 million, a loss of $4.5 million and a loss of $1.6 million for the years ended December 31, 2025, 2024 and 2023, respectively. Since the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7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The Company enters into foreign currency forward contracts to mitigate its U.S. dollar and British pound sterling versus euro exposure, generally with a duration of less than 12 months. In June 2023, the Company also entered into a foreign currency call option on Australian dollars, see Note 15 – Fair Value of Financial Instruments and Other Assets for additional details.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consolidated statements of income within general and administrative expenses and related cash flows are included in cash flows from operating activities. Changes in the fair value during the period of the foreign currency call option on Australian dollars, which was entered into for foreign exchange risk management purposes relating to investing activities, are recognized in the consolidated statements of income within other income/loss and related cash flows are included in cash flows from investing activities. The Company does not use derivative instruments for trading or speculative purposes. Realized and unrealized gains/losses on foreign currency forward contracts totaled a loss of $21.0 million, a gain of $15.0 million and a gain of $0.8 million for the years ended December 31, 2025, 2024 and 2023, respectively. Realized losses on the foreign currency call option on the Australian dollar during the year ended December 31, 2023 totaled $1.3 million. As of December 31, 2025 and 2024, the counterparty on each of the foreign exchange derivative contracts was an affiliate of LSEG and therefore the corresponding assets or liabilities on such contracts were included in receivable and due from related parties or payable and due to related parties, respectively, on the accompanying consolidated statements of financial condition. See Note 15 – Fair Value of Financial Instruments and Other Assets for additional details on the Company’s derivative instruments.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6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10440"/>
          </w:cols>
          <w:pgMar w:left="900" w:top="831" w:right="900" w:bottom="0" w:gutter="0" w:footer="0" w:header="0"/>
          <w:type w:val="continuous"/>
        </w:sectPr>
      </w:pPr>
    </w:p>
    <w:bookmarkStart w:id="131" w:name="page132"/>
    <w:bookmarkEnd w:id="131"/>
    <w:p>
      <w:pPr>
        <w:ind w:right="380"/>
        <w:spacing w:after="0" w:line="281" w:lineRule="auto"/>
        <w:rPr>
          <w:sz w:val="20"/>
          <w:szCs w:val="20"/>
          <w:color w:val="auto"/>
        </w:rPr>
      </w:pPr>
      <w:r>
        <w:rPr>
          <w:rFonts w:ascii="Times New Roman" w:cs="Times New Roman" w:eastAsia="Times New Roman" w:hAnsi="Times New Roman"/>
          <w:sz w:val="20"/>
          <w:szCs w:val="20"/>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4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consolidated statements of financial condition, income or cash flows as of or for the year ended December 31, 2025. The Company will continue to evaluate the implications of this legislation on future periods.</w:t>
      </w:r>
    </w:p>
    <w:p>
      <w:pPr>
        <w:spacing w:after="0" w:line="1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 material impact on the Company’s consolidated statements of financial condition, income or cash flows as of or for the years ended December 31, 2025, 2024 and 2023. The Company is subject to the current 15% CAMT, however, it did not have an impact on the Company’s effective tax rate for the years ended December 31, 2025, 2024 or 2023.</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 material impact on the Company’s consolidated statements of financial condition, income or cash flows as of or for the years ended December 31, 2025 and 2024. The Company continues to monitor developments related to the G7’s discussions on global tax reform and is awaiting legislative updates.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2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w:t>
      </w:r>
    </w:p>
    <w:p>
      <w:pPr>
        <w:spacing w:after="0" w:line="16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color w:val="auto"/>
        </w:rPr>
        <w:t>The grant-date fair value of stock-based awards with only time-based vesting requirements and stock-based awards that also vest based on the financial performance of the Company are determined based on the price of the Company’s Class A common stock on the grant date. For performance-based restricted stock units that vest based on the financial performance of the Company, the number of shares included in the stock-based compensation expense calculation each period is based on management’s estimate of the probable number of shares expected to be issued at settlement.</w:t>
      </w:r>
    </w:p>
    <w:p>
      <w:pPr>
        <w:spacing w:after="0" w:line="16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For performance-based restricted stock units that vest based on market conditions, the Company recognizes stock-based compensation expense based on the estimated grant-date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If the service condition applicable for such award is met, expense is recognized based on the grant-date fair value of the award even if the market condition is not achieved.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Forfeitures of stock-based awards related to service conditions not being met are recognized as they occur.</w:t>
      </w:r>
    </w:p>
    <w:p>
      <w:pPr>
        <w:spacing w:after="0" w:line="21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Prior to the IPO, the Company awarded options to management and other employees (collectively, the “Special Option Award”) under the Amended and Restated Tradeweb Markets Inc. Option Plan (the “Option Plan”). The non-cash stock-based compensation expense associated with the Special Option Award was expensed beginning in the second quarter of 2019 and ended during the first quarter of 2024 when all previously awarded options were fully vested.</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420"/>
          </w:cols>
          <w:pgMar w:left="900" w:top="838" w:right="920"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Basic and diluted earnings per share are computed in accordance with the two-class method as unvested or unsettled vested stock awards issued to certain retired or terminated employees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stockholders.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6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The dilutive effect of stock options and other stock-based payment awards is calculated using the treasury stock method, which assumes the proceeds from the exercise of these instruments are used to purchase shares of Class A common stock at the average market price for the period. The dilutive effect of LLC Interests held by non-controlling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stock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73"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auto"/>
        </w:rPr>
        <w:t>Shares of Class C and Class D common stock do not have economic rights in Tradeweb Markets Inc. and, therefore, are not included in the calculation of basic earnings per share.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Measurement</w:t>
      </w:r>
    </w:p>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Fair value represents the amount that would be received to sell an asset or paid to transfer a liability in an orderly transaction between market participants at the measurement date (the exit price). Financial instruments that the Company owns (long positions) are marked to bid prices, and instruments that the Company has sold, but not yet purchased (short positions) are marked to offer prices. Fair value measurements do not include transaction costs.</w:t>
      </w:r>
    </w:p>
    <w:p>
      <w:pPr>
        <w:spacing w:after="0" w:line="160"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20"/>
          <w:szCs w:val="20"/>
          <w:color w:val="auto"/>
        </w:rPr>
        <w:t xml:space="preserve">The fair value hierarchy under ASC 820, </w:t>
      </w:r>
      <w:r>
        <w:rPr>
          <w:rFonts w:ascii="Times New Roman" w:cs="Times New Roman" w:eastAsia="Times New Roman" w:hAnsi="Times New Roman"/>
          <w:sz w:val="20"/>
          <w:szCs w:val="20"/>
          <w:b w:val="1"/>
          <w:bCs w:val="1"/>
          <w:i w:val="1"/>
          <w:iCs w:val="1"/>
          <w:color w:val="auto"/>
        </w:rPr>
        <w:t>Fair Value Measurement</w:t>
      </w:r>
      <w:r>
        <w:rPr>
          <w:rFonts w:ascii="Times New Roman" w:cs="Times New Roman" w:eastAsia="Times New Roman" w:hAnsi="Times New Roman"/>
          <w:sz w:val="20"/>
          <w:szCs w:val="20"/>
          <w:color w:val="auto"/>
        </w:rPr>
        <w:t xml:space="preserve"> (“ASC 820”)</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Fair Value Measurement</w:t>
      </w:r>
    </w:p>
    <w:p>
      <w:pPr>
        <w:spacing w:after="0" w:line="21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An asset or liability’s level within the fair value hierarchy is based on the lowest level of any input that is significant to the fair value measurement.</w:t>
      </w:r>
    </w:p>
    <w:p>
      <w:pPr>
        <w:spacing w:after="0" w:line="141" w:lineRule="exact"/>
        <w:rPr>
          <w:sz w:val="20"/>
          <w:szCs w:val="20"/>
          <w:color w:val="auto"/>
        </w:rPr>
      </w:pPr>
    </w:p>
    <w:p>
      <w:pPr>
        <w:ind w:left="720" w:hanging="360"/>
        <w:spacing w:after="0" w:line="281"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Level 1</w:t>
      </w:r>
      <w:r>
        <w:rPr>
          <w:rFonts w:ascii="Times New Roman" w:cs="Times New Roman" w:eastAsia="Times New Roman" w:hAnsi="Times New Roman"/>
          <w:sz w:val="20"/>
          <w:szCs w:val="20"/>
          <w:color w:val="auto"/>
        </w:rPr>
        <w:t>: Unadjusted quoted prices in active markets that are accessible at the measurement date for identical, unrestricted assets or liabilities;</w:t>
      </w:r>
    </w:p>
    <w:p>
      <w:pPr>
        <w:spacing w:after="0" w:line="141" w:lineRule="exact"/>
        <w:rPr>
          <w:rFonts w:ascii="Times New Roman" w:cs="Times New Roman" w:eastAsia="Times New Roman" w:hAnsi="Times New Roman"/>
          <w:sz w:val="20"/>
          <w:szCs w:val="20"/>
          <w:color w:val="auto"/>
        </w:rPr>
      </w:pPr>
    </w:p>
    <w:p>
      <w:pPr>
        <w:ind w:left="720" w:right="180" w:hanging="360"/>
        <w:spacing w:after="0" w:line="281"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Level 2</w:t>
      </w:r>
      <w:r>
        <w:rPr>
          <w:rFonts w:ascii="Times New Roman" w:cs="Times New Roman" w:eastAsia="Times New Roman" w:hAnsi="Times New Roman"/>
          <w:sz w:val="20"/>
          <w:szCs w:val="20"/>
          <w:color w:val="auto"/>
        </w:rPr>
        <w:t>: Quoted prices in markets that are not considered to be active or for which all significant inputs are observable, either directly or indirectly;</w:t>
      </w:r>
    </w:p>
    <w:p>
      <w:pPr>
        <w:spacing w:after="0" w:line="14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Level 3</w:t>
      </w:r>
      <w:r>
        <w:rPr>
          <w:rFonts w:ascii="Times New Roman" w:cs="Times New Roman" w:eastAsia="Times New Roman" w:hAnsi="Times New Roman"/>
          <w:sz w:val="20"/>
          <w:szCs w:val="20"/>
          <w:color w:val="auto"/>
        </w:rPr>
        <w:t>: Prices or valuations that require inputs that are both significant to the fair value measurement and unobservable.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 xml:space="preserve">In December 2025, the Financial Accounting Standards Board (“FASB”) issued Accounting Standards Update (“ASU”) 2025-11, </w:t>
      </w:r>
      <w:r>
        <w:rPr>
          <w:rFonts w:ascii="Times New Roman" w:cs="Times New Roman" w:eastAsia="Times New Roman" w:hAnsi="Times New Roman"/>
          <w:sz w:val="20"/>
          <w:szCs w:val="20"/>
          <w:b w:val="1"/>
          <w:bCs w:val="1"/>
          <w:i w:val="1"/>
          <w:iCs w:val="1"/>
          <w:color w:val="auto"/>
        </w:rPr>
        <w:t xml:space="preserve">Interim Reporting (Topic 270): Narrow-Scope Improvements </w:t>
      </w:r>
      <w:r>
        <w:rPr>
          <w:rFonts w:ascii="Times New Roman" w:cs="Times New Roman" w:eastAsia="Times New Roman" w:hAnsi="Times New Roman"/>
          <w:sz w:val="20"/>
          <w:szCs w:val="20"/>
          <w:color w:val="auto"/>
        </w:rPr>
        <w:t>(“ASU 2025-11”), which clarifies interim disclosure requirements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the applicability of Topic 270. The amendments in this ASU result in a comprehensive list of interim disclosures that are required by GAAP and include a disclosure principle that requires entities to disclose events since the end of the last annual reporting period that had a material impact on the entity. ASU 2025-11 also clarifies the types of interim reporting and the form and content of interim financial statements prepared in accordance with GAAP. ASU 2025-11 is effective for the Company’s interim reporting periods beginning on January 1, 2028. The guidance may be applied on a prospective or retrospective basis and early adoption is permitted. The Company is currently evaluating the impact of adopting ASU 2025-11 on its interim consolidated financial statements.</w:t>
      </w:r>
    </w:p>
    <w:p>
      <w:pPr>
        <w:sectPr>
          <w:pgSz w:w="12240" w:h="15840" w:orient="portrait"/>
          <w:cols w:equalWidth="0" w:num="1">
            <w:col w:w="10420"/>
          </w:cols>
          <w:pgMar w:left="900" w:top="831" w:right="92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10420"/>
          </w:cols>
          <w:pgMar w:left="900" w:top="831" w:right="920" w:bottom="0" w:gutter="0" w:footer="0" w:header="0"/>
          <w:type w:val="continuous"/>
        </w:sectPr>
      </w:pPr>
    </w:p>
    <w:bookmarkStart w:id="133" w:name="page134"/>
    <w:bookmarkEnd w:id="133"/>
    <w:p>
      <w:pPr>
        <w:ind w:right="100"/>
        <w:spacing w:after="0" w:line="268" w:lineRule="auto"/>
        <w:rPr>
          <w:sz w:val="20"/>
          <w:szCs w:val="20"/>
          <w:color w:val="auto"/>
        </w:rPr>
      </w:pPr>
      <w:r>
        <w:rPr>
          <w:rFonts w:ascii="Times New Roman" w:cs="Times New Roman" w:eastAsia="Times New Roman" w:hAnsi="Times New Roman"/>
          <w:sz w:val="19"/>
          <w:szCs w:val="19"/>
          <w:color w:val="auto"/>
        </w:rPr>
        <w:t xml:space="preserve">In September 2025, the FASB issued ASU 2025-07, </w:t>
      </w:r>
      <w:r>
        <w:rPr>
          <w:rFonts w:ascii="Times New Roman" w:cs="Times New Roman" w:eastAsia="Times New Roman" w:hAnsi="Times New Roman"/>
          <w:sz w:val="19"/>
          <w:szCs w:val="19"/>
          <w:b w:val="1"/>
          <w:bCs w:val="1"/>
          <w:i w:val="1"/>
          <w:iCs w:val="1"/>
          <w:color w:val="auto"/>
        </w:rPr>
        <w:t>Derivatives and Hedging (Topic 815) and Revenue from Contracts with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Customers (Topic 606): Derivatives Scope Refinements and Scope Clarification for Share-Based Noncash Consideration from a Customer in a Revenue Contract </w:t>
      </w:r>
      <w:r>
        <w:rPr>
          <w:rFonts w:ascii="Times New Roman" w:cs="Times New Roman" w:eastAsia="Times New Roman" w:hAnsi="Times New Roman"/>
          <w:sz w:val="19"/>
          <w:szCs w:val="19"/>
          <w:color w:val="auto"/>
        </w:rPr>
        <w:t>(“ASU 2025-07”). ASU 2025-07 adds a new scope exception to derivative accounting guidance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 non-exchange traded contracts with underlyings based on operations or activities specific to one of the parties to the contract. However, this scope exception does not apply to (1) variables based on a market rate, market price or market index, (2) variables based on the price or performance (including default) of a financial asset or financial liability of one of the parties to the contract,</w:t>
      </w:r>
    </w:p>
    <w:p>
      <w:pPr>
        <w:ind w:right="40"/>
        <w:spacing w:after="0" w:line="250" w:lineRule="auto"/>
        <w:tabs>
          <w:tab w:leader="none" w:pos="28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contracts (or features) involving the issuer’s own equity and (4) call and put options on debt instruments. The ASU also clarifies that an entity should apply the guidance from revenue from contracts with customers, including the non-cash consideration guidance therein, to a contract with share-based non-cash consideration from a customer for the transfer of goods or services unless and until the entity’s right to receive or retain the share-based non-cash consideration is unconditional. ASU</w:t>
      </w:r>
    </w:p>
    <w:p>
      <w:pPr>
        <w:spacing w:after="0" w:line="1" w:lineRule="exact"/>
        <w:rPr>
          <w:rFonts w:ascii="Times New Roman" w:cs="Times New Roman" w:eastAsia="Times New Roman" w:hAnsi="Times New Roman"/>
          <w:sz w:val="20"/>
          <w:szCs w:val="20"/>
          <w:color w:val="auto"/>
        </w:rPr>
      </w:pPr>
    </w:p>
    <w:p>
      <w:pPr>
        <w:jc w:val="both"/>
        <w:ind w:right="60"/>
        <w:spacing w:after="0" w:line="25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2025-07 is effective for the Company’s interim and annual reporting periods beginning on January 1, 2027. The guidance may be applied on a prospective or modified retrospective basis and early adoption is permitted. The Company is currently evaluating the impact of adopting ASU 2025-07 on its consolidated financial statements.</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b w:val="1"/>
          <w:bCs w:val="1"/>
          <w:i w:val="1"/>
          <w:iCs w:val="1"/>
          <w:color w:val="auto"/>
        </w:rPr>
        <w:t>Intangibles—Goodwill and Other—Internal-Use Software (Subtopic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350-40): Targeted Improvements to the Accounting for Internal-Use Software </w:t>
      </w:r>
      <w:r>
        <w:rPr>
          <w:rFonts w:ascii="Times New Roman" w:cs="Times New Roman" w:eastAsia="Times New Roman" w:hAnsi="Times New Roman"/>
          <w:sz w:val="20"/>
          <w:szCs w:val="20"/>
          <w:color w:val="auto"/>
        </w:rPr>
        <w:t>(“ASU 2025-06”), which amends certain aspects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accounting for and disclosure of internal-use software development costs. To address that software is not always developed in a linear manner, ASU 2025-06 removes the previous references to project development stages and enhances the guidance on how to evaluate whether the probable-to-complete recognition threshold has been met. ASU 2025-06 is effective for the Company’s interim and annual reporting periods beginning on January 1, 2028. The guidance may be applied on a prospective, retrospective or modified prospective transition basis and early adoption is permitted. The Company is currently evaluating the impact of adopting ASU 2025-06 on its consolidated financial statements.</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 xml:space="preserve">In July 2025, the FASB issued ASU 2025-05, </w:t>
      </w:r>
      <w:r>
        <w:rPr>
          <w:rFonts w:ascii="Times New Roman" w:cs="Times New Roman" w:eastAsia="Times New Roman" w:hAnsi="Times New Roman"/>
          <w:sz w:val="20"/>
          <w:szCs w:val="20"/>
          <w:b w:val="1"/>
          <w:bCs w:val="1"/>
          <w:i w:val="1"/>
          <w:iCs w:val="1"/>
          <w:color w:val="auto"/>
        </w:rPr>
        <w:t>Financial Instruments—Credit Losses (Topic 326): Measurement of Credit Losses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for Accounts Receivable and Contract Assets </w:t>
      </w:r>
      <w:r>
        <w:rPr>
          <w:rFonts w:ascii="Times New Roman" w:cs="Times New Roman" w:eastAsia="Times New Roman" w:hAnsi="Times New Roman"/>
          <w:sz w:val="20"/>
          <w:szCs w:val="20"/>
          <w:color w:val="auto"/>
        </w:rPr>
        <w:t>(“ASU 2025-05”). ASU 2025-05 introduces a practical expedient for measuring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expected credit losses that permits entities to assume that current conditions as of the balance sheet date do not change for the remaining life of current accounts receivable and current contract assets arising from revenue from contracts with customers. ASU 2025-05 is effective for the Company’s interim and annual reporting periods beginning on January 1, 2026. The guidance is to be applied on a prospective basis and early adoption is permitted. The Company does not expect the adoption of ASU 2025-05 to have a material impact on its consolidated financial statements.</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Income Statement—Reporting Comprehensive Income—Expense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Disaggregation Disclosures (Subtopic 220-40): Disaggregation of Income Statement Expenses </w:t>
      </w:r>
      <w:r>
        <w:rPr>
          <w:rFonts w:ascii="Times New Roman" w:cs="Times New Roman" w:eastAsia="Times New Roman" w:hAnsi="Times New Roman"/>
          <w:sz w:val="20"/>
          <w:szCs w:val="20"/>
          <w:color w:val="auto"/>
        </w:rPr>
        <w:t>(“ASU 2024-03”). ASU 2024-03</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requires the disaggregation of certain costs and expenses in the notes to the financial statements to provide enhanced transparency into the expense captions presented on the face of the income statement. ASU 2024-03 is effective for the Company’s Annual Report on Form 10-K for the fiscal year ending December 31, 2027 and for interim periods beginning in 2028. The guidance may be applied on a prospective or retrospective basis and early adoption is permitted. The Company is currently evaluating the impact of adopting ASU 2024-03 on its consolidated financial statements.</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b w:val="1"/>
          <w:bCs w:val="1"/>
          <w:i w:val="1"/>
          <w:iCs w:val="1"/>
          <w:color w:val="auto"/>
        </w:rPr>
        <w:t>Improvements to Income Tax Disclosures</w:t>
      </w:r>
      <w:r>
        <w:rPr>
          <w:rFonts w:ascii="Times New Roman" w:cs="Times New Roman" w:eastAsia="Times New Roman" w:hAnsi="Times New Roman"/>
          <w:sz w:val="20"/>
          <w:szCs w:val="20"/>
          <w:color w:val="auto"/>
        </w:rPr>
        <w:t xml:space="preserve"> (“ASU 2023-09”). ASU 2023-09 expands income tax disclosure requirements and requires the Company disclose (i) an income tax rate reconciliation using both percentages and reporting currency amounts; (ii) specific categories within the income tax rate reconciliation; (iii) additional information for reconciling items that meet a quantitative threshold; (iv) the composition of state and local income taxes by jurisdiction; and (v) the amount of income taxes paid disaggregated by jurisdiction. ASU 2023-09 is effective beginning with this Annual Report on Form 10-K for the year ended December 31, 2025, and was applied retrospectively to all periods presented. The additional required disclosures are included in Note 9 – Income Taxes.</w:t>
      </w:r>
    </w:p>
    <w:p>
      <w:pPr>
        <w:spacing w:after="0" w:line="159" w:lineRule="exact"/>
        <w:rPr>
          <w:sz w:val="20"/>
          <w:szCs w:val="20"/>
          <w:color w:val="auto"/>
        </w:rPr>
      </w:pPr>
    </w:p>
    <w:p>
      <w:pPr>
        <w:ind w:left="720" w:hanging="670"/>
        <w:spacing w:after="0"/>
        <w:tabs>
          <w:tab w:leader="none" w:pos="72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Restricted Cash</w:t>
      </w:r>
    </w:p>
    <w:p>
      <w:pPr>
        <w:spacing w:after="0" w:line="2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December 31, 2025 and 2024, cash in the amount of $1.0 million, has been segregated in the PAB reserve account, exceeding the requirements pursuant to SEC Rule 15c3-3.</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10440"/>
          </w:cols>
          <w:pgMar w:left="900" w:top="834" w:right="900" w:bottom="0" w:gutter="0" w:footer="0" w:header="0"/>
          <w:type w:val="continuous"/>
        </w:sectPr>
      </w:pPr>
    </w:p>
    <w:bookmarkStart w:id="134" w:name="page135"/>
    <w:bookmarkEnd w:id="134"/>
    <w:p>
      <w:pPr>
        <w:ind w:left="720" w:hanging="720"/>
        <w:spacing w:after="0"/>
        <w:tabs>
          <w:tab w:leader="none" w:pos="72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ICD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August 1, 2024, the Company completed its acquisition of ICD in exchange for total purchase consideration of $774.2 million.</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connection with the acquisition closing, the Corporation was required to issue and sell $4.5 million of shares of its Class A common stock in reliance on Section 4(a)(2) of the Securities Act, to an equityholder of the ICD seller, who was also an employee of ICD and is currently an employee of the Company. These shares of Class A common stock were issued and sold as restricted stock (“RSAs”), subject to vesting and forfeiture terms, pursuant to the Tradeweb Markets Inc. 2019 Omnibus Equity Incentive Plan. The 41,705 RSAs issued at closing, had a fair market value of $4.7 million as of the acquisition date, and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year service period required subsequent to the acquisition date.</w:t>
      </w:r>
    </w:p>
    <w:p>
      <w:pPr>
        <w:spacing w:after="0" w:line="16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Cash paid at closing, net of $23.3 million in cash acquired and net of $4.5 million in proceeds from the sale of RSAs, totaled $773.8 million. Of this amount, $770.9 million was determined to be the net cash consideration transferred for the business combination, $1.4 million was recorded as compensation expense during the year ended December 31, 2024, related to the acceleration of vesting on the acquisition date of previously unvested stock awards issued by the ICD seller, and $1.4 million was recorded as a prepaid asset, to be recognized as compensation expense over a two-year required service period, relating to sale proceeds held in escrow for certain key executives, who are required to remain employed by the Company during that service period in order to receive the escrow portion of their sale proceeds.</w:t>
      </w:r>
    </w:p>
    <w:p>
      <w:pPr>
        <w:spacing w:after="0" w:line="170"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ICD is an institutional investment technology provider for corporate treasury organizations trading short-term investments and with the 2024 acquisition of ICD and its proprietary technology, the Company added “corporates” as a client channel, serving corporate treasury professionals, complementing the Company’s previously existing focus on institutional, wholesale and retail clients.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r8fin</w:t>
      </w:r>
    </w:p>
    <w:p>
      <w:pPr>
        <w:spacing w:after="0" w:line="21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On January 19, 2024, the Company completed its acquisition of r8fin in exchange for total purchase consideration of $125.9 million, consisting of $89.2 million in cash paid at closing (net of cash acquired) and the issuance of 374,601 shares of Class A common stock of the Corporation valued as of the acquisition date at $36.7 million. r8fin provides a suite of algorithmic-based tools as well as a thin-client EMS trading application to facilitate futures and cash trades.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The ICD and r8fin acquisitions were accounted for as business combinations and the Company utilized the assistance of a third-party valuation specialist to determine the fair value of the assets acquired and liabilities assumed at the date of the closing of each respective acquisition. The fair values were determined based on assumptions that reasonable market participants would use in the principal (or most advantageous) market and primarily included significant unobservable inputs (Level 3).</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7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9"/>
          <w:szCs w:val="19"/>
          <w:color w:val="auto"/>
        </w:rPr>
        <w:t>The acquired developed technology, included in the consolidated balance sheet as software development costs, was valued using the income approach, specifically the relief-from-royalty method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 The discount rate used reflects the amount of risk associated with the hypothetical cash flows for the developed technology relative to the overall business as discussed above relating to the customer relationships.</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10440"/>
          </w:cols>
          <w:pgMar w:left="900" w:top="831" w:right="900"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The final purchase price allocations for ICD and r8fin were as follows: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7"/>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r>
      <w:tr>
        <w:trPr>
          <w:trHeight w:val="183"/>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ICD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rPr>
              <w:t>r8fin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Total 2024</w:t>
            </w:r>
          </w:p>
        </w:tc>
      </w:tr>
      <w:tr>
        <w:trPr>
          <w:trHeight w:val="192"/>
        </w:trPr>
        <w:tc>
          <w:tcPr>
            <w:tcW w:w="652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6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rPr>
              <w:t>Business</w:t>
            </w:r>
          </w:p>
        </w:tc>
      </w:tr>
      <w:tr>
        <w:trPr>
          <w:trHeight w:val="220"/>
        </w:trPr>
        <w:tc>
          <w:tcPr>
            <w:tcW w:w="6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w w:val="99"/>
              </w:rPr>
              <w:t>Allocation</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9"/>
              </w:rPr>
              <w:t>Allocation</w:t>
            </w:r>
          </w:p>
        </w:tc>
        <w:tc>
          <w:tcPr>
            <w:tcW w:w="60" w:type="dxa"/>
            <w:vAlign w:val="bottom"/>
          </w:tcPr>
          <w:p>
            <w:pPr>
              <w:spacing w:after="0"/>
              <w:rPr>
                <w:sz w:val="19"/>
                <w:szCs w:val="19"/>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Combinations</w:t>
            </w:r>
          </w:p>
        </w:tc>
      </w:tr>
      <w:tr>
        <w:trPr>
          <w:trHeight w:val="274"/>
        </w:trPr>
        <w:tc>
          <w:tcPr>
            <w:tcW w:w="6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0" w:type="dxa"/>
            <w:vAlign w:val="bottom"/>
            <w:gridSpan w:val="6"/>
          </w:tcPr>
          <w:p>
            <w:pPr>
              <w:jc w:val="center"/>
              <w:ind w:left="763"/>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040" w:type="dxa"/>
            <w:vAlign w:val="bottom"/>
          </w:tcPr>
          <w:p>
            <w:pPr>
              <w:spacing w:after="0"/>
              <w:rPr>
                <w:sz w:val="23"/>
                <w:szCs w:val="23"/>
                <w:color w:val="auto"/>
              </w:rPr>
            </w:pP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23,321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24,718</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Deposits with clearing organizations</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10,625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10,764</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360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Lease right-of-use assets</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Software development costs</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160,000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188,000</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292,399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42,189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334,588</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 Customer relationships</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340,000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396,500</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 Tradename</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2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(3,390)</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accrued expenses and other liabilities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(7,465)</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(24,872)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(24,872)</w:t>
            </w:r>
          </w:p>
        </w:tc>
      </w:tr>
      <w:tr>
        <w:trPr>
          <w:trHeight w:val="262"/>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Total purchase consideration – Cash paid and stock issued</w:t>
            </w:r>
          </w:p>
        </w:tc>
        <w:tc>
          <w:tcPr>
            <w:tcW w:w="22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797,570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127,299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924,869</w:t>
            </w: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Less: Cash acquired</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(23,321)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(24,718)</w:t>
            </w: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Purchase consideration, net of cash acquired</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774,249</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125,902</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900,151</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-3469640</wp:posOffset>
            </wp:positionV>
            <wp:extent cx="6654800" cy="3476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1">
                      <a:extLst>
                        <a:ext uri="{28A0092B-C50C-407E-A947-70E740481C1C}"/>
                      </a:extLst>
                    </a:blip>
                    <a:srcRect/>
                    <a:stretch>
                      <a:fillRect/>
                    </a:stretch>
                  </pic:blipFill>
                  <pic:spPr bwMode="auto">
                    <a:xfrm>
                      <a:off x="0" y="0"/>
                      <a:ext cx="6654800" cy="3476625"/>
                    </a:xfrm>
                    <a:prstGeom prst="rect">
                      <a:avLst/>
                    </a:prstGeom>
                    <a:noFill/>
                  </pic:spPr>
                </pic:pic>
              </a:graphicData>
            </a:graphic>
          </wp:anchor>
        </w:drawing>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acquired software development costs will be amortized over a useful life of eight years for ICD and seven years for r8fin. The acquired trade name of ICD will be amortized over a useful life of four years. Customer relationships will be amortized over a useful life of 15 years for ICD and 13 years for r8fin. The goodwill recognized in connection with the ICD and r8fin acquisitions is primarily attributable to the acquisition of an assembled workforce and expected future customers, future technology and synergies from the integration of the operations of the acquisitions into the Company's operations and its single business segment. Approximately $238 million of the goodwill recognized in connection with the ICD Acquisition and all of the goodwill recognized in connection with the r8fin Acquisition is expected to be deductible for income tax purposes.</w:t>
      </w:r>
    </w:p>
    <w:p>
      <w:pPr>
        <w:spacing w:after="0" w:line="17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recognized $16.9 million and $4.6 million, respectively, in transaction costs incurred to effect the ICD, r8fin and Yieldbroker acquisitions, which are included as a component of professional fees in the accompanying consolidated statements of income. During the years ended December 31, 2024 and 2023, the Company recognized $2.2 million and $0.9 million, respectively, in transaction costs incurred to effect the ICD, r8fin and Yieldbroker acquisitions, which are included as a component of general and administrative expenses in the accompanying consolidated statements of income. There were no acquisitions completed during the year ended December 31, 2025.</w:t>
      </w:r>
    </w:p>
    <w:p>
      <w:pPr>
        <w:spacing w:after="0" w:line="1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From the date of the ICD Acquisition through December 31, 2024, ICD revenues of $43.2 million and operating income of $2.1 million, including $18.4 million of depreciation and amortization from acquired assets, were included in the Company’s consolidated statements of income for the year ended December 31, 2024. The r8fin Acquisition was not material to the Company's consolidated financial statements and therefore pro forma and actual results of this acquisition have not been presented.</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10440"/>
          </w:cols>
          <w:pgMar w:left="900" w:top="838" w:right="900"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i w:val="1"/>
          <w:iCs w:val="1"/>
          <w:color w:val="auto"/>
        </w:rPr>
        <w:t>Supplemental Pro Forma Information (Unaudited)</w:t>
      </w:r>
    </w:p>
    <w:p>
      <w:pPr>
        <w:spacing w:after="0" w:line="21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9"/>
          <w:szCs w:val="19"/>
          <w:color w:val="auto"/>
        </w:rPr>
        <w:t>The financial information in the table below summarizes the combined results of operations of Tradeweb Markets Inc. and ICD, on a pro forma basis, as though the companies had been combined as of January 1, 2023. The unaudited supplemental pro forma information is presented for informational purposes only and is not indicative of the actual results of operations that would have been achieved if the ICD Acquisition had taken place on January 1, 2023 or of future results. Such unaudited pro forma financial information is based on the historical financial statements of Tradeweb Markets Inc. and ICD. The unaudited pro forma financial information is based on estimates and assumptions that have been made solely for the purpose of developing such unaudited pro forma financial information, including, without limitation, purchase accounting adjustments, acquisition related transaction costs, the removal of historical ICD interest expense and intangible asset amortization and the addition of intangible asset amortization and incremental stock-based compensation expense related to this acquisition, together with their consequential tax effects. The pro forma adjustments were based upon information available at the time they were prepared and certain assumptions that the Company believes are reasonable under the circumstances. The unaudited pro forma financial information does not reflect any anticipated synergies or operating cost reductions that may be achieved from integrating ICD into the rest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unaudited supplemental pro forma financial information for periods presented herein are as follows: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46"/>
        </w:trPr>
        <w:tc>
          <w:tcPr>
            <w:tcW w:w="7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0"/>
        </w:trPr>
        <w:tc>
          <w:tcPr>
            <w:tcW w:w="7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7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gridSpan w:val="4"/>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1,780,366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1,423,362</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689,203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478,629</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508,042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6654800" cy="5683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2">
                      <a:extLst>
                        <a:ext uri="{28A0092B-C50C-407E-A947-70E740481C1C}"/>
                      </a:extLst>
                    </a:blip>
                    <a:srcRect/>
                    <a:stretch>
                      <a:fillRect/>
                    </a:stretch>
                  </pic:blipFill>
                  <pic:spPr bwMode="auto">
                    <a:xfrm>
                      <a:off x="0" y="0"/>
                      <a:ext cx="6654800" cy="56832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720" w:hanging="720"/>
        <w:spacing w:after="0"/>
        <w:tabs>
          <w:tab w:leader="none" w:pos="72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Software Development Costs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total software development costs, net of accumulated amortization are as follows: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83"/>
        </w:trPr>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0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7"/>
        </w:trPr>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3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8"/>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Software development costs –</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0"/>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Refinitiv Transaction</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168,500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(135,736)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32,764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168,500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(117,014)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51,486</w:t>
            </w:r>
          </w:p>
        </w:tc>
      </w:tr>
      <w:tr>
        <w:trPr>
          <w:trHeight w:val="288"/>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Software development costs – Other</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488,846</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(251,315)</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237,531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423,524</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(178,289)</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245,235</w:t>
            </w:r>
          </w:p>
        </w:tc>
      </w:tr>
      <w:tr>
        <w:trPr>
          <w:trHeight w:val="245"/>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Total software development costs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657,346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(387,051)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270,295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592,024</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(295,303)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296,721</w:t>
            </w:r>
          </w:p>
        </w:tc>
      </w:tr>
      <w:tr>
        <w:trPr>
          <w:trHeight w:val="20"/>
        </w:trPr>
        <w:tc>
          <w:tcPr>
            <w:tcW w:w="3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-726440</wp:posOffset>
            </wp:positionV>
            <wp:extent cx="6654800" cy="7334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3">
                      <a:extLst>
                        <a:ext uri="{28A0092B-C50C-407E-A947-70E740481C1C}"/>
                      </a:extLst>
                    </a:blip>
                    <a:srcRect/>
                    <a:stretch>
                      <a:fillRect/>
                    </a:stretch>
                  </pic:blipFill>
                  <pic:spPr bwMode="auto">
                    <a:xfrm>
                      <a:off x="0" y="0"/>
                      <a:ext cx="6654800" cy="73342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software development costs and amortization expense are as follows:</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4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40" w:type="dxa"/>
            <w:vAlign w:val="bottom"/>
          </w:tcPr>
          <w:p>
            <w:pPr>
              <w:spacing w:after="0"/>
              <w:rPr>
                <w:sz w:val="23"/>
                <w:szCs w:val="23"/>
                <w:color w:val="auto"/>
              </w:rPr>
            </w:pPr>
          </w:p>
        </w:tc>
      </w:tr>
      <w:tr>
        <w:trPr>
          <w:trHeight w:val="313"/>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Software development costs capitalized </w:t>
            </w:r>
            <w:r>
              <w:rPr>
                <w:rFonts w:ascii="Times New Roman" w:cs="Times New Roman" w:eastAsia="Times New Roman" w:hAnsi="Times New Roman"/>
                <w:sz w:val="26"/>
                <w:szCs w:val="26"/>
                <w:color w:val="auto"/>
                <w:vertAlign w:val="superscript"/>
              </w:rPr>
              <w:t>(1)</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65,305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50,236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44,720</w:t>
            </w:r>
          </w:p>
        </w:tc>
      </w:tr>
      <w:tr>
        <w:trPr>
          <w:trHeight w:val="26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expense related to capitalized software development costs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91,742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4">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143" w:lineRule="exact"/>
        <w:rPr>
          <w:sz w:val="20"/>
          <w:szCs w:val="20"/>
          <w:color w:val="auto"/>
        </w:rPr>
      </w:pPr>
    </w:p>
    <w:p>
      <w:pPr>
        <w:ind w:left="360" w:right="260" w:hanging="360"/>
        <w:spacing w:after="0" w:line="266" w:lineRule="auto"/>
        <w:tabs>
          <w:tab w:leader="none" w:pos="3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Software development costs capitalized does not include the $188.0 million in software development costs acquired in connection with the ICD and r8fin acquisitions during the year ended December 31, 2024 and the $0.6 million in software development costs acquired in connection with the Yieldbroker acquisition during the year ended December 31, 2023. See Note 4 – Acquisitions.</w:t>
      </w:r>
    </w:p>
    <w:p>
      <w:pPr>
        <w:spacing w:after="0" w:line="152" w:lineRule="exact"/>
        <w:rPr>
          <w:sz w:val="20"/>
          <w:szCs w:val="20"/>
          <w:color w:val="auto"/>
        </w:rPr>
      </w:pPr>
    </w:p>
    <w:p>
      <w:pPr>
        <w:ind w:right="1100"/>
        <w:spacing w:after="0" w:line="281" w:lineRule="auto"/>
        <w:rPr>
          <w:sz w:val="20"/>
          <w:szCs w:val="20"/>
          <w:color w:val="auto"/>
        </w:rPr>
      </w:pPr>
      <w:r>
        <w:rPr>
          <w:rFonts w:ascii="Times New Roman" w:cs="Times New Roman" w:eastAsia="Times New Roman" w:hAnsi="Times New Roman"/>
          <w:sz w:val="20"/>
          <w:szCs w:val="20"/>
          <w:color w:val="auto"/>
        </w:rPr>
        <w:t>Non-capitalized software costs and routine maintenance costs are expensed as incurred and are included in employee compensation and benefits and professional fees on the consolidated statements of income.</w:t>
      </w:r>
    </w:p>
    <w:p>
      <w:pPr>
        <w:sectPr>
          <w:pgSz w:w="12240" w:h="15840" w:orient="portrait"/>
          <w:cols w:equalWidth="0" w:num="1">
            <w:col w:w="10440"/>
          </w:cols>
          <w:pgMar w:left="900" w:top="82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10440"/>
          </w:cols>
          <w:pgMar w:left="900" w:top="829" w:right="900" w:bottom="0" w:gutter="0" w:footer="0" w:header="0"/>
          <w:type w:val="continuous"/>
        </w:sectPr>
      </w:pPr>
    </w:p>
    <w:bookmarkStart w:id="137" w:name="page138"/>
    <w:bookmarkEnd w:id="137"/>
    <w:p>
      <w:pPr>
        <w:ind w:right="60"/>
        <w:spacing w:after="0" w:line="281" w:lineRule="auto"/>
        <w:rPr>
          <w:sz w:val="20"/>
          <w:szCs w:val="20"/>
          <w:color w:val="auto"/>
        </w:rPr>
      </w:pPr>
      <w:r>
        <w:rPr>
          <w:rFonts w:ascii="Times New Roman" w:cs="Times New Roman" w:eastAsia="Times New Roman" w:hAnsi="Times New Roman"/>
          <w:sz w:val="20"/>
          <w:szCs w:val="20"/>
          <w:color w:val="auto"/>
        </w:rPr>
        <w:t>The estimated annual future amortization for software development costs as of December 31, 2025 through December 31, 2030 is as follows: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8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88,245</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67,835</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34,377</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24,000</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2030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6654800" cy="930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5">
                      <a:extLst>
                        <a:ext uri="{28A0092B-C50C-407E-A947-70E740481C1C}"/>
                      </a:extLst>
                    </a:blip>
                    <a:srcRect/>
                    <a:stretch>
                      <a:fillRect/>
                    </a:stretch>
                  </pic:blipFill>
                  <pic:spPr bwMode="auto">
                    <a:xfrm>
                      <a:off x="0" y="0"/>
                      <a:ext cx="6654800" cy="930275"/>
                    </a:xfrm>
                    <a:prstGeom prst="rect">
                      <a:avLst/>
                    </a:prstGeom>
                    <a:noFill/>
                  </pic:spPr>
                </pic:pic>
              </a:graphicData>
            </a:graphic>
          </wp:anchor>
        </w:drawing>
      </w:r>
    </w:p>
    <w:p>
      <w:pPr>
        <w:spacing w:after="0" w:line="224" w:lineRule="exact"/>
        <w:rPr>
          <w:sz w:val="20"/>
          <w:szCs w:val="20"/>
          <w:color w:val="auto"/>
        </w:rPr>
      </w:pPr>
    </w:p>
    <w:p>
      <w:pPr>
        <w:ind w:left="720" w:hanging="720"/>
        <w:spacing w:after="0"/>
        <w:tabs>
          <w:tab w:leader="none" w:pos="72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ectPr>
          <w:pgSz w:w="12240" w:h="15840" w:orient="portrait"/>
          <w:cols w:equalWidth="0" w:num="1">
            <w:col w:w="10440"/>
          </w:cols>
          <w:pgMar w:left="900" w:top="838" w:right="900" w:bottom="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Goodwill includes the following activity during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528320</wp:posOffset>
            </wp:positionV>
            <wp:extent cx="6654800" cy="5810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6">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Balance at beginning of period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Goodwill recognized in connection with acquisitions</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Balance at end of period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goodwill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528320</wp:posOffset>
            </wp:positionV>
            <wp:extent cx="6654800" cy="5810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7">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Goodwill – Refinitiv Transaction</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Goodwill – Acquisitions and other</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Total</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 assets with an indefinite useful life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528320</wp:posOffset>
            </wp:positionV>
            <wp:extent cx="6654800" cy="5810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8">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Licenses – Refinitiv Transaction</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Tradename – Refinitiv Transaction</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26670</wp:posOffset>
                </wp:positionV>
                <wp:extent cx="161925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2.1pt" to="125pt,2.1pt" o:allowincell="f" strokecolor="#000000" strokeweight="1pt"/>
            </w:pict>
          </mc:Fallback>
        </mc:AlternateContent>
      </w:r>
    </w:p>
    <w:p>
      <w:pPr>
        <w:spacing w:after="0" w:line="36" w:lineRule="exact"/>
        <w:rPr>
          <w:sz w:val="20"/>
          <w:szCs w:val="20"/>
          <w:color w:val="auto"/>
        </w:rPr>
      </w:pPr>
    </w:p>
    <w:p>
      <w:pPr>
        <w:jc w:val="right"/>
        <w:ind w:left="420" w:right="460"/>
        <w:spacing w:after="0" w:line="351" w:lineRule="auto"/>
        <w:rPr>
          <w:sz w:val="20"/>
          <w:szCs w:val="20"/>
          <w:color w:val="auto"/>
        </w:rPr>
      </w:pPr>
      <w:r>
        <w:rPr>
          <w:rFonts w:ascii="Times New Roman" w:cs="Times New Roman" w:eastAsia="Times New Roman" w:hAnsi="Times New Roman"/>
          <w:sz w:val="16"/>
          <w:szCs w:val="16"/>
          <w:b w:val="1"/>
          <w:bCs w:val="1"/>
          <w:color w:val="auto"/>
        </w:rPr>
        <w:t>2025            2024 (dollars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-197485</wp:posOffset>
                </wp:positionV>
                <wp:extent cx="79057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15.5499pt" to="59.75pt,-15.5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796925</wp:posOffset>
                </wp:positionH>
                <wp:positionV relativeFrom="paragraph">
                  <wp:posOffset>-197485</wp:posOffset>
                </wp:positionV>
                <wp:extent cx="79057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75pt,-15.5499pt" to="125pt,-15.5499pt" o:allowincell="f" strokecolor="#000000" strokeweight="1pt"/>
            </w:pict>
          </mc:Fallback>
        </mc:AlternateContent>
      </w:r>
    </w:p>
    <w:p>
      <w:pPr>
        <w:ind w:left="320" w:hanging="317"/>
        <w:spacing w:after="0"/>
        <w:tabs>
          <w:tab w:leader="none" w:pos="3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3,150,112  $  2,815,524</w:t>
      </w:r>
    </w:p>
    <w:p>
      <w:pPr>
        <w:spacing w:after="0" w:line="55" w:lineRule="exact"/>
        <w:rPr>
          <w:rFonts w:ascii="Times New Roman" w:cs="Times New Roman" w:eastAsia="Times New Roman" w:hAnsi="Times New Roman"/>
          <w:sz w:val="20"/>
          <w:szCs w:val="20"/>
          <w:color w:val="auto"/>
        </w:rPr>
      </w:pPr>
    </w:p>
    <w:p>
      <w:pPr>
        <w:ind w:left="9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—334,588</w:t>
      </w:r>
    </w:p>
    <w:p>
      <w:pPr>
        <w:spacing w:after="0" w:line="55" w:lineRule="exact"/>
        <w:rPr>
          <w:rFonts w:ascii="Times New Roman" w:cs="Times New Roman" w:eastAsia="Times New Roman" w:hAnsi="Times New Roman"/>
          <w:sz w:val="20"/>
          <w:szCs w:val="20"/>
          <w:color w:val="auto"/>
        </w:rPr>
      </w:pPr>
    </w:p>
    <w:p>
      <w:pPr>
        <w:ind w:left="320" w:hanging="317"/>
        <w:spacing w:after="0"/>
        <w:tabs>
          <w:tab w:leader="none" w:pos="3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3,150,112  $  3,150,112</w:t>
      </w: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26670</wp:posOffset>
                </wp:positionV>
                <wp:extent cx="161925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2.1pt" to="125pt,2.1pt" o:allowincell="f" strokecolor="#000000" strokeweight="1pt"/>
            </w:pict>
          </mc:Fallback>
        </mc:AlternateContent>
      </w:r>
    </w:p>
    <w:p>
      <w:pPr>
        <w:spacing w:after="0" w:line="36" w:lineRule="exact"/>
        <w:rPr>
          <w:sz w:val="20"/>
          <w:szCs w:val="20"/>
          <w:color w:val="auto"/>
        </w:rPr>
      </w:pPr>
    </w:p>
    <w:p>
      <w:pPr>
        <w:jc w:val="right"/>
        <w:ind w:left="420" w:right="460"/>
        <w:spacing w:after="0" w:line="351" w:lineRule="auto"/>
        <w:rPr>
          <w:sz w:val="20"/>
          <w:szCs w:val="20"/>
          <w:color w:val="auto"/>
        </w:rPr>
      </w:pPr>
      <w:r>
        <w:rPr>
          <w:rFonts w:ascii="Times New Roman" w:cs="Times New Roman" w:eastAsia="Times New Roman" w:hAnsi="Times New Roman"/>
          <w:sz w:val="16"/>
          <w:szCs w:val="16"/>
          <w:b w:val="1"/>
          <w:bCs w:val="1"/>
          <w:color w:val="auto"/>
        </w:rPr>
        <w:t>2025            2024 (dollars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-197485</wp:posOffset>
                </wp:positionV>
                <wp:extent cx="79057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15.5499pt" to="59.75pt,-15.5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796925</wp:posOffset>
                </wp:positionH>
                <wp:positionV relativeFrom="paragraph">
                  <wp:posOffset>-197485</wp:posOffset>
                </wp:positionV>
                <wp:extent cx="79057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75pt,-15.5499pt" to="125pt,-15.5499pt" o:allowincell="f" strokecolor="#000000" strokeweight="1pt"/>
            </w:pict>
          </mc:Fallback>
        </mc:AlternateContent>
      </w:r>
    </w:p>
    <w:p>
      <w:pPr>
        <w:ind w:left="320" w:hanging="317"/>
        <w:spacing w:after="0"/>
        <w:tabs>
          <w:tab w:leader="none" w:pos="3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2,694,797  $  2,694,797</w:t>
      </w:r>
    </w:p>
    <w:p>
      <w:pPr>
        <w:spacing w:after="0" w:line="55" w:lineRule="exact"/>
        <w:rPr>
          <w:sz w:val="20"/>
          <w:szCs w:val="20"/>
          <w:color w:val="auto"/>
        </w:rPr>
      </w:pPr>
    </w:p>
    <w:p>
      <w:pPr>
        <w:jc w:val="both"/>
        <w:ind w:left="460"/>
        <w:spacing w:after="0"/>
        <w:tabs>
          <w:tab w:leader="none" w:pos="1740" w:val="left"/>
        </w:tabs>
        <w:rPr>
          <w:sz w:val="20"/>
          <w:szCs w:val="20"/>
          <w:color w:val="auto"/>
        </w:rPr>
      </w:pPr>
      <w:r>
        <w:rPr>
          <w:rFonts w:ascii="Times New Roman" w:cs="Times New Roman" w:eastAsia="Times New Roman" w:hAnsi="Times New Roman"/>
          <w:sz w:val="20"/>
          <w:szCs w:val="20"/>
          <w:color w:val="auto"/>
        </w:rPr>
        <w:t>455,315</w:t>
      </w:r>
      <w:r>
        <w:rPr>
          <w:sz w:val="20"/>
          <w:szCs w:val="20"/>
          <w:color w:val="auto"/>
        </w:rPr>
        <w:tab/>
      </w:r>
      <w:r>
        <w:rPr>
          <w:rFonts w:ascii="Times New Roman" w:cs="Times New Roman" w:eastAsia="Times New Roman" w:hAnsi="Times New Roman"/>
          <w:sz w:val="20"/>
          <w:szCs w:val="20"/>
          <w:color w:val="auto"/>
        </w:rPr>
        <w:t>455,315</w:t>
      </w:r>
    </w:p>
    <w:p>
      <w:pPr>
        <w:spacing w:after="0" w:line="55" w:lineRule="exact"/>
        <w:rPr>
          <w:sz w:val="20"/>
          <w:szCs w:val="20"/>
          <w:color w:val="auto"/>
        </w:rPr>
      </w:pPr>
    </w:p>
    <w:p>
      <w:pPr>
        <w:ind w:left="320" w:hanging="317"/>
        <w:spacing w:after="0"/>
        <w:tabs>
          <w:tab w:leader="none" w:pos="3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3,150,112  $  3,150,112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26670</wp:posOffset>
                </wp:positionV>
                <wp:extent cx="161925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2.1pt" to="125pt,2.1pt" o:allowincell="f" strokecolor="#000000" strokeweight="1pt"/>
            </w:pict>
          </mc:Fallback>
        </mc:AlternateContent>
      </w:r>
    </w:p>
    <w:p>
      <w:pPr>
        <w:spacing w:after="0" w:line="36" w:lineRule="exact"/>
        <w:rPr>
          <w:sz w:val="20"/>
          <w:szCs w:val="20"/>
          <w:color w:val="auto"/>
        </w:rPr>
      </w:pPr>
    </w:p>
    <w:p>
      <w:pPr>
        <w:jc w:val="right"/>
        <w:ind w:left="420" w:right="460"/>
        <w:spacing w:after="0" w:line="351" w:lineRule="auto"/>
        <w:rPr>
          <w:sz w:val="20"/>
          <w:szCs w:val="20"/>
          <w:color w:val="auto"/>
        </w:rPr>
      </w:pPr>
      <w:r>
        <w:rPr>
          <w:rFonts w:ascii="Times New Roman" w:cs="Times New Roman" w:eastAsia="Times New Roman" w:hAnsi="Times New Roman"/>
          <w:sz w:val="16"/>
          <w:szCs w:val="16"/>
          <w:b w:val="1"/>
          <w:bCs w:val="1"/>
          <w:color w:val="auto"/>
        </w:rPr>
        <w:t>2025            2024 (dollars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-197485</wp:posOffset>
                </wp:positionV>
                <wp:extent cx="79057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15.5499pt" to="59.75pt,-15.5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796925</wp:posOffset>
                </wp:positionH>
                <wp:positionV relativeFrom="paragraph">
                  <wp:posOffset>-197485</wp:posOffset>
                </wp:positionV>
                <wp:extent cx="79057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75pt,-15.5499pt" to="125pt,-15.5499pt" o:allowincell="f" strokecolor="#000000" strokeweight="1pt"/>
            </w:pict>
          </mc:Fallback>
        </mc:AlternateContent>
      </w:r>
    </w:p>
    <w:p>
      <w:pPr>
        <w:ind w:left="460" w:hanging="457"/>
        <w:spacing w:after="0"/>
        <w:tabs>
          <w:tab w:leader="none" w:pos="4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168,800  $168,800</w:t>
      </w:r>
    </w:p>
    <w:p>
      <w:pPr>
        <w:spacing w:after="0" w:line="55" w:lineRule="exact"/>
        <w:rPr>
          <w:sz w:val="20"/>
          <w:szCs w:val="20"/>
          <w:color w:val="auto"/>
        </w:rPr>
      </w:pPr>
    </w:p>
    <w:p>
      <w:pPr>
        <w:jc w:val="both"/>
        <w:ind w:left="460"/>
        <w:spacing w:after="0"/>
        <w:tabs>
          <w:tab w:leader="none" w:pos="1740" w:val="left"/>
        </w:tabs>
        <w:rPr>
          <w:sz w:val="20"/>
          <w:szCs w:val="20"/>
          <w:color w:val="auto"/>
        </w:rPr>
      </w:pPr>
      <w:r>
        <w:rPr>
          <w:rFonts w:ascii="Times New Roman" w:cs="Times New Roman" w:eastAsia="Times New Roman" w:hAnsi="Times New Roman"/>
          <w:sz w:val="20"/>
          <w:szCs w:val="20"/>
          <w:color w:val="auto"/>
        </w:rPr>
        <w:t>154,300</w:t>
      </w:r>
      <w:r>
        <w:rPr>
          <w:sz w:val="20"/>
          <w:szCs w:val="20"/>
          <w:color w:val="auto"/>
        </w:rPr>
        <w:tab/>
      </w:r>
      <w:r>
        <w:rPr>
          <w:rFonts w:ascii="Times New Roman" w:cs="Times New Roman" w:eastAsia="Times New Roman" w:hAnsi="Times New Roman"/>
          <w:sz w:val="20"/>
          <w:szCs w:val="20"/>
          <w:color w:val="auto"/>
        </w:rPr>
        <w:t>154,300</w:t>
      </w:r>
    </w:p>
    <w:p>
      <w:pPr>
        <w:spacing w:after="0" w:line="55" w:lineRule="exact"/>
        <w:rPr>
          <w:sz w:val="20"/>
          <w:szCs w:val="20"/>
          <w:color w:val="auto"/>
        </w:rPr>
      </w:pPr>
    </w:p>
    <w:p>
      <w:pPr>
        <w:spacing w:after="0"/>
        <w:tabs>
          <w:tab w:leader="none" w:pos="440" w:val="left"/>
          <w:tab w:leader="none" w:pos="1280" w:val="left"/>
          <w:tab w:leader="none" w:pos="17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323,100</w:t>
        <w:tab/>
        <w:t>$</w:t>
      </w:r>
      <w:r>
        <w:rPr>
          <w:sz w:val="20"/>
          <w:szCs w:val="20"/>
          <w:color w:val="auto"/>
        </w:rPr>
        <w:tab/>
      </w:r>
      <w:r>
        <w:rPr>
          <w:rFonts w:ascii="Times New Roman" w:cs="Times New Roman" w:eastAsia="Times New Roman" w:hAnsi="Times New Roman"/>
          <w:sz w:val="20"/>
          <w:szCs w:val="20"/>
          <w:color w:val="auto"/>
        </w:rPr>
        <w:t>323,100</w:t>
      </w:r>
    </w:p>
    <w:p>
      <w:pPr>
        <w:spacing w:after="0" w:line="200" w:lineRule="exact"/>
        <w:rPr>
          <w:sz w:val="20"/>
          <w:szCs w:val="20"/>
          <w:color w:val="auto"/>
        </w:rPr>
      </w:pPr>
    </w:p>
    <w:p>
      <w:pPr>
        <w:sectPr>
          <w:pgSz w:w="12240" w:h="15840" w:orient="portrait"/>
          <w:cols w:equalWidth="0" w:num="2">
            <w:col w:w="7580" w:space="360"/>
            <w:col w:w="2500"/>
          </w:cols>
          <w:pgMar w:left="900" w:top="838"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10440"/>
          </w:cols>
          <w:pgMar w:left="900" w:top="838" w:right="90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t>Intangible assets that are subject to amortization consisted of the following:</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00" w:type="dxa"/>
            <w:vAlign w:val="bottom"/>
          </w:tcPr>
          <w:p>
            <w:pPr>
              <w:spacing w:after="0"/>
              <w:rPr>
                <w:sz w:val="16"/>
                <w:szCs w:val="16"/>
                <w:color w:val="auto"/>
              </w:rPr>
            </w:pPr>
          </w:p>
        </w:tc>
        <w:tc>
          <w:tcPr>
            <w:tcW w:w="900" w:type="dxa"/>
            <w:vAlign w:val="bottom"/>
            <w:vMerge w:val="restart"/>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0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0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4"/>
        </w:trPr>
        <w:tc>
          <w:tcPr>
            <w:tcW w:w="20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74"/>
        </w:trPr>
        <w:tc>
          <w:tcPr>
            <w:tcW w:w="20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80" w:type="dxa"/>
            <w:vAlign w:val="bottom"/>
            <w:gridSpan w:val="4"/>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 Refinitiv Transaction</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12 years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928,200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(560,788)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367,412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928,200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(483,438)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444,762</w:t>
            </w:r>
          </w:p>
        </w:tc>
        <w:tc>
          <w:tcPr>
            <w:tcW w:w="0" w:type="dxa"/>
            <w:vAlign w:val="bottom"/>
          </w:tcPr>
          <w:p>
            <w:pPr>
              <w:spacing w:after="0"/>
              <w:rPr>
                <w:sz w:val="1"/>
                <w:szCs w:val="1"/>
                <w:color w:val="auto"/>
              </w:rPr>
            </w:pPr>
          </w:p>
        </w:tc>
      </w:tr>
      <w:tr>
        <w:trPr>
          <w:trHeight w:val="265"/>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 Acquisitions</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13-15 years</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537,531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(82,816)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454,715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537,531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(44,955)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492,576</w:t>
            </w:r>
          </w:p>
        </w:tc>
        <w:tc>
          <w:tcPr>
            <w:tcW w:w="0" w:type="dxa"/>
            <w:vAlign w:val="bottom"/>
          </w:tcPr>
          <w:p>
            <w:pPr>
              <w:spacing w:after="0"/>
              <w:rPr>
                <w:sz w:val="1"/>
                <w:szCs w:val="1"/>
                <w:color w:val="auto"/>
              </w:rPr>
            </w:pPr>
          </w:p>
        </w:tc>
      </w:tr>
      <w:tr>
        <w:trPr>
          <w:trHeight w:val="265"/>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Content and data –</w:t>
            </w: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Refinitiv Transaction</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7 years</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(137,857)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16,543</w:t>
            </w:r>
          </w:p>
        </w:tc>
        <w:tc>
          <w:tcPr>
            <w:tcW w:w="0" w:type="dxa"/>
            <w:vAlign w:val="bottom"/>
          </w:tcPr>
          <w:p>
            <w:pPr>
              <w:spacing w:after="0"/>
              <w:rPr>
                <w:sz w:val="1"/>
                <w:szCs w:val="1"/>
                <w:color w:val="auto"/>
              </w:rPr>
            </w:pPr>
          </w:p>
        </w:tc>
      </w:tr>
      <w:tr>
        <w:trPr>
          <w:trHeight w:val="205"/>
        </w:trPr>
        <w:tc>
          <w:tcPr>
            <w:tcW w:w="20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Tradename –</w:t>
            </w:r>
          </w:p>
        </w:tc>
        <w:tc>
          <w:tcPr>
            <w:tcW w:w="12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20"/>
                <w:szCs w:val="20"/>
                <w:color w:val="auto"/>
              </w:rPr>
              <w:t>4 years</w:t>
            </w: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4,492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(1,704)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2,788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4,492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3,911</w:t>
            </w:r>
          </w:p>
        </w:tc>
        <w:tc>
          <w:tcPr>
            <w:tcW w:w="0" w:type="dxa"/>
            <w:vAlign w:val="bottom"/>
          </w:tcPr>
          <w:p>
            <w:pPr>
              <w:spacing w:after="0"/>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Acquisitions</w:t>
            </w:r>
          </w:p>
        </w:tc>
        <w:tc>
          <w:tcPr>
            <w:tcW w:w="1200" w:type="dxa"/>
            <w:vAlign w:val="bottom"/>
            <w:gridSpan w:val="2"/>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1,624,623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(799,708)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824,915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1,624,623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(666,831)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957,792</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-1507490</wp:posOffset>
            </wp:positionV>
            <wp:extent cx="6654800" cy="15144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9">
                      <a:extLst>
                        <a:ext uri="{28A0092B-C50C-407E-A947-70E740481C1C}"/>
                      </a:extLst>
                    </a:blip>
                    <a:srcRect/>
                    <a:stretch>
                      <a:fillRect/>
                    </a:stretch>
                  </pic:blipFill>
                  <pic:spPr bwMode="auto">
                    <a:xfrm>
                      <a:off x="0" y="0"/>
                      <a:ext cx="6654800" cy="1514475"/>
                    </a:xfrm>
                    <a:prstGeom prst="rect">
                      <a:avLst/>
                    </a:prstGeom>
                    <a:noFill/>
                  </pic:spPr>
                </pic:pic>
              </a:graphicData>
            </a:graphic>
          </wp:anchor>
        </w:drawing>
      </w:r>
    </w:p>
    <w:p>
      <w:pPr>
        <w:spacing w:after="0" w:line="18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Amortization expense for definite-lived intangible assets during the years ended December 31, 2025, 2024 and 2023 was $132.9 million, $124.4 million and $108.3 million, respectively.</w:t>
      </w:r>
    </w:p>
    <w:p>
      <w:pPr>
        <w:spacing w:after="0" w:line="14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estimated annual future amortization for definite-lived intangible assets as of December 31, 2025 through December 31, 2030 is as follows: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8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116,334</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116,293</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115,795</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2029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115,211</w:t>
            </w:r>
          </w:p>
        </w:tc>
      </w:tr>
      <w:tr>
        <w:trPr>
          <w:trHeight w:val="285"/>
        </w:trPr>
        <w:tc>
          <w:tcPr>
            <w:tcW w:w="8360" w:type="dxa"/>
            <w:vAlign w:val="bottom"/>
          </w:tcPr>
          <w:p>
            <w:pPr>
              <w:jc w:val="right"/>
              <w:ind w:right="7860"/>
              <w:spacing w:after="0"/>
              <w:rPr>
                <w:sz w:val="20"/>
                <w:szCs w:val="20"/>
                <w:color w:val="auto"/>
              </w:rPr>
            </w:pPr>
            <w:r>
              <w:rPr>
                <w:rFonts w:ascii="Times New Roman" w:cs="Times New Roman" w:eastAsia="Times New Roman" w:hAnsi="Times New Roman"/>
                <w:sz w:val="20"/>
                <w:szCs w:val="20"/>
                <w:color w:val="auto"/>
                <w:w w:val="94"/>
              </w:rPr>
              <w:t>2030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6654800" cy="930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0">
                      <a:extLst>
                        <a:ext uri="{28A0092B-C50C-407E-A947-70E740481C1C}"/>
                      </a:extLst>
                    </a:blip>
                    <a:srcRect/>
                    <a:stretch>
                      <a:fillRect/>
                    </a:stretch>
                  </pic:blipFill>
                  <pic:spPr bwMode="auto">
                    <a:xfrm>
                      <a:off x="0" y="0"/>
                      <a:ext cx="6654800" cy="930275"/>
                    </a:xfrm>
                    <a:prstGeom prst="rect">
                      <a:avLst/>
                    </a:prstGeom>
                    <a:noFill/>
                  </pic:spPr>
                </pic:pic>
              </a:graphicData>
            </a:graphic>
          </wp:anchor>
        </w:drawing>
      </w:r>
    </w:p>
    <w:p>
      <w:pPr>
        <w:spacing w:after="0" w:line="224" w:lineRule="exact"/>
        <w:rPr>
          <w:sz w:val="20"/>
          <w:szCs w:val="20"/>
          <w:color w:val="auto"/>
        </w:rPr>
      </w:pPr>
    </w:p>
    <w:p>
      <w:pPr>
        <w:ind w:left="720" w:hanging="720"/>
        <w:spacing w:after="0"/>
        <w:tabs>
          <w:tab w:leader="none" w:pos="72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operating leases for corporate offices and data centers with initial lease terms ranging from one to 16 years.</w:t>
      </w:r>
    </w:p>
    <w:p>
      <w:pPr>
        <w:spacing w:after="0" w:line="21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In June 2024, the Company entered into a non-cancellable operating lease for its new corporate headquarters in New York City. The lease commenced in September 2025, with an initial lease term through May 2041 and either a five or a ten-year extension option available. The Company is not reasonably certain to exercise these options, and they are excluded from the lease term and measurement. Upon lease commencement, the Company recognized an operating lease right-of-use asset and corresponding lease liability of $92.9 million and $103.5 million, respectively, measured using an incremental borrowing rate of 5.3% determined based on a collateralized rate with a term commensurate with the lease term at the commencement date and recorded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$11.4 million in leasehold improvements. The Company’s prior New York City office lease expired on September 30, 2025.</w:t>
      </w:r>
    </w:p>
    <w:p>
      <w:pPr>
        <w:spacing w:after="0" w:line="17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0"/>
          <w:szCs w:val="20"/>
          <w:color w:val="auto"/>
        </w:rPr>
        <w:t>The following is a summary of lease right-of-use assets and lease liabilities related to operating leases as of December 31, 2025 and 2024:</w:t>
      </w:r>
    </w:p>
    <w:p>
      <w:pPr>
        <w:spacing w:after="0" w:line="215"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5010150</wp:posOffset>
                </wp:positionH>
                <wp:positionV relativeFrom="paragraph">
                  <wp:posOffset>26670</wp:posOffset>
                </wp:positionV>
                <wp:extent cx="161925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pt,2.1pt" to="522pt,2.1pt" o:allowincell="f" strokecolor="#000000" strokeweight="1pt"/>
            </w:pict>
          </mc:Fallback>
        </mc:AlternateContent>
      </w:r>
    </w:p>
    <w:p>
      <w:pPr>
        <w:spacing w:after="0" w:line="36" w:lineRule="exact"/>
        <w:rPr>
          <w:sz w:val="20"/>
          <w:szCs w:val="20"/>
          <w:color w:val="auto"/>
        </w:rPr>
      </w:pPr>
    </w:p>
    <w:p>
      <w:pPr>
        <w:jc w:val="both"/>
        <w:ind w:left="8360"/>
        <w:spacing w:after="0"/>
        <w:tabs>
          <w:tab w:leader="none" w:pos="96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5010150</wp:posOffset>
                </wp:positionH>
                <wp:positionV relativeFrom="paragraph">
                  <wp:posOffset>26670</wp:posOffset>
                </wp:positionV>
                <wp:extent cx="7905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pt,2.1pt" to="456.7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5838825</wp:posOffset>
                </wp:positionH>
                <wp:positionV relativeFrom="paragraph">
                  <wp:posOffset>26670</wp:posOffset>
                </wp:positionV>
                <wp:extent cx="79057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75pt,2.1pt" to="522pt,2.1pt" o:allowincell="f" strokecolor="#000000" strokeweight="1pt"/>
            </w:pict>
          </mc:Fallback>
        </mc:AlternateContent>
      </w:r>
    </w:p>
    <w:p>
      <w:pPr>
        <w:spacing w:after="0" w:line="96"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654800" cy="387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1">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123,065</w:t>
            </w:r>
          </w:p>
        </w:tc>
        <w:tc>
          <w:tcPr>
            <w:tcW w:w="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33,550</w:t>
            </w:r>
          </w:p>
        </w:tc>
      </w:tr>
      <w:tr>
        <w:trPr>
          <w:trHeight w:val="285"/>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139,168</w:t>
            </w:r>
          </w:p>
        </w:tc>
        <w:tc>
          <w:tcPr>
            <w:tcW w:w="4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35,748</w:t>
            </w:r>
          </w:p>
        </w:tc>
      </w:tr>
    </w:tbl>
    <w:p>
      <w:pPr>
        <w:spacing w:after="0" w:line="200" w:lineRule="exact"/>
        <w:rPr>
          <w:sz w:val="20"/>
          <w:szCs w:val="20"/>
          <w:color w:val="auto"/>
        </w:rPr>
      </w:pP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10440"/>
          </w:cols>
          <w:pgMar w:left="900" w:top="838" w:right="900" w:bottom="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color w:val="auto"/>
        </w:rPr>
        <w:t>Activity related to the Company’s leases for the years ended December 31, 2025, 2024 and 2023 is as follows: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4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40" w:type="dxa"/>
            <w:vAlign w:val="bottom"/>
          </w:tcPr>
          <w:p>
            <w:pPr>
              <w:spacing w:after="0"/>
              <w:rPr>
                <w:sz w:val="23"/>
                <w:szCs w:val="23"/>
                <w:color w:val="auto"/>
              </w:rPr>
            </w:pPr>
          </w:p>
        </w:tc>
      </w:tr>
      <w:tr>
        <w:trPr>
          <w:trHeight w:val="26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expense included as a component of occupancy expense on the</w:t>
            </w: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accompanying consolidated statements of income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11,768</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operating lease liability</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14,145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-518160</wp:posOffset>
            </wp:positionV>
            <wp:extent cx="6654800" cy="539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2">
                      <a:extLst>
                        <a:ext uri="{28A0092B-C50C-407E-A947-70E740481C1C}"/>
                      </a:extLst>
                    </a:blip>
                    <a:srcRect/>
                    <a:stretch>
                      <a:fillRect/>
                    </a:stretch>
                  </pic:blipFill>
                  <pic:spPr bwMode="auto">
                    <a:xfrm>
                      <a:off x="0" y="0"/>
                      <a:ext cx="6654800" cy="5397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and 2024, the weighted average borrowing rate and weighted average remaining lease term are as follows: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17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0" w:type="dxa"/>
            <w:vAlign w:val="bottom"/>
            <w:tcBorders>
              <w:bottom w:val="single" w:sz="8" w:color="auto"/>
            </w:tcBorders>
          </w:tcPr>
          <w:p>
            <w:pPr>
              <w:spacing w:after="0"/>
              <w:rPr>
                <w:sz w:val="18"/>
                <w:szCs w:val="18"/>
                <w:color w:val="auto"/>
              </w:rPr>
            </w:pPr>
          </w:p>
        </w:tc>
      </w:tr>
      <w:tr>
        <w:trPr>
          <w:trHeight w:val="220"/>
        </w:trPr>
        <w:tc>
          <w:tcPr>
            <w:tcW w:w="7840" w:type="dxa"/>
            <w:vAlign w:val="bottom"/>
          </w:tcPr>
          <w:p>
            <w:pPr>
              <w:spacing w:after="0"/>
              <w:rPr>
                <w:sz w:val="19"/>
                <w:szCs w:val="19"/>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322"/>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borrowing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4.9 %</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remaining lease term (years)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3">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future minimum lease payments and the maturity of lease liabilities as of December 31, 2025:</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4"/>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18,274</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22,349</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16,037</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14,160</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10,087</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114,053</w:t>
            </w:r>
          </w:p>
        </w:tc>
      </w:tr>
      <w:tr>
        <w:trPr>
          <w:trHeight w:val="262"/>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Total future lease payments</w:t>
            </w:r>
          </w:p>
        </w:tc>
        <w:tc>
          <w:tcPr>
            <w:tcW w:w="2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194,960</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(55,792)</w:t>
            </w:r>
          </w:p>
        </w:tc>
      </w:tr>
      <w:tr>
        <w:trPr>
          <w:trHeight w:val="24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139,168</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654800" cy="1666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4">
                      <a:extLst>
                        <a:ext uri="{28A0092B-C50C-407E-A947-70E740481C1C}"/>
                      </a:extLst>
                    </a:blip>
                    <a:srcRect/>
                    <a:stretch>
                      <a:fillRect/>
                    </a:stretch>
                  </pic:blipFill>
                  <pic:spPr bwMode="auto">
                    <a:xfrm>
                      <a:off x="0" y="0"/>
                      <a:ext cx="6654800" cy="1666875"/>
                    </a:xfrm>
                    <a:prstGeom prst="rect">
                      <a:avLst/>
                    </a:prstGeom>
                    <a:noFill/>
                  </pic:spPr>
                </pic:pic>
              </a:graphicData>
            </a:graphic>
          </wp:anchor>
        </w:drawing>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of both December 31, 2025 and 2024, one U.S. lease was secured by a $0.5 million letter of credit issued under the Company’s 2023 Revolving Credit Facility (as defined in Note 17 – Commitments and Contingencies).</w:t>
      </w:r>
    </w:p>
    <w:p>
      <w:pPr>
        <w:spacing w:after="0" w:line="134" w:lineRule="exact"/>
        <w:rPr>
          <w:sz w:val="20"/>
          <w:szCs w:val="20"/>
          <w:color w:val="auto"/>
        </w:rPr>
      </w:pPr>
    </w:p>
    <w:p>
      <w:pPr>
        <w:ind w:left="720" w:hanging="720"/>
        <w:spacing w:after="0"/>
        <w:tabs>
          <w:tab w:leader="none" w:pos="72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0"/>
          <w:szCs w:val="20"/>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and reporting of trades thereon, which are highly interrelated services. The stand-ready connection to the electronic marketplaces is considered a single performance obligation satisfied over time as the client simultaneously receives and consumes the benefit from the Company’s performance as access is provided. This performance obligation constitutes a series of services that are substantially the same in nature and are provided over time using the same measure of progress.</w:t>
      </w:r>
    </w:p>
    <w:p>
      <w:pPr>
        <w:spacing w:after="0" w:line="17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For its services, the Company may earn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w:t>
      </w:r>
    </w:p>
    <w:p>
      <w:pPr>
        <w:spacing w:after="0" w:line="15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The Company also earns transaction fees and/or commissions from transactions executed on the Company’s electronic marketplaces, including the basis point commissions earned on the monthly average daily balance (“ADB”) of money market fund investments made through its ICD Portal, and commission revenue from its electronic and voice brokerage services on a riskless principal basis. Riskless principal revenues are derived on matched principal transactions where revenues are earned on the spread between the buy and sell price of the transacted product.</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10440"/>
          </w:cols>
          <w:pgMar w:left="900" w:top="838" w:right="900" w:bottom="0" w:gutter="0" w:footer="0" w:header="0"/>
          <w:type w:val="continuous"/>
        </w:sectPr>
      </w:pPr>
    </w:p>
    <w:bookmarkStart w:id="140" w:name="page141"/>
    <w:bookmarkEnd w:id="140"/>
    <w:p>
      <w:pPr>
        <w:ind w:right="60"/>
        <w:spacing w:after="0" w:line="253" w:lineRule="auto"/>
        <w:rPr>
          <w:sz w:val="20"/>
          <w:szCs w:val="20"/>
          <w:color w:val="auto"/>
        </w:rPr>
      </w:pPr>
      <w:r>
        <w:rPr>
          <w:rFonts w:ascii="Times New Roman" w:cs="Times New Roman" w:eastAsia="Times New Roman" w:hAnsi="Times New Roman"/>
          <w:sz w:val="20"/>
          <w:szCs w:val="20"/>
          <w:color w:val="auto"/>
        </w:rPr>
        <w:t>Transaction fees and commissions are generated both on a variable and fixed price basis and vary by geographic region, product type and trade size. Fixed monthly transaction fees and commissions, or monthly transaction fees and commission minimums, are earned on a monthly basis in the period the stand-ready trading services are provided and are generally billed monthly. For variable transaction fees and commissions, the Company charges its clients amounts calculated based on the mix of products traded and the volume of transactions executed. Variable transaction fee and commission revenue associated with a particular trade is recognized and recorded on a trade-date basis when the individual trade occurs and is generally billed when the trade settles or is billed monthly. Variable commission revenue based upon a client’s ADB invested in money market funds during a calendar month is recorded monthly and the rates billed may vary by money market fund and by the total level of funds invested. Variable discounts or rebates on transaction fees and commissions are earned and applied monthly or quarterly, are generally resolved within the same reporting period and are recorded as a reduction to revenue in the period the relevant trades occur.</w:t>
      </w:r>
    </w:p>
    <w:p>
      <w:pPr>
        <w:spacing w:after="0" w:line="176"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20"/>
          <w:szCs w:val="20"/>
          <w:color w:val="auto"/>
        </w:rPr>
        <w:t>The Company also earns fees from an affiliate of LSEG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163" w:lineRule="exact"/>
        <w:rPr>
          <w:sz w:val="20"/>
          <w:szCs w:val="20"/>
          <w:color w:val="auto"/>
        </w:rPr>
      </w:pPr>
    </w:p>
    <w:p>
      <w:pPr>
        <w:ind w:right="1000"/>
        <w:spacing w:after="0" w:line="281" w:lineRule="auto"/>
        <w:rPr>
          <w:sz w:val="20"/>
          <w:szCs w:val="20"/>
          <w:color w:val="auto"/>
        </w:rPr>
      </w:pPr>
      <w:r>
        <w:rPr>
          <w:rFonts w:ascii="Times New Roman" w:cs="Times New Roman" w:eastAsia="Times New Roman" w:hAnsi="Times New Roman"/>
          <w:sz w:val="20"/>
          <w:szCs w:val="20"/>
          <w:color w:val="auto"/>
        </w:rPr>
        <w:t>Significant judgments used in accounting for the Company’s market data agreement with LSEG include the following determinations:</w:t>
      </w:r>
    </w:p>
    <w:p>
      <w:pPr>
        <w:spacing w:after="0" w:line="141" w:lineRule="exact"/>
        <w:rPr>
          <w:sz w:val="20"/>
          <w:szCs w:val="20"/>
          <w:color w:val="auto"/>
        </w:rPr>
      </w:pPr>
    </w:p>
    <w:p>
      <w:pPr>
        <w:ind w:left="720" w:hanging="360"/>
        <w:spacing w:after="0"/>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real-time market data feeds and historical data sets are distinct performance obligations.</w:t>
      </w:r>
    </w:p>
    <w:p>
      <w:pPr>
        <w:spacing w:after="0" w:line="210" w:lineRule="exact"/>
        <w:rPr>
          <w:rFonts w:ascii="Times New Roman" w:cs="Times New Roman" w:eastAsia="Times New Roman" w:hAnsi="Times New Roman"/>
          <w:sz w:val="20"/>
          <w:szCs w:val="20"/>
          <w:color w:val="auto"/>
        </w:rPr>
      </w:pPr>
    </w:p>
    <w:p>
      <w:pPr>
        <w:ind w:left="720" w:right="120" w:hanging="360"/>
        <w:spacing w:after="0" w:line="281" w:lineRule="auto"/>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obligations under this contract are recognized over time from the initial delivery of the data feeds until the end of the contract term or at a point in time upon delivery of each historical data set.</w:t>
      </w:r>
    </w:p>
    <w:p>
      <w:pPr>
        <w:spacing w:after="0" w:line="141" w:lineRule="exact"/>
        <w:rPr>
          <w:rFonts w:ascii="Times New Roman" w:cs="Times New Roman" w:eastAsia="Times New Roman" w:hAnsi="Times New Roman"/>
          <w:sz w:val="20"/>
          <w:szCs w:val="20"/>
          <w:color w:val="auto"/>
        </w:rPr>
      </w:pPr>
    </w:p>
    <w:p>
      <w:pPr>
        <w:ind w:left="720" w:right="20" w:hanging="360"/>
        <w:spacing w:after="0" w:line="260" w:lineRule="auto"/>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 xml:space="preserve">The Company also earns revenue for performing services as a Super Validator and Validator on the Canton Network, (collectively, “Validator Revenue”), included as a component of other revenue on the consolidated statements of income. As a Super Validator and Validator, the Company verifies network transactions and contributes to the consensus mechanism of the network. For these services, the Company earns Canton Coins and the number of Canton Coins earned in a particular period is variable based on the Canton Network’s minting curve and burn-mint equilibrium and the amount of time that the Company’s nodes are active during any given minting cycle (with new rounds beginning at regular 10 minute intervals throughout each day), in comparison to other network participants. Since the Canton Network is not an entity, it may not meet the definition of a customer in accordance with ASC 606,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 xml:space="preserve"> (“ASC 606”)</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As a result, the Company has determined that, in the absence of a contract with a customer, it applies ASC 606, ‘by analogy’ to its Validator Revenue, considering the Canton Network’s protocol as a contract-like arrangement. Each block creation or validation round is considered a separate performance obligation and the Validator Revenue is recognized at the point in time when the validation round is complete and the Canton Coins are transferred into the Company’s digital wallet at the end of the round. Validator Revenue is recognized based on the fair value of each Canton Coin at contract inception, which has been deemed to be the start of each validation round, and therefore Validator Revenue will also vary based on any changes in the fair value of the Canton Coin, which may be highly volatile.</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10440"/>
          </w:cols>
          <w:pgMar w:left="900" w:top="838" w:right="900" w:bottom="0" w:gutter="0" w:footer="0" w:header="0"/>
          <w:type w:val="continuous"/>
        </w:sectPr>
      </w:pPr>
    </w:p>
    <w:bookmarkStart w:id="141" w:name="page142"/>
    <w:bookmarkEnd w:id="141"/>
    <w:p>
      <w:pPr>
        <w:ind w:right="320"/>
        <w:spacing w:after="0" w:line="266" w:lineRule="auto"/>
        <w:rPr>
          <w:sz w:val="20"/>
          <w:szCs w:val="20"/>
          <w:color w:val="auto"/>
        </w:rPr>
      </w:pPr>
      <w:r>
        <w:rPr>
          <w:rFonts w:ascii="Times New Roman" w:cs="Times New Roman" w:eastAsia="Times New Roman" w:hAnsi="Times New Roman"/>
          <w:sz w:val="20"/>
          <w:szCs w:val="20"/>
          <w:color w:val="auto"/>
        </w:rPr>
        <w:t>Some revenues earned by the Company have fixed fee components, such as monthly minimums or fixed monthly fees, and variable components, such as transaction-based fees and commissions. The breakdown of revenues between fixed and variable revenues for the years ended December 31, 2025, 2024 and 2023 is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48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74"/>
        </w:trPr>
        <w:tc>
          <w:tcPr>
            <w:tcW w:w="2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20" w:type="dxa"/>
            <w:vAlign w:val="bottom"/>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w w:val="99"/>
              </w:rPr>
              <w:t>Fixed</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Transaction fees and</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1,509,405</w:t>
            </w: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191,022</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1,274,636</w:t>
            </w:r>
          </w:p>
        </w:tc>
        <w:tc>
          <w:tcPr>
            <w:tcW w:w="4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148,911</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930,247</w:t>
            </w: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148,097</w:t>
            </w:r>
          </w:p>
        </w:tc>
        <w:tc>
          <w:tcPr>
            <w:tcW w:w="0" w:type="dxa"/>
            <w:vAlign w:val="bottom"/>
          </w:tcPr>
          <w:p>
            <w:pPr>
              <w:spacing w:after="0"/>
              <w:rPr>
                <w:sz w:val="1"/>
                <w:szCs w:val="1"/>
                <w:color w:val="auto"/>
              </w:rPr>
            </w:pPr>
          </w:p>
        </w:tc>
      </w:tr>
      <w:tr>
        <w:trPr>
          <w:trHeight w:val="261"/>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commissions</w:t>
            </w:r>
          </w:p>
        </w:tc>
        <w:tc>
          <w:tcPr>
            <w:tcW w:w="22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Subscription fees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232,180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204,897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182,117</w:t>
            </w:r>
          </w:p>
        </w:tc>
        <w:tc>
          <w:tcPr>
            <w:tcW w:w="0" w:type="dxa"/>
            <w:vAlign w:val="bottom"/>
          </w:tcPr>
          <w:p>
            <w:pPr>
              <w:spacing w:after="0"/>
              <w:rPr>
                <w:sz w:val="1"/>
                <w:szCs w:val="1"/>
                <w:color w:val="auto"/>
              </w:rPr>
            </w:pPr>
          </w:p>
        </w:tc>
      </w:tr>
      <w:tr>
        <w:trPr>
          <w:trHeight w:val="28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LSEG market data fees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93,197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82,145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64,336</w:t>
            </w:r>
          </w:p>
        </w:tc>
        <w:tc>
          <w:tcPr>
            <w:tcW w:w="0" w:type="dxa"/>
            <w:vAlign w:val="bottom"/>
          </w:tcPr>
          <w:p>
            <w:pPr>
              <w:spacing w:after="0"/>
              <w:rPr>
                <w:sz w:val="1"/>
                <w:szCs w:val="1"/>
                <w:color w:val="auto"/>
              </w:rPr>
            </w:pPr>
          </w:p>
        </w:tc>
      </w:tr>
      <w:tr>
        <w:trPr>
          <w:trHeight w:val="288"/>
        </w:trPr>
        <w:tc>
          <w:tcPr>
            <w:tcW w:w="262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6"/>
                <w:szCs w:val="26"/>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13,170</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11,618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11,232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1,112</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10,455</w:t>
            </w:r>
          </w:p>
        </w:tc>
        <w:tc>
          <w:tcPr>
            <w:tcW w:w="0" w:type="dxa"/>
            <w:vAlign w:val="bottom"/>
          </w:tcPr>
          <w:p>
            <w:pPr>
              <w:spacing w:after="0"/>
              <w:rPr>
                <w:sz w:val="1"/>
                <w:szCs w:val="1"/>
                <w:color w:val="auto"/>
              </w:rPr>
            </w:pPr>
          </w:p>
        </w:tc>
      </w:tr>
      <w:tr>
        <w:trPr>
          <w:trHeight w:val="24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1,524,412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528,017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1,278,764</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447,185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933,214</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405,005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-1231265</wp:posOffset>
            </wp:positionV>
            <wp:extent cx="6654800" cy="12382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5">
                      <a:extLst>
                        <a:ext uri="{28A0092B-C50C-407E-A947-70E740481C1C}"/>
                      </a:extLst>
                    </a:blip>
                    <a:srcRect/>
                    <a:stretch>
                      <a:fillRect/>
                    </a:stretch>
                  </pic:blipFill>
                  <pic:spPr bwMode="auto">
                    <a:xfrm>
                      <a:off x="0" y="0"/>
                      <a:ext cx="6654800" cy="1238250"/>
                    </a:xfrm>
                    <a:prstGeom prst="rect">
                      <a:avLst/>
                    </a:prstGeom>
                    <a:noFill/>
                  </pic:spPr>
                </pic:pic>
              </a:graphicData>
            </a:graphic>
          </wp:anchor>
        </w:drawing>
      </w:r>
    </w:p>
    <w:p>
      <w:pPr>
        <w:spacing w:after="0" w:line="100" w:lineRule="exact"/>
        <w:rPr>
          <w:sz w:val="20"/>
          <w:szCs w:val="20"/>
          <w:color w:val="auto"/>
        </w:rPr>
      </w:pPr>
    </w:p>
    <w:p>
      <w:pPr>
        <w:ind w:left="360" w:right="60" w:hanging="360"/>
        <w:spacing w:after="0" w:line="282" w:lineRule="auto"/>
        <w:tabs>
          <w:tab w:leader="none" w:pos="3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Validator Revenue totaling $10.9 million, $0.7 million and none for the years ended December 31, 2025, 2024 and 2023, respectively. The Company applies ASC 606 by analogy to its Validator Revenue.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214"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20"/>
          <w:szCs w:val="20"/>
          <w:color w:val="auto"/>
        </w:rPr>
        <w:t>Fees received by the Company which are not yet earned are included in deferred revenue on the consolidated statements of financial condition until the revenue recognition criteria have been met. The revenue recognized and the remaining deferred revenue balances are shown below:</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74"/>
        </w:trPr>
        <w:tc>
          <w:tcPr>
            <w:tcW w:w="8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balance – December 31, 2024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30,800</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New billings</w:t>
            </w: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192,781</w:t>
            </w:r>
          </w:p>
        </w:tc>
      </w:tr>
      <w:tr>
        <w:trPr>
          <w:trHeight w:val="28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w:t>
            </w: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(194,820)</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Effect of foreign currency exchange rate changes</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w:t>
            </w:r>
          </w:p>
        </w:tc>
      </w:tr>
      <w:tr>
        <w:trPr>
          <w:trHeight w:val="24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balance – December 31, 2025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29,030</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654800" cy="942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6">
                      <a:extLst>
                        <a:ext uri="{28A0092B-C50C-407E-A947-70E740481C1C}"/>
                      </a:extLst>
                    </a:blip>
                    <a:srcRect/>
                    <a:stretch>
                      <a:fillRect/>
                    </a:stretch>
                  </pic:blipFill>
                  <pic:spPr bwMode="auto">
                    <a:xfrm>
                      <a:off x="0" y="0"/>
                      <a:ext cx="6654800" cy="942975"/>
                    </a:xfrm>
                    <a:prstGeom prst="rect">
                      <a:avLst/>
                    </a:prstGeom>
                    <a:noFill/>
                  </pic:spPr>
                </pic:pic>
              </a:graphicData>
            </a:graphic>
          </wp:anchor>
        </w:drawing>
      </w:r>
    </w:p>
    <w:p>
      <w:pPr>
        <w:spacing w:after="0" w:line="18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2025, the Company recognized into revenue $30.8 million in deferred revenue that was deferred as of December 31, 2024. During the year ended December 31, 2024, the Company recognized into revenue $25.7 million in deferred revenue that was deferred as of December 31, 2023.</w:t>
      </w:r>
    </w:p>
    <w:p>
      <w:pPr>
        <w:spacing w:after="0" w:line="148" w:lineRule="exact"/>
        <w:rPr>
          <w:sz w:val="20"/>
          <w:szCs w:val="20"/>
          <w:color w:val="auto"/>
        </w:rPr>
      </w:pPr>
    </w:p>
    <w:p>
      <w:pPr>
        <w:ind w:left="720" w:hanging="720"/>
        <w:spacing w:after="0"/>
        <w:tabs>
          <w:tab w:leader="none" w:pos="72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1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9"/>
          <w:szCs w:val="19"/>
          <w:color w:val="auto"/>
        </w:rPr>
        <w:t>The Corporation is subject to U.S. federal, state and local income taxes with respect to its taxable income, including its allocable share of any taxable income of TWM LLC, and is taxed at prevailing corporate tax rates. The Company’s actual effective tax rate is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also varies from period to period depending on changes in the mix of earnings, tax legislation and tax rates in various jurisdictions. The Company’s provision for income taxes includes U.S., federal, state, local and foreign taxes.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income before taxes were attributable to the following regions: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40" w:type="dxa"/>
            <w:vAlign w:val="bottom"/>
          </w:tcPr>
          <w:p>
            <w:pPr>
              <w:spacing w:after="0"/>
              <w:rPr>
                <w:sz w:val="23"/>
                <w:szCs w:val="23"/>
                <w:color w:val="auto"/>
              </w:rPr>
            </w:pP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1,137,412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720,570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533,677</w:t>
            </w: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37,562</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33,832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14,303</w:t>
            </w: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taxes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1,174,974</w:t>
            </w: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754,402</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547,980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654800" cy="5810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7">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10440"/>
          </w:cols>
          <w:pgMar w:left="900" w:top="838" w:right="900" w:bottom="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color w:val="auto"/>
        </w:rPr>
        <w:t>The provision for income taxes consists of the following:</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4"/>
        </w:trPr>
        <w:tc>
          <w:tcPr>
            <w:tcW w:w="6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Federal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103,039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95,266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15,168</w:t>
            </w:r>
          </w:p>
        </w:tc>
        <w:tc>
          <w:tcPr>
            <w:tcW w:w="0" w:type="dxa"/>
            <w:vAlign w:val="bottom"/>
          </w:tcPr>
          <w:p>
            <w:pPr>
              <w:spacing w:after="0"/>
              <w:rPr>
                <w:sz w:val="1"/>
                <w:szCs w:val="1"/>
                <w:color w:val="auto"/>
              </w:rPr>
            </w:pP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State and local</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45,679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20,748</w:t>
            </w:r>
          </w:p>
        </w:tc>
        <w:tc>
          <w:tcPr>
            <w:tcW w:w="0" w:type="dxa"/>
            <w:vAlign w:val="bottom"/>
          </w:tcPr>
          <w:p>
            <w:pPr>
              <w:spacing w:after="0"/>
              <w:rPr>
                <w:sz w:val="1"/>
                <w:szCs w:val="1"/>
                <w:color w:val="auto"/>
              </w:rPr>
            </w:pPr>
          </w:p>
        </w:tc>
      </w:tr>
      <w:tr>
        <w:trPr>
          <w:trHeight w:val="288"/>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12,438</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14,406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2,665</w:t>
            </w:r>
          </w:p>
        </w:tc>
        <w:tc>
          <w:tcPr>
            <w:tcW w:w="0" w:type="dxa"/>
            <w:vAlign w:val="bottom"/>
          </w:tcPr>
          <w:p>
            <w:pPr>
              <w:spacing w:after="0"/>
              <w:rPr>
                <w:sz w:val="1"/>
                <w:szCs w:val="1"/>
                <w:color w:val="auto"/>
              </w:rPr>
            </w:pP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tax expense</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161,156</w:t>
            </w: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152,125</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38,581</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w:t>
            </w: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Federal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69,265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79,264</w:t>
            </w:r>
          </w:p>
        </w:tc>
        <w:tc>
          <w:tcPr>
            <w:tcW w:w="0" w:type="dxa"/>
            <w:vAlign w:val="bottom"/>
          </w:tcPr>
          <w:p>
            <w:pPr>
              <w:spacing w:after="0"/>
              <w:rPr>
                <w:sz w:val="1"/>
                <w:szCs w:val="1"/>
                <w:color w:val="auto"/>
              </w:rPr>
            </w:pP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State and local</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24,902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9,707</w:t>
            </w:r>
          </w:p>
        </w:tc>
        <w:tc>
          <w:tcPr>
            <w:tcW w:w="0" w:type="dxa"/>
            <w:vAlign w:val="bottom"/>
          </w:tcPr>
          <w:p>
            <w:pPr>
              <w:spacing w:after="0"/>
              <w:rPr>
                <w:sz w:val="1"/>
                <w:szCs w:val="1"/>
                <w:color w:val="auto"/>
              </w:rPr>
            </w:pPr>
          </w:p>
        </w:tc>
      </w:tr>
      <w:tr>
        <w:trPr>
          <w:trHeight w:val="288"/>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(1,849)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925</w:t>
            </w:r>
          </w:p>
        </w:tc>
        <w:tc>
          <w:tcPr>
            <w:tcW w:w="0" w:type="dxa"/>
            <w:vAlign w:val="bottom"/>
          </w:tcPr>
          <w:p>
            <w:pPr>
              <w:spacing w:after="0"/>
              <w:rPr>
                <w:sz w:val="1"/>
                <w:szCs w:val="1"/>
                <w:color w:val="auto"/>
              </w:rPr>
            </w:pP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expense</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92,318</w:t>
            </w: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32,314</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89,896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federal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Current and deferred tax expense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172,304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115,491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94,432</w:t>
            </w:r>
          </w:p>
        </w:tc>
        <w:tc>
          <w:tcPr>
            <w:tcW w:w="0" w:type="dxa"/>
            <w:vAlign w:val="bottom"/>
          </w:tcPr>
          <w:p>
            <w:pPr>
              <w:spacing w:after="0"/>
              <w:rPr>
                <w:sz w:val="1"/>
                <w:szCs w:val="1"/>
                <w:color w:val="auto"/>
              </w:rPr>
            </w:pP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state and local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Current and deferred tax expense</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70,581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30,455</w:t>
            </w:r>
          </w:p>
        </w:tc>
        <w:tc>
          <w:tcPr>
            <w:tcW w:w="0" w:type="dxa"/>
            <w:vAlign w:val="bottom"/>
          </w:tcPr>
          <w:p>
            <w:pPr>
              <w:spacing w:after="0"/>
              <w:rPr>
                <w:sz w:val="1"/>
                <w:szCs w:val="1"/>
                <w:color w:val="auto"/>
              </w:rPr>
            </w:pP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foreign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Current and deferred tax expense</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10,589</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16,643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3,590</w:t>
            </w:r>
          </w:p>
        </w:tc>
        <w:tc>
          <w:tcPr>
            <w:tcW w:w="0" w:type="dxa"/>
            <w:vAlign w:val="bottom"/>
          </w:tcPr>
          <w:p>
            <w:pPr>
              <w:spacing w:after="0"/>
              <w:rPr>
                <w:sz w:val="1"/>
                <w:szCs w:val="1"/>
                <w:color w:val="auto"/>
              </w:rPr>
            </w:pPr>
          </w:p>
        </w:tc>
      </w:tr>
      <w:tr>
        <w:trPr>
          <w:trHeight w:val="245"/>
        </w:trPr>
        <w:tc>
          <w:tcPr>
            <w:tcW w:w="6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provision for income taxes</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253,474</w:t>
            </w: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184,439</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128,477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-2926715</wp:posOffset>
            </wp:positionV>
            <wp:extent cx="6654800" cy="2933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8">
                      <a:extLst>
                        <a:ext uri="{28A0092B-C50C-407E-A947-70E740481C1C}"/>
                      </a:extLst>
                    </a:blip>
                    <a:srcRect/>
                    <a:stretch>
                      <a:fillRect/>
                    </a:stretch>
                  </pic:blipFill>
                  <pic:spPr bwMode="auto">
                    <a:xfrm>
                      <a:off x="0" y="0"/>
                      <a:ext cx="6654800" cy="293370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U.S. federal statutory tax rate to the effective rate using both dollars and percentages is as follows: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left="28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6"/>
        </w:trPr>
        <w:tc>
          <w:tcPr>
            <w:tcW w:w="4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20"/>
        </w:trPr>
        <w:tc>
          <w:tcPr>
            <w:tcW w:w="40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30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9"/>
                <w:szCs w:val="19"/>
                <w:color w:val="auto"/>
              </w:rPr>
            </w:pPr>
          </w:p>
        </w:tc>
      </w:tr>
      <w:tr>
        <w:trPr>
          <w:trHeight w:val="274"/>
        </w:trPr>
        <w:tc>
          <w:tcPr>
            <w:tcW w:w="4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88"/>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Statutory U.S. federal tax rate</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246,745</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05"/>
              <w:spacing w:after="0"/>
              <w:rPr>
                <w:sz w:val="20"/>
                <w:szCs w:val="20"/>
                <w:color w:val="auto"/>
              </w:rPr>
            </w:pPr>
            <w:r>
              <w:rPr>
                <w:rFonts w:ascii="Times New Roman" w:cs="Times New Roman" w:eastAsia="Times New Roman" w:hAnsi="Times New Roman"/>
                <w:sz w:val="20"/>
                <w:szCs w:val="20"/>
                <w:color w:val="auto"/>
              </w:rPr>
              <w:t>158,424</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115,076</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28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Effect of cross-border tax laws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5"/>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Foreign-derived intangible income</w:t>
            </w:r>
          </w:p>
        </w:tc>
        <w:tc>
          <w:tcPr>
            <w:tcW w:w="34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(19,137)</w:t>
            </w: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(7,300)</w:t>
            </w: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(3,175)</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(0.6)</w:t>
            </w:r>
          </w:p>
        </w:tc>
      </w:tr>
      <w:tr>
        <w:trPr>
          <w:trHeight w:val="285"/>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205"/>
              <w:spacing w:after="0"/>
              <w:rPr>
                <w:sz w:val="20"/>
                <w:szCs w:val="20"/>
                <w:color w:val="auto"/>
              </w:rPr>
            </w:pPr>
            <w:r>
              <w:rPr>
                <w:rFonts w:ascii="Times New Roman" w:cs="Times New Roman" w:eastAsia="Times New Roman" w:hAnsi="Times New Roman"/>
                <w:sz w:val="20"/>
                <w:szCs w:val="20"/>
                <w:color w:val="auto"/>
              </w:rPr>
              <w:t>7</w:t>
            </w: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2,505</w:t>
            </w: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0.5</w:t>
            </w:r>
          </w:p>
        </w:tc>
      </w:tr>
      <w:tr>
        <w:trPr>
          <w:trHeight w:val="28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5"/>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(7,869)</w:t>
            </w: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(7,421)</w:t>
            </w: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(2,727)</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(0.5)</w:t>
            </w:r>
          </w:p>
        </w:tc>
      </w:tr>
      <w:tr>
        <w:trPr>
          <w:trHeight w:val="28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85"/>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Non-controlling Interest</w:t>
            </w:r>
          </w:p>
        </w:tc>
        <w:tc>
          <w:tcPr>
            <w:tcW w:w="34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(21,368)</w:t>
            </w: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(13,056)</w:t>
            </w: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(10,452)</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(1.9)</w:t>
            </w:r>
          </w:p>
        </w:tc>
      </w:tr>
      <w:tr>
        <w:trPr>
          <w:trHeight w:val="285"/>
        </w:trPr>
        <w:tc>
          <w:tcPr>
            <w:tcW w:w="4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1,355</w:t>
            </w: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(624)</w:t>
            </w: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3,526</w:t>
            </w: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0.6</w:t>
            </w:r>
          </w:p>
        </w:tc>
      </w:tr>
      <w:tr>
        <w:trPr>
          <w:trHeight w:val="28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(6,648)</w:t>
            </w: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(0.6)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(1,436)</w:t>
            </w: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rPr>
              <w:t>(2,525)</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(0.4)</w:t>
            </w:r>
          </w:p>
        </w:tc>
      </w:tr>
      <w:tr>
        <w:trPr>
          <w:trHeight w:val="26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taxes, net of federal</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85"/>
        </w:trPr>
        <w:tc>
          <w:tcPr>
            <w:tcW w:w="400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income tax effect </w:t>
            </w:r>
            <w:r>
              <w:rPr>
                <w:rFonts w:ascii="Times New Roman" w:cs="Times New Roman" w:eastAsia="Times New Roman" w:hAnsi="Times New Roman"/>
                <w:sz w:val="26"/>
                <w:szCs w:val="26"/>
                <w:color w:val="auto"/>
                <w:vertAlign w:val="superscript"/>
              </w:rPr>
              <w:t>(1)</w:t>
            </w:r>
          </w:p>
        </w:tc>
        <w:tc>
          <w:tcPr>
            <w:tcW w:w="34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45,449</w:t>
            </w: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205"/>
              <w:spacing w:after="0"/>
              <w:rPr>
                <w:sz w:val="20"/>
                <w:szCs w:val="20"/>
                <w:color w:val="auto"/>
              </w:rPr>
            </w:pPr>
            <w:r>
              <w:rPr>
                <w:rFonts w:ascii="Times New Roman" w:cs="Times New Roman" w:eastAsia="Times New Roman" w:hAnsi="Times New Roman"/>
                <w:sz w:val="20"/>
                <w:szCs w:val="20"/>
                <w:color w:val="auto"/>
              </w:rPr>
              <w:t>37,033</w:t>
            </w: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22,821</w:t>
            </w: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4.0</w:t>
            </w:r>
          </w:p>
        </w:tc>
      </w:tr>
      <w:tr>
        <w:trPr>
          <w:trHeight w:val="26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340" w:type="dxa"/>
            <w:vAlign w:val="bottom"/>
          </w:tcPr>
          <w:p>
            <w:pPr>
              <w:spacing w:after="0"/>
              <w:rPr>
                <w:sz w:val="22"/>
                <w:szCs w:val="22"/>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2,770</w:t>
            </w: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05"/>
              <w:spacing w:after="0"/>
              <w:rPr>
                <w:sz w:val="20"/>
                <w:szCs w:val="20"/>
                <w:color w:val="auto"/>
              </w:rPr>
            </w:pPr>
            <w:r>
              <w:rPr>
                <w:rFonts w:ascii="Times New Roman" w:cs="Times New Roman" w:eastAsia="Times New Roman" w:hAnsi="Times New Roman"/>
                <w:sz w:val="20"/>
                <w:szCs w:val="20"/>
                <w:color w:val="auto"/>
              </w:rPr>
              <w:t>9,605</w:t>
            </w: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627</w:t>
            </w: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0.1</w:t>
            </w:r>
          </w:p>
        </w:tc>
      </w:tr>
      <w:tr>
        <w:trPr>
          <w:trHeight w:val="288"/>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12,177</w:t>
            </w:r>
          </w:p>
        </w:tc>
        <w:tc>
          <w:tcPr>
            <w:tcW w:w="7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20"/>
                <w:szCs w:val="20"/>
                <w:color w:val="auto"/>
              </w:rPr>
              <w:t>9,207</w:t>
            </w: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2,801</w:t>
            </w:r>
          </w:p>
        </w:tc>
        <w:tc>
          <w:tcPr>
            <w:tcW w:w="7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0.6</w:t>
            </w:r>
          </w:p>
        </w:tc>
      </w:tr>
      <w:tr>
        <w:trPr>
          <w:trHeight w:val="24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253,474</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21.6 %</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05"/>
              <w:spacing w:after="0"/>
              <w:rPr>
                <w:sz w:val="20"/>
                <w:szCs w:val="20"/>
                <w:color w:val="auto"/>
              </w:rPr>
            </w:pPr>
            <w:r>
              <w:rPr>
                <w:rFonts w:ascii="Times New Roman" w:cs="Times New Roman" w:eastAsia="Times New Roman" w:hAnsi="Times New Roman"/>
                <w:sz w:val="20"/>
                <w:szCs w:val="20"/>
                <w:color w:val="auto"/>
              </w:rPr>
              <w:t>184,439</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128,477</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23.4 %</w:t>
            </w:r>
          </w:p>
        </w:tc>
      </w:tr>
      <w:tr>
        <w:trPr>
          <w:trHeight w:val="20"/>
        </w:trPr>
        <w:tc>
          <w:tcPr>
            <w:tcW w:w="4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-2717165</wp:posOffset>
            </wp:positionV>
            <wp:extent cx="6654800" cy="27241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9">
                      <a:extLst>
                        <a:ext uri="{28A0092B-C50C-407E-A947-70E740481C1C}"/>
                      </a:extLst>
                    </a:blip>
                    <a:srcRect/>
                    <a:stretch>
                      <a:fillRect/>
                    </a:stretch>
                  </pic:blipFill>
                  <pic:spPr bwMode="auto">
                    <a:xfrm>
                      <a:off x="0" y="0"/>
                      <a:ext cx="6654800" cy="2724150"/>
                    </a:xfrm>
                    <a:prstGeom prst="rect">
                      <a:avLst/>
                    </a:prstGeom>
                    <a:noFill/>
                  </pic:spPr>
                </pic:pic>
              </a:graphicData>
            </a:graphic>
          </wp:anchor>
        </w:drawing>
      </w:r>
    </w:p>
    <w:p>
      <w:pPr>
        <w:spacing w:after="0" w:line="100" w:lineRule="exact"/>
        <w:rPr>
          <w:sz w:val="20"/>
          <w:szCs w:val="20"/>
          <w:color w:val="auto"/>
        </w:rPr>
      </w:pPr>
    </w:p>
    <w:p>
      <w:pPr>
        <w:ind w:left="360" w:hanging="360"/>
        <w:spacing w:after="0"/>
        <w:tabs>
          <w:tab w:leader="none" w:pos="3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taxes in New York and California made up the majority (greater than 50%) of the tax effect in this category.</w:t>
      </w:r>
    </w:p>
    <w:p>
      <w:pPr>
        <w:spacing w:after="0" w:line="22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The effective tax rate for the year ended December 31, 2025 was approximately 21.6%, compared with 24.4% for the year ended December 31, 2024 and 23.4% for the year ended December 31, 2023. The effective tax rate for the years ended December 31, 2025, 2024 and 2023 differed from the U.S. federal statutory rate of 21.0% primarily due to state and local taxes net of the benefit related to the effect of non-controlling interests and foreign-derived intangible income.</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10440"/>
          </w:cols>
          <w:pgMar w:left="900" w:top="838" w:right="900" w:bottom="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color w:val="auto"/>
        </w:rPr>
        <w:t>The components of the Company’s net deferred tax asset (liability) are as follows: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74"/>
        </w:trPr>
        <w:tc>
          <w:tcPr>
            <w:tcW w:w="7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gridSpan w:val="4"/>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 partnership</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414,967</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516,665</w:t>
            </w:r>
          </w:p>
        </w:tc>
        <w:tc>
          <w:tcPr>
            <w:tcW w:w="0" w:type="dxa"/>
            <w:vAlign w:val="bottom"/>
          </w:tcPr>
          <w:p>
            <w:pPr>
              <w:spacing w:after="0"/>
              <w:rPr>
                <w:sz w:val="1"/>
                <w:szCs w:val="1"/>
                <w:color w:val="auto"/>
              </w:rPr>
            </w:pPr>
          </w:p>
        </w:tc>
      </w:tr>
      <w:tr>
        <w:trPr>
          <w:trHeight w:val="285"/>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operating losses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2,311</w:t>
            </w:r>
          </w:p>
        </w:tc>
        <w:tc>
          <w:tcPr>
            <w:tcW w:w="0" w:type="dxa"/>
            <w:vAlign w:val="bottom"/>
          </w:tcPr>
          <w:p>
            <w:pPr>
              <w:spacing w:after="0"/>
              <w:rPr>
                <w:sz w:val="1"/>
                <w:szCs w:val="1"/>
                <w:color w:val="auto"/>
              </w:rPr>
            </w:pPr>
          </w:p>
        </w:tc>
      </w:tr>
      <w:tr>
        <w:trPr>
          <w:trHeight w:val="285"/>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 Receivable Agreement – Interest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15,167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16,939</w:t>
            </w:r>
          </w:p>
        </w:tc>
        <w:tc>
          <w:tcPr>
            <w:tcW w:w="0" w:type="dxa"/>
            <w:vAlign w:val="bottom"/>
          </w:tcPr>
          <w:p>
            <w:pPr>
              <w:spacing w:after="0"/>
              <w:rPr>
                <w:sz w:val="1"/>
                <w:szCs w:val="1"/>
                <w:color w:val="auto"/>
              </w:rPr>
            </w:pPr>
          </w:p>
        </w:tc>
      </w:tr>
      <w:tr>
        <w:trPr>
          <w:trHeight w:val="285"/>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Employee compensation</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106,907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74,465</w:t>
            </w:r>
          </w:p>
        </w:tc>
        <w:tc>
          <w:tcPr>
            <w:tcW w:w="0" w:type="dxa"/>
            <w:vAlign w:val="bottom"/>
          </w:tcPr>
          <w:p>
            <w:pPr>
              <w:spacing w:after="0"/>
              <w:rPr>
                <w:sz w:val="1"/>
                <w:szCs w:val="1"/>
                <w:color w:val="auto"/>
              </w:rPr>
            </w:pPr>
          </w:p>
        </w:tc>
      </w:tr>
      <w:tr>
        <w:trPr>
          <w:trHeight w:val="285"/>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Transferable tax credits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23,857</w:t>
            </w:r>
          </w:p>
        </w:tc>
        <w:tc>
          <w:tcPr>
            <w:tcW w:w="0" w:type="dxa"/>
            <w:vAlign w:val="bottom"/>
          </w:tcPr>
          <w:p>
            <w:pPr>
              <w:spacing w:after="0"/>
              <w:rPr>
                <w:sz w:val="1"/>
                <w:szCs w:val="1"/>
                <w:color w:val="auto"/>
              </w:rPr>
            </w:pPr>
          </w:p>
        </w:tc>
      </w:tr>
      <w:tr>
        <w:trPr>
          <w:trHeight w:val="285"/>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tax credits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4,743</w:t>
            </w:r>
          </w:p>
        </w:tc>
        <w:tc>
          <w:tcPr>
            <w:tcW w:w="0" w:type="dxa"/>
            <w:vAlign w:val="bottom"/>
          </w:tcPr>
          <w:p>
            <w:pPr>
              <w:spacing w:after="0"/>
              <w:rPr>
                <w:sz w:val="1"/>
                <w:szCs w:val="1"/>
                <w:color w:val="auto"/>
              </w:rPr>
            </w:pPr>
          </w:p>
        </w:tc>
      </w:tr>
      <w:tr>
        <w:trPr>
          <w:trHeight w:val="288"/>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5,950</w:t>
            </w:r>
          </w:p>
        </w:tc>
        <w:tc>
          <w:tcPr>
            <w:tcW w:w="0" w:type="dxa"/>
            <w:vAlign w:val="bottom"/>
          </w:tcPr>
          <w:p>
            <w:pPr>
              <w:spacing w:after="0"/>
              <w:rPr>
                <w:sz w:val="1"/>
                <w:szCs w:val="1"/>
                <w:color w:val="auto"/>
              </w:rPr>
            </w:pPr>
          </w:p>
        </w:tc>
      </w:tr>
      <w:tr>
        <w:trPr>
          <w:trHeight w:val="262"/>
        </w:trPr>
        <w:tc>
          <w:tcPr>
            <w:tcW w:w="78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tax assets, gross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544,453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644,930</w:t>
            </w:r>
          </w:p>
        </w:tc>
        <w:tc>
          <w:tcPr>
            <w:tcW w:w="0" w:type="dxa"/>
            <w:vAlign w:val="bottom"/>
          </w:tcPr>
          <w:p>
            <w:pPr>
              <w:spacing w:after="0"/>
              <w:rPr>
                <w:sz w:val="1"/>
                <w:szCs w:val="1"/>
                <w:color w:val="auto"/>
              </w:rPr>
            </w:pP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(1,654)</w:t>
            </w:r>
          </w:p>
        </w:tc>
        <w:tc>
          <w:tcPr>
            <w:tcW w:w="0" w:type="dxa"/>
            <w:vAlign w:val="bottom"/>
          </w:tcPr>
          <w:p>
            <w:pPr>
              <w:spacing w:after="0"/>
              <w:rPr>
                <w:sz w:val="1"/>
                <w:szCs w:val="1"/>
                <w:color w:val="auto"/>
              </w:rPr>
            </w:pPr>
          </w:p>
        </w:tc>
      </w:tr>
      <w:tr>
        <w:trPr>
          <w:trHeight w:val="262"/>
        </w:trPr>
        <w:tc>
          <w:tcPr>
            <w:tcW w:w="78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541,431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643,276</w:t>
            </w:r>
          </w:p>
        </w:tc>
        <w:tc>
          <w:tcPr>
            <w:tcW w:w="0" w:type="dxa"/>
            <w:vAlign w:val="bottom"/>
          </w:tcPr>
          <w:p>
            <w:pPr>
              <w:spacing w:after="0"/>
              <w:rPr>
                <w:sz w:val="1"/>
                <w:szCs w:val="1"/>
                <w:color w:val="auto"/>
              </w:rPr>
            </w:pPr>
          </w:p>
        </w:tc>
      </w:tr>
      <w:tr>
        <w:trPr>
          <w:trHeight w:val="570"/>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Goodwill and intangibles</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(22,610)</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(26,966)</w:t>
            </w:r>
          </w:p>
        </w:tc>
        <w:tc>
          <w:tcPr>
            <w:tcW w:w="0" w:type="dxa"/>
            <w:vAlign w:val="bottom"/>
          </w:tcPr>
          <w:p>
            <w:pPr>
              <w:spacing w:after="0"/>
              <w:rPr>
                <w:sz w:val="1"/>
                <w:szCs w:val="1"/>
                <w:color w:val="auto"/>
              </w:rPr>
            </w:pPr>
          </w:p>
        </w:tc>
      </w:tr>
      <w:tr>
        <w:trPr>
          <w:trHeight w:val="262"/>
        </w:trPr>
        <w:tc>
          <w:tcPr>
            <w:tcW w:w="78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(22,610)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(26,966)</w:t>
            </w:r>
          </w:p>
        </w:tc>
        <w:tc>
          <w:tcPr>
            <w:tcW w:w="0" w:type="dxa"/>
            <w:vAlign w:val="bottom"/>
          </w:tcPr>
          <w:p>
            <w:pPr>
              <w:spacing w:after="0"/>
              <w:rPr>
                <w:sz w:val="1"/>
                <w:szCs w:val="1"/>
                <w:color w:val="auto"/>
              </w:rPr>
            </w:pPr>
          </w:p>
        </w:tc>
      </w:tr>
      <w:tr>
        <w:trPr>
          <w:trHeight w:val="288"/>
        </w:trPr>
        <w:tc>
          <w:tcPr>
            <w:tcW w:w="7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net deferred tax asset (liability)</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840" w:type="dxa"/>
            <w:vAlign w:val="bottom"/>
            <w:vMerge w:val="continue"/>
          </w:tcPr>
          <w:p>
            <w:pPr>
              <w:spacing w:after="0"/>
              <w:rPr>
                <w:sz w:val="21"/>
                <w:szCs w:val="21"/>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518,821</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616,310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-3107690</wp:posOffset>
            </wp:positionV>
            <wp:extent cx="6654800" cy="31146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0">
                      <a:extLst>
                        <a:ext uri="{28A0092B-C50C-407E-A947-70E740481C1C}"/>
                      </a:extLst>
                    </a:blip>
                    <a:srcRect/>
                    <a:stretch>
                      <a:fillRect/>
                    </a:stretch>
                  </pic:blipFill>
                  <pic:spPr bwMode="auto">
                    <a:xfrm>
                      <a:off x="0" y="0"/>
                      <a:ext cx="6654800" cy="3114675"/>
                    </a:xfrm>
                    <a:prstGeom prst="rect">
                      <a:avLst/>
                    </a:prstGeom>
                    <a:noFill/>
                  </pic:spPr>
                </pic:pic>
              </a:graphicData>
            </a:graphic>
          </wp:anchor>
        </w:drawing>
      </w:r>
    </w:p>
    <w:p>
      <w:pPr>
        <w:spacing w:after="0" w:line="18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10 – Tax Receivable Agreement for further details. The tax benefit has been recognized in deferred tax assets on the consolidated statements of financial condition.</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As of December 31, 2025, the Company had no tax effected U.S. federal net operating loss carryforwards for income tax purposes, state and local net operating loss carryforwards of $0.8 million and foreign net operating loss carryforwards of $0.1 million. If not utilized, the state and local net operating loss carryforwards will begin to expire in 2035. The foreign net operating loss carryforwards can be carried forward indefinitely.</w:t>
      </w:r>
    </w:p>
    <w:p>
      <w:pPr>
        <w:spacing w:after="0" w:line="163"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20"/>
          <w:szCs w:val="20"/>
          <w:color w:val="auto"/>
        </w:rPr>
        <w:t>The gross activity during the year in the Company’s unrecognized tax benefits relating to its uncertain tax positions are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4"/>
        </w:trPr>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Gross unrecognized tax benefits – January 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19,616</w:t>
            </w:r>
          </w:p>
        </w:tc>
      </w:tr>
      <w:tr>
        <w:trPr>
          <w:trHeight w:val="285"/>
        </w:trPr>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Increase in current year tax positions</w:t>
            </w:r>
          </w:p>
        </w:tc>
        <w:tc>
          <w:tcPr>
            <w:tcW w:w="2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11,267</w:t>
            </w:r>
          </w:p>
        </w:tc>
      </w:tr>
      <w:tr>
        <w:trPr>
          <w:trHeight w:val="285"/>
        </w:trPr>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Increase in prior year tax positions</w:t>
            </w:r>
          </w:p>
        </w:tc>
        <w:tc>
          <w:tcPr>
            <w:tcW w:w="2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w:t>
            </w:r>
          </w:p>
        </w:tc>
      </w:tr>
      <w:tr>
        <w:trPr>
          <w:trHeight w:val="285"/>
        </w:trPr>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Decrease in prior year tax positions</w:t>
            </w:r>
          </w:p>
        </w:tc>
        <w:tc>
          <w:tcPr>
            <w:tcW w:w="2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w:t>
            </w:r>
          </w:p>
        </w:tc>
      </w:tr>
      <w:tr>
        <w:trPr>
          <w:trHeight w:val="285"/>
        </w:trPr>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Acquired tax positions</w:t>
            </w:r>
          </w:p>
        </w:tc>
        <w:tc>
          <w:tcPr>
            <w:tcW w:w="2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Settlements</w:t>
            </w: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auto"/>
              </w:rPr>
              <w:t>Gross unrecognized tax benefits – December 31,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29,942</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-1297940</wp:posOffset>
            </wp:positionV>
            <wp:extent cx="6654800" cy="2063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1">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-935990</wp:posOffset>
            </wp:positionV>
            <wp:extent cx="6654800" cy="2063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-574040</wp:posOffset>
            </wp:positionV>
            <wp:extent cx="6654800" cy="5810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3">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ectPr>
          <w:pgSz w:w="12240" w:h="15840" w:orient="portrait"/>
          <w:cols w:equalWidth="0" w:num="1">
            <w:col w:w="10480"/>
          </w:cols>
          <w:pgMar w:left="900" w:top="83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10480"/>
          </w:cols>
          <w:pgMar w:left="900" w:top="838" w:right="860" w:bottom="0" w:gutter="0" w:footer="0" w:header="0"/>
          <w:type w:val="continuous"/>
        </w:sectPr>
      </w:pPr>
    </w:p>
    <w:bookmarkStart w:id="144" w:name="page145"/>
    <w:bookmarkEnd w:id="144"/>
    <w:p>
      <w:pPr>
        <w:jc w:val="both"/>
        <w:ind w:right="120"/>
        <w:spacing w:after="0" w:line="260" w:lineRule="auto"/>
        <w:rPr>
          <w:sz w:val="20"/>
          <w:szCs w:val="20"/>
          <w:color w:val="auto"/>
        </w:rPr>
      </w:pPr>
      <w:r>
        <w:rPr>
          <w:rFonts w:ascii="Times New Roman" w:cs="Times New Roman" w:eastAsia="Times New Roman" w:hAnsi="Times New Roman"/>
          <w:sz w:val="20"/>
          <w:szCs w:val="20"/>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 The total amount of interest and penalties payable as of December 31, 2025 was $2.6 million and $0.2 million,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paid for income taxes, net of refunds consists of the following:</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4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40" w:type="dxa"/>
            <w:vAlign w:val="bottom"/>
          </w:tcPr>
          <w:p>
            <w:pPr>
              <w:spacing w:after="0"/>
              <w:rPr>
                <w:sz w:val="23"/>
                <w:szCs w:val="23"/>
                <w:color w:val="auto"/>
              </w:rPr>
            </w:pP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115,786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11,441</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jurisdictions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New York City</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23,749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12,936</w:t>
            </w:r>
          </w:p>
        </w:tc>
      </w:tr>
      <w:tr>
        <w:trPr>
          <w:trHeight w:val="289"/>
        </w:trPr>
        <w:tc>
          <w:tcPr>
            <w:tcW w:w="6520" w:type="dxa"/>
            <w:vAlign w:val="bottom"/>
          </w:tcPr>
          <w:p>
            <w:pPr>
              <w:ind w:left="120"/>
              <w:spacing w:after="0" w:line="288" w:lineRule="exact"/>
              <w:rPr>
                <w:sz w:val="20"/>
                <w:szCs w:val="20"/>
                <w:color w:val="auto"/>
              </w:rPr>
            </w:pPr>
            <w:r>
              <w:rPr>
                <w:rFonts w:ascii="Times New Roman" w:cs="Times New Roman" w:eastAsia="Times New Roman" w:hAnsi="Times New Roman"/>
                <w:sz w:val="20"/>
                <w:szCs w:val="20"/>
                <w:color w:val="auto"/>
              </w:rPr>
              <w:t xml:space="preserve">New York State </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20" w:type="dxa"/>
            <w:vAlign w:val="bottom"/>
          </w:tcPr>
          <w:p>
            <w:pPr>
              <w:ind w:left="120"/>
              <w:spacing w:after="0" w:line="285" w:lineRule="exact"/>
              <w:rPr>
                <w:sz w:val="20"/>
                <w:szCs w:val="20"/>
                <w:color w:val="auto"/>
              </w:rPr>
            </w:pPr>
            <w:r>
              <w:rPr>
                <w:rFonts w:ascii="Times New Roman" w:cs="Times New Roman" w:eastAsia="Times New Roman" w:hAnsi="Times New Roman"/>
                <w:sz w:val="20"/>
                <w:szCs w:val="20"/>
                <w:color w:val="auto"/>
              </w:rPr>
              <w:t xml:space="preserve">Illinois </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8,673</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9,013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1,795</w:t>
            </w:r>
          </w:p>
        </w:tc>
      </w:tr>
      <w:tr>
        <w:trPr>
          <w:trHeight w:val="262"/>
        </w:trPr>
        <w:tc>
          <w:tcPr>
            <w:tcW w:w="6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state and local</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39,215</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25,237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14,731</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9"/>
        </w:trPr>
        <w:tc>
          <w:tcPr>
            <w:tcW w:w="6520" w:type="dxa"/>
            <w:vAlign w:val="bottom"/>
          </w:tcPr>
          <w:p>
            <w:pPr>
              <w:ind w:left="120"/>
              <w:spacing w:after="0" w:line="288" w:lineRule="exact"/>
              <w:rPr>
                <w:sz w:val="20"/>
                <w:szCs w:val="20"/>
                <w:color w:val="auto"/>
              </w:rPr>
            </w:pPr>
            <w:r>
              <w:rPr>
                <w:rFonts w:ascii="Times New Roman" w:cs="Times New Roman" w:eastAsia="Times New Roman" w:hAnsi="Times New Roman"/>
                <w:sz w:val="33"/>
                <w:szCs w:val="33"/>
                <w:color w:val="auto"/>
                <w:vertAlign w:val="subscript"/>
              </w:rPr>
              <w:t>UK</w:t>
            </w:r>
            <w:r>
              <w:rPr>
                <w:rFonts w:ascii="Times New Roman" w:cs="Times New Roman" w:eastAsia="Times New Roman" w:hAnsi="Times New Roman"/>
                <w:sz w:val="12"/>
                <w:szCs w:val="12"/>
                <w:color w:val="auto"/>
              </w:rPr>
              <w:t xml:space="preserve"> (2)</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14,784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2,652</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2,469</w:t>
            </w:r>
          </w:p>
        </w:tc>
      </w:tr>
      <w:tr>
        <w:trPr>
          <w:trHeight w:val="265"/>
        </w:trPr>
        <w:tc>
          <w:tcPr>
            <w:tcW w:w="6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foreign</w:t>
            </w: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17,436</w:t>
            </w:r>
          </w:p>
        </w:tc>
        <w:tc>
          <w:tcPr>
            <w:tcW w:w="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10,989</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2,469</w:t>
            </w: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taxes paid, net of refunds</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58,061</w:t>
            </w: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152,012</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28,641</w:t>
            </w: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-2202815</wp:posOffset>
            </wp:positionV>
            <wp:extent cx="6654800" cy="2063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-1840865</wp:posOffset>
            </wp:positionV>
            <wp:extent cx="6654800" cy="2063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5">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-1478915</wp:posOffset>
            </wp:positionV>
            <wp:extent cx="6654800" cy="2063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6">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-1116965</wp:posOffset>
            </wp:positionV>
            <wp:extent cx="6654800" cy="2063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7">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2063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8">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-393065</wp:posOffset>
            </wp:positionV>
            <wp:extent cx="6654800" cy="2063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-43815</wp:posOffset>
            </wp:positionV>
            <wp:extent cx="247332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0">
                      <a:extLst>
                        <a:ext uri="{28A0092B-C50C-407E-A947-70E740481C1C}"/>
                      </a:extLst>
                    </a:blip>
                    <a:srcRect/>
                    <a:stretch>
                      <a:fillRect/>
                    </a:stretch>
                  </pic:blipFill>
                  <pic:spPr bwMode="auto">
                    <a:xfrm>
                      <a:off x="0" y="0"/>
                      <a:ext cx="2473325" cy="50800"/>
                    </a:xfrm>
                    <a:prstGeom prst="rect">
                      <a:avLst/>
                    </a:prstGeom>
                    <a:noFill/>
                  </pic:spPr>
                </pic:pic>
              </a:graphicData>
            </a:graphic>
          </wp:anchor>
        </w:drawing>
      </w:r>
    </w:p>
    <w:p>
      <w:pPr>
        <w:spacing w:after="0" w:line="100" w:lineRule="exact"/>
        <w:rPr>
          <w:sz w:val="20"/>
          <w:szCs w:val="20"/>
          <w:color w:val="auto"/>
        </w:rPr>
      </w:pPr>
    </w:p>
    <w:p>
      <w:pPr>
        <w:ind w:left="360" w:hanging="360"/>
        <w:spacing w:after="0"/>
        <w:tabs>
          <w:tab w:leader="none" w:pos="3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income taxes paid during the years ended December 31, 2024 and 2023 did not meet the five percent disaggregation threshold.</w:t>
      </w:r>
    </w:p>
    <w:p>
      <w:pPr>
        <w:spacing w:after="0" w:line="24"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income taxes paid during the year ended December 31, 2023 did not meet the five percent disaggregation threshold.</w:t>
      </w:r>
    </w:p>
    <w:p>
      <w:pPr>
        <w:spacing w:after="0" w:line="172" w:lineRule="exact"/>
        <w:rPr>
          <w:sz w:val="20"/>
          <w:szCs w:val="20"/>
          <w:color w:val="auto"/>
        </w:rPr>
      </w:pPr>
    </w:p>
    <w:p>
      <w:pPr>
        <w:ind w:left="720" w:hanging="720"/>
        <w:spacing w:after="0"/>
        <w:tabs>
          <w:tab w:leader="none" w:pos="72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Receivable Agreement</w:t>
      </w:r>
    </w:p>
    <w:p>
      <w:pPr>
        <w:spacing w:after="0" w:line="2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and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consolidated statements of income in the period in which the change occurs. During the years ended December 31, 2025, 2024 and 2023, the Company recognized a tax receivable agreement liability adjustment of $9.8 million of income, $7.7 million of income and $9.5 million of expense, respectively, in the consolidated statements of income. As of December 31, 2025 and 2024, the tax receivable agreement liability on the consolidated statements of financial condition totaled $336.5 million and $372.8 million, respectively.</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10440"/>
          </w:cols>
          <w:pgMar w:left="900" w:top="838" w:right="900" w:bottom="0" w:gutter="0" w:footer="0" w:header="0"/>
          <w:type w:val="continuous"/>
        </w:sectPr>
      </w:pPr>
    </w:p>
    <w:bookmarkStart w:id="145" w:name="page146"/>
    <w:bookmarkEnd w:id="145"/>
    <w:p>
      <w:pPr>
        <w:ind w:right="7920"/>
        <w:spacing w:after="0" w:line="462" w:lineRule="auto"/>
        <w:tabs>
          <w:tab w:leader="none" w:pos="72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Common Stock</w:t>
      </w:r>
    </w:p>
    <w:p>
      <w:pPr>
        <w:spacing w:after="0" w:line="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Economic</w:t>
            </w:r>
          </w:p>
        </w:tc>
      </w:tr>
      <w:tr>
        <w:trPr>
          <w:trHeight w:val="217"/>
        </w:trPr>
        <w:tc>
          <w:tcPr>
            <w:tcW w:w="652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6"/>
                <w:szCs w:val="16"/>
                <w:b w:val="1"/>
                <w:bCs w:val="1"/>
                <w:color w:val="auto"/>
              </w:rPr>
              <w:t>Class of Common Stock</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60" w:type="dxa"/>
            <w:vAlign w:val="bottom"/>
          </w:tcPr>
          <w:p>
            <w:pPr>
              <w:spacing w:after="0"/>
              <w:rPr>
                <w:sz w:val="18"/>
                <w:szCs w:val="18"/>
                <w:color w:val="auto"/>
              </w:rPr>
            </w:pP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Votes</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Rights</w:t>
            </w:r>
          </w:p>
        </w:tc>
      </w:tr>
      <w:tr>
        <w:trPr>
          <w:trHeight w:val="262"/>
        </w:trPr>
        <w:tc>
          <w:tcPr>
            <w:tcW w:w="6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Class A common stock</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6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Yes</w:t>
            </w:r>
          </w:p>
        </w:tc>
      </w:tr>
      <w:tr>
        <w:trPr>
          <w:trHeight w:val="285"/>
        </w:trPr>
        <w:tc>
          <w:tcPr>
            <w:tcW w:w="6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Class B common stock</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Yes</w:t>
            </w:r>
          </w:p>
        </w:tc>
      </w:tr>
      <w:tr>
        <w:trPr>
          <w:trHeight w:val="285"/>
        </w:trPr>
        <w:tc>
          <w:tcPr>
            <w:tcW w:w="6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Class C common stock</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r>
      <w:tr>
        <w:trPr>
          <w:trHeight w:val="285"/>
        </w:trPr>
        <w:tc>
          <w:tcPr>
            <w:tcW w:w="6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Class D common stock</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0.00001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-727710</wp:posOffset>
            </wp:positionV>
            <wp:extent cx="6654800" cy="7493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1">
                      <a:extLst>
                        <a:ext uri="{28A0092B-C50C-407E-A947-70E740481C1C}"/>
                      </a:extLst>
                    </a:blip>
                    <a:srcRect/>
                    <a:stretch>
                      <a:fillRect/>
                    </a:stretch>
                  </pic:blipFill>
                  <pic:spPr bwMode="auto">
                    <a:xfrm>
                      <a:off x="0" y="0"/>
                      <a:ext cx="6654800" cy="749300"/>
                    </a:xfrm>
                    <a:prstGeom prst="rect">
                      <a:avLst/>
                    </a:prstGeom>
                    <a:noFill/>
                  </pic:spPr>
                </pic:pic>
              </a:graphicData>
            </a:graphic>
          </wp:anchor>
        </w:drawing>
      </w:r>
    </w:p>
    <w:p>
      <w:pPr>
        <w:spacing w:after="0" w:line="23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w:t>
      </w:r>
    </w:p>
    <w:p>
      <w:pPr>
        <w:spacing w:after="0" w:line="1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Refinitiv no longer beneficially owns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7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13 – Stock-Based Compensation Plans for further details.</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10440"/>
          </w:cols>
          <w:pgMar w:left="900" w:top="831" w:right="900" w:bottom="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The following table details the movement in the Company’s outstanding shares of common stock during the period:</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3920" w:type="dxa"/>
            <w:vAlign w:val="bottom"/>
          </w:tcPr>
          <w:p>
            <w:pPr>
              <w:spacing w:after="0"/>
              <w:rPr>
                <w:sz w:val="18"/>
                <w:szCs w:val="18"/>
                <w:color w:val="auto"/>
              </w:rPr>
            </w:pPr>
          </w:p>
        </w:tc>
        <w:tc>
          <w:tcPr>
            <w:tcW w:w="12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Class D</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22"/>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110,746,606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96,933,192</w:t>
            </w:r>
          </w:p>
        </w:tc>
        <w:tc>
          <w:tcPr>
            <w:tcW w:w="132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3,251,177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23,092,704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234,023,679</w:t>
            </w: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Activities related to exchanges of LLC</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3,265,908</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14,748,823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(18,014,731)</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Interests</w:t>
            </w: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Issuance of common stock from equity</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1,564,003</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1,564,003</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plans</w:t>
            </w: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Share repurchases pursuant to share repurchase</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(485,730)</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(485,730)</w:t>
            </w:r>
          </w:p>
        </w:tc>
        <w:tc>
          <w:tcPr>
            <w:tcW w:w="0" w:type="dxa"/>
            <w:vAlign w:val="bottom"/>
          </w:tcPr>
          <w:p>
            <w:pPr>
              <w:spacing w:after="0"/>
              <w:rPr>
                <w:sz w:val="1"/>
                <w:szCs w:val="1"/>
                <w:color w:val="auto"/>
              </w:rPr>
            </w:pPr>
          </w:p>
        </w:tc>
      </w:tr>
      <w:tr>
        <w:trPr>
          <w:trHeight w:val="26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programs</w:t>
            </w: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115,090,787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96,933,192</w:t>
            </w:r>
          </w:p>
        </w:tc>
        <w:tc>
          <w:tcPr>
            <w:tcW w:w="132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18,000,000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5,077,973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235,101,952</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line="201" w:lineRule="exact"/>
              <w:rPr>
                <w:sz w:val="20"/>
                <w:szCs w:val="20"/>
                <w:color w:val="auto"/>
              </w:rPr>
            </w:pPr>
            <w:r>
              <w:rPr>
                <w:rFonts w:ascii="Times New Roman" w:cs="Times New Roman" w:eastAsia="Times New Roman" w:hAnsi="Times New Roman"/>
                <w:sz w:val="20"/>
                <w:szCs w:val="20"/>
                <w:color w:val="auto"/>
              </w:rPr>
              <w:t>Activities related to exchanges of LLC</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920" w:type="dxa"/>
            <w:vAlign w:val="bottom"/>
            <w:vMerge w:val="continue"/>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4,435</w:t>
            </w:r>
          </w:p>
        </w:tc>
        <w:tc>
          <w:tcPr>
            <w:tcW w:w="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4"/>
                <w:szCs w:val="14"/>
                <w:color w:val="auto"/>
              </w:rPr>
            </w:pPr>
          </w:p>
        </w:tc>
        <w:tc>
          <w:tcPr>
            <w:tcW w:w="12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(4,435)</w:t>
            </w:r>
          </w:p>
        </w:tc>
        <w:tc>
          <w:tcPr>
            <w:tcW w:w="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Interests</w:t>
            </w: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Issuance of common stock from equity</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944,938</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944,938</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plans</w:t>
            </w: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Issuance of common stock for business</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416,306</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416,306</w:t>
            </w:r>
          </w:p>
        </w:tc>
        <w:tc>
          <w:tcPr>
            <w:tcW w:w="0" w:type="dxa"/>
            <w:vAlign w:val="bottom"/>
          </w:tcPr>
          <w:p>
            <w:pPr>
              <w:spacing w:after="0"/>
              <w:rPr>
                <w:sz w:val="1"/>
                <w:szCs w:val="1"/>
                <w:color w:val="auto"/>
              </w:rPr>
            </w:pPr>
          </w:p>
        </w:tc>
      </w:tr>
      <w:tr>
        <w:trPr>
          <w:trHeight w:val="265"/>
        </w:trPr>
        <w:tc>
          <w:tcPr>
            <w:tcW w:w="3920" w:type="dxa"/>
            <w:vAlign w:val="bottom"/>
          </w:tcPr>
          <w:p>
            <w:pPr>
              <w:spacing w:after="0" w:line="265" w:lineRule="exact"/>
              <w:rPr>
                <w:sz w:val="20"/>
                <w:szCs w:val="20"/>
                <w:color w:val="auto"/>
              </w:rPr>
            </w:pPr>
            <w:r>
              <w:rPr>
                <w:rFonts w:ascii="Times New Roman" w:cs="Times New Roman" w:eastAsia="Times New Roman" w:hAnsi="Times New Roman"/>
                <w:sz w:val="20"/>
                <w:szCs w:val="20"/>
                <w:color w:val="auto"/>
              </w:rPr>
              <w:t xml:space="preserve">acquisitions </w:t>
            </w:r>
            <w:r>
              <w:rPr>
                <w:rFonts w:ascii="Times New Roman" w:cs="Times New Roman" w:eastAsia="Times New Roman" w:hAnsi="Times New Roman"/>
                <w:sz w:val="26"/>
                <w:szCs w:val="26"/>
                <w:color w:val="auto"/>
                <w:vertAlign w:val="superscript"/>
              </w:rPr>
              <w:t>(1)(2)</w:t>
            </w:r>
          </w:p>
        </w:tc>
        <w:tc>
          <w:tcPr>
            <w:tcW w:w="12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13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9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Share repurchases pursuant to share repurchase</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(478,915)</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(478,915)</w:t>
            </w:r>
          </w:p>
        </w:tc>
        <w:tc>
          <w:tcPr>
            <w:tcW w:w="0" w:type="dxa"/>
            <w:vAlign w:val="bottom"/>
          </w:tcPr>
          <w:p>
            <w:pPr>
              <w:spacing w:after="0"/>
              <w:rPr>
                <w:sz w:val="1"/>
                <w:szCs w:val="1"/>
                <w:color w:val="auto"/>
              </w:rPr>
            </w:pPr>
          </w:p>
        </w:tc>
      </w:tr>
      <w:tr>
        <w:trPr>
          <w:trHeight w:val="26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programs</w:t>
            </w: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115,977,551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96,933,192</w:t>
            </w:r>
          </w:p>
        </w:tc>
        <w:tc>
          <w:tcPr>
            <w:tcW w:w="132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18,000,000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5,073,538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235,984,281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line="201" w:lineRule="exact"/>
              <w:rPr>
                <w:sz w:val="20"/>
                <w:szCs w:val="20"/>
                <w:color w:val="auto"/>
              </w:rPr>
            </w:pPr>
            <w:r>
              <w:rPr>
                <w:rFonts w:ascii="Times New Roman" w:cs="Times New Roman" w:eastAsia="Times New Roman" w:hAnsi="Times New Roman"/>
                <w:sz w:val="20"/>
                <w:szCs w:val="20"/>
                <w:color w:val="auto"/>
              </w:rPr>
              <w:t>Activities related to exchanges of LLC</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920" w:type="dxa"/>
            <w:vAlign w:val="bottom"/>
            <w:vMerge w:val="continue"/>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16,670</w:t>
            </w:r>
          </w:p>
        </w:tc>
        <w:tc>
          <w:tcPr>
            <w:tcW w:w="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4"/>
                <w:szCs w:val="14"/>
                <w:color w:val="auto"/>
              </w:rPr>
            </w:pPr>
          </w:p>
        </w:tc>
        <w:tc>
          <w:tcPr>
            <w:tcW w:w="12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(16,670)</w:t>
            </w:r>
          </w:p>
        </w:tc>
        <w:tc>
          <w:tcPr>
            <w:tcW w:w="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Interests</w:t>
            </w: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Issuance of common stock from equity</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495,847</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495,847</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incentive plans</w:t>
            </w: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9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Share repurchases pursuant to share repurchase</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(987,379)</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(987,379)</w:t>
            </w:r>
          </w:p>
        </w:tc>
        <w:tc>
          <w:tcPr>
            <w:tcW w:w="0" w:type="dxa"/>
            <w:vAlign w:val="bottom"/>
          </w:tcPr>
          <w:p>
            <w:pPr>
              <w:spacing w:after="0"/>
              <w:rPr>
                <w:sz w:val="1"/>
                <w:szCs w:val="1"/>
                <w:color w:val="auto"/>
              </w:rPr>
            </w:pPr>
          </w:p>
        </w:tc>
      </w:tr>
      <w:tr>
        <w:trPr>
          <w:trHeight w:val="269"/>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programs</w:t>
            </w: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115,502,689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96,933,192</w:t>
            </w:r>
          </w:p>
        </w:tc>
        <w:tc>
          <w:tcPr>
            <w:tcW w:w="132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18,000,000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5,056,868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235,492,749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-3707765</wp:posOffset>
            </wp:positionV>
            <wp:extent cx="6654800" cy="37147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2">
                      <a:extLst>
                        <a:ext uri="{28A0092B-C50C-407E-A947-70E740481C1C}"/>
                      </a:extLst>
                    </a:blip>
                    <a:srcRect/>
                    <a:stretch>
                      <a:fillRect/>
                    </a:stretch>
                  </pic:blipFill>
                  <pic:spPr bwMode="auto">
                    <a:xfrm>
                      <a:off x="0" y="0"/>
                      <a:ext cx="6654800" cy="3714750"/>
                    </a:xfrm>
                    <a:prstGeom prst="rect">
                      <a:avLst/>
                    </a:prstGeom>
                    <a:noFill/>
                  </pic:spPr>
                </pic:pic>
              </a:graphicData>
            </a:graphic>
          </wp:anchor>
        </w:drawing>
      </w:r>
    </w:p>
    <w:p>
      <w:pPr>
        <w:spacing w:after="0" w:line="100" w:lineRule="exact"/>
        <w:rPr>
          <w:sz w:val="20"/>
          <w:szCs w:val="20"/>
          <w:color w:val="auto"/>
        </w:rPr>
      </w:pPr>
    </w:p>
    <w:p>
      <w:pPr>
        <w:ind w:left="360" w:right="140" w:hanging="360"/>
        <w:spacing w:after="0" w:line="255" w:lineRule="auto"/>
        <w:tabs>
          <w:tab w:leader="none" w:pos="3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19, 2024, the Corporation issued 374,601 unregistered shares of Class A common stock as partial consideration for the r8fin Acquisition (the “r8fin Acquisition Shares”), in reliance on Section 4(a)(2) of the Securities Act. The r8fin Acquisition Shares are considered issued and outstanding subsequent to their January 19, 2024 issuance, but remained subject to a lock-up that restricted the sale, transfer or disposal of these shares for the two year period following the January 19, 2024 acquisition date of the r8fin Acquisition. See Note 4 – Acquisitions for additional details on this acquisition.</w:t>
      </w:r>
    </w:p>
    <w:p>
      <w:pPr>
        <w:spacing w:after="0" w:line="2" w:lineRule="exact"/>
        <w:rPr>
          <w:rFonts w:ascii="Times New Roman" w:cs="Times New Roman" w:eastAsia="Times New Roman" w:hAnsi="Times New Roman"/>
          <w:sz w:val="16"/>
          <w:szCs w:val="16"/>
          <w:color w:val="auto"/>
        </w:rPr>
      </w:pPr>
    </w:p>
    <w:p>
      <w:pPr>
        <w:ind w:left="360" w:hanging="360"/>
        <w:spacing w:after="0" w:line="252" w:lineRule="auto"/>
        <w:tabs>
          <w:tab w:leader="none" w:pos="3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 2024, the Corporation issued and sold 41,705 unregistered shares of Class A common stock in connection with the closing of the ICD Acquisition, in reliance on Section 4(a)(2) of the Securities Act. These shares of Class A common stock (or “RSAs”) were issued and sold as restricted stock, subject to vesting and forfeiture terms, pursuant to the Tradeweb Markets Inc. 2019 Omnibus Equity Incentive Plan. Although the RSAs and dividends payable on the RSAs during the vesting period are subject to a two-year cliff vesting service requirement and forfeiture terms, they are considered issued and outstanding shares of Class A common stock subsequent to their August 1, 2024 issuance. TWM LLC will issue corresponding LLC Interests to the Corporation only if, when and to the extent the RSAs vest. See Note 4 – Acquisitions for additional details on this acquisition.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LLC Interests</w:t>
      </w: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TWM LLC Agreement requires that TWM LLC at all times maintain (i) a one-to-one ratio between the number of shares of Class A common stock and Class B common stock issued by the Corporation and the number of LLC Interests owned by the Corporation (subject to certain exceptions contained in the TWM LLC Agreement) and (ii) a one-to-one ratio between the number of shares of Class C common stock and Class D common stock issued by the Corporation and the number of LLC Interests owned by the holders of such Class C common stock and Class D common stock. In August 2024, the Corporation issued 41,705 shares of Class A common stock as restricted stock, subject to vesting and forfeiture terms, pursuant to the Tradeweb Markets Inc. 2019 Omnibus Equity Incentive Plan. TWM LLC will issue corresponding LLC Interests to the Corporation only if, when and to the extent the restricted shares of Class A common stock vest. See Note 4 – Acquisitions.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10440"/>
          </w:cols>
          <w:pgMar w:left="900" w:top="838" w:right="900" w:bottom="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color w:val="auto"/>
        </w:rPr>
        <w:t>Redemptions and Exchanges of LLC Interests</w:t>
      </w:r>
    </w:p>
    <w:p>
      <w:pPr>
        <w:spacing w:after="0" w:line="217"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color w:val="auto"/>
        </w:rPr>
        <w:t>Continuing LLC Owners may, from time to time, exercise their redemption rights under the TWM LLC Agreement, pursuant to which LLC Interests are exchanged for newly-issued shares of Class A common stock. Simultaneously, and in connection with these exchanges, shares of Class C and/or Class D common stock are surrendered by Continuing LLC Owners and cancelled. In connection with these exchanges, Tradeweb Markets Inc. receives LLC Interests, increasing its total ownership interest in TWM LLC.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 Programs</w:t>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On December 5, 2022, the Company announced that its board of directors authorized a new share repurchase program (the “2022 Share Repurchase Program”), after completing in October 2022, the $150.0 million of total repurchases of the Company’s Class A common stock authorized under its previous share repurchase program.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During the years ended December 31, 2025, 2024 and 2023, the Company acquired a total of 987,379, 478,915 and 485,730 shares of Class A common stock, at an average price of $107.29, $125.07 and $72.48, respectively, for purchases totaling $105.9 million, $59.9 million and $35.2 million, respectively, pursuant to the 2022 Share Repurchase Program. In addition, during the years ended December 31, 2025, 2024 and 2023 the Company incurred $0.2 million, none and none, respectively, in excise tax associated with share repurchases during the respective years.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Each share of Class A common stock repurchased pursuant to the 2022 Share Repurchase Program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 Subsequent to their repurchase, the shares of Class A common stock and the LLC Interests were all cancelled and retired. As of December 31, 2025, a total of $74.0 million remained available for repurchase pursuant to the 2022 Share Repurchase Program.</w:t>
      </w:r>
    </w:p>
    <w:p>
      <w:pPr>
        <w:spacing w:after="0" w:line="1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For shares repurchased pursuant to the 2022 Share Repurchase Program, the excess of the repurchase price paid over the par value of the Class A common stock, including any excise tax payable on such share repurchase, is recorded as a reduction to retained earnings.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Share Repurchases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years ended December 31, 2025, 2024 and 2023, the Company withheld 360,041, 485,745 and 715,101 shares,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respectively, of Class A common stock from employee stock option, PRSU and RSU awards, at an average price per share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$137.13, $98.72 and $72.02, respectively, and an aggregate value of $49.4 million, $48.0 million and $51.5 million, respectively,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on the price of the Class A common stock on the date the relevant withholding occurred.</w:t>
      </w:r>
    </w:p>
    <w:p>
      <w:pPr>
        <w:spacing w:after="0" w:line="19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auto"/>
        </w:rPr>
        <w:t>These shares are withheld in order for the Company to cover the employee payroll tax withholding obligations upon the exercise of stock options and settlement of RSUs and PRSUs and such shares were not withheld in connection with the share repurchase program discussed above.</w:t>
      </w:r>
    </w:p>
    <w:p>
      <w:pPr>
        <w:spacing w:after="0" w:line="148" w:lineRule="exact"/>
        <w:rPr>
          <w:sz w:val="20"/>
          <w:szCs w:val="20"/>
          <w:color w:val="auto"/>
        </w:rPr>
      </w:pPr>
    </w:p>
    <w:p>
      <w:pPr>
        <w:ind w:left="720" w:hanging="720"/>
        <w:spacing w:after="0"/>
        <w:tabs>
          <w:tab w:leader="none" w:pos="72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Non-Controlling Interests</w:t>
      </w:r>
    </w:p>
    <w:p>
      <w:pPr>
        <w:spacing w:after="0" w:line="2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Continuing LLC Owners. Income or loss is attributed to the non-controlling interests based on the relative ownership percentages of LLC Interests held during the period by Tradeweb Markets Inc. and the Continuing LLC Owners.</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10440"/>
          </w:cols>
          <w:pgMar w:left="900" w:top="831" w:right="900"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color w:val="auto"/>
        </w:rPr>
        <w:t>The following table summarizes the ownership interest in Tradeweb Markets LLC:</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256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8"/>
                <w:szCs w:val="18"/>
                <w:color w:val="auto"/>
              </w:rPr>
            </w:pPr>
          </w:p>
        </w:tc>
        <w:tc>
          <w:tcPr>
            <w:tcW w:w="254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71"/>
        </w:trPr>
        <w:tc>
          <w:tcPr>
            <w:tcW w:w="5220" w:type="dxa"/>
            <w:vAlign w:val="bottom"/>
          </w:tcPr>
          <w:p>
            <w:pPr>
              <w:spacing w:after="0"/>
              <w:rPr>
                <w:sz w:val="14"/>
                <w:szCs w:val="14"/>
                <w:color w:val="auto"/>
              </w:rPr>
            </w:pPr>
          </w:p>
        </w:tc>
        <w:tc>
          <w:tcPr>
            <w:tcW w:w="124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6"/>
                <w:szCs w:val="16"/>
                <w:b w:val="1"/>
                <w:bCs w:val="1"/>
                <w:color w:val="auto"/>
              </w:rPr>
              <w:t>LLC</w:t>
            </w:r>
          </w:p>
        </w:tc>
        <w:tc>
          <w:tcPr>
            <w:tcW w:w="60" w:type="dxa"/>
            <w:vAlign w:val="bottom"/>
          </w:tcPr>
          <w:p>
            <w:pPr>
              <w:spacing w:after="0"/>
              <w:rPr>
                <w:sz w:val="14"/>
                <w:szCs w:val="14"/>
                <w:color w:val="auto"/>
              </w:rPr>
            </w:pPr>
          </w:p>
        </w:tc>
        <w:tc>
          <w:tcPr>
            <w:tcW w:w="1260" w:type="dxa"/>
            <w:vAlign w:val="bottom"/>
          </w:tcPr>
          <w:p>
            <w:pPr>
              <w:jc w:val="right"/>
              <w:ind w:right="173"/>
              <w:spacing w:after="0" w:line="171" w:lineRule="exact"/>
              <w:rPr>
                <w:sz w:val="20"/>
                <w:szCs w:val="20"/>
                <w:color w:val="auto"/>
              </w:rPr>
            </w:pPr>
            <w:r>
              <w:rPr>
                <w:rFonts w:ascii="Times New Roman" w:cs="Times New Roman" w:eastAsia="Times New Roman" w:hAnsi="Times New Roman"/>
                <w:sz w:val="16"/>
                <w:szCs w:val="16"/>
                <w:b w:val="1"/>
                <w:bCs w:val="1"/>
                <w:color w:val="auto"/>
              </w:rPr>
              <w:t>Ownership</w:t>
            </w:r>
          </w:p>
        </w:tc>
        <w:tc>
          <w:tcPr>
            <w:tcW w:w="60" w:type="dxa"/>
            <w:vAlign w:val="bottom"/>
          </w:tcPr>
          <w:p>
            <w:pPr>
              <w:spacing w:after="0"/>
              <w:rPr>
                <w:sz w:val="14"/>
                <w:szCs w:val="14"/>
                <w:color w:val="auto"/>
              </w:rPr>
            </w:pPr>
          </w:p>
        </w:tc>
        <w:tc>
          <w:tcPr>
            <w:tcW w:w="1240" w:type="dxa"/>
            <w:vAlign w:val="bottom"/>
          </w:tcPr>
          <w:p>
            <w:pPr>
              <w:jc w:val="right"/>
              <w:ind w:right="375"/>
              <w:spacing w:after="0" w:line="171" w:lineRule="exact"/>
              <w:rPr>
                <w:sz w:val="20"/>
                <w:szCs w:val="20"/>
                <w:color w:val="auto"/>
              </w:rPr>
            </w:pPr>
            <w:r>
              <w:rPr>
                <w:rFonts w:ascii="Times New Roman" w:cs="Times New Roman" w:eastAsia="Times New Roman" w:hAnsi="Times New Roman"/>
                <w:sz w:val="16"/>
                <w:szCs w:val="16"/>
                <w:b w:val="1"/>
                <w:bCs w:val="1"/>
                <w:color w:val="auto"/>
              </w:rPr>
              <w:t>LLC</w:t>
            </w:r>
          </w:p>
        </w:tc>
        <w:tc>
          <w:tcPr>
            <w:tcW w:w="60" w:type="dxa"/>
            <w:vAlign w:val="bottom"/>
          </w:tcPr>
          <w:p>
            <w:pPr>
              <w:spacing w:after="0"/>
              <w:rPr>
                <w:sz w:val="14"/>
                <w:szCs w:val="14"/>
                <w:color w:val="auto"/>
              </w:rPr>
            </w:pPr>
          </w:p>
        </w:tc>
        <w:tc>
          <w:tcPr>
            <w:tcW w:w="1240" w:type="dxa"/>
            <w:vAlign w:val="bottom"/>
          </w:tcPr>
          <w:p>
            <w:pPr>
              <w:jc w:val="right"/>
              <w:ind w:right="153"/>
              <w:spacing w:after="0" w:line="171" w:lineRule="exact"/>
              <w:rPr>
                <w:sz w:val="20"/>
                <w:szCs w:val="20"/>
                <w:color w:val="auto"/>
              </w:rPr>
            </w:pPr>
            <w:r>
              <w:rPr>
                <w:rFonts w:ascii="Times New Roman" w:cs="Times New Roman" w:eastAsia="Times New Roman" w:hAnsi="Times New Roman"/>
                <w:sz w:val="16"/>
                <w:szCs w:val="16"/>
                <w:b w:val="1"/>
                <w:bCs w:val="1"/>
                <w:color w:val="auto"/>
              </w:rPr>
              <w:t>Ownership</w:t>
            </w:r>
          </w:p>
        </w:tc>
      </w:tr>
      <w:tr>
        <w:trPr>
          <w:trHeight w:val="214"/>
        </w:trPr>
        <w:tc>
          <w:tcPr>
            <w:tcW w:w="5220" w:type="dxa"/>
            <w:vAlign w:val="bottom"/>
          </w:tcPr>
          <w:p>
            <w:pPr>
              <w:spacing w:after="0"/>
              <w:rPr>
                <w:sz w:val="18"/>
                <w:szCs w:val="18"/>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2"/>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Number of LLC Interests held by Tradeweb Markets Inc.</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212,394,176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90.2 %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212,869,038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90.2 %</w:t>
            </w:r>
          </w:p>
        </w:tc>
      </w:tr>
      <w:tr>
        <w:trPr>
          <w:trHeight w:val="28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Number of LLC Interests held by non-controlling interests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23,056,868</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9.8 %</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23,073,538</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9.8 %</w:t>
            </w:r>
          </w:p>
        </w:tc>
      </w:tr>
      <w:tr>
        <w:trPr>
          <w:trHeight w:val="245"/>
        </w:trPr>
        <w:tc>
          <w:tcPr>
            <w:tcW w:w="5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LLC Interests outstanding</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235,451,044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235,942,576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r>
      <w:tr>
        <w:trPr>
          <w:trHeight w:val="20"/>
        </w:trPr>
        <w:tc>
          <w:tcPr>
            <w:tcW w:w="5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654800" cy="5810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3">
                      <a:extLst>
                        <a:ext uri="{28A0092B-C50C-407E-A947-70E740481C1C}"/>
                      </a:extLst>
                    </a:blip>
                    <a:srcRect/>
                    <a:stretch>
                      <a:fillRect/>
                    </a:stretch>
                  </pic:blipFill>
                  <pic:spPr bwMode="auto">
                    <a:xfrm>
                      <a:off x="0" y="0"/>
                      <a:ext cx="6654800" cy="581025"/>
                    </a:xfrm>
                    <a:prstGeom prst="rect">
                      <a:avLst/>
                    </a:prstGeom>
                    <a:noFill/>
                  </pic:spPr>
                </pic:pic>
              </a:graphicData>
            </a:graphic>
          </wp:anchor>
        </w:drawing>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LLC Interests held by the Continuing LLC Owners are redeemable in accordance with the TWM LLC Agreement, at the election of such holders, for shares of Class A common stock or Class B common stock, as applicable, on a one-for-one basis or, at the Company’s option, a cash payment in accordance with the terms of the TWM LLC Agreement.</w:t>
      </w:r>
    </w:p>
    <w:p>
      <w:pPr>
        <w:spacing w:after="0" w:line="155"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impact on Tradeweb Market Inc.’s equity due to changes in the Corporation’s ownership interest in TWM LLC: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 Attributable to Tradeweb Markets Inc. and Transfers (to) from the Non-</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Controlling Interests</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4"/>
        </w:trPr>
        <w:tc>
          <w:tcPr>
            <w:tcW w:w="6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4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812,792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501,507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364,866</w:t>
            </w:r>
          </w:p>
        </w:tc>
        <w:tc>
          <w:tcPr>
            <w:tcW w:w="0" w:type="dxa"/>
            <w:vAlign w:val="bottom"/>
          </w:tcPr>
          <w:p>
            <w:pPr>
              <w:spacing w:after="0"/>
              <w:rPr>
                <w:sz w:val="1"/>
                <w:szCs w:val="1"/>
                <w:color w:val="auto"/>
              </w:rPr>
            </w:pPr>
          </w:p>
        </w:tc>
      </w:tr>
      <w:tr>
        <w:trPr>
          <w:trHeight w:val="264"/>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Transfers (to) from non-controlling interests:</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80" w:type="dxa"/>
            <w:vAlign w:val="bottom"/>
            <w:gridSpan w:val="2"/>
          </w:tcPr>
          <w:p>
            <w:pPr>
              <w:ind w:left="280"/>
              <w:spacing w:after="0" w:line="225" w:lineRule="exact"/>
              <w:rPr>
                <w:sz w:val="20"/>
                <w:szCs w:val="20"/>
                <w:color w:val="auto"/>
              </w:rPr>
            </w:pPr>
            <w:r>
              <w:rPr>
                <w:rFonts w:ascii="Times New Roman" w:cs="Times New Roman" w:eastAsia="Times New Roman" w:hAnsi="Times New Roman"/>
                <w:sz w:val="20"/>
                <w:szCs w:val="20"/>
                <w:color w:val="auto"/>
              </w:rPr>
              <w:t>Increase/(decrease) in Tradeweb Markets Inc.’s additional paid-in capital as</w:t>
            </w:r>
          </w:p>
        </w:tc>
        <w:tc>
          <w:tcPr>
            <w:tcW w:w="3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3,821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77,767</w:t>
            </w:r>
          </w:p>
        </w:tc>
        <w:tc>
          <w:tcPr>
            <w:tcW w:w="0" w:type="dxa"/>
            <w:vAlign w:val="bottom"/>
          </w:tcPr>
          <w:p>
            <w:pPr>
              <w:spacing w:after="0"/>
              <w:rPr>
                <w:sz w:val="1"/>
                <w:szCs w:val="1"/>
                <w:color w:val="auto"/>
              </w:rPr>
            </w:pPr>
          </w:p>
        </w:tc>
      </w:tr>
      <w:tr>
        <w:trPr>
          <w:trHeight w:val="264"/>
        </w:trPr>
        <w:tc>
          <w:tcPr>
            <w:tcW w:w="6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 result of ownership changes in TWM LLC</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5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Net transfers (to) from non-controlling interests</w:t>
            </w: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3,821</w:t>
            </w:r>
          </w:p>
        </w:tc>
        <w:tc>
          <w:tcPr>
            <w:tcW w:w="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(849)</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77,767</w:t>
            </w:r>
          </w:p>
        </w:tc>
        <w:tc>
          <w:tcPr>
            <w:tcW w:w="0" w:type="dxa"/>
            <w:vAlign w:val="bottom"/>
          </w:tcPr>
          <w:p>
            <w:pPr>
              <w:spacing w:after="0"/>
              <w:rPr>
                <w:sz w:val="1"/>
                <w:szCs w:val="1"/>
                <w:color w:val="auto"/>
              </w:rPr>
            </w:pPr>
          </w:p>
        </w:tc>
      </w:tr>
      <w:tr>
        <w:trPr>
          <w:trHeight w:val="181"/>
        </w:trPr>
        <w:tc>
          <w:tcPr>
            <w:tcW w:w="658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20"/>
                <w:szCs w:val="20"/>
                <w:color w:val="auto"/>
              </w:rPr>
              <w:t>Change from net income attributable to Tradeweb Markets Inc. and transfers</w:t>
            </w:r>
          </w:p>
        </w:tc>
        <w:tc>
          <w:tcPr>
            <w:tcW w:w="3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816,613</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500,658</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442,633</w:t>
            </w:r>
          </w:p>
        </w:tc>
        <w:tc>
          <w:tcPr>
            <w:tcW w:w="0" w:type="dxa"/>
            <w:vAlign w:val="bottom"/>
          </w:tcPr>
          <w:p>
            <w:pPr>
              <w:spacing w:after="0"/>
              <w:rPr>
                <w:sz w:val="1"/>
                <w:szCs w:val="1"/>
                <w:color w:val="auto"/>
              </w:rPr>
            </w:pPr>
          </w:p>
        </w:tc>
      </w:tr>
      <w:tr>
        <w:trPr>
          <w:trHeight w:val="244"/>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 from non-controlling interests</w:t>
            </w:r>
          </w:p>
        </w:tc>
        <w:tc>
          <w:tcPr>
            <w:tcW w:w="32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80" w:type="dxa"/>
            <w:vAlign w:val="bottom"/>
            <w:gridSpan w:val="3"/>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-1164590</wp:posOffset>
            </wp:positionV>
            <wp:extent cx="6654800" cy="1171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4">
                      <a:extLst>
                        <a:ext uri="{28A0092B-C50C-407E-A947-70E740481C1C}"/>
                      </a:extLst>
                    </a:blip>
                    <a:srcRect/>
                    <a:stretch>
                      <a:fillRect/>
                    </a:stretch>
                  </pic:blipFill>
                  <pic:spPr bwMode="auto">
                    <a:xfrm>
                      <a:off x="0" y="0"/>
                      <a:ext cx="6654800" cy="1171575"/>
                    </a:xfrm>
                    <a:prstGeom prst="rect">
                      <a:avLst/>
                    </a:prstGeom>
                    <a:noFill/>
                  </pic:spPr>
                </pic:pic>
              </a:graphicData>
            </a:graphic>
          </wp:anchor>
        </w:drawing>
      </w:r>
    </w:p>
    <w:p>
      <w:pPr>
        <w:spacing w:after="0" w:line="181" w:lineRule="exact"/>
        <w:rPr>
          <w:sz w:val="20"/>
          <w:szCs w:val="20"/>
          <w:color w:val="auto"/>
        </w:rPr>
      </w:pPr>
    </w:p>
    <w:p>
      <w:pPr>
        <w:ind w:left="720" w:hanging="720"/>
        <w:spacing w:after="0"/>
        <w:tabs>
          <w:tab w:leader="none" w:pos="72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 Plans</w:t>
      </w:r>
    </w:p>
    <w:p>
      <w:pPr>
        <w:spacing w:after="0" w:line="2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restricted stock units (“RSUs”) and RSAs with only time-based vesting conditions, performance-based restricted stock units with both time and performance-based vesting conditions, stock options and dividend equivalent rights. Stock options have a maximum contractual term of 10 years.</w:t>
      </w:r>
    </w:p>
    <w:p>
      <w:pPr>
        <w:spacing w:after="0" w:line="16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In connection with organizational changes, on June 17, 2024, the Company determined that the employment of Thomas Pluta, former President of the Company, would terminate effective September 30, 2024. As of June 17, 2024, there was approximately $4.4 million in total unamortized stock-based compensation associated with equity awards previously granted to Mr. Pluta that was accelerated and amortized into expense over a revised estimated service period ending on September 30, 2024. Of this amount, $1.7 million represented regularly scheduled amortization that would have been recognized from June 17, 2024 through September 30, 2024 if Mr. Pluta’s employment was not terminated and $2.7 million represented accelerated stock-based compensation expense.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PRSU</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Performance-based restricted stock units that are promises to issue actual shares of Class A common stock based on the financial performance of the Company are referred to as “PRSUs.” 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For PRSU awards granted during 2024 and thereafter, the financial performance of the Company will be determined based on the compound annual growth rate over a three-year performance period beginning on January 1 in the year of grant. For PRSU awards granted during 2023, the financial performance of the Company was determined based on the financial performance of the Company in the grant year, and any earned awards that remain outstanding are subject to time-based vesting conditions. For all PRSU awards granted, the performance modifier can vary between 0% (minimum) and 250% (maximum) of the target (100%) award amount. Compensation expense for PRSUs that cliff vest is recognized on a straight-line basis over the vesting period for the entire award.</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10440"/>
          </w:cols>
          <w:pgMar w:left="900" w:top="838" w:right="900" w:bottom="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color w:val="auto"/>
        </w:rPr>
        <w:t>A summary of the Company’s outstanding PRSUs is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PRSUs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62"/>
        </w:trPr>
        <w:tc>
          <w:tcPr>
            <w:tcW w:w="6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PRSUs outstanding at December 31, 2024</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1,041,538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80.03</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147,733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135.80</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Vested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(295,890)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83.74</w:t>
            </w:r>
          </w:p>
        </w:tc>
        <w:tc>
          <w:tcPr>
            <w:tcW w:w="0" w:type="dxa"/>
            <w:vAlign w:val="bottom"/>
          </w:tcPr>
          <w:p>
            <w:pPr>
              <w:spacing w:after="0"/>
              <w:rPr>
                <w:sz w:val="1"/>
                <w:szCs w:val="1"/>
                <w:color w:val="auto"/>
              </w:rPr>
            </w:pPr>
          </w:p>
        </w:tc>
      </w:tr>
      <w:tr>
        <w:trPr>
          <w:trHeight w:val="285"/>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Performance adjustment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91.29</w:t>
            </w:r>
          </w:p>
        </w:tc>
        <w:tc>
          <w:tcPr>
            <w:tcW w:w="0" w:type="dxa"/>
            <w:vAlign w:val="bottom"/>
          </w:tcPr>
          <w:p>
            <w:pPr>
              <w:spacing w:after="0"/>
              <w:rPr>
                <w:sz w:val="1"/>
                <w:szCs w:val="1"/>
                <w:color w:val="auto"/>
              </w:rPr>
            </w:pPr>
          </w:p>
        </w:tc>
      </w:tr>
      <w:tr>
        <w:trPr>
          <w:trHeight w:val="245"/>
        </w:trPr>
        <w:tc>
          <w:tcPr>
            <w:tcW w:w="6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PRSUs outstanding at December 31, 2025</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875,090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87.96</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PRSU awards:</w:t>
            </w: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6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74"/>
        </w:trPr>
        <w:tc>
          <w:tcPr>
            <w:tcW w:w="6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80" w:type="dxa"/>
            <w:vAlign w:val="bottom"/>
            <w:gridSpan w:val="6"/>
          </w:tcPr>
          <w:p>
            <w:pPr>
              <w:jc w:val="center"/>
              <w:ind w:left="67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PRSU compensation expense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37,665</w:t>
            </w: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35,707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26,506</w:t>
            </w:r>
          </w:p>
        </w:tc>
        <w:tc>
          <w:tcPr>
            <w:tcW w:w="0" w:type="dxa"/>
            <w:vAlign w:val="bottom"/>
          </w:tcPr>
          <w:p>
            <w:pPr>
              <w:spacing w:after="0"/>
              <w:rPr>
                <w:sz w:val="1"/>
                <w:szCs w:val="1"/>
                <w:color w:val="auto"/>
              </w:rPr>
            </w:pPr>
          </w:p>
        </w:tc>
      </w:tr>
      <w:tr>
        <w:trPr>
          <w:trHeight w:val="285"/>
        </w:trPr>
        <w:tc>
          <w:tcPr>
            <w:tcW w:w="6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Income tax benefit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(12,323)</w:t>
            </w: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-2642235</wp:posOffset>
            </wp:positionV>
            <wp:extent cx="6654800" cy="11239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5">
                      <a:extLst>
                        <a:ext uri="{28A0092B-C50C-407E-A947-70E740481C1C}"/>
                      </a:extLst>
                    </a:blip>
                    <a:srcRect/>
                    <a:stretch>
                      <a:fillRect/>
                    </a:stretch>
                  </pic:blipFill>
                  <pic:spPr bwMode="auto">
                    <a:xfrm>
                      <a:off x="0" y="0"/>
                      <a:ext cx="6654800" cy="11239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6">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3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The weighted-average grant-date fair value of PRSUs granted during the years ended December 31, 2024 and 2023 was $104.66 and $69.56, respectively.</w:t>
      </w:r>
    </w:p>
    <w:p>
      <w:pPr>
        <w:spacing w:after="0" w:line="14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The total fair value of PRSUs vested during the years ended December 31, 2025, 2024 and 2023 was $38.9 million, $35.4 million and $46.2 million,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PSU</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Performance-based restricted stock units that are promises to issue actual shares of Class A common stock based on market conditions are referred to as “PSUs.” PSUs cliff vest on January 1 of the third calendar year from the calendar year of the date of grant and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the PSUs is recognized as compensation expense on a straight-line basis over the vesting period for the entire award, regardless of the number of shares received by the participant at vesting.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outstanding PSUs is presented below:</w:t>
      </w: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92"/>
        </w:trPr>
        <w:tc>
          <w:tcPr>
            <w:tcW w:w="7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92"/>
        </w:trPr>
        <w:tc>
          <w:tcPr>
            <w:tcW w:w="7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7"/>
        </w:trPr>
        <w:tc>
          <w:tcPr>
            <w:tcW w:w="7840" w:type="dxa"/>
            <w:vAlign w:val="bottom"/>
          </w:tcPr>
          <w:p>
            <w:pPr>
              <w:spacing w:after="0"/>
              <w:rPr>
                <w:sz w:val="18"/>
                <w:szCs w:val="18"/>
                <w:color w:val="auto"/>
              </w:rPr>
            </w:pPr>
          </w:p>
        </w:tc>
        <w:tc>
          <w:tcPr>
            <w:tcW w:w="12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PSUs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62"/>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PSUs outstanding at December 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312,058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110.69</w:t>
            </w:r>
          </w:p>
        </w:tc>
      </w:tr>
      <w:tr>
        <w:trPr>
          <w:trHeight w:val="285"/>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65,532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216.02</w:t>
            </w:r>
          </w:p>
        </w:tc>
      </w:tr>
      <w:tr>
        <w:trPr>
          <w:trHeight w:val="285"/>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Vested</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Performance adjustment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353,866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98.33</w:t>
            </w:r>
          </w:p>
        </w:tc>
      </w:tr>
      <w:tr>
        <w:trPr>
          <w:trHeight w:val="288"/>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PSUs outstanding at December 31, 2025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731,456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114.15</w:t>
            </w:r>
          </w:p>
        </w:tc>
      </w:tr>
      <w:tr>
        <w:trPr>
          <w:trHeight w:val="20"/>
        </w:trPr>
        <w:tc>
          <w:tcPr>
            <w:tcW w:w="7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654800" cy="11239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7">
                      <a:extLst>
                        <a:ext uri="{28A0092B-C50C-407E-A947-70E740481C1C}"/>
                      </a:extLst>
                    </a:blip>
                    <a:srcRect/>
                    <a:stretch>
                      <a:fillRect/>
                    </a:stretch>
                  </pic:blipFill>
                  <pic:spPr bwMode="auto">
                    <a:xfrm>
                      <a:off x="0" y="0"/>
                      <a:ext cx="6654800" cy="1123950"/>
                    </a:xfrm>
                    <a:prstGeom prst="rect">
                      <a:avLst/>
                    </a:prstGeom>
                    <a:noFill/>
                  </pic:spPr>
                </pic:pic>
              </a:graphicData>
            </a:graphic>
          </wp:anchor>
        </w:drawing>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10440"/>
          </w:cols>
          <w:pgMar w:left="900" w:top="838" w:right="900" w:bottom="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PSU awards: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0" w:type="dxa"/>
            <w:vAlign w:val="bottom"/>
            <w:gridSpan w:val="6"/>
          </w:tcPr>
          <w:p>
            <w:pPr>
              <w:jc w:val="center"/>
              <w:ind w:left="55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PSU compensation expense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15,374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7,043</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8">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The weighted-average grant-date fair value of PSUs granted during the years ended December 31, 2024 and 2023 was $149.00 and $98.33,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PSUs vested during the years ended December 31, 2024 and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assumptions used to estimate the fair value of PSUs using the Monte Carlo simulation model were as follows:</w:t>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March 17, 2025</w:t>
            </w:r>
          </w:p>
        </w:tc>
        <w:tc>
          <w:tcPr>
            <w:tcW w:w="6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March 15, 2024</w:t>
            </w:r>
          </w:p>
        </w:tc>
        <w:tc>
          <w:tcPr>
            <w:tcW w:w="6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March 15, 2023</w:t>
            </w:r>
          </w:p>
        </w:tc>
      </w:tr>
      <w:tr>
        <w:trPr>
          <w:trHeight w:val="217"/>
        </w:trPr>
        <w:tc>
          <w:tcPr>
            <w:tcW w:w="6520" w:type="dxa"/>
            <w:vAlign w:val="bottom"/>
          </w:tcPr>
          <w:p>
            <w:pPr>
              <w:spacing w:after="0"/>
              <w:rPr>
                <w:sz w:val="18"/>
                <w:szCs w:val="18"/>
                <w:color w:val="auto"/>
              </w:rPr>
            </w:pPr>
          </w:p>
        </w:tc>
        <w:tc>
          <w:tcPr>
            <w:tcW w:w="12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PSU Grant</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PSU Grant</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PSU Grant</w:t>
            </w:r>
          </w:p>
        </w:tc>
      </w:tr>
      <w:tr>
        <w:trPr>
          <w:trHeight w:val="262"/>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Maturity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Annualized volatility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25.04 %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26.63 %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28.81 %</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4.44 %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6654800" cy="5683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9">
                      <a:extLst>
                        <a:ext uri="{28A0092B-C50C-407E-A947-70E740481C1C}"/>
                      </a:extLst>
                    </a:blip>
                    <a:srcRect/>
                    <a:stretch>
                      <a:fillRect/>
                    </a:stretch>
                  </pic:blipFill>
                  <pic:spPr bwMode="auto">
                    <a:xfrm>
                      <a:off x="0" y="0"/>
                      <a:ext cx="6654800" cy="56832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Options</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Prior to the IPO, the Company granted the Special Option Award to management and other employees and granted additional options subsequent to the IPO in July 2019 and December 2019, in each case under the Option Plan. Each option award was scheduled to vest one half based solely on the passage of time and one half only if the Company achieved certain performance targets. The options had a four-year graded vesting schedule, with accelerated vesting for the time-based Special Option Award options originally scheduled to vest in years three and four that were accelerated upon completion of the IPO. The option stock-based compensation expense recognition commenced upon the completion of the IPO during the second quarter of 2019 and were fully vested and fully expensed by the first quarter of 2024.</w:t>
      </w:r>
    </w:p>
    <w:p>
      <w:pPr>
        <w:spacing w:after="0" w:line="16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0"/>
          <w:szCs w:val="20"/>
          <w:color w:val="auto"/>
        </w:rPr>
        <w:t>The Company can elect to net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settle exercised options by reducing the shares of Class A common stock to be issued upon such exercise by the number of shares of Class A common stock having a fair market value on the date of exercise equal to the aggregate option price and withholding taxes payable in respect of the number of options exercised. The Company may then pay these employee payroll taxes from the Company’s cash.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outstanding options is presented below:</w:t>
      </w:r>
    </w:p>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6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92"/>
        </w:trPr>
        <w:tc>
          <w:tcPr>
            <w:tcW w:w="6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8"/>
              </w:rPr>
              <w:t>Grant-Date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7"/>
        </w:trPr>
        <w:tc>
          <w:tcPr>
            <w:tcW w:w="6520" w:type="dxa"/>
            <w:vAlign w:val="bottom"/>
          </w:tcPr>
          <w:p>
            <w:pPr>
              <w:spacing w:after="0"/>
              <w:rPr>
                <w:sz w:val="18"/>
                <w:szCs w:val="18"/>
                <w:color w:val="auto"/>
              </w:rPr>
            </w:pPr>
          </w:p>
        </w:tc>
        <w:tc>
          <w:tcPr>
            <w:tcW w:w="12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r>
      <w:tr>
        <w:trPr>
          <w:trHeight w:val="262"/>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Options outstanding at December 31, 2024</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343,011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Granted</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Forfeited</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Expired</w:t>
            </w: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Options outstanding at December 31, 2025</w:t>
            </w: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331,011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w:t>
            </w:r>
          </w:p>
        </w:tc>
      </w:tr>
      <w:tr>
        <w:trPr>
          <w:trHeight w:val="20"/>
        </w:trPr>
        <w:tc>
          <w:tcPr>
            <w:tcW w:w="6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654800" cy="11239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0">
                      <a:extLst>
                        <a:ext uri="{28A0092B-C50C-407E-A947-70E740481C1C}"/>
                      </a:extLst>
                    </a:blip>
                    <a:srcRect/>
                    <a:stretch>
                      <a:fillRect/>
                    </a:stretch>
                  </pic:blipFill>
                  <pic:spPr bwMode="auto">
                    <a:xfrm>
                      <a:off x="0" y="0"/>
                      <a:ext cx="6654800" cy="11239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options outstanding as of December 31, 2025 were fully vested and exercisable.</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10440"/>
          </w:cols>
          <w:pgMar w:left="900" w:top="838" w:right="900" w:bottom="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option awards:</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120" w:type="dxa"/>
            <w:vAlign w:val="bottom"/>
            <w:gridSpan w:val="6"/>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Options compensation expense</w:t>
            </w:r>
          </w:p>
        </w:tc>
        <w:tc>
          <w:tcPr>
            <w:tcW w:w="800" w:type="dxa"/>
            <w:vAlign w:val="bottom"/>
          </w:tcPr>
          <w:p>
            <w:pPr>
              <w:jc w:val="right"/>
              <w:ind w:right="547"/>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800" w:type="dxa"/>
            <w:vAlign w:val="bottom"/>
          </w:tcPr>
          <w:p>
            <w:pPr>
              <w:jc w:val="right"/>
              <w:ind w:right="547"/>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(227)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(11,984)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1">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options granted during the years ended December 31, 2024 and 2023.</w:t>
      </w:r>
    </w:p>
    <w:p>
      <w:pPr>
        <w:spacing w:after="0" w:line="21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The total intrinsic value of options exercised during the years ended December 31, 2025, 2024 and 2023 was $1.0 million, $53.3 million and $77.4 million, respectively.</w:t>
      </w:r>
    </w:p>
    <w:p>
      <w:pPr>
        <w:spacing w:after="0" w:line="14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The total intrinsic value of all options outstanding as of December 31, 2025 was $28.8 million. The weighted average remaining contractual life of all options outstanding as of December 31, 2025 was 2.8 years.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RSUs and RSAs</w:t>
      </w:r>
    </w:p>
    <w:p>
      <w:pPr>
        <w:spacing w:after="0" w:line="2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RSUs are promises to issue shares of Class A common stock at the end of a vesting period. RSAs are issued shares of restricted Class A common stock that are released to an employee at the end of a vesting period. RSUs granted to employees generally vest one-third each year over a three-year period. RSAs vest at the end of a two-year period. RSUs granted to non-employee directors generally vest after one year. The grant-date fair value of RSUs and RSAs is amortized into expense on a straight-line basis over the requisite service period for the entire award, with compensation cost recognized to date at least equal to the measured cost of vested tranches.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outstanding RSUs and RSAs is presented below:</w:t>
      </w: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92"/>
        </w:trPr>
        <w:tc>
          <w:tcPr>
            <w:tcW w:w="7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92"/>
        </w:trPr>
        <w:tc>
          <w:tcPr>
            <w:tcW w:w="7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7"/>
        </w:trPr>
        <w:tc>
          <w:tcPr>
            <w:tcW w:w="78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RSUs and RSAs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87"/>
        </w:trPr>
        <w:tc>
          <w:tcPr>
            <w:tcW w:w="7840" w:type="dxa"/>
            <w:vAlign w:val="bottom"/>
          </w:tcPr>
          <w:p>
            <w:pPr>
              <w:spacing w:after="0" w:line="287" w:lineRule="exact"/>
              <w:rPr>
                <w:sz w:val="20"/>
                <w:szCs w:val="20"/>
                <w:color w:val="auto"/>
              </w:rPr>
            </w:pPr>
            <w:r>
              <w:rPr>
                <w:rFonts w:ascii="Times New Roman" w:cs="Times New Roman" w:eastAsia="Times New Roman" w:hAnsi="Times New Roman"/>
                <w:sz w:val="20"/>
                <w:szCs w:val="20"/>
                <w:color w:val="auto"/>
              </w:rPr>
              <w:t xml:space="preserve">RSUs and RSAs outstanding at December 31, 2024 </w:t>
            </w:r>
            <w:r>
              <w:rPr>
                <w:rFonts w:ascii="Times New Roman" w:cs="Times New Roman" w:eastAsia="Times New Roman" w:hAnsi="Times New Roman"/>
                <w:sz w:val="26"/>
                <w:szCs w:val="26"/>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1,163,899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90.21</w:t>
            </w:r>
          </w:p>
        </w:tc>
      </w:tr>
      <w:tr>
        <w:trPr>
          <w:trHeight w:val="260"/>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397,771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134.36</w:t>
            </w:r>
          </w:p>
        </w:tc>
      </w:tr>
      <w:tr>
        <w:trPr>
          <w:trHeight w:val="285"/>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Vested</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(545,909)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86.36</w:t>
            </w:r>
          </w:p>
        </w:tc>
      </w:tr>
      <w:tr>
        <w:trPr>
          <w:trHeight w:val="288"/>
        </w:trPr>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109.21</w:t>
            </w:r>
          </w:p>
        </w:tc>
      </w:tr>
      <w:tr>
        <w:trPr>
          <w:trHeight w:val="24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RSUs and RSAs outstanding at December 31, 2025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1,005,486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109.57</w:t>
            </w:r>
          </w:p>
        </w:tc>
      </w:tr>
      <w:tr>
        <w:trPr>
          <w:trHeight w:val="20"/>
        </w:trPr>
        <w:tc>
          <w:tcPr>
            <w:tcW w:w="7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654800" cy="9429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2">
                      <a:extLst>
                        <a:ext uri="{28A0092B-C50C-407E-A947-70E740481C1C}"/>
                      </a:extLst>
                    </a:blip>
                    <a:srcRect/>
                    <a:stretch>
                      <a:fillRect/>
                    </a:stretch>
                  </pic:blipFill>
                  <pic:spPr bwMode="auto">
                    <a:xfrm>
                      <a:off x="0" y="0"/>
                      <a:ext cx="6654800" cy="942975"/>
                    </a:xfrm>
                    <a:prstGeom prst="rect">
                      <a:avLst/>
                    </a:prstGeom>
                    <a:noFill/>
                  </pic:spPr>
                </pic:pic>
              </a:graphicData>
            </a:graphic>
          </wp:anchor>
        </w:drawing>
      </w:r>
    </w:p>
    <w:p>
      <w:pPr>
        <w:spacing w:after="0" w:line="100" w:lineRule="exact"/>
        <w:rPr>
          <w:sz w:val="20"/>
          <w:szCs w:val="20"/>
          <w:color w:val="auto"/>
        </w:rPr>
      </w:pPr>
    </w:p>
    <w:p>
      <w:pPr>
        <w:ind w:left="360" w:hanging="360"/>
        <w:spacing w:after="0"/>
        <w:tabs>
          <w:tab w:leader="none" w:pos="3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closing of the ICD Acquisition, on August 1, 2024, the Corporation issued and sold 41,705 RSAs with a grant date fair value of</w:t>
      </w:r>
    </w:p>
    <w:p>
      <w:pPr>
        <w:spacing w:after="0" w:line="24" w:lineRule="exact"/>
        <w:rPr>
          <w:rFonts w:ascii="Times New Roman" w:cs="Times New Roman" w:eastAsia="Times New Roman" w:hAnsi="Times New Roman"/>
          <w:sz w:val="16"/>
          <w:szCs w:val="16"/>
          <w:color w:val="auto"/>
        </w:rPr>
      </w:pPr>
    </w:p>
    <w:p>
      <w:pPr>
        <w:ind w:left="360" w:right="2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$111.68 per share. The RSAs issued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two-year service period required subsequent to the acquisition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RSU and RSA awards:</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0" w:type="dxa"/>
            <w:vAlign w:val="bottom"/>
            <w:gridSpan w:val="6"/>
          </w:tcPr>
          <w:p>
            <w:pPr>
              <w:jc w:val="center"/>
              <w:ind w:left="55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RSU and RSA compensation expense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50,498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41,596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30,315</w:t>
            </w:r>
          </w:p>
        </w:tc>
      </w:tr>
      <w:tr>
        <w:trPr>
          <w:trHeight w:val="28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3">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3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The weighted-average grant-date fair value of RSUs and RSAs granted during the years ended December 31, 2024 and 2023 was $106.45 and $69.70, respectively.</w:t>
      </w:r>
    </w:p>
    <w:p>
      <w:pPr>
        <w:spacing w:after="0" w:line="141"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19"/>
          <w:szCs w:val="19"/>
          <w:color w:val="auto"/>
        </w:rPr>
        <w:t>The total fair value of RSUs vested during the years ended December 31, 2025, 2024 and 2023 was $76.8 million, $48.2 million and $30.7 million, respectively. There were no RSAs vested during the years ended December 31, 2025, 2024 and 2023.</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10440"/>
          </w:cols>
          <w:pgMar w:left="900" w:top="838" w:right="900" w:bottom="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Expense</w:t>
      </w:r>
    </w:p>
    <w:p>
      <w:pPr>
        <w:spacing w:after="0" w:line="21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The Company records stock-based compensation expense for employees and directors in the consolidated statements of income, as a component of employee compensation and benefits. A summary of the Company’s total stock-based compensation expense relating to its PRSUs, PSUs, RSUs, RSAs and options, including the accelerated stock-based compensation expense discussed above, is presented below:</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4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Total stock-based compensation expense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103,537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-184785</wp:posOffset>
            </wp:positionV>
            <wp:extent cx="6654800" cy="2063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4">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ind w:right="160"/>
        <w:spacing w:after="0" w:line="309" w:lineRule="auto"/>
        <w:rPr>
          <w:sz w:val="20"/>
          <w:szCs w:val="20"/>
          <w:color w:val="auto"/>
        </w:rPr>
      </w:pPr>
      <w:r>
        <w:rPr>
          <w:rFonts w:ascii="Times New Roman" w:cs="Times New Roman" w:eastAsia="Times New Roman" w:hAnsi="Times New Roman"/>
          <w:sz w:val="19"/>
          <w:szCs w:val="19"/>
          <w:color w:val="auto"/>
        </w:rPr>
        <w:t>The stock-based compensation expense above excludes $2.8 million, $2.3 million and $1.5 million of stock-based compensation expense capitalized to software development costs during the years ended December 31, 2025, 2024 and 2023, respectively.</w:t>
      </w:r>
    </w:p>
    <w:p>
      <w:pPr>
        <w:spacing w:after="0" w:line="11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As of December 31, 2025, total unrecognized compensation expense related to unvested stock-based compensation arrangements and the expected recognition period are as follows: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PRSUs</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07"/>
              <w:spacing w:after="0"/>
              <w:rPr>
                <w:sz w:val="20"/>
                <w:szCs w:val="20"/>
                <w:color w:val="auto"/>
              </w:rPr>
            </w:pPr>
            <w:r>
              <w:rPr>
                <w:rFonts w:ascii="Times New Roman" w:cs="Times New Roman" w:eastAsia="Times New Roman" w:hAnsi="Times New Roman"/>
                <w:sz w:val="16"/>
                <w:szCs w:val="16"/>
                <w:b w:val="1"/>
                <w:bCs w:val="1"/>
                <w:color w:val="auto"/>
                <w:w w:val="98"/>
              </w:rPr>
              <w:t>PSUs</w:t>
            </w:r>
          </w:p>
        </w:tc>
        <w:tc>
          <w:tcPr>
            <w:tcW w:w="60" w:type="dxa"/>
            <w:vAlign w:val="bottom"/>
          </w:tcPr>
          <w:p>
            <w:pPr>
              <w:spacing w:after="0"/>
              <w:rPr>
                <w:sz w:val="18"/>
                <w:szCs w:val="18"/>
                <w:color w:val="auto"/>
              </w:rPr>
            </w:pP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RSUs and RSAs</w:t>
            </w:r>
          </w:p>
        </w:tc>
      </w:tr>
      <w:tr>
        <w:trPr>
          <w:trHeight w:val="274"/>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78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860" w:type="dxa"/>
            <w:vAlign w:val="bottom"/>
          </w:tcPr>
          <w:p>
            <w:pPr>
              <w:spacing w:after="0"/>
              <w:rPr>
                <w:sz w:val="23"/>
                <w:szCs w:val="23"/>
                <w:color w:val="auto"/>
              </w:rPr>
            </w:pPr>
          </w:p>
        </w:tc>
      </w:tr>
      <w:tr>
        <w:trPr>
          <w:trHeight w:val="28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unrecognized compensation cost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40,595</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14,030</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58,105</w:t>
            </w:r>
          </w:p>
        </w:tc>
      </w:tr>
      <w:tr>
        <w:trPr>
          <w:trHeight w:val="28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recognition period (in years)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5">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24" w:lineRule="exact"/>
        <w:rPr>
          <w:sz w:val="20"/>
          <w:szCs w:val="20"/>
          <w:color w:val="auto"/>
        </w:rPr>
      </w:pPr>
    </w:p>
    <w:p>
      <w:pPr>
        <w:ind w:left="720" w:hanging="720"/>
        <w:spacing w:after="0"/>
        <w:tabs>
          <w:tab w:leader="none" w:pos="72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2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auto"/>
        </w:rPr>
        <w:t>From time to time, the Company enters into transactions with its related parties which are considered to be related party transactions. As of December 31, 2025 and 2024, the following balances relating to transactions with such related parties were included in the consolidated statements of financial condition in the following line items: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20"/>
        </w:trPr>
        <w:tc>
          <w:tcPr>
            <w:tcW w:w="7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74"/>
        </w:trPr>
        <w:tc>
          <w:tcPr>
            <w:tcW w:w="7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40" w:type="dxa"/>
            <w:vAlign w:val="bottom"/>
            <w:gridSpan w:val="4"/>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288"/>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Receivable and due from related parties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8,094</w:t>
            </w:r>
          </w:p>
        </w:tc>
      </w:tr>
      <w:tr>
        <w:trPr>
          <w:trHeight w:val="289"/>
        </w:trPr>
        <w:tc>
          <w:tcPr>
            <w:tcW w:w="784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Other assets </w:t>
            </w:r>
            <w:r>
              <w:rPr>
                <w:rFonts w:ascii="Times New Roman" w:cs="Times New Roman" w:eastAsia="Times New Roman" w:hAnsi="Times New Roman"/>
                <w:sz w:val="26"/>
                <w:szCs w:val="26"/>
                <w:color w:val="auto"/>
                <w:vertAlign w:val="superscript"/>
              </w:rPr>
              <w:t>(1)</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1"/>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accrued expenses and other liabilities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6,459</w:t>
            </w:r>
          </w:p>
        </w:tc>
      </w:tr>
      <w:tr>
        <w:trPr>
          <w:trHeight w:val="285"/>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Payable and due to related parties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6654800" cy="11112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6">
                      <a:extLst>
                        <a:ext uri="{28A0092B-C50C-407E-A947-70E740481C1C}"/>
                      </a:extLst>
                    </a:blip>
                    <a:srcRect/>
                    <a:stretch>
                      <a:fillRect/>
                    </a:stretch>
                  </pic:blipFill>
                  <pic:spPr bwMode="auto">
                    <a:xfrm>
                      <a:off x="0" y="0"/>
                      <a:ext cx="6654800" cy="1111250"/>
                    </a:xfrm>
                    <a:prstGeom prst="rect">
                      <a:avLst/>
                    </a:prstGeom>
                    <a:noFill/>
                  </pic:spPr>
                </pic:pic>
              </a:graphicData>
            </a:graphic>
          </wp:anchor>
        </w:drawing>
      </w:r>
    </w:p>
    <w:p>
      <w:pPr>
        <w:spacing w:after="0" w:line="143" w:lineRule="exact"/>
        <w:rPr>
          <w:sz w:val="20"/>
          <w:szCs w:val="20"/>
          <w:color w:val="auto"/>
        </w:rPr>
      </w:pPr>
    </w:p>
    <w:p>
      <w:pPr>
        <w:ind w:left="360" w:right="160" w:hanging="360"/>
        <w:spacing w:after="0" w:line="266" w:lineRule="auto"/>
        <w:tabs>
          <w:tab w:leader="none" w:pos="3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other assets includes a $4.5 million equity method investment representing a 50% equity interest in iAltA Capital Markets, LLC (“iAltA Capital”), in which an entity affiliated with a member of the Company’s board of directors is the other 50% investor (“iAltA Holdings”) and the Company’s director is also the Chief Executive Officer of both iAltA Capital and iAltA Holdings.</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10440"/>
          </w:cols>
          <w:pgMar w:left="900" w:top="834" w:right="900" w:bottom="0" w:gutter="0" w:footer="0" w:header="0"/>
          <w:type w:val="continuous"/>
        </w:sectPr>
      </w:pPr>
    </w:p>
    <w:bookmarkStart w:id="153" w:name="page154"/>
    <w:bookmarkEnd w:id="153"/>
    <w:p>
      <w:pPr>
        <w:ind w:right="20"/>
        <w:spacing w:after="0" w:line="281" w:lineRule="auto"/>
        <w:rPr>
          <w:sz w:val="20"/>
          <w:szCs w:val="20"/>
          <w:color w:val="auto"/>
        </w:rPr>
      </w:pPr>
      <w:r>
        <w:rPr>
          <w:rFonts w:ascii="Times New Roman" w:cs="Times New Roman" w:eastAsia="Times New Roman" w:hAnsi="Times New Roman"/>
          <w:sz w:val="20"/>
          <w:szCs w:val="20"/>
          <w:color w:val="auto"/>
        </w:rPr>
        <w:t>The following amounts relating to transactions with such related parties were included in the consolidated statements of income in the following line items: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4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40" w:type="dxa"/>
            <w:vAlign w:val="bottom"/>
          </w:tcPr>
          <w:p>
            <w:pPr>
              <w:spacing w:after="0"/>
              <w:rPr>
                <w:sz w:val="23"/>
                <w:szCs w:val="23"/>
                <w:color w:val="auto"/>
              </w:rPr>
            </w:pPr>
          </w:p>
        </w:tc>
      </w:tr>
      <w:tr>
        <w:trPr>
          <w:trHeight w:val="264"/>
        </w:trPr>
        <w:tc>
          <w:tcPr>
            <w:tcW w:w="6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09"/>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Subscription fees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2,380</w:t>
            </w:r>
          </w:p>
        </w:tc>
      </w:tr>
      <w:tr>
        <w:trPr>
          <w:trHeight w:val="289"/>
        </w:trPr>
        <w:tc>
          <w:tcPr>
            <w:tcW w:w="6520" w:type="dxa"/>
            <w:vAlign w:val="bottom"/>
          </w:tcPr>
          <w:p>
            <w:pPr>
              <w:ind w:left="120"/>
              <w:spacing w:after="0" w:line="288" w:lineRule="exact"/>
              <w:rPr>
                <w:sz w:val="20"/>
                <w:szCs w:val="20"/>
                <w:color w:val="auto"/>
              </w:rPr>
            </w:pPr>
            <w:r>
              <w:rPr>
                <w:rFonts w:ascii="Times New Roman" w:cs="Times New Roman" w:eastAsia="Times New Roman" w:hAnsi="Times New Roman"/>
                <w:sz w:val="20"/>
                <w:szCs w:val="20"/>
                <w:color w:val="auto"/>
              </w:rPr>
              <w:t xml:space="preserve">LSEG market data fees </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93,197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82,145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64,336</w:t>
            </w:r>
          </w:p>
        </w:tc>
      </w:tr>
      <w:tr>
        <w:trPr>
          <w:trHeight w:val="278"/>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fees</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r>
      <w:tr>
        <w:trPr>
          <w:trHeight w:val="292"/>
        </w:trPr>
        <w:tc>
          <w:tcPr>
            <w:tcW w:w="6520" w:type="dxa"/>
            <w:vAlign w:val="bottom"/>
          </w:tcPr>
          <w:p>
            <w:pPr>
              <w:spacing w:after="0" w:line="292" w:lineRule="exact"/>
              <w:rPr>
                <w:sz w:val="20"/>
                <w:szCs w:val="20"/>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6"/>
                <w:szCs w:val="26"/>
                <w:b w:val="1"/>
                <w:bCs w:val="1"/>
                <w:color w:val="auto"/>
                <w:vertAlign w:val="superscript"/>
              </w:rPr>
              <w:t>(2)</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1"/>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Employee compensation and benefits</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Technology and communications</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5,747</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Professional fees</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82"/>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Occupancy</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64"/>
        </w:trPr>
        <w:tc>
          <w:tcPr>
            <w:tcW w:w="6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Non-operating income:</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78"/>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Other income (loss), net </w:t>
            </w:r>
            <w:r>
              <w:rPr>
                <w:rFonts w:ascii="Times New Roman" w:cs="Times New Roman" w:eastAsia="Times New Roman" w:hAnsi="Times New Roman"/>
                <w:sz w:val="26"/>
                <w:szCs w:val="26"/>
                <w:color w:val="auto"/>
                <w:vertAlign w:val="superscript"/>
              </w:rPr>
              <w:t>(3)</w:t>
            </w:r>
          </w:p>
        </w:tc>
        <w:tc>
          <w:tcPr>
            <w:tcW w:w="3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-2219325</wp:posOffset>
            </wp:positionV>
            <wp:extent cx="6654800" cy="2197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7">
                      <a:extLst>
                        <a:ext uri="{28A0092B-C50C-407E-A947-70E740481C1C}"/>
                      </a:extLst>
                    </a:blip>
                    <a:srcRect/>
                    <a:stretch>
                      <a:fillRect/>
                    </a:stretch>
                  </pic:blipFill>
                  <pic:spPr bwMode="auto">
                    <a:xfrm>
                      <a:off x="0" y="0"/>
                      <a:ext cx="6654800" cy="2197100"/>
                    </a:xfrm>
                    <a:prstGeom prst="rect">
                      <a:avLst/>
                    </a:prstGeom>
                    <a:noFill/>
                  </pic:spPr>
                </pic:pic>
              </a:graphicData>
            </a:graphic>
          </wp:anchor>
        </w:drawing>
      </w:r>
    </w:p>
    <w:p>
      <w:pPr>
        <w:spacing w:after="0" w:line="75" w:lineRule="exact"/>
        <w:rPr>
          <w:sz w:val="20"/>
          <w:szCs w:val="20"/>
          <w:color w:val="auto"/>
        </w:rPr>
      </w:pPr>
    </w:p>
    <w:p>
      <w:pPr>
        <w:ind w:left="360" w:right="280" w:hanging="360"/>
        <w:spacing w:after="0" w:line="261" w:lineRule="auto"/>
        <w:tabs>
          <w:tab w:leader="none" w:pos="3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a market data license agreement with an affiliate of LSEG. Under the agreement, the Company delivers to LSEG certain market data feeds which LSEG distributes to its customers. The Company earns license fees and royalties for these feeds.</w:t>
      </w:r>
    </w:p>
    <w:p>
      <w:pPr>
        <w:ind w:left="360" w:right="600" w:hanging="360"/>
        <w:spacing w:after="0" w:line="250" w:lineRule="auto"/>
        <w:tabs>
          <w:tab w:leader="none" w:pos="3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agreements with LSEG to provide the Company with certain market data, office space, finance, human resources and other administrative services.</w:t>
      </w:r>
    </w:p>
    <w:p>
      <w:pPr>
        <w:ind w:left="360" w:hanging="360"/>
        <w:spacing w:after="0"/>
        <w:tabs>
          <w:tab w:leader="none" w:pos="3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Company’s estimated pro rata share of losses from its equity method investment in iAltA Capital during the year.</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In addition to the above, the Company also periodically does business with certain entities with which its directors are affiliated. During the years ended December 31, 2025, 2024 and 2023, such transactions have not had, and are not currently expected to have, a material impact on the Company’s consolidated financial statements.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10440"/>
          </w:cols>
          <w:pgMar w:left="900" w:top="838" w:right="900" w:bottom="0" w:gutter="0" w:footer="0" w:header="0"/>
          <w:type w:val="continuous"/>
        </w:sectPr>
      </w:pPr>
    </w:p>
    <w:bookmarkStart w:id="154" w:name="page155"/>
    <w:bookmarkEnd w:id="154"/>
    <w:p>
      <w:pPr>
        <w:ind w:left="720" w:hanging="720"/>
        <w:spacing w:after="0"/>
        <w:tabs>
          <w:tab w:leader="none" w:pos="72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 and Other Assets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 and Other Assets Measured at Fair Value</w:t>
      </w:r>
    </w:p>
    <w:p>
      <w:pPr>
        <w:spacing w:after="0" w:line="21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Company’s financial instruments and other assets measured at fair value on the consolidated statements of financial condition as of December 31, 2025 and 2024 have been categorized based upon the fair value hierarchy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116205</wp:posOffset>
            </wp:positionV>
            <wp:extent cx="6654800" cy="4686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8">
                      <a:extLst>
                        <a:ext uri="{28A0092B-C50C-407E-A947-70E740481C1C}"/>
                      </a:extLst>
                    </a:blip>
                    <a:srcRect/>
                    <a:stretch>
                      <a:fillRect/>
                    </a:stretch>
                  </pic:blipFill>
                  <pic:spPr bwMode="auto">
                    <a:xfrm>
                      <a:off x="0" y="0"/>
                      <a:ext cx="6654800" cy="468630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8"/>
              </w:rPr>
              <w:t>for Identical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25"/>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As of December 31, 2025</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4"/>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Cash equivalents – Money market funds and other highly liquid</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investments</w:t>
            </w: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1,810,560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1,810,560</w:t>
            </w:r>
          </w:p>
        </w:tc>
        <w:tc>
          <w:tcPr>
            <w:tcW w:w="0" w:type="dxa"/>
            <w:vAlign w:val="bottom"/>
          </w:tcPr>
          <w:p>
            <w:pPr>
              <w:spacing w:after="0"/>
              <w:rPr>
                <w:sz w:val="1"/>
                <w:szCs w:val="1"/>
                <w:color w:val="auto"/>
              </w:rPr>
            </w:pPr>
          </w:p>
        </w:tc>
      </w:tr>
      <w:tr>
        <w:trPr>
          <w:trHeight w:val="310"/>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Investment in available for sale debt securities </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24,857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24,857</w:t>
            </w:r>
          </w:p>
        </w:tc>
        <w:tc>
          <w:tcPr>
            <w:tcW w:w="0" w:type="dxa"/>
            <w:vAlign w:val="bottom"/>
          </w:tcPr>
          <w:p>
            <w:pPr>
              <w:spacing w:after="0"/>
              <w:rPr>
                <w:sz w:val="1"/>
                <w:szCs w:val="1"/>
                <w:color w:val="auto"/>
              </w:rPr>
            </w:pPr>
          </w:p>
        </w:tc>
      </w:tr>
      <w:tr>
        <w:trPr>
          <w:trHeight w:val="281"/>
        </w:trPr>
        <w:tc>
          <w:tcPr>
            <w:tcW w:w="5280" w:type="dxa"/>
            <w:vAlign w:val="bottom"/>
            <w:gridSpan w:val="2"/>
          </w:tcPr>
          <w:p>
            <w:pPr>
              <w:ind w:left="60"/>
              <w:spacing w:after="0" w:line="281" w:lineRule="exact"/>
              <w:rPr>
                <w:sz w:val="20"/>
                <w:szCs w:val="20"/>
                <w:color w:val="auto"/>
              </w:rPr>
            </w:pPr>
            <w:r>
              <w:rPr>
                <w:rFonts w:ascii="Times New Roman" w:cs="Times New Roman" w:eastAsia="Times New Roman" w:hAnsi="Times New Roman"/>
                <w:sz w:val="20"/>
                <w:szCs w:val="20"/>
                <w:color w:val="auto"/>
              </w:rPr>
              <w:t xml:space="preserve">Digital asset loan receivable </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24,411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24,411</w:t>
            </w:r>
          </w:p>
        </w:tc>
        <w:tc>
          <w:tcPr>
            <w:tcW w:w="0" w:type="dxa"/>
            <w:vAlign w:val="bottom"/>
          </w:tcPr>
          <w:p>
            <w:pPr>
              <w:spacing w:after="0"/>
              <w:rPr>
                <w:sz w:val="1"/>
                <w:szCs w:val="1"/>
                <w:color w:val="auto"/>
              </w:rPr>
            </w:pPr>
          </w:p>
        </w:tc>
      </w:tr>
      <w:tr>
        <w:trPr>
          <w:trHeight w:val="267"/>
        </w:trPr>
        <w:tc>
          <w:tcPr>
            <w:tcW w:w="5280" w:type="dxa"/>
            <w:vAlign w:val="bottom"/>
            <w:gridSpan w:val="2"/>
          </w:tcPr>
          <w:p>
            <w:pPr>
              <w:ind w:left="60"/>
              <w:spacing w:after="0" w:line="267" w:lineRule="exact"/>
              <w:rPr>
                <w:sz w:val="20"/>
                <w:szCs w:val="20"/>
                <w:color w:val="auto"/>
              </w:rPr>
            </w:pPr>
            <w:r>
              <w:rPr>
                <w:rFonts w:ascii="Times New Roman" w:cs="Times New Roman" w:eastAsia="Times New Roman" w:hAnsi="Times New Roman"/>
                <w:sz w:val="20"/>
                <w:szCs w:val="20"/>
                <w:color w:val="auto"/>
              </w:rPr>
              <w:t xml:space="preserve">Digital assets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Canton Coins </w:t>
            </w:r>
            <w:r>
              <w:rPr>
                <w:rFonts w:ascii="Times New Roman" w:cs="Times New Roman" w:eastAsia="Times New Roman" w:hAnsi="Times New Roman"/>
                <w:sz w:val="26"/>
                <w:szCs w:val="26"/>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242,729</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242,729</w:t>
            </w:r>
          </w:p>
        </w:tc>
        <w:tc>
          <w:tcPr>
            <w:tcW w:w="0" w:type="dxa"/>
            <w:vAlign w:val="bottom"/>
          </w:tcPr>
          <w:p>
            <w:pPr>
              <w:spacing w:after="0"/>
              <w:rPr>
                <w:sz w:val="1"/>
                <w:szCs w:val="1"/>
                <w:color w:val="auto"/>
              </w:rPr>
            </w:pPr>
          </w:p>
        </w:tc>
      </w:tr>
      <w:tr>
        <w:trPr>
          <w:trHeight w:val="245"/>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2,053,289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24,411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24,857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2,102,557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0"/>
                <w:szCs w:val="20"/>
                <w:color w:val="auto"/>
              </w:rPr>
              <w:t>Payable and due to related parties – Foreign exchange</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ind w:right="6"/>
              <w:spacing w:after="0"/>
              <w:rPr>
                <w:sz w:val="20"/>
                <w:szCs w:val="20"/>
                <w:color w:val="auto"/>
              </w:rPr>
            </w:pPr>
            <w:r>
              <w:rPr>
                <w:rFonts w:ascii="Times New Roman" w:cs="Times New Roman" w:eastAsia="Times New Roman" w:hAnsi="Times New Roman"/>
                <w:sz w:val="20"/>
                <w:szCs w:val="20"/>
                <w:color w:val="auto"/>
              </w:rPr>
              <w:t>6,657</w:t>
            </w:r>
          </w:p>
        </w:tc>
        <w:tc>
          <w:tcPr>
            <w:tcW w:w="6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26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6,657</w:t>
            </w:r>
          </w:p>
        </w:tc>
        <w:tc>
          <w:tcPr>
            <w:tcW w:w="0" w:type="dxa"/>
            <w:vAlign w:val="bottom"/>
          </w:tcPr>
          <w:p>
            <w:pPr>
              <w:spacing w:after="0"/>
              <w:rPr>
                <w:sz w:val="1"/>
                <w:szCs w:val="1"/>
                <w:color w:val="auto"/>
              </w:rPr>
            </w:pPr>
          </w:p>
        </w:tc>
      </w:tr>
      <w:tr>
        <w:trPr>
          <w:trHeight w:val="268"/>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derivative contracts</w:t>
            </w:r>
          </w:p>
        </w:tc>
        <w:tc>
          <w:tcPr>
            <w:tcW w:w="18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 liabilities measured at fair value</w:t>
            </w: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6,657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As of December 31, 2024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5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Cash equivalents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Money market funds and other highly liquid</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investments</w:t>
            </w: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1,117,133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1,117,133</w:t>
            </w:r>
          </w:p>
        </w:tc>
        <w:tc>
          <w:tcPr>
            <w:tcW w:w="0" w:type="dxa"/>
            <w:vAlign w:val="bottom"/>
          </w:tcPr>
          <w:p>
            <w:pPr>
              <w:spacing w:after="0"/>
              <w:rPr>
                <w:sz w:val="1"/>
                <w:szCs w:val="1"/>
                <w:color w:val="auto"/>
              </w:rPr>
            </w:pPr>
          </w:p>
        </w:tc>
      </w:tr>
      <w:tr>
        <w:trPr>
          <w:trHeight w:val="306"/>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Investment in available for sale debt securities </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10,354</w:t>
            </w:r>
          </w:p>
        </w:tc>
        <w:tc>
          <w:tcPr>
            <w:tcW w:w="0" w:type="dxa"/>
            <w:vAlign w:val="bottom"/>
          </w:tcPr>
          <w:p>
            <w:pPr>
              <w:spacing w:after="0"/>
              <w:rPr>
                <w:sz w:val="1"/>
                <w:szCs w:val="1"/>
                <w:color w:val="auto"/>
              </w:rPr>
            </w:pPr>
          </w:p>
        </w:tc>
      </w:tr>
      <w:tr>
        <w:trPr>
          <w:trHeight w:val="269"/>
        </w:trPr>
        <w:tc>
          <w:tcPr>
            <w:tcW w:w="5280" w:type="dxa"/>
            <w:vAlign w:val="bottom"/>
            <w:gridSpan w:val="2"/>
          </w:tcPr>
          <w:p>
            <w:pPr>
              <w:ind w:left="60"/>
              <w:spacing w:after="0" w:line="268" w:lineRule="exact"/>
              <w:rPr>
                <w:sz w:val="20"/>
                <w:szCs w:val="20"/>
                <w:color w:val="auto"/>
              </w:rPr>
            </w:pPr>
            <w:r>
              <w:rPr>
                <w:rFonts w:ascii="Times New Roman" w:cs="Times New Roman" w:eastAsia="Times New Roman" w:hAnsi="Times New Roman"/>
                <w:sz w:val="20"/>
                <w:szCs w:val="20"/>
                <w:color w:val="auto"/>
              </w:rPr>
              <w:t xml:space="preserve">Digital Assets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Canton Coins </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0" w:type="dxa"/>
            <w:vAlign w:val="bottom"/>
          </w:tcPr>
          <w:p>
            <w:pPr>
              <w:spacing w:after="0"/>
              <w:rPr>
                <w:sz w:val="1"/>
                <w:szCs w:val="1"/>
                <w:color w:val="auto"/>
              </w:rPr>
            </w:pPr>
          </w:p>
        </w:tc>
      </w:tr>
      <w:tr>
        <w:trPr>
          <w:trHeight w:val="200"/>
        </w:trPr>
        <w:tc>
          <w:tcPr>
            <w:tcW w:w="528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Receivable and due from related parties – Foreign exchange</w:t>
            </w:r>
          </w:p>
        </w:tc>
        <w:tc>
          <w:tcPr>
            <w:tcW w:w="1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restart"/>
          </w:tcPr>
          <w:p>
            <w:pPr>
              <w:jc w:val="right"/>
              <w:ind w:right="6"/>
              <w:spacing w:after="0"/>
              <w:rPr>
                <w:sz w:val="20"/>
                <w:szCs w:val="20"/>
                <w:color w:val="auto"/>
              </w:rPr>
            </w:pPr>
            <w:r>
              <w:rPr>
                <w:rFonts w:ascii="Times New Roman" w:cs="Times New Roman" w:eastAsia="Times New Roman" w:hAnsi="Times New Roman"/>
                <w:sz w:val="20"/>
                <w:szCs w:val="20"/>
                <w:color w:val="auto"/>
              </w:rPr>
              <w:t>7,844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7,844</w:t>
            </w:r>
          </w:p>
        </w:tc>
        <w:tc>
          <w:tcPr>
            <w:tcW w:w="0" w:type="dxa"/>
            <w:vAlign w:val="bottom"/>
          </w:tcPr>
          <w:p>
            <w:pPr>
              <w:spacing w:after="0"/>
              <w:rPr>
                <w:sz w:val="1"/>
                <w:szCs w:val="1"/>
                <w:color w:val="auto"/>
              </w:rPr>
            </w:pPr>
          </w:p>
        </w:tc>
      </w:tr>
      <w:tr>
        <w:trPr>
          <w:trHeight w:val="263"/>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derivative contracts</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1,117,133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7,844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1,136,183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360" w:hanging="360"/>
        <w:spacing w:after="0"/>
        <w:tabs>
          <w:tab w:leader="none" w:pos="3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as a component of digital assets and other investments at fair value on the consolidated statements of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Equivalents</w:t>
      </w:r>
    </w:p>
    <w:p>
      <w:pPr>
        <w:spacing w:after="0" w:line="21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20"/>
          <w:szCs w:val="20"/>
          <w:color w:val="auto"/>
        </w:rPr>
        <w:t>The Company’s cash equivalents are classified within Level 1 of the fair value hierarchy because they are valued using quoted market prices in active markets.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Available-for-Sale Debt Securities</w:t>
      </w:r>
    </w:p>
    <w:p>
      <w:pPr>
        <w:spacing w:after="0" w:line="2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April 2024, the Company made a strategic investment in a convertible note with a principal amount and original amortized cost basis of $10.0 million. The investment was made as part of the Company’s broader initiative to support the digitization of capital markets through the adoption of blockchain technology. The convertible note accrues interest at a rate of 5% per annum, compounded annually, and matures on the earliest to occur of January 19, 2027, an event of default or a change in control as each term is defined in the convertible note. The note and accrued interest will convert to equity securities of the issuer on January 19, 2027, if not previously repaid or converted upon certain defined financing events. In the fourth quarter of 2025, the issuer announced that it entered into a definitive business combination agreement through which the issuer will become a publicly-listed company (the “Merger Transaction”), subject to issuer shareholder approval, customary closing conditions and regulatory approvals, at a $1.25 billion pre-money equity value, subject to customary valuation adjustments. If completed, the Merger Transaction would trigger the conversion of the convertible note and accrued interest.</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10440"/>
          </w:cols>
          <w:pgMar w:left="900" w:top="831" w:right="900" w:bottom="0" w:gutter="0" w:footer="0" w:header="0"/>
          <w:type w:val="continuous"/>
        </w:sectPr>
      </w:pPr>
    </w:p>
    <w:bookmarkStart w:id="155" w:name="page156"/>
    <w:bookmarkEnd w:id="155"/>
    <w:p>
      <w:pPr>
        <w:ind w:right="20"/>
        <w:spacing w:after="0" w:line="252" w:lineRule="auto"/>
        <w:rPr>
          <w:sz w:val="20"/>
          <w:szCs w:val="20"/>
          <w:color w:val="auto"/>
        </w:rPr>
      </w:pPr>
      <w:r>
        <w:rPr>
          <w:rFonts w:ascii="Times New Roman" w:cs="Times New Roman" w:eastAsia="Times New Roman" w:hAnsi="Times New Roman"/>
          <w:sz w:val="20"/>
          <w:szCs w:val="20"/>
          <w:color w:val="auto"/>
        </w:rPr>
        <w:t>The convertible note is accounted for as an available-for-sale debt security and the convertible note and accrued interest is included within digital assets and other investments at fair value on the accompanying consolidated statements of financial condition at a fair value of $24.9 million and $10.4 million as of December 31, 2025 and 2024, respectively. The convertible note, including accrued interest, had an amortized cost basis of $10.9 million and $10.4 million as of December 31, 2025 and 2024, respectively. There were no credit losses recorded on the convertible note during the year ended December 31, 2025. During the year ended December 31, 2025, there were $14.0 million of unrealized gains, recorded as a component of other comprehensive income related to an increase in fair value of the convertible note during the period. There were no fair value adjustments or credit losses recorded on the convertible note during the year ended December 31, 2024. The convertible note is classified within Level 3 of the fair value hierarchy because the valuation requires assumptions that are both significant and unobservable. The primary method used to estimate the fair value of the convertible note was a probability-weighted expected return model which incorporated the credit risk of the issuer and scenarios in which the note would convert into equity, the estimated equity value of the issuer and the conversion terms outlined in the convertible note agreement. Significant unobservable inputs included a discount rate of 12% and management’s assessment of the probability of the issuer obtaining shareholder approval for the Merger Transaction and the corresponding expected realization of value to the Company if the Merger Transaction closes at the expected valuation. Any increase in the discount rate used, any decrease in the probability of shareholder approval, the closing of the merger at a lower valuation and/or any increase in the estimated time to close would result in a lower fair value measurement. Similarly, any decrease in the discount rate used, any increase in the probability of shareholder approval, the closing of the Merger Transaction at a higher valuation and/or any decrease in the estimated time to close would result in a higher fair value measurement.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Canton Coins and Digital Asset Loan Receivable</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Canton Network’s Global Synchronizer includes a utility token, which is a digital asset called the Canton Coin. Beginning in the third quarter of 2024, the Company began earning and continues to earn Canton Coins for its function as a Super Validator and Validator on the Global Synchronizer, and then generally holds the Canton Coins on its balance sheet for investment purposes and may use Canton Coins to pay fees associated with its own Canton Network activity. During the years ended December 31, 2025 and 2024, the Company recognized $10.9 million and $0.7 million, respectively, in other revenue relating to Canton Coins earned in exchange for providing services as a Super Validator and Validator on the Canton Network.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Company’s Canton Coin holdings as of December 31, 2025 and 2024:</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6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2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Quantity of</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4"/>
                <w:szCs w:val="14"/>
                <w:color w:val="auto"/>
              </w:rPr>
            </w:pPr>
          </w:p>
        </w:tc>
        <w:tc>
          <w:tcPr>
            <w:tcW w:w="12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Quantity of</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Coins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Coins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6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6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Canton coins</w:t>
            </w:r>
          </w:p>
        </w:tc>
        <w:tc>
          <w:tcPr>
            <w:tcW w:w="12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1.6 billion</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11,461</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242,729</w:t>
            </w:r>
          </w:p>
        </w:tc>
        <w:tc>
          <w:tcPr>
            <w:tcW w:w="6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1.2 billion</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-184785</wp:posOffset>
            </wp:positionV>
            <wp:extent cx="6654800" cy="2063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9">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2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2024, the Company’s Canton Coin holdings were classified within Level 3 of the fair value hierarchy because the valuation required assumptions that were both significant and unobservable. The Company utilized the assistance of a third-party valuation specialist to determine the fair value of its Canton Coins as of December 31, 2024. Because of the lack of a public market during 2024, the fair value of the Canton Coins was determined using a combination of a development cost approach and a market approach and then applying a discount for lack of marketability determined using a Black-Scholes option-pricing model. In November 2025, the Canton Coin began spot trading across several global digital asset exchanges and therefore its valuation was transferred from Level 3 to Level 1 of the fair value hierarchy as a result of the increase in observable pricing available from active markets during the year ended December 31, 2025. As of December 31, 2025, the Company’s Canton Coin holdings were measured at fair value using quoted prices from the Company’s principal market for the sale of Canton Coins at the time of measurement.</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2025, the Company sold a portion of its Canton Coin holdings for cash proceeds totaling $15.0 million and recognized a realized gain on the sale totaling $14.9 million, included as a component of other income (loss), net on the accompanying consolidated statements of income.</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10440"/>
          </w:cols>
          <w:pgMar w:left="900" w:top="838" w:right="900" w:bottom="0" w:gutter="0" w:footer="0" w:header="0"/>
          <w:type w:val="continuous"/>
        </w:sectPr>
      </w:pPr>
    </w:p>
    <w:bookmarkStart w:id="156" w:name="page157"/>
    <w:bookmarkEnd w:id="156"/>
    <w:p>
      <w:pPr>
        <w:ind w:right="80"/>
        <w:spacing w:after="0" w:line="254" w:lineRule="auto"/>
        <w:rPr>
          <w:sz w:val="20"/>
          <w:szCs w:val="20"/>
          <w:color w:val="auto"/>
        </w:rPr>
      </w:pPr>
      <w:r>
        <w:rPr>
          <w:rFonts w:ascii="Times New Roman" w:cs="Times New Roman" w:eastAsia="Times New Roman" w:hAnsi="Times New Roman"/>
          <w:sz w:val="20"/>
          <w:szCs w:val="20"/>
          <w:color w:val="auto"/>
        </w:rPr>
        <w:t>In November 2025, the Company exchanged approximately 161 million Canton Coins for approximately 8 million pre-funded warrants (“PFWs”), which upon exercise, entitle the Company the right to receive an equivalent number of shares of common stock of Tharimmune, Inc. (“THAR”). The exercisability of the PFWs is contingent on the approval of THAR’s shareholders and if shareholder approval is not obtained by May 13, 2026, the PFWs will be terminated and the Company will be entitled to the receipt of the 161 million Canton Coins originally pre-funded. On the date of the exchange, both the 161 million Canton Coins and the 8 million PFWs were valued at approximately $25.0 million. The PFWs are not able to be sold or transferred by the Company and the ultimate sale of any shares of common stock acquired through any exercise of the PFWs are also subject to lock-up restrictions through May 5, 2026.</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Until the approval of THAR’s shareholders is obtained, the PFWs will be accounted for as a digital asset loan receivable. On the November 2025 date of exchange, the Company derecognized the 161 million Canton Coins, recognized a $24.9 million realized gain on the transfer of the Canton Coins and recorded a $25.0 million digital asset loan receivable, included as a component of digital assets and other investments at fair value on the consolidated statements of financial condition. The digital asset loan receivable is remeasured to the fair market value of the Canton Coins at the end of each reporting period through an adjustment to unrealized gain/(loss), included as a component of other income (loss), net on the consolidated statements of income. During the year ended December 31, 2025, the Company recognized an unrealized loss totaling $0.4 million and credit loss expense totaling $0.2 million on its digital asset loan receivable.</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digital asset loan receivable is classified within Level 2 of the fair value hierarchy. Its fair value is determined based on the fair value of the Canton Coin and as adjusted for an allowance for credit loss. As of December 31, 2025, the fair value of the Canton Coin is an observable valuation input.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THAR’s shareholders approved the PFWs in January 2026.</w:t>
      </w:r>
    </w:p>
    <w:p>
      <w:pPr>
        <w:spacing w:after="0" w:line="210"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20"/>
          <w:szCs w:val="20"/>
          <w:color w:val="auto"/>
        </w:rPr>
        <w:t>There were no material realized gains or realized losses recorded on the disposition of digital assets during the year ended December 31, 2024.</w:t>
      </w:r>
    </w:p>
    <w:p>
      <w:pPr>
        <w:spacing w:after="0" w:line="14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following table presents a summary of the changes in the Company’s Canton Coin holdings during the years ended December 31, 2025 and 2024:</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3"/>
          </w:tcPr>
          <w:p>
            <w:pPr>
              <w:jc w:val="center"/>
              <w:ind w:left="56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80" w:type="dxa"/>
            <w:vAlign w:val="bottom"/>
          </w:tcPr>
          <w:p>
            <w:pPr>
              <w:spacing w:after="0"/>
              <w:rPr>
                <w:sz w:val="18"/>
                <w:szCs w:val="18"/>
                <w:color w:val="auto"/>
              </w:rPr>
            </w:pPr>
          </w:p>
        </w:tc>
      </w:tr>
      <w:tr>
        <w:trPr>
          <w:trHeight w:val="246"/>
        </w:trPr>
        <w:tc>
          <w:tcPr>
            <w:tcW w:w="70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left="56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r>
      <w:tr>
        <w:trPr>
          <w:trHeight w:val="220"/>
        </w:trPr>
        <w:tc>
          <w:tcPr>
            <w:tcW w:w="70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4"/>
        </w:trPr>
        <w:tc>
          <w:tcPr>
            <w:tcW w:w="7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80" w:type="dxa"/>
            <w:vAlign w:val="bottom"/>
            <w:gridSpan w:val="4"/>
          </w:tcPr>
          <w:p>
            <w:pPr>
              <w:jc w:val="center"/>
              <w:ind w:right="303"/>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r>
      <w:tr>
        <w:trPr>
          <w:trHeight w:val="288"/>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Additions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Validator Revenue</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10,947</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666</w:t>
            </w:r>
          </w:p>
        </w:tc>
      </w:tr>
      <w:tr>
        <w:trPr>
          <w:trHeight w:val="28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Dispositions</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Origination of digital asset loan receivable</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(24,999)</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08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 xml:space="preserve">Total realized and unrealized gains included in other income (loss), net </w:t>
            </w:r>
            <w:r>
              <w:rPr>
                <w:rFonts w:ascii="Times New Roman" w:cs="Times New Roman" w:eastAsia="Times New Roman" w:hAnsi="Times New Roman"/>
                <w:sz w:val="26"/>
                <w:szCs w:val="26"/>
                <w:color w:val="auto"/>
                <w:vertAlign w:val="superscript"/>
              </w:rPr>
              <w:t>(1)</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270,929</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186</w:t>
            </w:r>
          </w:p>
        </w:tc>
      </w:tr>
      <w:tr>
        <w:trPr>
          <w:trHeight w:val="24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242,729</w:t>
            </w:r>
          </w:p>
        </w:tc>
        <w:tc>
          <w:tcPr>
            <w:tcW w:w="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852</w:t>
            </w:r>
          </w:p>
        </w:tc>
      </w:tr>
      <w:tr>
        <w:trPr>
          <w:trHeight w:val="20"/>
        </w:trPr>
        <w:tc>
          <w:tcPr>
            <w:tcW w:w="7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635750" cy="11239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0">
                      <a:extLst>
                        <a:ext uri="{28A0092B-C50C-407E-A947-70E740481C1C}"/>
                      </a:extLst>
                    </a:blip>
                    <a:srcRect/>
                    <a:stretch>
                      <a:fillRect/>
                    </a:stretch>
                  </pic:blipFill>
                  <pic:spPr bwMode="auto">
                    <a:xfrm>
                      <a:off x="0" y="0"/>
                      <a:ext cx="6635750" cy="1123950"/>
                    </a:xfrm>
                    <a:prstGeom prst="rect">
                      <a:avLst/>
                    </a:prstGeom>
                    <a:noFill/>
                  </pic:spPr>
                </pic:pic>
              </a:graphicData>
            </a:graphic>
          </wp:anchor>
        </w:drawing>
      </w:r>
    </w:p>
    <w:p>
      <w:pPr>
        <w:spacing w:after="0" w:line="100" w:lineRule="exact"/>
        <w:rPr>
          <w:sz w:val="20"/>
          <w:szCs w:val="20"/>
          <w:color w:val="auto"/>
        </w:rPr>
      </w:pPr>
    </w:p>
    <w:p>
      <w:pPr>
        <w:ind w:left="360" w:right="20" w:hanging="360"/>
        <w:spacing w:after="0" w:line="282" w:lineRule="auto"/>
        <w:tabs>
          <w:tab w:leader="none" w:pos="3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realized gains totaling $39.8 million during the year ended December 31, 2025 and unrealized gains totaling $231.1 million and $0.2 million during the years ended December 31, 2025 and 2024, respectively.</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10420"/>
          </w:cols>
          <w:pgMar w:left="900" w:top="838" w:right="920" w:bottom="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b w:val="1"/>
          <w:bCs w:val="1"/>
          <w:i w:val="1"/>
          <w:iCs w:val="1"/>
          <w:color w:val="auto"/>
        </w:rPr>
        <w:t>Level 3 Roll forward</w:t>
      </w:r>
    </w:p>
    <w:p>
      <w:pPr>
        <w:spacing w:after="0" w:line="21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The following table presents a summary of the changes in fair value for Level 3 assets during the years ended December 31, 2025 and 2024:</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7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1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7120" w:type="dxa"/>
            <w:vAlign w:val="bottom"/>
          </w:tcPr>
          <w:p>
            <w:pPr>
              <w:spacing w:after="0"/>
              <w:rPr>
                <w:sz w:val="23"/>
                <w:szCs w:val="23"/>
                <w:color w:val="auto"/>
              </w:rPr>
            </w:pPr>
          </w:p>
        </w:tc>
        <w:tc>
          <w:tcPr>
            <w:tcW w:w="2620" w:type="dxa"/>
            <w:vAlign w:val="bottom"/>
            <w:gridSpan w:val="4"/>
          </w:tcPr>
          <w:p>
            <w:pPr>
              <w:jc w:val="center"/>
              <w:ind w:left="527"/>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1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Available for Sale Debt Securities</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960" w:type="dxa"/>
            <w:vAlign w:val="bottom"/>
          </w:tcPr>
          <w:p>
            <w:pPr>
              <w:jc w:val="right"/>
              <w:ind w:right="727"/>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10,354</w:t>
            </w:r>
          </w:p>
        </w:tc>
        <w:tc>
          <w:tcPr>
            <w:tcW w:w="102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9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10,354</w:t>
            </w:r>
          </w:p>
        </w:tc>
        <w:tc>
          <w:tcPr>
            <w:tcW w:w="0" w:type="dxa"/>
            <w:vAlign w:val="bottom"/>
          </w:tcPr>
          <w:p>
            <w:pPr>
              <w:spacing w:after="0"/>
              <w:rPr>
                <w:sz w:val="1"/>
                <w:szCs w:val="1"/>
                <w:color w:val="auto"/>
              </w:rPr>
            </w:pP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Dispositions</w:t>
            </w:r>
          </w:p>
        </w:tc>
        <w:tc>
          <w:tcPr>
            <w:tcW w:w="9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Total realized and unrealized gains included in other comprehensive income (loss)</w:t>
            </w: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13,985</w:t>
            </w:r>
          </w:p>
        </w:tc>
        <w:tc>
          <w:tcPr>
            <w:tcW w:w="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960" w:type="dxa"/>
            <w:vAlign w:val="bottom"/>
          </w:tcPr>
          <w:p>
            <w:pPr>
              <w:jc w:val="right"/>
              <w:ind w:right="727"/>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24,857</w:t>
            </w:r>
          </w:p>
        </w:tc>
        <w:tc>
          <w:tcPr>
            <w:tcW w:w="102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10,354</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Digital Assets – Canton Coins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1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960" w:type="dxa"/>
            <w:vAlign w:val="bottom"/>
          </w:tcPr>
          <w:p>
            <w:pPr>
              <w:jc w:val="right"/>
              <w:ind w:right="727"/>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102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Transfer out of Level 3 </w:t>
            </w:r>
            <w:r>
              <w:rPr>
                <w:rFonts w:ascii="Times New Roman" w:cs="Times New Roman" w:eastAsia="Times New Roman" w:hAnsi="Times New Roman"/>
                <w:sz w:val="26"/>
                <w:szCs w:val="26"/>
                <w:color w:val="auto"/>
                <w:vertAlign w:val="superscript"/>
              </w:rPr>
              <w:t>(1)</w:t>
            </w:r>
          </w:p>
        </w:tc>
        <w:tc>
          <w:tcPr>
            <w:tcW w:w="9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9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w:t>
            </w:r>
          </w:p>
        </w:tc>
        <w:tc>
          <w:tcPr>
            <w:tcW w:w="0" w:type="dxa"/>
            <w:vAlign w:val="bottom"/>
          </w:tcPr>
          <w:p>
            <w:pPr>
              <w:spacing w:after="0"/>
              <w:rPr>
                <w:sz w:val="1"/>
                <w:szCs w:val="1"/>
                <w:color w:val="auto"/>
              </w:rPr>
            </w:pP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Dispositions</w:t>
            </w:r>
          </w:p>
        </w:tc>
        <w:tc>
          <w:tcPr>
            <w:tcW w:w="9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Total realized and unrealized gains included in other income (loss), net</w:t>
            </w: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0" w:type="dxa"/>
            <w:vAlign w:val="bottom"/>
          </w:tcPr>
          <w:p>
            <w:pPr>
              <w:spacing w:after="0"/>
              <w:rPr>
                <w:sz w:val="1"/>
                <w:szCs w:val="1"/>
                <w:color w:val="auto"/>
              </w:rPr>
            </w:pPr>
          </w:p>
        </w:tc>
      </w:tr>
      <w:tr>
        <w:trPr>
          <w:trHeight w:val="24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960" w:type="dxa"/>
            <w:vAlign w:val="bottom"/>
          </w:tcPr>
          <w:p>
            <w:pPr>
              <w:jc w:val="right"/>
              <w:ind w:right="727"/>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-2583815</wp:posOffset>
            </wp:positionV>
            <wp:extent cx="6654800" cy="259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1">
                      <a:extLst>
                        <a:ext uri="{28A0092B-C50C-407E-A947-70E740481C1C}"/>
                      </a:extLst>
                    </a:blip>
                    <a:srcRect/>
                    <a:stretch>
                      <a:fillRect/>
                    </a:stretch>
                  </pic:blipFill>
                  <pic:spPr bwMode="auto">
                    <a:xfrm>
                      <a:off x="0" y="0"/>
                      <a:ext cx="6654800" cy="2590800"/>
                    </a:xfrm>
                    <a:prstGeom prst="rect">
                      <a:avLst/>
                    </a:prstGeom>
                    <a:noFill/>
                  </pic:spPr>
                </pic:pic>
              </a:graphicData>
            </a:graphic>
          </wp:anchor>
        </w:drawing>
      </w:r>
    </w:p>
    <w:p>
      <w:pPr>
        <w:spacing w:after="0" w:line="100" w:lineRule="exact"/>
        <w:rPr>
          <w:sz w:val="20"/>
          <w:szCs w:val="20"/>
          <w:color w:val="auto"/>
        </w:rPr>
      </w:pPr>
    </w:p>
    <w:p>
      <w:pPr>
        <w:ind w:left="360" w:right="120" w:hanging="360"/>
        <w:spacing w:after="0" w:line="282" w:lineRule="auto"/>
        <w:tabs>
          <w:tab w:leader="none" w:pos="3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between levels of the fair value hierarchy occur when there are changes in the observability of significant valuation inputs and/or the significance of valuation inputs and are reported at the beginning of the reporting period in which they occur.</w:t>
      </w:r>
    </w:p>
    <w:p>
      <w:pPr>
        <w:spacing w:after="0" w:line="40"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the Company recognized unrealized gains totaling $14.0 million relating to Level 3 assets held at December 31, 2025, included as a component of other comprehensive income on the accompanying consolidated statements of comprehensive income. During the year ended December 31, 2024, there were no unrealized gains or losses included as a component of other comprehensive income.</w:t>
      </w:r>
    </w:p>
    <w:p>
      <w:pPr>
        <w:spacing w:after="0" w:line="63"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2024, the Company recognized unrealized gains totaling $0.2 million relating to Canton Coins classified as Level 3 assets and held at December 31, 2024, included as a component of other income (loss), net on the accompanying consolidated statements of income.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Exchange Derivative Contracts</w:t>
      </w:r>
    </w:p>
    <w:p>
      <w:pPr>
        <w:spacing w:after="0" w:line="21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9"/>
          <w:szCs w:val="19"/>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December 31, 2025 and 2024, the counterparty on each of these foreign exchange derivative contracts was an affiliate of LSEG and therefore the corresponding assets or liabilities on such contracts were included in receivable and due from related parties or payable and due to related parties, respectively, on the accompanying consolidated statements of financial condition.</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10440"/>
          </w:cols>
          <w:pgMar w:left="900" w:top="834" w:right="900" w:bottom="0" w:gutter="0" w:footer="0" w:header="0"/>
          <w:type w:val="continuous"/>
        </w:sectPr>
      </w:pPr>
    </w:p>
    <w:bookmarkStart w:id="158" w:name="page159"/>
    <w:bookmarkEnd w:id="158"/>
    <w:p>
      <w:pPr>
        <w:ind w:right="6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aggregate U.S. dollar equivalent notional amount of the Company’s foreign exchange derivative contracts not designated as hedges for accounting purposes:</w:t>
      </w:r>
    </w:p>
    <w:p>
      <w:pPr>
        <w:spacing w:after="0" w:line="216"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5010150</wp:posOffset>
                </wp:positionH>
                <wp:positionV relativeFrom="paragraph">
                  <wp:posOffset>26670</wp:posOffset>
                </wp:positionV>
                <wp:extent cx="161925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pt,2.1pt" to="522pt,2.1pt" o:allowincell="f" strokecolor="#000000" strokeweight="1pt"/>
            </w:pict>
          </mc:Fallback>
        </mc:AlternateContent>
      </w:r>
    </w:p>
    <w:p>
      <w:pPr>
        <w:spacing w:after="0" w:line="36" w:lineRule="exact"/>
        <w:rPr>
          <w:sz w:val="20"/>
          <w:szCs w:val="20"/>
          <w:color w:val="auto"/>
        </w:rPr>
      </w:pPr>
    </w:p>
    <w:p>
      <w:pPr>
        <w:jc w:val="both"/>
        <w:ind w:left="8360"/>
        <w:spacing w:after="0"/>
        <w:tabs>
          <w:tab w:leader="none" w:pos="96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5010150</wp:posOffset>
                </wp:positionH>
                <wp:positionV relativeFrom="paragraph">
                  <wp:posOffset>26670</wp:posOffset>
                </wp:positionV>
                <wp:extent cx="79057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5pt,2.1pt" to="456.75pt,2.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5838825</wp:posOffset>
                </wp:positionH>
                <wp:positionV relativeFrom="paragraph">
                  <wp:posOffset>26670</wp:posOffset>
                </wp:positionV>
                <wp:extent cx="79057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75pt,2.1pt" to="522pt,2.1pt" o:allowincell="f" strokecolor="#000000" strokeweight="1pt"/>
            </w:pict>
          </mc:Fallback>
        </mc:AlternateContent>
      </w:r>
    </w:p>
    <w:p>
      <w:pPr>
        <w:spacing w:after="0" w:line="96"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654800" cy="2063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2">
                      <a:extLst>
                        <a:ext uri="{28A0092B-C50C-407E-A947-70E740481C1C}"/>
                      </a:extLst>
                    </a:blip>
                    <a:srcRect/>
                    <a:stretch>
                      <a:fillRect/>
                    </a:stretch>
                  </pic:blipFill>
                  <pic:spPr bwMode="auto">
                    <a:xfrm>
                      <a:off x="0" y="0"/>
                      <a:ext cx="6654800" cy="206375"/>
                    </a:xfrm>
                    <a:prstGeom prst="rect">
                      <a:avLst/>
                    </a:prstGeom>
                    <a:noFill/>
                  </pic:spPr>
                </pic:pic>
              </a:graphicData>
            </a:graphic>
          </wp:anchor>
        </w:drawing>
      </w:r>
    </w:p>
    <w:p>
      <w:pPr>
        <w:spacing w:after="0" w:line="14" w:lineRule="exact"/>
        <w:rPr>
          <w:sz w:val="20"/>
          <w:szCs w:val="20"/>
          <w:color w:val="auto"/>
        </w:rPr>
      </w:pPr>
    </w:p>
    <w:p>
      <w:pPr>
        <w:ind w:left="60"/>
        <w:spacing w:after="0"/>
        <w:tabs>
          <w:tab w:leader="none" w:pos="7920" w:val="left"/>
          <w:tab w:leader="none" w:pos="8380" w:val="left"/>
          <w:tab w:leader="none" w:pos="9220" w:val="left"/>
          <w:tab w:leader="none" w:pos="9680" w:val="left"/>
        </w:tabs>
        <w:rPr>
          <w:sz w:val="20"/>
          <w:szCs w:val="20"/>
          <w:color w:val="auto"/>
        </w:rPr>
      </w:pPr>
      <w:r>
        <w:rPr>
          <w:rFonts w:ascii="Times New Roman" w:cs="Times New Roman" w:eastAsia="Times New Roman" w:hAnsi="Times New Roman"/>
          <w:sz w:val="20"/>
          <w:szCs w:val="20"/>
          <w:color w:val="auto"/>
        </w:rPr>
        <w:t>Foreign currency forward contracts – Gross notional amount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339,794</w:t>
        <w:tab/>
        <w:t>$</w:t>
      </w:r>
      <w:r>
        <w:rPr>
          <w:sz w:val="20"/>
          <w:szCs w:val="20"/>
          <w:color w:val="auto"/>
        </w:rPr>
        <w:tab/>
      </w:r>
      <w:r>
        <w:rPr>
          <w:rFonts w:ascii="Times New Roman" w:cs="Times New Roman" w:eastAsia="Times New Roman" w:hAnsi="Times New Roman"/>
          <w:sz w:val="20"/>
          <w:szCs w:val="20"/>
          <w:color w:val="auto"/>
        </w:rPr>
        <w:t>238,182</w:t>
      </w:r>
    </w:p>
    <w:p>
      <w:pPr>
        <w:spacing w:after="0" w:line="30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The Company’s foreign exchange derivative contracts are not designated as hedges for accounting purposes and changes in the fair value of these contracts during the period are recognized in the consolidated statements of income. The total realized and unrealized gains (losses) on foreign exchange derivative contracts recorded within the consolidated statements of income are as follows: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right="140"/>
        <w:spacing w:after="0" w:line="263" w:lineRule="auto"/>
        <w:rPr>
          <w:sz w:val="20"/>
          <w:szCs w:val="20"/>
          <w:color w:val="auto"/>
        </w:rPr>
      </w:pPr>
      <w:r>
        <w:rPr>
          <w:rFonts w:ascii="Times New Roman" w:cs="Times New Roman" w:eastAsia="Times New Roman" w:hAnsi="Times New Roman"/>
          <w:sz w:val="20"/>
          <w:szCs w:val="20"/>
          <w:color w:val="auto"/>
        </w:rPr>
        <w:t>Foreign currency forward contracts not designated in accounting hedge relationship – General and administrative (expenses)/income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-339725</wp:posOffset>
            </wp:positionV>
            <wp:extent cx="6654800" cy="654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3">
                      <a:extLst>
                        <a:ext uri="{28A0092B-C50C-407E-A947-70E740481C1C}"/>
                      </a:extLst>
                    </a:blip>
                    <a:srcRect/>
                    <a:stretch>
                      <a:fillRect/>
                    </a:stretch>
                  </pic:blipFill>
                  <pic:spPr bwMode="auto">
                    <a:xfrm>
                      <a:off x="0" y="0"/>
                      <a:ext cx="6654800" cy="654050"/>
                    </a:xfrm>
                    <a:prstGeom prst="rect">
                      <a:avLst/>
                    </a:prstGeom>
                    <a:noFill/>
                  </pic:spPr>
                </pic:pic>
              </a:graphicData>
            </a:graphic>
          </wp:anchor>
        </w:drawing>
      </w:r>
    </w:p>
    <w:p>
      <w:pPr>
        <w:ind w:left="60"/>
        <w:spacing w:after="0" w:line="256" w:lineRule="auto"/>
        <w:rPr>
          <w:sz w:val="20"/>
          <w:szCs w:val="20"/>
          <w:color w:val="auto"/>
        </w:rPr>
      </w:pPr>
      <w:r>
        <w:rPr>
          <w:rFonts w:ascii="Times New Roman" w:cs="Times New Roman" w:eastAsia="Times New Roman" w:hAnsi="Times New Roman"/>
          <w:sz w:val="20"/>
          <w:szCs w:val="20"/>
          <w:color w:val="auto"/>
        </w:rPr>
        <w:t xml:space="preserve">Foreign currency call option contract not designated in accounting hedge relationship – Other income/(loss)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244792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47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1pt" to="193pt,2.1pt" o:allowincell="f" strokecolor="#000000" strokeweight="1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6"/>
        </w:trPr>
        <w:tc>
          <w:tcPr>
            <w:tcW w:w="320" w:type="dxa"/>
            <w:vAlign w:val="bottom"/>
          </w:tcPr>
          <w:p>
            <w:pPr>
              <w:spacing w:after="0"/>
              <w:rPr>
                <w:sz w:val="23"/>
                <w:szCs w:val="23"/>
                <w:color w:val="auto"/>
              </w:rPr>
            </w:pPr>
          </w:p>
        </w:tc>
        <w:tc>
          <w:tcPr>
            <w:tcW w:w="2600" w:type="dxa"/>
            <w:vAlign w:val="bottom"/>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40" w:type="dxa"/>
            <w:vAlign w:val="bottom"/>
          </w:tcPr>
          <w:p>
            <w:pPr>
              <w:spacing w:after="0"/>
              <w:rPr>
                <w:sz w:val="23"/>
                <w:szCs w:val="23"/>
                <w:color w:val="auto"/>
              </w:rPr>
            </w:pPr>
          </w:p>
        </w:tc>
      </w:tr>
      <w:tr>
        <w:trPr>
          <w:trHeight w:val="536"/>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(21,015)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w:t>
            </w:r>
          </w:p>
        </w:tc>
      </w:tr>
      <w:tr>
        <w:trPr>
          <w:trHeight w:val="465"/>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w:t>
            </w:r>
          </w:p>
        </w:tc>
      </w:tr>
    </w:tbl>
    <w:p>
      <w:pPr>
        <w:spacing w:after="0" w:line="163" w:lineRule="exact"/>
        <w:rPr>
          <w:sz w:val="20"/>
          <w:szCs w:val="20"/>
          <w:color w:val="auto"/>
        </w:rPr>
      </w:pPr>
    </w:p>
    <w:p>
      <w:pPr>
        <w:sectPr>
          <w:pgSz w:w="12240" w:h="15840" w:orient="portrait"/>
          <w:cols w:equalWidth="0" w:num="2">
            <w:col w:w="5880" w:space="700"/>
            <w:col w:w="3860"/>
          </w:cols>
          <w:pgMar w:left="900" w:top="838" w:right="900" w:bottom="0" w:gutter="0" w:footer="0" w:header="0"/>
          <w:type w:val="continuous"/>
        </w:sectPr>
      </w:pPr>
    </w:p>
    <w:p>
      <w:pPr>
        <w:ind w:left="360" w:right="140" w:hanging="360"/>
        <w:spacing w:after="0" w:line="261" w:lineRule="auto"/>
        <w:tabs>
          <w:tab w:leader="none" w:pos="3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 2023, the Company entered into a foreign currency call option on Australian dollars, giving the Company an option to buy A$120.7 million, in order to partially mitigate the Company’s U.S. dollar versus Australian dollar foreign exchange exposure on the then-anticipated payment of the Australian dollar denominated purchase price for the Yieldbroker Acquisition. The counterparty on the foreign currency call option contract was an affiliate of LSEG. On August 25, 2023, the Company unwound the out-of-the-money foreign currency call option and received $1.1 million from an affiliate of LSEG.</w:t>
      </w:r>
    </w:p>
    <w:p>
      <w:pPr>
        <w:sectPr>
          <w:pgSz w:w="12240" w:h="15840" w:orient="portrait"/>
          <w:cols w:equalWidth="0" w:num="1">
            <w:col w:w="10440"/>
          </w:cols>
          <w:pgMar w:left="900" w:top="838"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10440"/>
          </w:cols>
          <w:pgMar w:left="900" w:top="838" w:right="900" w:bottom="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 Not Measured at Fair Value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financial instruments not measured at fair value on the consolidated statements of financial condition as of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have been categorized based upon the fair value hierarchy as follows:</w:t>
      </w:r>
    </w:p>
    <w:p>
      <w:pPr>
        <w:sectPr>
          <w:pgSz w:w="12240" w:h="15840" w:orient="portrait"/>
          <w:cols w:equalWidth="0" w:num="1">
            <w:col w:w="10440"/>
          </w:cols>
          <w:pgMar w:left="900" w:top="8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right="1140"/>
        <w:spacing w:after="0" w:line="297" w:lineRule="auto"/>
        <w:rPr>
          <w:sz w:val="20"/>
          <w:szCs w:val="20"/>
          <w:color w:val="auto"/>
        </w:rPr>
      </w:pPr>
      <w:r>
        <w:rPr>
          <w:rFonts w:ascii="Times New Roman" w:cs="Times New Roman" w:eastAsia="Times New Roman" w:hAnsi="Times New Roman"/>
          <w:sz w:val="20"/>
          <w:szCs w:val="20"/>
          <w:color w:val="auto"/>
        </w:rPr>
        <w:t xml:space="preserve">As of December 31, 2025 </w:t>
      </w:r>
      <w:r>
        <w:rPr>
          <w:rFonts w:ascii="Times New Roman" w:cs="Times New Roman" w:eastAsia="Times New Roman" w:hAnsi="Times New Roman"/>
          <w:sz w:val="20"/>
          <w:szCs w:val="20"/>
          <w:b w:val="1"/>
          <w:bCs w:val="1"/>
          <w:i w:val="1"/>
          <w:iCs w:val="1"/>
          <w:color w:val="auto"/>
        </w:rPr>
        <w:t>Assets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2"/>
        </w:trPr>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2"/>
        </w:trPr>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Identical</w:t>
            </w:r>
          </w:p>
        </w:tc>
        <w:tc>
          <w:tcPr>
            <w:tcW w:w="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2"/>
        </w:trPr>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1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60" w:type="dxa"/>
            <w:vAlign w:val="bottom"/>
          </w:tcPr>
          <w:p>
            <w:pPr>
              <w:spacing w:after="0"/>
              <w:rPr>
                <w:sz w:val="18"/>
                <w:szCs w:val="18"/>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Fair Value</w:t>
            </w:r>
          </w:p>
        </w:tc>
      </w:tr>
    </w:tbl>
    <w:p>
      <w:pPr>
        <w:spacing w:after="0" w:line="10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14605</wp:posOffset>
            </wp:positionV>
            <wp:extent cx="6654800" cy="25304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4">
                      <a:extLst>
                        <a:ext uri="{28A0092B-C50C-407E-A947-70E740481C1C}"/>
                      </a:extLst>
                    </a:blip>
                    <a:srcRect/>
                    <a:stretch>
                      <a:fillRect/>
                    </a:stretch>
                  </pic:blipFill>
                  <pic:spPr bwMode="auto">
                    <a:xfrm>
                      <a:off x="0" y="0"/>
                      <a:ext cx="6654800" cy="2530475"/>
                    </a:xfrm>
                    <a:prstGeom prst="rect">
                      <a:avLst/>
                    </a:prstGeom>
                    <a:noFill/>
                  </pic:spPr>
                </pic:pic>
              </a:graphicData>
            </a:graphic>
          </wp:anchor>
        </w:drawing>
      </w:r>
    </w:p>
    <w:p>
      <w:pPr>
        <w:spacing w:after="0" w:line="339" w:lineRule="exact"/>
        <w:rPr>
          <w:sz w:val="20"/>
          <w:szCs w:val="20"/>
          <w:color w:val="auto"/>
        </w:rPr>
      </w:pPr>
    </w:p>
    <w:p>
      <w:pPr>
        <w:sectPr>
          <w:pgSz w:w="12240" w:h="15840" w:orient="portrait"/>
          <w:cols w:equalWidth="0" w:num="2">
            <w:col w:w="3260" w:space="720"/>
            <w:col w:w="6460"/>
          </w:cols>
          <w:pgMar w:left="900" w:top="834" w:right="900" w:bottom="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Cash and restricted cash</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275,179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275,179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275,179</w:t>
            </w:r>
          </w:p>
        </w:tc>
        <w:tc>
          <w:tcPr>
            <w:tcW w:w="0" w:type="dxa"/>
            <w:vAlign w:val="bottom"/>
          </w:tcPr>
          <w:p>
            <w:pPr>
              <w:spacing w:after="0"/>
              <w:rPr>
                <w:sz w:val="1"/>
                <w:szCs w:val="1"/>
                <w:color w:val="auto"/>
              </w:rPr>
            </w:pPr>
          </w:p>
        </w:tc>
      </w:tr>
      <w:tr>
        <w:trPr>
          <w:trHeight w:val="205"/>
        </w:trPr>
        <w:tc>
          <w:tcPr>
            <w:tcW w:w="39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0"/>
                <w:szCs w:val="20"/>
                <w:color w:val="auto"/>
              </w:rPr>
              <w:t>Receivable from brokers and dealers and</w:t>
            </w: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8,630</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8,630</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8,630</w:t>
            </w:r>
          </w:p>
        </w:tc>
        <w:tc>
          <w:tcPr>
            <w:tcW w:w="0" w:type="dxa"/>
            <w:vAlign w:val="bottom"/>
          </w:tcPr>
          <w:p>
            <w:pPr>
              <w:spacing w:after="0"/>
              <w:rPr>
                <w:sz w:val="1"/>
                <w:szCs w:val="1"/>
                <w:color w:val="auto"/>
              </w:rPr>
            </w:pPr>
          </w:p>
        </w:tc>
      </w:tr>
      <w:tr>
        <w:trPr>
          <w:trHeight w:val="260"/>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clearing organizations</w:t>
            </w: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Deposits with clearing organizations</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58,282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58,282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58,282</w:t>
            </w:r>
          </w:p>
        </w:tc>
        <w:tc>
          <w:tcPr>
            <w:tcW w:w="0" w:type="dxa"/>
            <w:vAlign w:val="bottom"/>
          </w:tcPr>
          <w:p>
            <w:pPr>
              <w:spacing w:after="0"/>
              <w:rPr>
                <w:sz w:val="1"/>
                <w:szCs w:val="1"/>
                <w:color w:val="auto"/>
              </w:rPr>
            </w:pPr>
          </w:p>
        </w:tc>
      </w:tr>
      <w:tr>
        <w:trPr>
          <w:trHeight w:val="285"/>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Accounts receivable</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257,845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257,845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257,845</w:t>
            </w:r>
          </w:p>
        </w:tc>
        <w:tc>
          <w:tcPr>
            <w:tcW w:w="0" w:type="dxa"/>
            <w:vAlign w:val="bottom"/>
          </w:tcPr>
          <w:p>
            <w:pPr>
              <w:spacing w:after="0"/>
              <w:rPr>
                <w:sz w:val="1"/>
                <w:szCs w:val="1"/>
                <w:color w:val="auto"/>
              </w:rPr>
            </w:pPr>
          </w:p>
        </w:tc>
      </w:tr>
      <w:tr>
        <w:trPr>
          <w:trHeight w:val="205"/>
        </w:trPr>
        <w:tc>
          <w:tcPr>
            <w:tcW w:w="39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0"/>
                <w:szCs w:val="20"/>
                <w:color w:val="auto"/>
              </w:rPr>
              <w:t xml:space="preserve">Other assets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Memberships in clearing</w:t>
            </w: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3,127</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3,127</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3,127</w:t>
            </w:r>
          </w:p>
        </w:tc>
        <w:tc>
          <w:tcPr>
            <w:tcW w:w="0" w:type="dxa"/>
            <w:vAlign w:val="bottom"/>
          </w:tcPr>
          <w:p>
            <w:pPr>
              <w:spacing w:after="0"/>
              <w:rPr>
                <w:sz w:val="1"/>
                <w:szCs w:val="1"/>
                <w:color w:val="auto"/>
              </w:rPr>
            </w:pPr>
          </w:p>
        </w:tc>
      </w:tr>
      <w:tr>
        <w:trPr>
          <w:trHeight w:val="263"/>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organizations</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603,063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333,461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266,475</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603,063</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9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0"/>
                <w:szCs w:val="20"/>
                <w:color w:val="auto"/>
              </w:rPr>
              <w:t>Payable to brokers and dealers and clearing</w:t>
            </w: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60" w:type="dxa"/>
            <w:vAlign w:val="bottom"/>
            <w:vMerge w:val="restart"/>
          </w:tcPr>
          <w:p>
            <w:pPr>
              <w:spacing w:after="0"/>
              <w:rPr>
                <w:sz w:val="17"/>
                <w:szCs w:val="17"/>
                <w:color w:val="auto"/>
              </w:rPr>
            </w:pP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60" w:type="dxa"/>
            <w:vAlign w:val="bottom"/>
            <w:vMerge w:val="restart"/>
          </w:tcPr>
          <w:p>
            <w:pPr>
              <w:spacing w:after="0"/>
              <w:rPr>
                <w:sz w:val="17"/>
                <w:szCs w:val="17"/>
                <w:color w:val="auto"/>
              </w:rPr>
            </w:pPr>
          </w:p>
        </w:tc>
        <w:tc>
          <w:tcPr>
            <w:tcW w:w="42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0" w:type="dxa"/>
            <w:vAlign w:val="bottom"/>
          </w:tcPr>
          <w:p>
            <w:pPr>
              <w:spacing w:after="0"/>
              <w:rPr>
                <w:sz w:val="1"/>
                <w:szCs w:val="1"/>
                <w:color w:val="auto"/>
              </w:rPr>
            </w:pPr>
          </w:p>
        </w:tc>
      </w:tr>
      <w:tr>
        <w:trPr>
          <w:trHeight w:val="268"/>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organizations</w:t>
            </w:r>
          </w:p>
        </w:tc>
        <w:tc>
          <w:tcPr>
            <w:tcW w:w="3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As of December 31, 2024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9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Cash and restricted cash</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224,169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224,169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224,169</w:t>
            </w:r>
          </w:p>
        </w:tc>
        <w:tc>
          <w:tcPr>
            <w:tcW w:w="0" w:type="dxa"/>
            <w:vAlign w:val="bottom"/>
          </w:tcPr>
          <w:p>
            <w:pPr>
              <w:spacing w:after="0"/>
              <w:rPr>
                <w:sz w:val="1"/>
                <w:szCs w:val="1"/>
                <w:color w:val="auto"/>
              </w:rPr>
            </w:pPr>
          </w:p>
        </w:tc>
      </w:tr>
      <w:tr>
        <w:trPr>
          <w:trHeight w:val="205"/>
        </w:trPr>
        <w:tc>
          <w:tcPr>
            <w:tcW w:w="39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0"/>
                <w:szCs w:val="20"/>
                <w:color w:val="auto"/>
              </w:rPr>
              <w:t>Receivable from brokers and dealers and</w:t>
            </w: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67,805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67,805</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67,805</w:t>
            </w:r>
          </w:p>
        </w:tc>
        <w:tc>
          <w:tcPr>
            <w:tcW w:w="0" w:type="dxa"/>
            <w:vAlign w:val="bottom"/>
          </w:tcPr>
          <w:p>
            <w:pPr>
              <w:spacing w:after="0"/>
              <w:rPr>
                <w:sz w:val="1"/>
                <w:szCs w:val="1"/>
                <w:color w:val="auto"/>
              </w:rPr>
            </w:pPr>
          </w:p>
        </w:tc>
      </w:tr>
      <w:tr>
        <w:trPr>
          <w:trHeight w:val="260"/>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clearing organizations</w:t>
            </w: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Deposits with clearing organizations</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54,702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54,702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54,702</w:t>
            </w:r>
          </w:p>
        </w:tc>
        <w:tc>
          <w:tcPr>
            <w:tcW w:w="0" w:type="dxa"/>
            <w:vAlign w:val="bottom"/>
          </w:tcPr>
          <w:p>
            <w:pPr>
              <w:spacing w:after="0"/>
              <w:rPr>
                <w:sz w:val="1"/>
                <w:szCs w:val="1"/>
                <w:color w:val="auto"/>
              </w:rPr>
            </w:pPr>
          </w:p>
        </w:tc>
      </w:tr>
      <w:tr>
        <w:trPr>
          <w:trHeight w:val="285"/>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Accounts receivable</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222,268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222,268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222,268</w:t>
            </w:r>
          </w:p>
        </w:tc>
        <w:tc>
          <w:tcPr>
            <w:tcW w:w="0" w:type="dxa"/>
            <w:vAlign w:val="bottom"/>
          </w:tcPr>
          <w:p>
            <w:pPr>
              <w:spacing w:after="0"/>
              <w:rPr>
                <w:sz w:val="1"/>
                <w:szCs w:val="1"/>
                <w:color w:val="auto"/>
              </w:rPr>
            </w:pPr>
          </w:p>
        </w:tc>
      </w:tr>
      <w:tr>
        <w:trPr>
          <w:trHeight w:val="205"/>
        </w:trPr>
        <w:tc>
          <w:tcPr>
            <w:tcW w:w="39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0"/>
                <w:szCs w:val="20"/>
                <w:color w:val="auto"/>
              </w:rPr>
              <w:t xml:space="preserve">Other assets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Memberships in clearing</w:t>
            </w: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2,918</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2,918</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2,918</w:t>
            </w:r>
          </w:p>
        </w:tc>
        <w:tc>
          <w:tcPr>
            <w:tcW w:w="0" w:type="dxa"/>
            <w:vAlign w:val="bottom"/>
          </w:tcPr>
          <w:p>
            <w:pPr>
              <w:spacing w:after="0"/>
              <w:rPr>
                <w:sz w:val="1"/>
                <w:szCs w:val="1"/>
                <w:color w:val="auto"/>
              </w:rPr>
            </w:pPr>
          </w:p>
        </w:tc>
      </w:tr>
      <w:tr>
        <w:trPr>
          <w:trHeight w:val="263"/>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organizations</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571,862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278,871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290,073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571,862</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9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0"/>
                <w:szCs w:val="20"/>
                <w:color w:val="auto"/>
              </w:rPr>
              <w:t>Payable to brokers and dealers and clearing</w:t>
            </w: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60" w:type="dxa"/>
            <w:vAlign w:val="bottom"/>
            <w:vMerge w:val="restart"/>
          </w:tcPr>
          <w:p>
            <w:pPr>
              <w:spacing w:after="0"/>
              <w:rPr>
                <w:sz w:val="17"/>
                <w:szCs w:val="17"/>
                <w:color w:val="auto"/>
              </w:rPr>
            </w:pP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60" w:type="dxa"/>
            <w:vAlign w:val="bottom"/>
            <w:vMerge w:val="restart"/>
          </w:tcPr>
          <w:p>
            <w:pPr>
              <w:spacing w:after="0"/>
              <w:rPr>
                <w:sz w:val="17"/>
                <w:szCs w:val="17"/>
                <w:color w:val="auto"/>
              </w:rPr>
            </w:pPr>
          </w:p>
        </w:tc>
        <w:tc>
          <w:tcPr>
            <w:tcW w:w="42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7"/>
                <w:szCs w:val="17"/>
                <w:color w:val="auto"/>
              </w:rPr>
            </w:pP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0" w:type="dxa"/>
            <w:vAlign w:val="bottom"/>
          </w:tcPr>
          <w:p>
            <w:pPr>
              <w:spacing w:after="0"/>
              <w:rPr>
                <w:sz w:val="1"/>
                <w:szCs w:val="1"/>
                <w:color w:val="auto"/>
              </w:rPr>
            </w:pPr>
          </w:p>
        </w:tc>
      </w:tr>
      <w:tr>
        <w:trPr>
          <w:trHeight w:val="268"/>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organizations</w:t>
            </w:r>
          </w:p>
        </w:tc>
        <w:tc>
          <w:tcPr>
            <w:tcW w:w="3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-2364740</wp:posOffset>
            </wp:positionV>
            <wp:extent cx="6654800" cy="2371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5">
                      <a:extLst>
                        <a:ext uri="{28A0092B-C50C-407E-A947-70E740481C1C}"/>
                      </a:extLst>
                    </a:blip>
                    <a:srcRect/>
                    <a:stretch>
                      <a:fillRect/>
                    </a:stretch>
                  </pic:blipFill>
                  <pic:spPr bwMode="auto">
                    <a:xfrm>
                      <a:off x="0" y="0"/>
                      <a:ext cx="6654800" cy="2371725"/>
                    </a:xfrm>
                    <a:prstGeom prst="rect">
                      <a:avLst/>
                    </a:prstGeom>
                    <a:noFill/>
                  </pic:spPr>
                </pic:pic>
              </a:graphicData>
            </a:graphic>
          </wp:anchor>
        </w:drawing>
      </w:r>
    </w:p>
    <w:p>
      <w:pPr>
        <w:spacing w:after="0" w:line="18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consolidated statements of financial condition, are classified within Level 3 of the fair value hierarchy because the valuation requires assumptions that are both significant and unobservable.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Non-recurring Fair Value Measurements</w:t>
      </w:r>
    </w:p>
    <w:p>
      <w:pPr>
        <w:spacing w:after="0" w:line="21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20"/>
          <w:szCs w:val="20"/>
          <w:color w:val="auto"/>
        </w:rPr>
        <w:t>The Company measures certain assets and liabilities at fair value on a non-recurring basis, such as assets acquired in a business combination, intangible assets, equity method investments and equity investments without readily determinable fair values for which the measurement alternative has been elected.</w:t>
      </w:r>
    </w:p>
    <w:p>
      <w:pPr>
        <w:sectPr>
          <w:pgSz w:w="12240" w:h="15840" w:orient="portrait"/>
          <w:cols w:equalWidth="0" w:num="1">
            <w:col w:w="10440"/>
          </w:cols>
          <w:pgMar w:left="900" w:top="834"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10440"/>
          </w:cols>
          <w:pgMar w:left="900" w:top="834" w:right="900" w:bottom="0" w:gutter="0" w:footer="0" w:header="0"/>
          <w:type w:val="continuous"/>
        </w:sectPr>
      </w:pPr>
    </w:p>
    <w:bookmarkStart w:id="160" w:name="page161"/>
    <w:bookmarkEnd w:id="160"/>
    <w:p>
      <w:pPr>
        <w:ind w:right="40"/>
        <w:spacing w:after="0" w:line="275" w:lineRule="auto"/>
        <w:rPr>
          <w:sz w:val="20"/>
          <w:szCs w:val="20"/>
          <w:color w:val="auto"/>
        </w:rPr>
      </w:pPr>
      <w:r>
        <w:rPr>
          <w:rFonts w:ascii="Times New Roman" w:cs="Times New Roman" w:eastAsia="Times New Roman" w:hAnsi="Times New Roman"/>
          <w:sz w:val="19"/>
          <w:szCs w:val="19"/>
          <w:color w:val="auto"/>
        </w:rPr>
        <w:t>Included in other assets on the consolidated statements of financial condition is an equity method investment of $4.5 million and none as of December 31, 2025 and 2024, respectively. As of December 31, 2025, the Company also had $5.0 million in unfunded capital commitments related to its equity method investment. During the years ended December 31, 2025, 2024 and 2023, the Company recognized an equity pickup loss of $0.5 million, none and none, respectively, included in other income (loss) in the consolidated statements of income, relating to its pro rata share of the investment’s operating performance during the year.</w:t>
      </w:r>
    </w:p>
    <w:p>
      <w:pPr>
        <w:spacing w:after="0" w:line="148"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20"/>
          <w:szCs w:val="20"/>
          <w:color w:val="auto"/>
        </w:rPr>
        <w:t>Included in other assets on the consolidated statements of financial condition are minority equity investments in various companies without readily determinable fair values of $44.8 million and $17.8 million as of December 31, 2025 and 2024, respectively. The Company’s equity investments are subject to general contractual sale restrictions that prohibit the transfer or sale of the investment without prior consent of the investee and/or other investors.</w:t>
      </w:r>
    </w:p>
    <w:p>
      <w:pPr>
        <w:spacing w:after="0" w:line="16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9"/>
          <w:szCs w:val="19"/>
          <w:color w:val="auto"/>
        </w:rPr>
        <w:t>During the year ended December 31, 2025, and as of November 14, 2025, the Company recorded an unrealized gain totaling $4.3 million on a minority equity investment based on a Level 1 observable price change of a similar investment of the same issuer that occurred on that date. The unrealized gain is included in other income (loss) in the consolidated statements of income.</w:t>
      </w:r>
    </w:p>
    <w:p>
      <w:pPr>
        <w:spacing w:after="0" w:line="139"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2025, the Company recorded impairments totaling $10.8 million on its minority equity investments, as the investments’ carrying amounts exceeded their fair value. The investment impairments are included in other income (loss) in the consolidated statements of income. Of these, impairments of $4.9 million and $5.4 million were recorded based on the respective investment’s fair value as of November 10, 2025 and June 30, 2025, respectively, determined using a discounted cash flow model, utilizing primarily Level 3 inputs. Significant unobservable inputs for these investments included discount rates ranging from 13.5% to 25.0% (weighted average: 17.8%) and perpetual growth rates ranging from 2.0% to 3.0% (weighted average: 2.4%), weighted based on the relative fair value of the investment. In September 2025, the Company also determined one of its investments was not likely recoverable and the investment balance was reduced to zero, resulting in the additional $0.5 million impairment recorded during the year ended December 31, 2025.</w:t>
      </w:r>
    </w:p>
    <w:p>
      <w:pPr>
        <w:spacing w:after="0" w:line="1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and as of December 31, 2024, the Company recorded an impairment on a minority equity investment totaling $1.3 million, as the investment’s carrying amount exceeded its fair value. The investment impairment is included in other income (loss) in the consolidated statements of income. The investment’s fair value was determined using a discounted cash flow model, using primarily Level 3 inputs. Significant unobservable inputs included a discount rate of 20% and a perpetual growth rate of 3.0%.</w:t>
      </w:r>
    </w:p>
    <w:p>
      <w:pPr>
        <w:spacing w:after="0" w:line="1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and as of December 31, 2023, the Company recorded an impairment on a minority equity investment totaling $11.1 million, as the investment’s carrying amount exceeded its fair value. The investment impairment is included in other income (loss) in the consolidated statements of income. The investment’s fair value was determined using a discounted cash flow model, using primarily Level 3 inputs. Significant unobservable inputs included a discount rate of 20% and a perpetual growth rate of 3.0%.</w:t>
      </w:r>
    </w:p>
    <w:p>
      <w:pPr>
        <w:spacing w:after="0" w:line="157" w:lineRule="exact"/>
        <w:rPr>
          <w:sz w:val="20"/>
          <w:szCs w:val="20"/>
          <w:color w:val="auto"/>
        </w:rPr>
      </w:pPr>
    </w:p>
    <w:p>
      <w:pPr>
        <w:ind w:left="720" w:hanging="720"/>
        <w:spacing w:after="0"/>
        <w:tabs>
          <w:tab w:leader="none" w:pos="72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Credit Risk</w:t>
      </w:r>
    </w:p>
    <w:p>
      <w:pPr>
        <w:spacing w:after="0" w:line="21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ectPr>
          <w:pgSz w:w="12240" w:h="15840" w:orient="portrait"/>
          <w:cols w:equalWidth="0" w:num="1">
            <w:col w:w="10420"/>
          </w:cols>
          <w:pgMar w:left="900" w:top="8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10420"/>
          </w:cols>
          <w:pgMar w:left="900" w:top="838" w:right="920" w:bottom="0" w:gutter="0" w:footer="0" w:header="0"/>
          <w:type w:val="continuous"/>
        </w:sectPr>
      </w:pPr>
    </w:p>
    <w:bookmarkStart w:id="161" w:name="page162"/>
    <w:bookmarkEnd w:id="161"/>
    <w:p>
      <w:pPr>
        <w:spacing w:after="0" w:line="270" w:lineRule="auto"/>
        <w:rPr>
          <w:sz w:val="20"/>
          <w:szCs w:val="20"/>
          <w:color w:val="auto"/>
        </w:rPr>
      </w:pPr>
      <w:r>
        <w:rPr>
          <w:rFonts w:ascii="Times New Roman" w:cs="Times New Roman" w:eastAsia="Times New Roman" w:hAnsi="Times New Roman"/>
          <w:sz w:val="19"/>
          <w:szCs w:val="19"/>
          <w:color w:val="auto"/>
        </w:rPr>
        <w:t>The Company self-clears wholesale U.S. Treasury trades executed on its platform by non-FICC members. The number of self-cleared trades that settle over the fed wire, instead of FICC clearing, may impact the number of U.S. Treasury failed settlement transactions. As of December 31, 2025, the Company recorded an $8.6 million receivable and a $3.4 million payable from/to brokers and dealers and clearing organizations related to failed settlement transactions and the Company self-funded the remaining $5.3 million difference between the fail to deliver and fail to receive. All of the failed settlement transactions outstanding as of December 31, 2025 were fully settled during January 2026. As of December 31, 2024, the Company recorded a $67.8 million receivable and payable from/to brokers and dealers and clearing organizations related to failed settlement transactions. All of the failed settlement transactions outstanding as of December 31, 2024 were fully settled during January 2025.</w:t>
      </w:r>
    </w:p>
    <w:p>
      <w:pPr>
        <w:spacing w:after="0" w:line="1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Additionally, in the normal course of business, the Company, as an introducing broker, executes transactions on behalf of or with clients of the Company, which are cleared by a clearing broker. Under the arrangement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6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6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 balances are pooled based on the following risk characteristics:</w:t>
      </w:r>
    </w:p>
    <w:p>
      <w:pPr>
        <w:spacing w:after="0" w:line="30" w:lineRule="exact"/>
        <w:rPr>
          <w:sz w:val="20"/>
          <w:szCs w:val="20"/>
          <w:color w:val="auto"/>
        </w:rPr>
      </w:pPr>
    </w:p>
    <w:p>
      <w:pPr>
        <w:ind w:left="720" w:hanging="360"/>
        <w:spacing w:after="0"/>
        <w:tabs>
          <w:tab w:leader="none" w:pos="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Geographic location</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fee type (billing type)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entity</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An allowance for credit losses is also recognized for any credit impairment of the Company’s digital asset loan receivable and available-for-sale debt securities. As of and during the year ended December 31, 2025, the Company maintained an allowance and recorded credit loss expense with regards to its digital asset loan receivable totaling $0.2 million, based on a review of the credit risk of the counterparty and the characteristics of the arrangement. There was no allowance for credit losses and no credit loss expense recorded on available-for-sale debt securities as of or for the years ended December 31, 2025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Write-Offs</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5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As of December 31, 2025 and 2024, the Company maintained an allowance for credit losses with regard to its receivables of $0.6 million and $0.4 million, respectively. For each of the years ended December 31, 2025, 2024 and 2023, credit loss expense relating to receivables was $0.2 million.</w:t>
      </w:r>
    </w:p>
    <w:p>
      <w:pPr>
        <w:spacing w:after="0" w:line="148" w:lineRule="exact"/>
        <w:rPr>
          <w:sz w:val="20"/>
          <w:szCs w:val="20"/>
          <w:color w:val="auto"/>
        </w:rPr>
      </w:pPr>
    </w:p>
    <w:p>
      <w:pPr>
        <w:ind w:left="720" w:hanging="720"/>
        <w:spacing w:after="0"/>
        <w:tabs>
          <w:tab w:leader="none" w:pos="72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could reasonably be expected to have a material adverse effect on its business, financial condition or results of operations.</w:t>
      </w:r>
    </w:p>
    <w:p>
      <w:pPr>
        <w:sectPr>
          <w:pgSz w:w="12240" w:h="15840" w:orient="portrait"/>
          <w:cols w:equalWidth="0" w:num="1">
            <w:col w:w="10420"/>
          </w:cols>
          <w:pgMar w:left="900" w:top="838" w:right="920" w:bottom="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10420"/>
          </w:cols>
          <w:pgMar w:left="900" w:top="838" w:right="920" w:bottom="0" w:gutter="0" w:footer="0" w:header="0"/>
          <w:type w:val="continuous"/>
        </w:sectPr>
      </w:pPr>
    </w:p>
    <w:bookmarkStart w:id="162" w:name="page163"/>
    <w:bookmarkEnd w:id="162"/>
    <w:p>
      <w:pPr>
        <w:ind w:right="280"/>
        <w:spacing w:after="0" w:line="258" w:lineRule="auto"/>
        <w:rPr>
          <w:sz w:val="20"/>
          <w:szCs w:val="20"/>
          <w:color w:val="auto"/>
        </w:rPr>
      </w:pPr>
      <w:r>
        <w:rPr>
          <w:rFonts w:ascii="Times New Roman" w:cs="Times New Roman" w:eastAsia="Times New Roman" w:hAnsi="Times New Roman"/>
          <w:sz w:val="20"/>
          <w:szCs w:val="20"/>
          <w:color w:val="auto"/>
        </w:rPr>
        <w:t>In the normal course of business, the Company enters into agreements with its clients which provide the clients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64"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9"/>
          <w:szCs w:val="19"/>
          <w:color w:val="auto"/>
        </w:rPr>
        <w:t>Although the Company was dismissed from a lawsuit relating to interest rate swaps in 2017, the claims brought by certain swap execution facilities against the remaining defendant financial institutions continues and could still be appealed as to the Company.</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and therefore does not have any contingency reserves established for any of these matters.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auto"/>
        </w:rPr>
        <w:t>On November 21, 2023, the Company entered into a five year, $500.0 million unsecured revolving credit facility (the “2023 Revolving Credit Facility”) with a syndicate of banks, which replaced its $500.0 million secured credit facility entered into on April 8, 2019.</w:t>
      </w:r>
    </w:p>
    <w:p>
      <w:pPr>
        <w:spacing w:after="0" w:line="1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7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Borrowings under the 2023 Revolving Credit Facility bear interest at a rate equal to, at the Company’s option, either (a) a base rate equal to the greatest of (i) 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7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As of both December 31, 2025 and 2024, there were $0.5 million in letters of credit issued and no borrowings outstanding under the 2023 Revolving Credit Facility.</w:t>
      </w:r>
    </w:p>
    <w:p>
      <w:pPr>
        <w:sectPr>
          <w:pgSz w:w="12240" w:h="15840" w:orient="portrait"/>
          <w:cols w:equalWidth="0" w:num="1">
            <w:col w:w="10400"/>
          </w:cols>
          <w:pgMar w:left="900" w:top="8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153</w:t>
      </w:r>
    </w:p>
    <w:p>
      <w:pPr>
        <w:sectPr>
          <w:pgSz w:w="12240" w:h="15840" w:orient="portrait"/>
          <w:cols w:equalWidth="0" w:num="1">
            <w:col w:w="10400"/>
          </w:cols>
          <w:pgMar w:left="900" w:top="838" w:right="940" w:bottom="0" w:gutter="0" w:footer="0" w:header="0"/>
          <w:type w:val="continuous"/>
        </w:sectPr>
      </w:pPr>
    </w:p>
    <w:bookmarkStart w:id="163" w:name="page164"/>
    <w:bookmarkEnd w:id="163"/>
    <w:p>
      <w:pPr>
        <w:ind w:left="720" w:hanging="720"/>
        <w:spacing w:after="0"/>
        <w:tabs>
          <w:tab w:leader="none" w:pos="72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Share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calculations of basic and diluted earnings per share of Class A and Class B common stock for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Tradeweb Markets Inc.:</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4"/>
        </w:trPr>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00" w:type="dxa"/>
            <w:vAlign w:val="bottom"/>
            <w:gridSpan w:val="7"/>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(dollars in thousands, except per share amounts)</w:t>
            </w:r>
          </w:p>
        </w:tc>
        <w:tc>
          <w:tcPr>
            <w:tcW w:w="0" w:type="dxa"/>
            <w:vAlign w:val="bottom"/>
          </w:tcPr>
          <w:p>
            <w:pPr>
              <w:spacing w:after="0"/>
              <w:rPr>
                <w:sz w:val="1"/>
                <w:szCs w:val="1"/>
                <w:color w:val="auto"/>
              </w:rPr>
            </w:pPr>
          </w:p>
        </w:tc>
      </w:tr>
      <w:tr>
        <w:trPr>
          <w:trHeight w:val="24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Numerator:</w:t>
            </w:r>
          </w:p>
        </w:tc>
        <w:tc>
          <w:tcPr>
            <w:tcW w:w="560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income attributable to Tradeweb Markets Inc.</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812,792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364,866</w:t>
            </w:r>
          </w:p>
        </w:tc>
        <w:tc>
          <w:tcPr>
            <w:tcW w:w="0" w:type="dxa"/>
            <w:vAlign w:val="bottom"/>
          </w:tcPr>
          <w:p>
            <w:pPr>
              <w:spacing w:after="0"/>
              <w:rPr>
                <w:sz w:val="1"/>
                <w:szCs w:val="1"/>
                <w:color w:val="auto"/>
              </w:rPr>
            </w:pPr>
          </w:p>
        </w:tc>
      </w:tr>
      <w:tr>
        <w:trPr>
          <w:trHeight w:val="213"/>
        </w:trPr>
        <w:tc>
          <w:tcPr>
            <w:tcW w:w="6520" w:type="dxa"/>
            <w:vAlign w:val="bottom"/>
            <w:gridSpan w:val="3"/>
          </w:tcPr>
          <w:p>
            <w:pPr>
              <w:spacing w:after="0" w:line="213" w:lineRule="exact"/>
              <w:rPr>
                <w:sz w:val="20"/>
                <w:szCs w:val="20"/>
                <w:color w:val="auto"/>
              </w:rPr>
            </w:pPr>
            <w:r>
              <w:rPr>
                <w:rFonts w:ascii="Times New Roman" w:cs="Times New Roman" w:eastAsia="Times New Roman" w:hAnsi="Times New Roman"/>
                <w:sz w:val="20"/>
                <w:szCs w:val="20"/>
                <w:color w:val="auto"/>
              </w:rPr>
              <w:t>Less: Distributed and undistributed earnings allocated to participating securities</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520" w:type="dxa"/>
            <w:vAlign w:val="bottom"/>
            <w:gridSpan w:val="3"/>
          </w:tcPr>
          <w:p>
            <w:pPr>
              <w:spacing w:after="0" w:line="182" w:lineRule="exact"/>
              <w:rPr>
                <w:sz w:val="20"/>
                <w:szCs w:val="20"/>
                <w:color w:val="auto"/>
              </w:rPr>
            </w:pPr>
            <w:r>
              <w:rPr>
                <w:rFonts w:ascii="Times New Roman" w:cs="Times New Roman" w:eastAsia="Times New Roman" w:hAnsi="Times New Roman"/>
                <w:sz w:val="20"/>
                <w:szCs w:val="20"/>
                <w:color w:val="auto"/>
              </w:rPr>
              <w:t>Net income attributable to outstanding shares of Class A and Class B common</w:t>
            </w:r>
          </w:p>
        </w:tc>
        <w:tc>
          <w:tcPr>
            <w:tcW w:w="160" w:type="dxa"/>
            <w:vAlign w:val="bottom"/>
          </w:tcPr>
          <w:p>
            <w:pPr>
              <w:spacing w:after="0"/>
              <w:rPr>
                <w:sz w:val="15"/>
                <w:szCs w:val="15"/>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812,156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501,118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364,399</w:t>
            </w:r>
          </w:p>
        </w:tc>
        <w:tc>
          <w:tcPr>
            <w:tcW w:w="0" w:type="dxa"/>
            <w:vAlign w:val="bottom"/>
          </w:tcPr>
          <w:p>
            <w:pPr>
              <w:spacing w:after="0"/>
              <w:rPr>
                <w:sz w:val="1"/>
                <w:szCs w:val="1"/>
                <w:color w:val="auto"/>
              </w:rPr>
            </w:pPr>
          </w:p>
        </w:tc>
      </w:tr>
      <w:tr>
        <w:trPr>
          <w:trHeight w:val="243"/>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 – Basic and Diluted</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Denominator:</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5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2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Weighted average shares of Class A and Class B common stock outstanding –</w:t>
            </w:r>
          </w:p>
        </w:tc>
        <w:tc>
          <w:tcPr>
            <w:tcW w:w="160" w:type="dxa"/>
            <w:vAlign w:val="bottom"/>
          </w:tcPr>
          <w:p>
            <w:pPr>
              <w:spacing w:after="0"/>
              <w:rPr>
                <w:sz w:val="19"/>
                <w:szCs w:val="19"/>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w w:val="97"/>
              </w:rPr>
              <w:t>213,213,371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213,030,056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210,796,802</w:t>
            </w:r>
          </w:p>
        </w:tc>
        <w:tc>
          <w:tcPr>
            <w:tcW w:w="0" w:type="dxa"/>
            <w:vAlign w:val="bottom"/>
          </w:tcPr>
          <w:p>
            <w:pPr>
              <w:spacing w:after="0"/>
              <w:rPr>
                <w:sz w:val="1"/>
                <w:szCs w:val="1"/>
                <w:color w:val="auto"/>
              </w:rPr>
            </w:pPr>
          </w:p>
        </w:tc>
      </w:tr>
      <w:tr>
        <w:trPr>
          <w:trHeight w:val="260"/>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Basic</w:t>
            </w: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5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Dilutive effect of PRSUs</w:t>
            </w:r>
          </w:p>
        </w:tc>
        <w:tc>
          <w:tcPr>
            <w:tcW w:w="16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460,612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589,171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458,343</w:t>
            </w:r>
          </w:p>
        </w:tc>
        <w:tc>
          <w:tcPr>
            <w:tcW w:w="0" w:type="dxa"/>
            <w:vAlign w:val="bottom"/>
          </w:tcPr>
          <w:p>
            <w:pPr>
              <w:spacing w:after="0"/>
              <w:rPr>
                <w:sz w:val="1"/>
                <w:szCs w:val="1"/>
                <w:color w:val="auto"/>
              </w:rPr>
            </w:pPr>
          </w:p>
        </w:tc>
      </w:tr>
      <w:tr>
        <w:trPr>
          <w:trHeight w:val="285"/>
        </w:trPr>
        <w:tc>
          <w:tcPr>
            <w:tcW w:w="65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Dilutive effect of options</w:t>
            </w:r>
          </w:p>
        </w:tc>
        <w:tc>
          <w:tcPr>
            <w:tcW w:w="16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284,464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428,926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1,150,159</w:t>
            </w:r>
          </w:p>
        </w:tc>
        <w:tc>
          <w:tcPr>
            <w:tcW w:w="0" w:type="dxa"/>
            <w:vAlign w:val="bottom"/>
          </w:tcPr>
          <w:p>
            <w:pPr>
              <w:spacing w:after="0"/>
              <w:rPr>
                <w:sz w:val="1"/>
                <w:szCs w:val="1"/>
                <w:color w:val="auto"/>
              </w:rPr>
            </w:pPr>
          </w:p>
        </w:tc>
      </w:tr>
      <w:tr>
        <w:trPr>
          <w:trHeight w:val="285"/>
        </w:trPr>
        <w:tc>
          <w:tcPr>
            <w:tcW w:w="65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Dilutive effect of RSUs and RSAs</w:t>
            </w:r>
          </w:p>
        </w:tc>
        <w:tc>
          <w:tcPr>
            <w:tcW w:w="16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407,012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415,957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257,076</w:t>
            </w:r>
          </w:p>
        </w:tc>
        <w:tc>
          <w:tcPr>
            <w:tcW w:w="0" w:type="dxa"/>
            <w:vAlign w:val="bottom"/>
          </w:tcPr>
          <w:p>
            <w:pPr>
              <w:spacing w:after="0"/>
              <w:rPr>
                <w:sz w:val="1"/>
                <w:szCs w:val="1"/>
                <w:color w:val="auto"/>
              </w:rPr>
            </w:pPr>
          </w:p>
        </w:tc>
      </w:tr>
      <w:tr>
        <w:trPr>
          <w:trHeight w:val="288"/>
        </w:trPr>
        <w:tc>
          <w:tcPr>
            <w:tcW w:w="65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Dilutive effect of PSUs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532,781</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460,653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6,428</w:t>
            </w:r>
          </w:p>
        </w:tc>
        <w:tc>
          <w:tcPr>
            <w:tcW w:w="0" w:type="dxa"/>
            <w:vAlign w:val="bottom"/>
          </w:tcPr>
          <w:p>
            <w:pPr>
              <w:spacing w:after="0"/>
              <w:rPr>
                <w:sz w:val="1"/>
                <w:szCs w:val="1"/>
                <w:color w:val="auto"/>
              </w:rPr>
            </w:pPr>
          </w:p>
        </w:tc>
      </w:tr>
      <w:tr>
        <w:trPr>
          <w:trHeight w:val="182"/>
        </w:trPr>
        <w:tc>
          <w:tcPr>
            <w:tcW w:w="6520" w:type="dxa"/>
            <w:vAlign w:val="bottom"/>
            <w:gridSpan w:val="3"/>
          </w:tcPr>
          <w:p>
            <w:pPr>
              <w:spacing w:after="0" w:line="182" w:lineRule="exact"/>
              <w:rPr>
                <w:sz w:val="20"/>
                <w:szCs w:val="20"/>
                <w:color w:val="auto"/>
              </w:rPr>
            </w:pPr>
            <w:r>
              <w:rPr>
                <w:rFonts w:ascii="Times New Roman" w:cs="Times New Roman" w:eastAsia="Times New Roman" w:hAnsi="Times New Roman"/>
                <w:sz w:val="20"/>
                <w:szCs w:val="20"/>
                <w:color w:val="auto"/>
              </w:rPr>
              <w:t>Weighted average shares of Class A and Class B common stock outstanding –</w:t>
            </w:r>
          </w:p>
        </w:tc>
        <w:tc>
          <w:tcPr>
            <w:tcW w:w="160" w:type="dxa"/>
            <w:vAlign w:val="bottom"/>
          </w:tcPr>
          <w:p>
            <w:pPr>
              <w:spacing w:after="0"/>
              <w:rPr>
                <w:sz w:val="15"/>
                <w:szCs w:val="15"/>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w w:val="97"/>
              </w:rPr>
              <w:t>214,898,240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214,924,763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212,668,808</w:t>
            </w:r>
          </w:p>
        </w:tc>
        <w:tc>
          <w:tcPr>
            <w:tcW w:w="0" w:type="dxa"/>
            <w:vAlign w:val="bottom"/>
          </w:tcPr>
          <w:p>
            <w:pPr>
              <w:spacing w:after="0"/>
              <w:rPr>
                <w:sz w:val="1"/>
                <w:szCs w:val="1"/>
                <w:color w:val="auto"/>
              </w:rPr>
            </w:pPr>
          </w:p>
        </w:tc>
      </w:tr>
      <w:tr>
        <w:trPr>
          <w:trHeight w:val="243"/>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Diluted</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6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Earnings per share – 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3.81</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Earnings per share – Diluted</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20" w:type="dxa"/>
            <w:vAlign w:val="bottom"/>
            <w:gridSpan w:val="3"/>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ind w:right="3"/>
              <w:spacing w:after="0" w:line="225" w:lineRule="exact"/>
              <w:rPr>
                <w:sz w:val="20"/>
                <w:szCs w:val="20"/>
                <w:color w:val="auto"/>
              </w:rPr>
            </w:pPr>
            <w:r>
              <w:rPr>
                <w:rFonts w:ascii="Times New Roman" w:cs="Times New Roman" w:eastAsia="Times New Roman" w:hAnsi="Times New Roman"/>
                <w:sz w:val="20"/>
                <w:szCs w:val="20"/>
                <w:color w:val="auto"/>
              </w:rPr>
              <w:t>3.78</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2.33</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1.71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-3202940</wp:posOffset>
            </wp:positionV>
            <wp:extent cx="6667500" cy="32226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6">
                      <a:extLst>
                        <a:ext uri="{28A0092B-C50C-407E-A947-70E740481C1C}"/>
                      </a:extLst>
                    </a:blip>
                    <a:srcRect/>
                    <a:stretch>
                      <a:fillRect/>
                    </a:stretch>
                  </pic:blipFill>
                  <pic:spPr bwMode="auto">
                    <a:xfrm>
                      <a:off x="0" y="0"/>
                      <a:ext cx="6667500" cy="3222625"/>
                    </a:xfrm>
                    <a:prstGeom prst="rect">
                      <a:avLst/>
                    </a:prstGeom>
                    <a:noFill/>
                  </pic:spPr>
                </pic:pic>
              </a:graphicData>
            </a:graphic>
          </wp:anchor>
        </w:drawing>
      </w:r>
    </w:p>
    <w:p>
      <w:pPr>
        <w:spacing w:after="0" w:line="100" w:lineRule="exact"/>
        <w:rPr>
          <w:sz w:val="20"/>
          <w:szCs w:val="20"/>
          <w:color w:val="auto"/>
        </w:rPr>
      </w:pPr>
    </w:p>
    <w:p>
      <w:pPr>
        <w:ind w:left="360" w:right="140" w:hanging="360"/>
        <w:spacing w:after="0" w:line="266" w:lineRule="auto"/>
        <w:tabs>
          <w:tab w:leader="none" w:pos="3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ended December 31, 2025, 2024 and 2023, there was a total of 167,018, 165,565 and 270,249, respectively, weighted average unvested or unsettled vested stock awards that were considered a participating security for purposes of calculating earnings per share in accordance with the two-class method.</w:t>
      </w:r>
    </w:p>
    <w:p>
      <w:pPr>
        <w:spacing w:after="0" w:line="15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held by Continuing LLC Owners are evaluated under the if-converted method. The potential dilutive effect of PRSUs, shares underlying options, RSUs, RSAs and PSUs are evaluated under the treasury stock method.</w:t>
      </w:r>
    </w:p>
    <w:p>
      <w:pPr>
        <w:spacing w:after="0" w:line="1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The following table summarizes the PRSUs, shares underlying options, RSUs, RSAs, PSUs and weighted-average LLC Interests held by Continuing LLC Owners that were anti-dilutive for the periods indicated. As a result, these shares, which were outstanding, were excluded from the computation of diluted earnings per share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1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6"/>
        </w:trPr>
        <w:tc>
          <w:tcPr>
            <w:tcW w:w="166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20"/>
        </w:trPr>
        <w:tc>
          <w:tcPr>
            <w:tcW w:w="16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6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9"/>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Anti</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dilutive Shares:</w:t>
            </w:r>
          </w:p>
        </w:tc>
        <w:tc>
          <w:tcPr>
            <w:tcW w:w="1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308"/>
        </w:trPr>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PRSUs</w:t>
            </w:r>
          </w:p>
        </w:tc>
        <w:tc>
          <w:tcPr>
            <w:tcW w:w="4860" w:type="dxa"/>
            <w:vAlign w:val="bottom"/>
          </w:tcPr>
          <w:p>
            <w:pPr>
              <w:spacing w:after="0"/>
              <w:rPr>
                <w:sz w:val="24"/>
                <w:szCs w:val="24"/>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Options</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RSUs and RSAs</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4,361</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PSUs</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LLC Interests</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23,063,110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23,076,373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23,902,379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-1102360</wp:posOffset>
            </wp:positionV>
            <wp:extent cx="6680200" cy="11366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7">
                      <a:extLst>
                        <a:ext uri="{28A0092B-C50C-407E-A947-70E740481C1C}"/>
                      </a:extLst>
                    </a:blip>
                    <a:srcRect/>
                    <a:stretch>
                      <a:fillRect/>
                    </a:stretch>
                  </pic:blipFill>
                  <pic:spPr bwMode="auto">
                    <a:xfrm>
                      <a:off x="0" y="0"/>
                      <a:ext cx="6680200" cy="1136650"/>
                    </a:xfrm>
                    <a:prstGeom prst="rect">
                      <a:avLst/>
                    </a:prstGeom>
                    <a:noFill/>
                  </pic:spPr>
                </pic:pic>
              </a:graphicData>
            </a:graphic>
          </wp:anchor>
        </w:drawing>
      </w:r>
    </w:p>
    <w:p>
      <w:pPr>
        <w:spacing w:after="0" w:line="231"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20"/>
          <w:szCs w:val="20"/>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154</w:t>
      </w:r>
    </w:p>
    <w:p>
      <w:pPr>
        <w:sectPr>
          <w:pgSz w:w="12240" w:h="15840" w:orient="portrait"/>
          <w:cols w:equalWidth="0" w:num="1">
            <w:col w:w="10440"/>
          </w:cols>
          <w:pgMar w:left="900" w:top="831" w:right="900" w:bottom="0" w:gutter="0" w:footer="0" w:header="0"/>
          <w:type w:val="continuous"/>
        </w:sectPr>
      </w:pPr>
    </w:p>
    <w:bookmarkStart w:id="164" w:name="page165"/>
    <w:bookmarkEnd w:id="164"/>
    <w:p>
      <w:pPr>
        <w:ind w:left="720" w:hanging="720"/>
        <w:spacing w:after="0"/>
        <w:tabs>
          <w:tab w:leader="none" w:pos="72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Regulatory Capital Requirements</w:t>
      </w:r>
    </w:p>
    <w:p>
      <w:pPr>
        <w:spacing w:after="0" w:line="2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TWL, DW, TWD and ICDLC are subject to the Uniform Net Capital Rule 15c3-1 under the Exchange Act and certain of the Company’s foreign subsidiaries are subject to financial resource requirements from their local regulators. At December 31, 2025 and 2024, the regulatory capital requirements and regulatory capital for these entities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3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83"/>
        </w:trPr>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Regulatory Capital</w:t>
            </w:r>
          </w:p>
        </w:tc>
        <w:tc>
          <w:tcPr>
            <w:tcW w:w="60" w:type="dxa"/>
            <w:vAlign w:val="bottom"/>
          </w:tcPr>
          <w:p>
            <w:pPr>
              <w:spacing w:after="0"/>
              <w:rPr>
                <w:sz w:val="15"/>
                <w:szCs w:val="15"/>
                <w:color w:val="auto"/>
              </w:rPr>
            </w:pPr>
          </w:p>
        </w:tc>
        <w:tc>
          <w:tcPr>
            <w:tcW w:w="14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Excess Regulatory</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Regulatory Capital</w:t>
            </w:r>
          </w:p>
        </w:tc>
        <w:tc>
          <w:tcPr>
            <w:tcW w:w="60" w:type="dxa"/>
            <w:vAlign w:val="bottom"/>
          </w:tcPr>
          <w:p>
            <w:pPr>
              <w:spacing w:after="0"/>
              <w:rPr>
                <w:sz w:val="15"/>
                <w:szCs w:val="15"/>
                <w:color w:val="auto"/>
              </w:rPr>
            </w:pPr>
          </w:p>
        </w:tc>
        <w:tc>
          <w:tcPr>
            <w:tcW w:w="14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Excess Regulatory</w:t>
            </w:r>
          </w:p>
        </w:tc>
      </w:tr>
      <w:tr>
        <w:trPr>
          <w:trHeight w:val="217"/>
        </w:trPr>
        <w:tc>
          <w:tcPr>
            <w:tcW w:w="1360" w:type="dxa"/>
            <w:vAlign w:val="bottom"/>
          </w:tcPr>
          <w:p>
            <w:pPr>
              <w:spacing w:after="0"/>
              <w:rPr>
                <w:sz w:val="18"/>
                <w:szCs w:val="18"/>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Regulatory Capital</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Regulatory Capital</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Capital</w:t>
            </w:r>
          </w:p>
        </w:tc>
      </w:tr>
      <w:tr>
        <w:trPr>
          <w:trHeight w:val="274"/>
        </w:trPr>
        <w:tc>
          <w:tcPr>
            <w:tcW w:w="1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6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8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TWL</w:t>
            </w:r>
          </w:p>
        </w:tc>
        <w:tc>
          <w:tcPr>
            <w:tcW w:w="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65,479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60,183</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63,532</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59,886</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DW</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260,326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257,195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204,134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199,775</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TWD</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54,479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53,021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51,600</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TEL</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61,388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56,152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23,653</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TWJ</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TWEU</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TESL</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4,813</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TESBV</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YB</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11,677</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TDIFC</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ICDLC</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20,251</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ICDLT</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3,507</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ICDEU</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TWSA</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TAPL</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-2718435</wp:posOffset>
            </wp:positionV>
            <wp:extent cx="6654800" cy="27400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8">
                      <a:extLst>
                        <a:ext uri="{28A0092B-C50C-407E-A947-70E740481C1C}"/>
                      </a:extLst>
                    </a:blip>
                    <a:srcRect/>
                    <a:stretch>
                      <a:fillRect/>
                    </a:stretch>
                  </pic:blipFill>
                  <pic:spPr bwMode="auto">
                    <a:xfrm>
                      <a:off x="0" y="0"/>
                      <a:ext cx="6654800" cy="2740025"/>
                    </a:xfrm>
                    <a:prstGeom prst="rect">
                      <a:avLst/>
                    </a:prstGeom>
                    <a:noFill/>
                  </pic:spPr>
                </pic:pic>
              </a:graphicData>
            </a:graphic>
          </wp:anchor>
        </w:drawing>
      </w:r>
    </w:p>
    <w:p>
      <w:pPr>
        <w:spacing w:after="0" w:line="23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auto"/>
        </w:rPr>
        <w:t>As SEFs, TW SEF and DW SEF are required to maintain adequate financial resources and liquid financial assets in accordance with CFTC regulations. The required and maintained financial resources and liquid financial assets at December 31, 2025 and 2024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83"/>
        </w:trPr>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6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Required Financial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Excess Financial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6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Required Financial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Excess Financial</w:t>
            </w:r>
          </w:p>
        </w:tc>
      </w:tr>
      <w:tr>
        <w:trPr>
          <w:trHeight w:val="217"/>
        </w:trPr>
        <w:tc>
          <w:tcPr>
            <w:tcW w:w="1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8"/>
              </w:rPr>
              <w:t>Resources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Resources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Resources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8"/>
              </w:rPr>
              <w:t>Resources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8"/>
              </w:rPr>
              <w:t>Resources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Resources</w:t>
            </w:r>
          </w:p>
        </w:tc>
      </w:tr>
      <w:tr>
        <w:trPr>
          <w:trHeight w:val="274"/>
        </w:trPr>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20" w:type="dxa"/>
            <w:vAlign w:val="bottom"/>
            <w:gridSpan w:val="4"/>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8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 SEF</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50,974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34,474</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DW SEF</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14,083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5,021</w:t>
            </w:r>
          </w:p>
        </w:tc>
      </w:tr>
      <w:tr>
        <w:trPr>
          <w:trHeight w:val="543"/>
        </w:trPr>
        <w:tc>
          <w:tcPr>
            <w:tcW w:w="1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83"/>
        </w:trPr>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Liquid Financial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Required Liquid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Excess Liquid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Liquid Financial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Required Liquid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Excess Liquid</w:t>
            </w:r>
          </w:p>
        </w:tc>
      </w:tr>
      <w:tr>
        <w:trPr>
          <w:trHeight w:val="217"/>
        </w:trPr>
        <w:tc>
          <w:tcPr>
            <w:tcW w:w="1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Financial Assets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Financial Assets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Financial Assets</w:t>
            </w:r>
          </w:p>
        </w:tc>
      </w:tr>
      <w:tr>
        <w:trPr>
          <w:trHeight w:val="274"/>
        </w:trPr>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20" w:type="dxa"/>
            <w:vAlign w:val="bottom"/>
            <w:gridSpan w:val="4"/>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8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TW SEF</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28,163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24,038</w:t>
            </w:r>
          </w:p>
        </w:tc>
      </w:tr>
      <w:tr>
        <w:trPr>
          <w:trHeight w:val="28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DW SEF</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9,956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-1527810</wp:posOffset>
            </wp:positionV>
            <wp:extent cx="6654800" cy="387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9">
                      <a:extLst>
                        <a:ext uri="{28A0092B-C50C-407E-A947-70E740481C1C}"/>
                      </a:extLst>
                    </a:blip>
                    <a:srcRect/>
                    <a:stretch>
                      <a:fillRect/>
                    </a:stretch>
                  </pic:blipFill>
                  <pic:spPr bwMode="auto">
                    <a:xfrm>
                      <a:off x="0" y="0"/>
                      <a:ext cx="6654800" cy="387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0">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24" w:lineRule="exact"/>
        <w:rPr>
          <w:sz w:val="20"/>
          <w:szCs w:val="20"/>
          <w:color w:val="auto"/>
        </w:rPr>
      </w:pPr>
    </w:p>
    <w:p>
      <w:pPr>
        <w:ind w:left="720" w:hanging="720"/>
        <w:spacing w:after="0"/>
        <w:tabs>
          <w:tab w:leader="none" w:pos="72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Segment and Geographic Information</w:t>
      </w:r>
    </w:p>
    <w:p>
      <w:pPr>
        <w:spacing w:after="0" w:line="2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Operating segments are defined as components of an entity for which separate discrete financial information is available and is regularly reviewed by the Chief Operating Decision Maker (the “CODM”) in deciding how to allocate resources to an individual segment and in assessing performance. The Company’s CODM is its Chief Executive Officer.</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155</w:t>
      </w:r>
    </w:p>
    <w:p>
      <w:pPr>
        <w:sectPr>
          <w:pgSz w:w="12240" w:h="15840" w:orient="portrait"/>
          <w:cols w:equalWidth="0" w:num="1">
            <w:col w:w="10440"/>
          </w:cols>
          <w:pgMar w:left="900" w:top="831" w:right="900" w:bottom="0" w:gutter="0" w:footer="0" w:header="0"/>
          <w:type w:val="continuous"/>
        </w:sectPr>
      </w:pPr>
    </w:p>
    <w:bookmarkStart w:id="165" w:name="page166"/>
    <w:bookmarkEnd w:id="165"/>
    <w:p>
      <w:pPr>
        <w:spacing w:after="0" w:line="252" w:lineRule="auto"/>
        <w:rPr>
          <w:sz w:val="20"/>
          <w:szCs w:val="20"/>
          <w:color w:val="auto"/>
        </w:rPr>
      </w:pPr>
      <w:r>
        <w:rPr>
          <w:rFonts w:ascii="Times New Roman" w:cs="Times New Roman" w:eastAsia="Times New Roman" w:hAnsi="Times New Roman"/>
          <w:sz w:val="20"/>
          <w:szCs w:val="20"/>
          <w:color w:val="auto"/>
        </w:rPr>
        <w:t>The Company operates electronic marketplaces for the trading of products across the rates, credit, equities and money markets asset classes and provides related pre-trade and post-trade services. The access to the Company’s electronic marketplaces includes market data, continuous pricing data refreshes and the processing and reporting of trades thereon, which are highly interrelated services. Through its electronic marketplaces, the Company facilitates trading by clients across the institutional, wholesale, retail and corporates client sectors and builds comprehensive market data sets that it is able to separately sell to clients, primarily LSEG, as incremental market data revenue. The Company’s client sectors continue to become more interwoven and the Company benefits from these cross-marketplace network effects. For example, many of the Company’s asset manager, hedge fund, insurance, central bank/sovereign entity and regional dealer clients actively trade multiple products on its platform. In addition, many of the global commercial banks and dealers providing liquidity for institutional trades are also active traders on the Company’s wholesale offering and provide odd-lot inventory for the Company’s retail client sector. Because of the highly integrated nature of these marketplaces and services and the global financial markets in which the Company competes, the CODM reviews financial information on a global consolidated basis for purposes of making operating decisions, allocating resources and evaluating financial performance. As such, the Company has determined it operates as one operating segment and one reportable segment.</w:t>
      </w:r>
    </w:p>
    <w:p>
      <w:pPr>
        <w:spacing w:after="0" w:line="17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auto"/>
        </w:rPr>
        <w:t>The CODM uses Adjusted EBITDA and consolidated net income to set budgets, evaluate margins, review actual results and in deciding whether to reinvest profits into the business, pursue acquisitions, pay dividends and/or engage in other capital management transactions. Consolidated net income is the measure of segment profit most consistent with U.S. GAAP that is regularly reviewed by the CODM to allocate resources and assess performance.</w:t>
      </w:r>
    </w:p>
    <w:p>
      <w:pPr>
        <w:spacing w:after="0" w:line="1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Significant expense categories included in consolidated net income that are regularly provided to the CODM include employee compensation and benefits, technology and communications, general and administrative, professional fees and occupancy, each as presented on the accompanying consolidated statements of income.</w:t>
      </w:r>
    </w:p>
    <w:p>
      <w:pPr>
        <w:spacing w:after="0" w:line="15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Information regarding revenue from external clients by client sector, significant segment expenses and consolidated net income is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0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80" w:type="dxa"/>
            <w:vAlign w:val="bottom"/>
          </w:tcPr>
          <w:p>
            <w:pPr>
              <w:spacing w:after="0"/>
              <w:rPr>
                <w:sz w:val="23"/>
                <w:szCs w:val="23"/>
                <w:color w:val="auto"/>
              </w:rPr>
            </w:pPr>
          </w:p>
        </w:tc>
      </w:tr>
      <w:tr>
        <w:trPr>
          <w:trHeight w:val="264"/>
        </w:trPr>
        <w:tc>
          <w:tcPr>
            <w:tcW w:w="6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09"/>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Institutional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1,275,547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1,035,775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797,038</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Wholesale</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400,753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385,673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312,586</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Retail</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146,510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143,247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134,521</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Corporates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95,895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43,234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Market Data</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133,724</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118,020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94,074</w:t>
            </w:r>
          </w:p>
        </w:tc>
      </w:tr>
      <w:tr>
        <w:trPr>
          <w:trHeight w:val="262"/>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2,052,429</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1,725,949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1,338,219</w:t>
            </w:r>
          </w:p>
        </w:tc>
      </w:tr>
      <w:tr>
        <w:trPr>
          <w:trHeight w:val="264"/>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06"/>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Employee compensation and benefits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670,831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592,690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460,305</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Technology and communications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128,327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98,568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77,506</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88,402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51,495</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Professional fees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53,391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42,364</w:t>
            </w:r>
          </w:p>
        </w:tc>
      </w:tr>
      <w:tr>
        <w:trPr>
          <w:trHeight w:val="285"/>
        </w:trPr>
        <w:tc>
          <w:tcPr>
            <w:tcW w:w="6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Occupancy</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25,951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15,930</w:t>
            </w:r>
          </w:p>
        </w:tc>
      </w:tr>
      <w:tr>
        <w:trPr>
          <w:trHeight w:val="288"/>
        </w:trPr>
        <w:tc>
          <w:tcPr>
            <w:tcW w:w="6520" w:type="dxa"/>
            <w:vAlign w:val="bottom"/>
          </w:tcPr>
          <w:p>
            <w:pPr>
              <w:ind w:left="120"/>
              <w:spacing w:after="0" w:line="288" w:lineRule="exact"/>
              <w:rPr>
                <w:sz w:val="20"/>
                <w:szCs w:val="20"/>
                <w:color w:val="auto"/>
              </w:rPr>
            </w:pPr>
            <w:r>
              <w:rPr>
                <w:rFonts w:ascii="Times New Roman" w:cs="Times New Roman" w:eastAsia="Times New Roman" w:hAnsi="Times New Roman"/>
                <w:sz w:val="20"/>
                <w:szCs w:val="20"/>
                <w:color w:val="auto"/>
              </w:rPr>
              <w:t xml:space="preserve">Other segment items </w:t>
            </w:r>
            <w:r>
              <w:rPr>
                <w:rFonts w:ascii="Times New Roman" w:cs="Times New Roman" w:eastAsia="Times New Roman" w:hAnsi="Times New Roman"/>
                <w:sz w:val="26"/>
                <w:szCs w:val="26"/>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164,027</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328,064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271,116</w:t>
            </w: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921,500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569,963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419,503</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-2745740</wp:posOffset>
            </wp:positionV>
            <wp:extent cx="6654800" cy="2752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41">
                      <a:extLst>
                        <a:ext uri="{28A0092B-C50C-407E-A947-70E740481C1C}"/>
                      </a:extLst>
                    </a:blip>
                    <a:srcRect/>
                    <a:stretch>
                      <a:fillRect/>
                    </a:stretch>
                  </pic:blipFill>
                  <pic:spPr bwMode="auto">
                    <a:xfrm>
                      <a:off x="0" y="0"/>
                      <a:ext cx="6654800" cy="2752725"/>
                    </a:xfrm>
                    <a:prstGeom prst="rect">
                      <a:avLst/>
                    </a:prstGeom>
                    <a:noFill/>
                  </pic:spPr>
                </pic:pic>
              </a:graphicData>
            </a:graphic>
          </wp:anchor>
        </w:drawing>
      </w:r>
    </w:p>
    <w:p>
      <w:pPr>
        <w:spacing w:after="0" w:line="100" w:lineRule="exact"/>
        <w:rPr>
          <w:sz w:val="20"/>
          <w:szCs w:val="20"/>
          <w:color w:val="auto"/>
        </w:rPr>
      </w:pPr>
    </w:p>
    <w:p>
      <w:pPr>
        <w:ind w:left="360" w:right="500" w:hanging="360"/>
        <w:spacing w:after="0" w:line="282" w:lineRule="auto"/>
        <w:tabs>
          <w:tab w:leader="none" w:pos="3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 depreciation and amortization, the tax receivable agreement liability adjustment (as applicable), interest income, interest expense, other (income) loss, net and provision for income taxes, each as presented on the accompanying consolidated statements of income.</w:t>
      </w:r>
    </w:p>
    <w:p>
      <w:pPr>
        <w:spacing w:after="0" w:line="14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The Company operates in the U.S. and internationally, primarily in the Europe, Asia and Australia regions. Variable revenues are generally attributed to geographic area based on the jurisdiction where the underlying transactions take place. The attribution of fixed revenues may vary by revenue and contract type. Given the global nature of the financial markets in which we operate and our clients’ worldwide businesses and contracts, the results by geographic region and allocation of revenues to individual countries are not necessarily meaningful in understanding the Company’s business.</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156</w:t>
      </w:r>
    </w:p>
    <w:p>
      <w:pPr>
        <w:sectPr>
          <w:pgSz w:w="12240" w:h="15840" w:orient="portrait"/>
          <w:cols w:equalWidth="0" w:num="1">
            <w:col w:w="10440"/>
          </w:cols>
          <w:pgMar w:left="900" w:top="838" w:right="900" w:bottom="0" w:gutter="0" w:footer="0" w:header="0"/>
          <w:type w:val="continuous"/>
        </w:sectPr>
      </w:pPr>
    </w:p>
    <w:bookmarkStart w:id="166" w:name="page167"/>
    <w:bookmarkEnd w:id="166"/>
    <w:p>
      <w:pPr>
        <w:ind w:right="60"/>
        <w:spacing w:after="0" w:line="268" w:lineRule="auto"/>
        <w:rPr>
          <w:sz w:val="20"/>
          <w:szCs w:val="20"/>
          <w:color w:val="auto"/>
        </w:rPr>
      </w:pPr>
      <w:r>
        <w:rPr>
          <w:rFonts w:ascii="Times New Roman" w:cs="Times New Roman" w:eastAsia="Times New Roman" w:hAnsi="Times New Roman"/>
          <w:sz w:val="19"/>
          <w:szCs w:val="19"/>
          <w:color w:val="auto"/>
        </w:rPr>
        <w:t>The measure of segment assets is reported on the accompanying consolidated statements of financial condition as total consolidated assets. Total expenditures for additions to long-lived assets are as reported on the accompanying consolidated statements of cash flows. Long-lived assets are attributed to the geographic area based on the location of the particular subsidiary.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revenue by geographic area:</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6"/>
        </w:trPr>
        <w:tc>
          <w:tcPr>
            <w:tcW w:w="6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20"/>
        </w:trPr>
        <w:tc>
          <w:tcPr>
            <w:tcW w:w="6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0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80" w:type="dxa"/>
            <w:vAlign w:val="bottom"/>
          </w:tcPr>
          <w:p>
            <w:pPr>
              <w:spacing w:after="0"/>
              <w:rPr>
                <w:sz w:val="23"/>
                <w:szCs w:val="23"/>
                <w:color w:val="auto"/>
              </w:rPr>
            </w:pPr>
          </w:p>
        </w:tc>
      </w:tr>
      <w:tr>
        <w:trPr>
          <w:trHeight w:val="264"/>
        </w:trPr>
        <w:tc>
          <w:tcPr>
            <w:tcW w:w="6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09"/>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1,194,062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1,060,697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850,338</w:t>
            </w: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858,367</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665,252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487,881</w:t>
            </w: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2,052,429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1,725,949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1,338,219</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620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2">
                      <a:extLst>
                        <a:ext uri="{28A0092B-C50C-407E-A947-70E740481C1C}"/>
                      </a:extLst>
                    </a:blip>
                    <a:srcRect/>
                    <a:stretch>
                      <a:fillRect/>
                    </a:stretch>
                  </pic:blipFill>
                  <pic:spPr bwMode="auto">
                    <a:xfrm>
                      <a:off x="0" y="0"/>
                      <a:ext cx="6654800" cy="76200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information on the attribution of long-lived assets by geographic area:</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0"/>
        </w:trPr>
        <w:tc>
          <w:tcPr>
            <w:tcW w:w="6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4"/>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0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980" w:type="dxa"/>
            <w:vAlign w:val="bottom"/>
          </w:tcPr>
          <w:p>
            <w:pPr>
              <w:spacing w:after="0"/>
              <w:rPr>
                <w:sz w:val="23"/>
                <w:szCs w:val="23"/>
                <w:color w:val="auto"/>
              </w:rPr>
            </w:pPr>
          </w:p>
        </w:tc>
      </w:tr>
      <w:tr>
        <w:trPr>
          <w:trHeight w:val="264"/>
        </w:trPr>
        <w:tc>
          <w:tcPr>
            <w:tcW w:w="6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Long-lived assets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09"/>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4,737,934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4,777,770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3,990,070</w:t>
            </w:r>
          </w:p>
        </w:tc>
      </w:tr>
      <w:tr>
        <w:trPr>
          <w:trHeight w:val="288"/>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31,746</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29,478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20,348</w:t>
            </w:r>
          </w:p>
        </w:tc>
      </w:tr>
      <w:tr>
        <w:trPr>
          <w:trHeight w:val="245"/>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4,769,680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4,807,248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4,010,418</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620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3">
                      <a:extLst>
                        <a:ext uri="{28A0092B-C50C-407E-A947-70E740481C1C}"/>
                      </a:extLst>
                    </a:blip>
                    <a:srcRect/>
                    <a:stretch>
                      <a:fillRect/>
                    </a:stretch>
                  </pic:blipFill>
                  <pic:spPr bwMode="auto">
                    <a:xfrm>
                      <a:off x="0" y="0"/>
                      <a:ext cx="6654800" cy="762000"/>
                    </a:xfrm>
                    <a:prstGeom prst="rect">
                      <a:avLst/>
                    </a:prstGeom>
                    <a:noFill/>
                  </pic:spPr>
                </pic:pic>
              </a:graphicData>
            </a:graphic>
          </wp:anchor>
        </w:drawing>
      </w:r>
    </w:p>
    <w:p>
      <w:pPr>
        <w:spacing w:after="0" w:line="181" w:lineRule="exact"/>
        <w:rPr>
          <w:sz w:val="20"/>
          <w:szCs w:val="20"/>
          <w:color w:val="auto"/>
        </w:rPr>
      </w:pPr>
    </w:p>
    <w:p>
      <w:pPr>
        <w:ind w:left="720" w:hanging="720"/>
        <w:spacing w:after="0"/>
        <w:tabs>
          <w:tab w:leader="none" w:pos="720"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1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20"/>
          <w:szCs w:val="20"/>
          <w:color w:val="auto"/>
        </w:rPr>
        <w:t>On February 5, 2026, the board of directors of Tradeweb Markets Inc. declared a cash dividend of $0.14 per share of Class A common stock and Class B common stock for the first quarter of 2026. This dividend will be payable on March 16, 2026 to stockholders of record as of March 2, 2026.</w:t>
      </w:r>
    </w:p>
    <w:p>
      <w:pPr>
        <w:spacing w:after="0" w:line="15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auto"/>
        </w:rPr>
        <w:t>On February 5, 2026, Tradeweb Markets Inc., as the sole manager, approved a distribution by TWM LLC to its equityholders, including Tradeweb Markets Inc., in an aggregate amount of $78.1 million, as adjusted by required state and local tax withholdings that will be determined prior to the record date of March 2, 2026, payable on March 12, 2026.</w:t>
      </w:r>
    </w:p>
    <w:p>
      <w:pPr>
        <w:spacing w:after="0" w:line="15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On February 5, 2026, the board of directors of Tradeweb Markets Inc. approved a share repurchase program with an indefinite term under which the Company may purchase up to $500 million of its Class A common stock (the “2026 Share Repurchase Program”) once the 2022 Share Repurchase Program has been exhausted. As of February 5, 2026, $23.2 million remained available for repurchase pursuant to the 2022 Share Repurchase Program. Pursuant to the 2026 Share Repurchase Program, the Company may repurchase its Class A common stock from time to time, in amounts, at prices and at such times as it deems appropriate, subject to market conditions and other considerations. The Company may make repurchases in the open market, through privately negotiated transactions, through accelerated repurchase programs (including through the use of derivatives), pursuant to Rule 10b5-1 plans or through enhanced open-market repurchases (eOMR). The 2026 Share Repurchase Program will be conducted in compliance with applicable legal requirements and shall be subject to market conditions and other factors. The manner, timing and amount of any purchase will be based on an evaluation of market conditions, stock price and other factors. The 2026 Share Repurchase Program has no termination date, may be suspended, amended or discontinued at any time and does not obligate the Company to acquire any amount of Class A common stock.</w:t>
      </w:r>
    </w:p>
    <w:p>
      <w:pPr>
        <w:sectPr>
          <w:pgSz w:w="12240" w:h="15840" w:orient="portrait"/>
          <w:cols w:equalWidth="0" w:num="1">
            <w:col w:w="10440"/>
          </w:cols>
          <w:pgMar w:left="900" w:top="83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157</w:t>
      </w:r>
    </w:p>
    <w:p>
      <w:pPr>
        <w:sectPr>
          <w:pgSz w:w="12240" w:h="15840" w:orient="portrait"/>
          <w:cols w:equalWidth="0" w:num="1">
            <w:col w:w="10440"/>
          </w:cols>
          <w:pgMar w:left="900" w:top="838" w:right="900" w:bottom="0" w:gutter="0" w:footer="0" w:header="0"/>
          <w:type w:val="continuous"/>
        </w:sectPr>
      </w:pPr>
    </w:p>
    <w:bookmarkStart w:id="167" w:name="page168"/>
    <w:bookmarkEnd w:id="167"/>
    <w:p>
      <w:pPr>
        <w:ind w:right="440"/>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management has evaluated, under the supervision of our Chief Executive Officer (“CEO”) and Chief Financial Officer (“CFO”), the effectiveness of our disclosure controls and procedures, as defined in Rule 13a</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15(e) of the Exchange Act, as of the end of the period covered by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Based on that evaluation, our CEO and CFO have concluded that our disclosure controls and procedures as of the end of the period covered by this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K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17"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for us as defined in Rule 13a-15(f) or 15d-15(f) under the Exchange Act.</w:t>
      </w:r>
    </w:p>
    <w:p>
      <w:pPr>
        <w:spacing w:after="0" w:line="14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U.S. GAAP. A company’s internal control over financial reporting includes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jc w:val="both"/>
        <w:ind w:right="600"/>
        <w:spacing w:after="0" w:line="286" w:lineRule="auto"/>
        <w:rPr>
          <w:sz w:val="20"/>
          <w:szCs w:val="20"/>
          <w:color w:val="auto"/>
        </w:rPr>
      </w:pPr>
      <w:r>
        <w:rPr>
          <w:rFonts w:ascii="Times New Roman" w:cs="Times New Roman" w:eastAsia="Times New Roman" w:hAnsi="Times New Roman"/>
          <w:sz w:val="19"/>
          <w:szCs w:val="19"/>
          <w:color w:val="auto"/>
        </w:rPr>
        <w:t>Our management, under the supervision and with the participation of our CEO and CFO, evaluated the effectiveness of our internal control over financial reporting as of December 31, 2025 using criteria established in Internal Control – Integrated Framework (2013) issued by the Committee of Sponsoring Organizations of the Treadway Commission (COSO).</w:t>
      </w:r>
    </w:p>
    <w:p>
      <w:pPr>
        <w:spacing w:after="0" w:line="13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Management, including our CEO and CFO, based on its assessment and those criteria, has concluded that our internal control over financial reporting was effective as of December 31, 2025.</w:t>
      </w:r>
    </w:p>
    <w:p>
      <w:pPr>
        <w:spacing w:after="0" w:line="14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Deloitte &amp; Touche LLP, an independent registered public accounting firm, as stated in their report which appears herein.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217"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20"/>
          <w:szCs w:val="20"/>
          <w:color w:val="auto"/>
        </w:rPr>
        <w:t>There were no changes to our internal control over financial reporting during the quarter ended December 31, 2025 that have materially affected, or that are reasonably likely to materially affect, our internal control over financial reporting.</w: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158</w:t>
      </w:r>
    </w:p>
    <w:p>
      <w:pPr>
        <w:sectPr>
          <w:pgSz w:w="12240" w:h="15840" w:orient="portrait"/>
          <w:cols w:equalWidth="0" w:num="1">
            <w:col w:w="10440"/>
          </w:cols>
          <w:pgMar w:left="900" w:top="831" w:right="900" w:bottom="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13" w:lineRule="exact"/>
        <w:rPr>
          <w:sz w:val="20"/>
          <w:szCs w:val="20"/>
          <w:color w:val="auto"/>
        </w:rPr>
      </w:pPr>
    </w:p>
    <w:p>
      <w:pPr>
        <w:ind w:left="280" w:hanging="280"/>
        <w:spacing w:after="0"/>
        <w:tabs>
          <w:tab w:leader="none" w:pos="2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Approval or Modification of Material Compensatory Agreements</w:t>
      </w:r>
    </w:p>
    <w:p>
      <w:pPr>
        <w:spacing w:after="0" w:line="21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On February 5, 2026, the Compensation Committee of the Board of Directors of the Company (the “Compensation Committee”) approved or modified certain material compensatory arrangements with the principal executive officer, the principal financial officer and the named executive officers, as detailed below.</w:t>
      </w:r>
    </w:p>
    <w:p>
      <w:pPr>
        <w:spacing w:after="0" w:line="15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The Compensation Committee approved the Amended and Restated Executive Severance Policy, effective as of February 5, 2026 (the “A&amp;R Executive Severance Policy”). The A&amp;R Executive Severance Policy amends and restates the prior Executive Severance Policy in its entirety. Pursuant to the A&amp;R Executive Severance Policy, Eligible Employees (defined as the Chief Executive Officer, any member of the Executive Committee of the Company and any other employee whose employment agreement indicates that the A&amp;R Executive Severance Policy applies) are eligible to receive a Severance Amount (as defined below) upon a Qualifying Termination (defined as a termination by the Company for any reason other than cause, death or disability, or a resignation by the Eligible Employee for good reason). The “Severance Amount” is an amount equal to (i) accrued compensation, plus (ii) one times the Eligible Employee’s base salary, payable in equal installments on the Company’s payroll dates during the one year period following the Termination Date, plus (iii) one and a half times the sum of (A) the Eligible Employee’s base salary and (B) the average actual bonus paid to the Eligible Employee in the three fiscal years preceding the date of termination, paid no later than sixty days following the execution of a release agreement. An Eligible Employee is also entitled to receive reimbursements for the excess costs of COBRA continuation for one year following the termination date. Mr. Hult continues to be entitled to severance pursuant to the terms of his employment agreement and not the A&amp;R Executive Severance Policy. This description is meant to be a summary and not a full description of all of the terms of the A&amp;R Severance Policy, which are incorporated herein by reference. A copy of the A&amp;R Severance Policy is attached as Exhibit 10.42 to this Annual Report on Form 10-K.</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addition, the Compensation Committee approved amendments (the “Executive Equity Agreement Amendments”) to existing outstanding RSU (other than the Chief Executive Officer), PSU and PRSU grant agreements for members of the Executive Committee of the Company (the “Executive Equity Agreements”). Pursuant to the Executive Equity Agreement Amendments, upon a qualifying retirement (with a minimum of six months advance notice), a termination without cause, a termination on account of death or disability (each, a “Qualifying Termination”) or a resignation with good reason, in each instance, by a member of the Executive Committee of the Company, all outstanding and unvested PRSUs and PSUs, as applicable, will fully vest. RSUs, which terms already provide for full vesting upon a Qualifying Termination, will also fully vest on a resignation for good reason. Mr. Hult’s outstanding RSUs already provide for full vesting on such events. The PRSUs, PSUs and RSUs will continue to settle upon the original settlement dates. All other terms applicable to the RSUs, PRSUs and PSUs, as disclosed in the Company’s Proxy Statement on Schedule 14A, filed on March 27, 2025, are unchanged. All equity grants to be made to the Executive Committee members in 2026 and thereafter will be made pursuant to similar terms. This description is meant to be a summary and not a full description of all of the terms of the Executive Equity Agreements, which are incorporated herein by reference. Copies of the Executive Equity Agreements and Executive Equity Agreement Amendments are attached as Exhibits 10.34 - 10.41 to this Annual Report on Form 10-K.</w:t>
      </w:r>
    </w:p>
    <w:p>
      <w:pPr>
        <w:spacing w:after="0" w:line="176" w:lineRule="exact"/>
        <w:rPr>
          <w:sz w:val="20"/>
          <w:szCs w:val="20"/>
          <w:color w:val="auto"/>
        </w:rPr>
      </w:pPr>
    </w:p>
    <w:p>
      <w:pPr>
        <w:ind w:left="280" w:hanging="280"/>
        <w:spacing w:after="0"/>
        <w:tabs>
          <w:tab w:leader="none" w:pos="2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Securities Trading Plans of Executive Officers and Director</w:t>
      </w:r>
      <w:r>
        <w:rPr>
          <w:rFonts w:ascii="Times New Roman" w:cs="Times New Roman" w:eastAsia="Times New Roman" w:hAnsi="Times New Roman"/>
          <w:sz w:val="20"/>
          <w:szCs w:val="20"/>
          <w:color w:val="auto"/>
        </w:rPr>
        <w:t>s</w:t>
      </w:r>
    </w:p>
    <w:p>
      <w:pPr>
        <w:spacing w:after="0" w:line="21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The following table describes trading plans intended to satisfy the affirmative defense conditions of Rule 10b5-1(c) under the Exchange Act, as defined in Item 408 of Regulation S-K (“Rule 10b5-1 trading arrangements”), adopted, modified or terminated by our executive officers and directors during the three months ended December 31,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6"/>
                <w:szCs w:val="16"/>
                <w:b w:val="1"/>
                <w:bCs w:val="1"/>
                <w:color w:val="auto"/>
                <w:w w:val="99"/>
              </w:rPr>
              <w:t>Scheduled</w:t>
            </w:r>
          </w:p>
        </w:tc>
      </w:tr>
      <w:tr>
        <w:trPr>
          <w:trHeight w:val="217"/>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08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55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Aggregate Number of Securities to be Purchased or Sold</w:t>
            </w:r>
          </w:p>
        </w:tc>
        <w:tc>
          <w:tcPr>
            <w:tcW w:w="1600" w:type="dxa"/>
            <w:vAlign w:val="bottom"/>
            <w:tcBorders>
              <w:bottom w:val="single" w:sz="8" w:color="auto"/>
            </w:tcBorders>
          </w:tcPr>
          <w:p>
            <w:pPr>
              <w:jc w:val="center"/>
              <w:ind w:left="130"/>
              <w:spacing w:after="0" w:line="217" w:lineRule="exact"/>
              <w:rPr>
                <w:sz w:val="20"/>
                <w:szCs w:val="20"/>
                <w:color w:val="auto"/>
              </w:rPr>
            </w:pPr>
            <w:r>
              <w:rPr>
                <w:rFonts w:ascii="Times New Roman" w:cs="Times New Roman" w:eastAsia="Times New Roman" w:hAnsi="Times New Roman"/>
                <w:sz w:val="16"/>
                <w:szCs w:val="16"/>
                <w:b w:val="1"/>
                <w:bCs w:val="1"/>
                <w:color w:val="auto"/>
                <w:w w:val="97"/>
              </w:rPr>
              <w:t xml:space="preserve">Expiration Date </w:t>
            </w:r>
            <w:r>
              <w:rPr>
                <w:rFonts w:ascii="Times New Roman" w:cs="Times New Roman" w:eastAsia="Times New Roman" w:hAnsi="Times New Roman"/>
                <w:sz w:val="20"/>
                <w:szCs w:val="20"/>
                <w:b w:val="1"/>
                <w:bCs w:val="1"/>
                <w:color w:val="auto"/>
                <w:w w:val="97"/>
                <w:vertAlign w:val="superscript"/>
              </w:rPr>
              <w:t>(1)</w:t>
            </w:r>
          </w:p>
        </w:tc>
      </w:tr>
      <w:tr>
        <w:trPr>
          <w:trHeight w:val="181"/>
        </w:trPr>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Steven Berns</w:t>
            </w: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Adoption</w:t>
            </w:r>
          </w:p>
        </w:tc>
        <w:tc>
          <w:tcPr>
            <w:tcW w:w="662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20"/>
                <w:szCs w:val="20"/>
                <w:color w:val="auto"/>
              </w:rPr>
              <w:t>November 3,  Sale of up to 425 shares of Class A common stock to be issued</w:t>
            </w:r>
          </w:p>
        </w:tc>
        <w:tc>
          <w:tcPr>
            <w:tcW w:w="1600" w:type="dxa"/>
            <w:vAlign w:val="bottom"/>
          </w:tcPr>
          <w:p>
            <w:pPr>
              <w:jc w:val="center"/>
              <w:ind w:left="130"/>
              <w:spacing w:after="0" w:line="182" w:lineRule="exact"/>
              <w:rPr>
                <w:sz w:val="20"/>
                <w:szCs w:val="20"/>
                <w:color w:val="auto"/>
              </w:rPr>
            </w:pPr>
            <w:r>
              <w:rPr>
                <w:rFonts w:ascii="Times New Roman" w:cs="Times New Roman" w:eastAsia="Times New Roman" w:hAnsi="Times New Roman"/>
                <w:sz w:val="20"/>
                <w:szCs w:val="20"/>
                <w:color w:val="auto"/>
                <w:w w:val="99"/>
              </w:rPr>
              <w:t>November 25,</w:t>
            </w: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Director</w:t>
            </w:r>
          </w:p>
        </w:tc>
        <w:tc>
          <w:tcPr>
            <w:tcW w:w="940" w:type="dxa"/>
            <w:vAlign w:val="bottom"/>
          </w:tcPr>
          <w:p>
            <w:pPr>
              <w:spacing w:after="0"/>
              <w:rPr>
                <w:sz w:val="17"/>
                <w:szCs w:val="17"/>
                <w:color w:val="auto"/>
              </w:rPr>
            </w:pPr>
          </w:p>
        </w:tc>
        <w:tc>
          <w:tcPr>
            <w:tcW w:w="1080" w:type="dxa"/>
            <w:vAlign w:val="bottom"/>
          </w:tcPr>
          <w:p>
            <w:pPr>
              <w:jc w:val="right"/>
              <w:ind w:right="167"/>
              <w:spacing w:after="0" w:line="200" w:lineRule="exact"/>
              <w:rPr>
                <w:sz w:val="20"/>
                <w:szCs w:val="20"/>
                <w:color w:val="auto"/>
              </w:rPr>
            </w:pPr>
            <w:r>
              <w:rPr>
                <w:rFonts w:ascii="Times New Roman" w:cs="Times New Roman" w:eastAsia="Times New Roman" w:hAnsi="Times New Roman"/>
                <w:sz w:val="20"/>
                <w:szCs w:val="20"/>
                <w:color w:val="auto"/>
              </w:rPr>
              <w:t>2025</w:t>
            </w:r>
          </w:p>
        </w:tc>
        <w:tc>
          <w:tcPr>
            <w:tcW w:w="554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upon the vesting on May 20, 2026 of previously awarded</w:t>
            </w:r>
          </w:p>
        </w:tc>
        <w:tc>
          <w:tcPr>
            <w:tcW w:w="1600" w:type="dxa"/>
            <w:vAlign w:val="bottom"/>
          </w:tcPr>
          <w:p>
            <w:pPr>
              <w:jc w:val="center"/>
              <w:ind w:left="150"/>
              <w:spacing w:after="0" w:line="200" w:lineRule="exact"/>
              <w:rPr>
                <w:sz w:val="20"/>
                <w:szCs w:val="20"/>
                <w:color w:val="auto"/>
              </w:rPr>
            </w:pPr>
            <w:r>
              <w:rPr>
                <w:rFonts w:ascii="Times New Roman" w:cs="Times New Roman" w:eastAsia="Times New Roman" w:hAnsi="Times New Roman"/>
                <w:sz w:val="20"/>
                <w:szCs w:val="20"/>
                <w:color w:val="auto"/>
                <w:w w:val="99"/>
              </w:rPr>
              <w:t>2026</w:t>
            </w:r>
          </w:p>
        </w:tc>
      </w:tr>
      <w:tr>
        <w:trPr>
          <w:trHeight w:val="260"/>
        </w:trPr>
        <w:tc>
          <w:tcPr>
            <w:tcW w:w="1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restricted stock units.</w:t>
            </w:r>
          </w:p>
        </w:tc>
        <w:tc>
          <w:tcPr>
            <w:tcW w:w="16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-426085</wp:posOffset>
            </wp:positionV>
            <wp:extent cx="6654800" cy="4540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4">
                      <a:extLst>
                        <a:ext uri="{28A0092B-C50C-407E-A947-70E740481C1C}"/>
                      </a:extLst>
                    </a:blip>
                    <a:srcRect/>
                    <a:stretch>
                      <a:fillRect/>
                    </a:stretch>
                  </pic:blipFill>
                  <pic:spPr bwMode="auto">
                    <a:xfrm>
                      <a:off x="0" y="0"/>
                      <a:ext cx="6654800" cy="454025"/>
                    </a:xfrm>
                    <a:prstGeom prst="rect">
                      <a:avLst/>
                    </a:prstGeom>
                    <a:noFill/>
                  </pic:spPr>
                </pic:pic>
              </a:graphicData>
            </a:graphic>
          </wp:anchor>
        </w:drawing>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159</w:t>
      </w:r>
    </w:p>
    <w:p>
      <w:pPr>
        <w:sectPr>
          <w:pgSz w:w="12240" w:h="15840" w:orient="portrait"/>
          <w:cols w:equalWidth="0" w:num="1">
            <w:col w:w="10440"/>
          </w:cols>
          <w:pgMar w:left="900" w:top="831" w:right="900" w:bottom="0" w:gutter="0" w:footer="0" w:header="0"/>
          <w:type w:val="continuous"/>
        </w:sectPr>
      </w:pPr>
    </w:p>
    <w:bookmarkStart w:id="169" w:name="page170"/>
    <w:bookmarkEnd w:id="169"/>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Scheduled</w:t>
            </w:r>
          </w:p>
        </w:tc>
      </w:tr>
      <w:tr>
        <w:trPr>
          <w:trHeight w:val="217"/>
        </w:trPr>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55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Aggregate Number of Securities to be Purchased or Sold</w:t>
            </w:r>
          </w:p>
        </w:tc>
        <w:tc>
          <w:tcPr>
            <w:tcW w:w="144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7"/>
              </w:rPr>
              <w:t xml:space="preserve">Expiration Date </w:t>
            </w:r>
            <w:r>
              <w:rPr>
                <w:rFonts w:ascii="Times New Roman" w:cs="Times New Roman" w:eastAsia="Times New Roman" w:hAnsi="Times New Roman"/>
                <w:sz w:val="20"/>
                <w:szCs w:val="20"/>
                <w:b w:val="1"/>
                <w:bCs w:val="1"/>
                <w:color w:val="auto"/>
                <w:w w:val="97"/>
                <w:vertAlign w:val="superscript"/>
              </w:rPr>
              <w:t>(1)</w:t>
            </w:r>
          </w:p>
        </w:tc>
      </w:tr>
      <w:tr>
        <w:trPr>
          <w:trHeight w:val="181"/>
        </w:trPr>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Amy Clack</w:t>
            </w:r>
          </w:p>
        </w:tc>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Adoption</w:t>
            </w:r>
          </w:p>
        </w:tc>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November 3,</w:t>
            </w:r>
          </w:p>
        </w:tc>
        <w:tc>
          <w:tcPr>
            <w:tcW w:w="5520" w:type="dxa"/>
            <w:vAlign w:val="bottom"/>
          </w:tcPr>
          <w:p>
            <w:pPr>
              <w:ind w:left="60"/>
              <w:spacing w:after="0" w:line="182" w:lineRule="exact"/>
              <w:rPr>
                <w:sz w:val="20"/>
                <w:szCs w:val="20"/>
                <w:color w:val="auto"/>
              </w:rPr>
            </w:pPr>
            <w:r>
              <w:rPr>
                <w:rFonts w:ascii="Times New Roman" w:cs="Times New Roman" w:eastAsia="Times New Roman" w:hAnsi="Times New Roman"/>
                <w:sz w:val="20"/>
                <w:szCs w:val="20"/>
                <w:color w:val="auto"/>
              </w:rPr>
              <w:t>Sale of an amount equal to up to: (A) 3,356 shares of Class A</w:t>
            </w:r>
          </w:p>
        </w:tc>
        <w:tc>
          <w:tcPr>
            <w:tcW w:w="14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September 30,</w:t>
            </w:r>
          </w:p>
        </w:tc>
      </w:tr>
      <w:tr>
        <w:trPr>
          <w:trHeight w:val="200"/>
        </w:trPr>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2"/>
              </w:rPr>
              <w:t>Chief</w:t>
            </w:r>
          </w:p>
        </w:tc>
        <w:tc>
          <w:tcPr>
            <w:tcW w:w="900" w:type="dxa"/>
            <w:vAlign w:val="bottom"/>
          </w:tcPr>
          <w:p>
            <w:pPr>
              <w:spacing w:after="0"/>
              <w:rPr>
                <w:sz w:val="17"/>
                <w:szCs w:val="17"/>
                <w:color w:val="auto"/>
              </w:rPr>
            </w:pPr>
          </w:p>
        </w:tc>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2025</w:t>
            </w: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common stock, plus (B) (i) 5,349 shares of Class A common stock</w:t>
            </w:r>
          </w:p>
        </w:tc>
        <w:tc>
          <w:tcPr>
            <w:tcW w:w="14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2026</w:t>
            </w:r>
          </w:p>
        </w:tc>
      </w:tr>
      <w:tr>
        <w:trPr>
          <w:trHeight w:val="200"/>
        </w:trPr>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7"/>
              </w:rPr>
              <w:t>Administrative</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to be issued upon vesting on January 1, 2026 of previously</w:t>
            </w:r>
          </w:p>
        </w:tc>
        <w:tc>
          <w:tcPr>
            <w:tcW w:w="1440" w:type="dxa"/>
            <w:vAlign w:val="bottom"/>
          </w:tcPr>
          <w:p>
            <w:pPr>
              <w:spacing w:after="0"/>
              <w:rPr>
                <w:sz w:val="17"/>
                <w:szCs w:val="17"/>
                <w:color w:val="auto"/>
              </w:rPr>
            </w:pPr>
          </w:p>
        </w:tc>
      </w:tr>
      <w:tr>
        <w:trPr>
          <w:trHeight w:val="200"/>
        </w:trPr>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6"/>
              </w:rPr>
              <w:t>Officer and</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awarded restricted stock units, plus (ii) the number of shares</w:t>
            </w:r>
          </w:p>
        </w:tc>
        <w:tc>
          <w:tcPr>
            <w:tcW w:w="1440" w:type="dxa"/>
            <w:vAlign w:val="bottom"/>
          </w:tcPr>
          <w:p>
            <w:pPr>
              <w:spacing w:after="0"/>
              <w:rPr>
                <w:sz w:val="17"/>
                <w:szCs w:val="17"/>
                <w:color w:val="auto"/>
              </w:rPr>
            </w:pPr>
          </w:p>
        </w:tc>
      </w:tr>
      <w:tr>
        <w:trPr>
          <w:trHeight w:val="200"/>
        </w:trPr>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3"/>
              </w:rPr>
              <w:t>Chief Risk</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issued upon vesting on January 1, 2026 in settlement of dividend</w:t>
            </w:r>
          </w:p>
        </w:tc>
        <w:tc>
          <w:tcPr>
            <w:tcW w:w="1440" w:type="dxa"/>
            <w:vAlign w:val="bottom"/>
          </w:tcPr>
          <w:p>
            <w:pPr>
              <w:spacing w:after="0"/>
              <w:rPr>
                <w:sz w:val="17"/>
                <w:szCs w:val="17"/>
                <w:color w:val="auto"/>
              </w:rPr>
            </w:pPr>
          </w:p>
        </w:tc>
      </w:tr>
      <w:tr>
        <w:trPr>
          <w:trHeight w:val="200"/>
        </w:trPr>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8"/>
              </w:rPr>
              <w:t>Officer</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equivalent rights in respect of the 5,349 shares subject to the</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restricted stock units that accrued during the award’s vesting</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period of September 1, 2024 - January 1, 2026, pursuant to the</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terms of the award agreement and determined on the vesting date,</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less (iii) the number of shares withheld for taxes, to be determined</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on the vesting date, plus (C) (i) 2,209 shares of Class A common</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to be issued upon vesting on March 17, 2026 of previously</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awarded restricted stock units, plus (ii) the number of shares</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issued upon vesting on March 17, 2026 in settlement of dividend</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equivalent rights in respect of the 2,209 shares subject to the</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restricted stock units that accrued during the award’s vesting</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period of March 17, 2025 - March 17, 2026, pursuant to the terms</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of the award agreement and determined on the vesting date, less</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(iii) the number of shares withheld for taxes, to be determined on</w:t>
            </w:r>
          </w:p>
        </w:tc>
        <w:tc>
          <w:tcPr>
            <w:tcW w:w="1440" w:type="dxa"/>
            <w:vAlign w:val="bottom"/>
          </w:tcPr>
          <w:p>
            <w:pPr>
              <w:spacing w:after="0"/>
              <w:rPr>
                <w:sz w:val="17"/>
                <w:szCs w:val="17"/>
                <w:color w:val="auto"/>
              </w:rPr>
            </w:pPr>
          </w:p>
        </w:tc>
      </w:tr>
      <w:tr>
        <w:trPr>
          <w:trHeight w:val="260"/>
        </w:trPr>
        <w:tc>
          <w:tcPr>
            <w:tcW w:w="1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vesting date.</w:t>
            </w:r>
          </w:p>
        </w:tc>
        <w:tc>
          <w:tcPr>
            <w:tcW w:w="1440" w:type="dxa"/>
            <w:vAlign w:val="bottom"/>
          </w:tcPr>
          <w:p>
            <w:pPr>
              <w:spacing w:after="0"/>
              <w:rPr>
                <w:sz w:val="22"/>
                <w:szCs w:val="22"/>
                <w:color w:val="auto"/>
              </w:rPr>
            </w:pPr>
          </w:p>
        </w:tc>
      </w:tr>
      <w:tr>
        <w:trPr>
          <w:trHeight w:val="205"/>
        </w:trPr>
        <w:tc>
          <w:tcPr>
            <w:tcW w:w="130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color w:val="auto"/>
              </w:rPr>
              <w:t>Troy Dixon</w:t>
            </w:r>
          </w:p>
        </w:tc>
        <w:tc>
          <w:tcPr>
            <w:tcW w:w="90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color w:val="auto"/>
              </w:rPr>
              <w:t>Adoption</w:t>
            </w:r>
          </w:p>
        </w:tc>
        <w:tc>
          <w:tcPr>
            <w:tcW w:w="128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December 15,</w:t>
            </w:r>
          </w:p>
        </w:tc>
        <w:tc>
          <w:tcPr>
            <w:tcW w:w="552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auto"/>
              </w:rPr>
              <w:t>Sale of amount equal to up to: (i) 5,254 shares of Class A common</w:t>
            </w:r>
          </w:p>
        </w:tc>
        <w:tc>
          <w:tcPr>
            <w:tcW w:w="144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December 14,</w:t>
            </w:r>
          </w:p>
        </w:tc>
      </w:tr>
      <w:tr>
        <w:trPr>
          <w:trHeight w:val="200"/>
        </w:trPr>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5"/>
              </w:rPr>
              <w:t>Managing</w:t>
            </w:r>
          </w:p>
        </w:tc>
        <w:tc>
          <w:tcPr>
            <w:tcW w:w="900" w:type="dxa"/>
            <w:vAlign w:val="bottom"/>
          </w:tcPr>
          <w:p>
            <w:pPr>
              <w:spacing w:after="0"/>
              <w:rPr>
                <w:sz w:val="17"/>
                <w:szCs w:val="17"/>
                <w:color w:val="auto"/>
              </w:rPr>
            </w:pPr>
          </w:p>
        </w:tc>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2025</w:t>
            </w: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to be issued upon vesting on March 15, 2026 of previously</w:t>
            </w:r>
          </w:p>
        </w:tc>
        <w:tc>
          <w:tcPr>
            <w:tcW w:w="14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2026</w:t>
            </w:r>
          </w:p>
        </w:tc>
      </w:tr>
      <w:tr>
        <w:trPr>
          <w:trHeight w:val="200"/>
        </w:trPr>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Director, Co-</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awarded restricted stock units, plus (ii) the number of shares</w:t>
            </w:r>
          </w:p>
        </w:tc>
        <w:tc>
          <w:tcPr>
            <w:tcW w:w="1440" w:type="dxa"/>
            <w:vAlign w:val="bottom"/>
          </w:tcPr>
          <w:p>
            <w:pPr>
              <w:spacing w:after="0"/>
              <w:rPr>
                <w:sz w:val="17"/>
                <w:szCs w:val="17"/>
                <w:color w:val="auto"/>
              </w:rPr>
            </w:pPr>
          </w:p>
        </w:tc>
      </w:tr>
      <w:tr>
        <w:trPr>
          <w:trHeight w:val="200"/>
        </w:trPr>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6"/>
              </w:rPr>
              <w:t>Head of</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issued upon vesting on March 15, 2026 in settlement of dividend</w:t>
            </w:r>
          </w:p>
        </w:tc>
        <w:tc>
          <w:tcPr>
            <w:tcW w:w="1440" w:type="dxa"/>
            <w:vAlign w:val="bottom"/>
          </w:tcPr>
          <w:p>
            <w:pPr>
              <w:spacing w:after="0"/>
              <w:rPr>
                <w:sz w:val="17"/>
                <w:szCs w:val="17"/>
                <w:color w:val="auto"/>
              </w:rPr>
            </w:pPr>
          </w:p>
        </w:tc>
      </w:tr>
      <w:tr>
        <w:trPr>
          <w:trHeight w:val="200"/>
        </w:trPr>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rPr>
              <w:t>Global</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equivalent rights in respect of the 5,254 shares subject to the</w:t>
            </w:r>
          </w:p>
        </w:tc>
        <w:tc>
          <w:tcPr>
            <w:tcW w:w="1440" w:type="dxa"/>
            <w:vAlign w:val="bottom"/>
          </w:tcPr>
          <w:p>
            <w:pPr>
              <w:spacing w:after="0"/>
              <w:rPr>
                <w:sz w:val="17"/>
                <w:szCs w:val="17"/>
                <w:color w:val="auto"/>
              </w:rPr>
            </w:pPr>
          </w:p>
        </w:tc>
      </w:tr>
      <w:tr>
        <w:trPr>
          <w:trHeight w:val="200"/>
        </w:trPr>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7"/>
              </w:rPr>
              <w:t>Markets</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restricted stock units that accrued during the award’s vesting</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period of February 3, 2025 - March 15, 2026, pursuant to the</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terms of the award agreement and determined on the vesting date,</w:t>
            </w:r>
          </w:p>
        </w:tc>
        <w:tc>
          <w:tcPr>
            <w:tcW w:w="1440" w:type="dxa"/>
            <w:vAlign w:val="bottom"/>
          </w:tcPr>
          <w:p>
            <w:pPr>
              <w:spacing w:after="0"/>
              <w:rPr>
                <w:sz w:val="17"/>
                <w:szCs w:val="17"/>
                <w:color w:val="auto"/>
              </w:rPr>
            </w:pPr>
          </w:p>
        </w:tc>
      </w:tr>
      <w:tr>
        <w:trPr>
          <w:trHeight w:val="200"/>
        </w:trPr>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5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less (iii) the number of shares withheld for taxes, to be determined</w:t>
            </w:r>
          </w:p>
        </w:tc>
        <w:tc>
          <w:tcPr>
            <w:tcW w:w="1440" w:type="dxa"/>
            <w:vAlign w:val="bottom"/>
          </w:tcPr>
          <w:p>
            <w:pPr>
              <w:spacing w:after="0"/>
              <w:rPr>
                <w:sz w:val="17"/>
                <w:szCs w:val="17"/>
                <w:color w:val="auto"/>
              </w:rPr>
            </w:pPr>
          </w:p>
        </w:tc>
      </w:tr>
      <w:tr>
        <w:trPr>
          <w:trHeight w:val="260"/>
        </w:trPr>
        <w:tc>
          <w:tcPr>
            <w:tcW w:w="1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on the vesting date.</w:t>
            </w:r>
          </w:p>
        </w:tc>
        <w:tc>
          <w:tcPr>
            <w:tcW w:w="14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-1314450</wp:posOffset>
            </wp:positionV>
            <wp:extent cx="6654800" cy="13493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5">
                      <a:extLst>
                        <a:ext uri="{28A0092B-C50C-407E-A947-70E740481C1C}"/>
                      </a:extLst>
                    </a:blip>
                    <a:srcRect/>
                    <a:stretch>
                      <a:fillRect/>
                    </a:stretch>
                  </pic:blipFill>
                  <pic:spPr bwMode="auto">
                    <a:xfrm>
                      <a:off x="0" y="0"/>
                      <a:ext cx="6654800" cy="1349375"/>
                    </a:xfrm>
                    <a:prstGeom prst="rect">
                      <a:avLst/>
                    </a:prstGeom>
                    <a:noFill/>
                  </pic:spPr>
                </pic:pic>
              </a:graphicData>
            </a:graphic>
          </wp:anchor>
        </w:drawing>
      </w:r>
    </w:p>
    <w:p>
      <w:pPr>
        <w:sectPr>
          <w:pgSz w:w="12240" w:h="15840" w:orient="portrait"/>
          <w:cols w:equalWidth="0" w:num="1">
            <w:col w:w="10440"/>
          </w:cols>
          <w:pgMar w:left="900" w:top="9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160</w:t>
      </w:r>
    </w:p>
    <w:p>
      <w:pPr>
        <w:sectPr>
          <w:pgSz w:w="12240" w:h="15840" w:orient="portrait"/>
          <w:cols w:equalWidth="0" w:num="1">
            <w:col w:w="10440"/>
          </w:cols>
          <w:pgMar w:left="900" w:top="901" w:right="900" w:bottom="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192"/>
        </w:trPr>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Scheduled</w:t>
            </w:r>
          </w:p>
        </w:tc>
      </w:tr>
      <w:tr>
        <w:trPr>
          <w:trHeight w:val="217"/>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08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57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Aggregate Number of Securities to be Purchased or Sold</w:t>
            </w:r>
          </w:p>
        </w:tc>
        <w:tc>
          <w:tcPr>
            <w:tcW w:w="144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7"/>
              </w:rPr>
              <w:t xml:space="preserve">Expiration Date </w:t>
            </w:r>
            <w:r>
              <w:rPr>
                <w:rFonts w:ascii="Times New Roman" w:cs="Times New Roman" w:eastAsia="Times New Roman" w:hAnsi="Times New Roman"/>
                <w:sz w:val="20"/>
                <w:szCs w:val="20"/>
                <w:b w:val="1"/>
                <w:bCs w:val="1"/>
                <w:color w:val="auto"/>
                <w:w w:val="97"/>
                <w:vertAlign w:val="superscript"/>
              </w:rPr>
              <w:t>(1)</w:t>
            </w:r>
          </w:p>
        </w:tc>
      </w:tr>
      <w:tr>
        <w:trPr>
          <w:trHeight w:val="181"/>
        </w:trPr>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8"/>
              </w:rPr>
              <w:t>Douglas</w:t>
            </w: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Adoption</w:t>
            </w:r>
          </w:p>
        </w:tc>
        <w:tc>
          <w:tcPr>
            <w:tcW w:w="678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20"/>
                <w:szCs w:val="20"/>
                <w:color w:val="auto"/>
              </w:rPr>
              <w:t>November 3,  Sale of an amount equal to up to: (A)(i) 13,682 shares of Class A</w:t>
            </w:r>
          </w:p>
        </w:tc>
        <w:tc>
          <w:tcPr>
            <w:tcW w:w="14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September 30,</w:t>
            </w: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Friedman</w:t>
            </w:r>
          </w:p>
        </w:tc>
        <w:tc>
          <w:tcPr>
            <w:tcW w:w="940" w:type="dxa"/>
            <w:vAlign w:val="bottom"/>
          </w:tcPr>
          <w:p>
            <w:pPr>
              <w:spacing w:after="0"/>
              <w:rPr>
                <w:sz w:val="17"/>
                <w:szCs w:val="17"/>
                <w:color w:val="auto"/>
              </w:rPr>
            </w:pPr>
          </w:p>
        </w:tc>
        <w:tc>
          <w:tcPr>
            <w:tcW w:w="1080" w:type="dxa"/>
            <w:vAlign w:val="bottom"/>
          </w:tcPr>
          <w:p>
            <w:pPr>
              <w:jc w:val="right"/>
              <w:ind w:right="167"/>
              <w:spacing w:after="0" w:line="200" w:lineRule="exact"/>
              <w:rPr>
                <w:sz w:val="20"/>
                <w:szCs w:val="20"/>
                <w:color w:val="auto"/>
              </w:rPr>
            </w:pPr>
            <w:r>
              <w:rPr>
                <w:rFonts w:ascii="Times New Roman" w:cs="Times New Roman" w:eastAsia="Times New Roman" w:hAnsi="Times New Roman"/>
                <w:sz w:val="20"/>
                <w:szCs w:val="20"/>
                <w:color w:val="auto"/>
              </w:rPr>
              <w:t>2025</w:t>
            </w: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common stock to be issued upon vesting on January 1, 2026 of</w:t>
            </w:r>
          </w:p>
        </w:tc>
        <w:tc>
          <w:tcPr>
            <w:tcW w:w="14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2026</w:t>
            </w: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6"/>
              </w:rPr>
              <w:t>Chief Legal</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previously awarded performance-based restricted stock units, plus</w:t>
            </w:r>
          </w:p>
        </w:tc>
        <w:tc>
          <w:tcPr>
            <w:tcW w:w="1440" w:type="dxa"/>
            <w:vAlign w:val="bottom"/>
          </w:tcPr>
          <w:p>
            <w:pPr>
              <w:spacing w:after="0"/>
              <w:rPr>
                <w:sz w:val="17"/>
                <w:szCs w:val="17"/>
                <w:color w:val="auto"/>
              </w:rPr>
            </w:pP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8"/>
              </w:rPr>
              <w:t>Officer</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(ii) the number of shares issued upon vesting on January 1, 2026</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in settlement of dividend equivalent rights in respect of the 13,682</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shares subject to the performance-based restricted stock units that</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accrued during the award’s vesting period of January 1, 2023 -</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January 1, 2026, pursuant to the terms of the award agreement and</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determined on the vesting date, less (iii) the number of shares</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withheld for taxes, to be determined on the vesting date, plus</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(B)(i) 45,465 shares of Class A common stock to be issued upon</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vesting on January 1, 2026 of previously awarded performance-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based stock units, plus (ii) the number of shares issued upon</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vesting on January 1, 2026 in settlement of dividend equivalent</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rights in respect of the 45,465 shares subject to the performance-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based stock units that accrued during the award’s vesting period of</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January 1, 2023 -January 1, 2026, pursuant to the terms of the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award agreement and determined on the vesting date, less (iii) the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number of shares withheld for taxes, to be determined on the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vesting date, plus (C)(i) 2,516 shares of Class A common stock to</w:t>
            </w:r>
          </w:p>
        </w:tc>
        <w:tc>
          <w:tcPr>
            <w:tcW w:w="144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00" w:type="dxa"/>
            <w:vAlign w:val="bottom"/>
          </w:tcPr>
          <w:p>
            <w:pPr>
              <w:ind w:left="240"/>
              <w:spacing w:after="0" w:line="222" w:lineRule="exact"/>
              <w:rPr>
                <w:sz w:val="20"/>
                <w:szCs w:val="20"/>
                <w:color w:val="auto"/>
              </w:rPr>
            </w:pPr>
            <w:r>
              <w:rPr>
                <w:rFonts w:ascii="Times New Roman" w:cs="Times New Roman" w:eastAsia="Times New Roman" w:hAnsi="Times New Roman"/>
                <w:sz w:val="20"/>
                <w:szCs w:val="20"/>
                <w:color w:val="auto"/>
              </w:rPr>
              <w:t>be issued upon vesting on March 15, 2026 of previously awarded</w:t>
            </w:r>
          </w:p>
        </w:tc>
        <w:tc>
          <w:tcPr>
            <w:tcW w:w="1440" w:type="dxa"/>
            <w:vAlign w:val="bottom"/>
          </w:tcPr>
          <w:p>
            <w:pPr>
              <w:spacing w:after="0"/>
              <w:rPr>
                <w:sz w:val="19"/>
                <w:szCs w:val="19"/>
                <w:color w:val="auto"/>
              </w:rPr>
            </w:pPr>
          </w:p>
        </w:tc>
      </w:tr>
    </w:tbl>
    <w:p>
      <w:pPr>
        <w:ind w:left="3540" w:right="1620"/>
        <w:spacing w:after="0" w:line="210" w:lineRule="auto"/>
        <w:rPr>
          <w:sz w:val="20"/>
          <w:szCs w:val="20"/>
          <w:color w:val="auto"/>
        </w:rPr>
      </w:pPr>
      <w:r>
        <w:rPr>
          <w:rFonts w:ascii="Times New Roman" w:cs="Times New Roman" w:eastAsia="Times New Roman" w:hAnsi="Times New Roman"/>
          <w:sz w:val="20"/>
          <w:szCs w:val="20"/>
          <w:color w:val="auto"/>
        </w:rPr>
        <w:t>restricted stock units, plus (ii) the number of shares issued upon vesting on March 15, 2026 in settlement of dividend equivalent rights in respect of the 2,516 shares subject to the restricted stock units that accrued during the award’s vesting period of March 15, 2023 - March 15, 2026, pursuant to the terms of the award agreement and determined on the vesting date, less (iii) the number of shares withheld for taxes, to be determined on the vesting date, plus (D)(i) 1,991 shares of Class A common stock to be issued upon vesting on March 15, 2026 of previously awarded restricted stock units, plus (ii) the number of shares issued upon vesting on March 15, 2026 in settlement of dividend equivalent rights in respect of the 1,991 shares subject to the restricted stock units that accrued during the award’s vesting period of March 15, 2024 - March 15, 2026, pursuant to the terms of the award agreement and determined on the vesting date, less (iii) the number of shares withheld for taxes, to be determined on the vesting date, plus (E)(i) 1,210 shares of Class A common stock to be issued upon vesting on March 17, 2026 of previously awarded restricted stock units, plus (ii) the number of shares issued upon vesting on March 17, 2026 in settlement of dividend equivalent rights in respect of the 1,210 shares subject to the restricted stock units that accrued during the award’s vesting period of March 17, 2025 - March 17, 2026, pursuant to the terms of the award agreement and determined on the vesting date, less (iii) the number of shares withheld for taxes, to be determined on the vesting date.</w:t>
      </w:r>
    </w:p>
    <w:p>
      <w:pPr>
        <w:sectPr>
          <w:pgSz w:w="12240" w:h="15840" w:orient="portrait"/>
          <w:cols w:equalWidth="0" w:num="1">
            <w:col w:w="10440"/>
          </w:cols>
          <w:pgMar w:left="900" w:top="9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161</w:t>
      </w:r>
    </w:p>
    <w:p>
      <w:pPr>
        <w:sectPr>
          <w:pgSz w:w="12240" w:h="15840" w:orient="portrait"/>
          <w:cols w:equalWidth="0" w:num="1">
            <w:col w:w="10440"/>
          </w:cols>
          <w:pgMar w:left="900" w:top="901" w:right="900" w:bottom="0" w:gutter="0" w:footer="0" w:header="0"/>
          <w:type w:val="continuous"/>
        </w:sectPr>
      </w:pPr>
    </w:p>
    <w:bookmarkStart w:id="171" w:name="page172"/>
    <w:bookmarkEnd w:id="171"/>
    <w:tbl>
      <w:tblPr>
        <w:tblLayout w:type="fixed"/>
        <w:tblInd w:w="0" w:type="dxa"/>
        <w:tblCellMar>
          <w:top w:w="0" w:type="dxa"/>
          <w:left w:w="0" w:type="dxa"/>
          <w:bottom w:w="0" w:type="dxa"/>
          <w:right w:w="0" w:type="dxa"/>
        </w:tblCellMar>
      </w:tblPr>
      <w:tr>
        <w:trPr>
          <w:trHeight w:val="192"/>
        </w:trPr>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Scheduled</w:t>
            </w:r>
          </w:p>
        </w:tc>
      </w:tr>
      <w:tr>
        <w:trPr>
          <w:trHeight w:val="217"/>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08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57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Aggregate Number of Securities to be Purchased or Sold</w:t>
            </w:r>
          </w:p>
        </w:tc>
        <w:tc>
          <w:tcPr>
            <w:tcW w:w="144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7"/>
              </w:rPr>
              <w:t xml:space="preserve">Expiration Date </w:t>
            </w:r>
            <w:r>
              <w:rPr>
                <w:rFonts w:ascii="Times New Roman" w:cs="Times New Roman" w:eastAsia="Times New Roman" w:hAnsi="Times New Roman"/>
                <w:sz w:val="20"/>
                <w:szCs w:val="20"/>
                <w:b w:val="1"/>
                <w:bCs w:val="1"/>
                <w:color w:val="auto"/>
                <w:w w:val="97"/>
                <w:vertAlign w:val="superscript"/>
              </w:rPr>
              <w:t>(1)</w:t>
            </w:r>
          </w:p>
        </w:tc>
      </w:tr>
      <w:tr>
        <w:trPr>
          <w:trHeight w:val="181"/>
        </w:trPr>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Sara Furber</w:t>
            </w: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Adoption</w:t>
            </w:r>
          </w:p>
        </w:tc>
        <w:tc>
          <w:tcPr>
            <w:tcW w:w="678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20"/>
                <w:szCs w:val="20"/>
                <w:color w:val="auto"/>
              </w:rPr>
              <w:t>November 3,  Sale of an amount equal to up to: (A)(i) 33,881 shares of Class A</w:t>
            </w:r>
          </w:p>
        </w:tc>
        <w:tc>
          <w:tcPr>
            <w:tcW w:w="14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September 30,</w:t>
            </w: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2"/>
              </w:rPr>
              <w:t>Chief</w:t>
            </w:r>
          </w:p>
        </w:tc>
        <w:tc>
          <w:tcPr>
            <w:tcW w:w="940" w:type="dxa"/>
            <w:vAlign w:val="bottom"/>
          </w:tcPr>
          <w:p>
            <w:pPr>
              <w:spacing w:after="0"/>
              <w:rPr>
                <w:sz w:val="17"/>
                <w:szCs w:val="17"/>
                <w:color w:val="auto"/>
              </w:rPr>
            </w:pPr>
          </w:p>
        </w:tc>
        <w:tc>
          <w:tcPr>
            <w:tcW w:w="1080" w:type="dxa"/>
            <w:vAlign w:val="bottom"/>
          </w:tcPr>
          <w:p>
            <w:pPr>
              <w:jc w:val="right"/>
              <w:ind w:right="167"/>
              <w:spacing w:after="0" w:line="200" w:lineRule="exact"/>
              <w:rPr>
                <w:sz w:val="20"/>
                <w:szCs w:val="20"/>
                <w:color w:val="auto"/>
              </w:rPr>
            </w:pPr>
            <w:r>
              <w:rPr>
                <w:rFonts w:ascii="Times New Roman" w:cs="Times New Roman" w:eastAsia="Times New Roman" w:hAnsi="Times New Roman"/>
                <w:sz w:val="20"/>
                <w:szCs w:val="20"/>
                <w:color w:val="auto"/>
              </w:rPr>
              <w:t>2025</w:t>
            </w: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common stock to be issued upon vesting on January 1, 2026 of</w:t>
            </w:r>
          </w:p>
        </w:tc>
        <w:tc>
          <w:tcPr>
            <w:tcW w:w="14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2026</w:t>
            </w: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6"/>
              </w:rPr>
              <w:t>Financial</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previously awarded performance-based restricted stock units, plus</w:t>
            </w:r>
          </w:p>
        </w:tc>
        <w:tc>
          <w:tcPr>
            <w:tcW w:w="1440" w:type="dxa"/>
            <w:vAlign w:val="bottom"/>
          </w:tcPr>
          <w:p>
            <w:pPr>
              <w:spacing w:after="0"/>
              <w:rPr>
                <w:sz w:val="17"/>
                <w:szCs w:val="17"/>
                <w:color w:val="auto"/>
              </w:rPr>
            </w:pP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8"/>
              </w:rPr>
              <w:t>Officer</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(ii) the number of shares issued upon vesting on January 1, 2026</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in settlement of dividend equivalent rights in respect of the 33,881</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shares subject to the performance-based restricted stock units that</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accrued during the award’s vesting period of January 1, 2023 -</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January 1, 2026, pursuant to the terms of the award agreement and</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determined on the vesting date, less (iii) the number of shares</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withheld for taxes, to be determined on the vesting date, plus</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(B)(i) 90,932 shares of Class A common stock to be issued upon</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vesting on January 1, 2026 of previously awarded performance-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based stock units, plus (ii) the number of shares issued upon</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vesting on January 1, 2026 in settlement of dividend equivalent</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rights in respect of the 90,932 shares subject to the performance-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based stock units that accrued during the award’s vesting period of</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January 1, 2023 - January 1, 2026, pursuant to the terms of the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award agreement and determined on the vesting date, less (iii) the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number of shares withheld for taxes, to be determined on the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vesting date, plus (C)(i) 6,229 shares of Class A common stock to</w:t>
            </w:r>
          </w:p>
        </w:tc>
        <w:tc>
          <w:tcPr>
            <w:tcW w:w="144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00" w:type="dxa"/>
            <w:vAlign w:val="bottom"/>
          </w:tcPr>
          <w:p>
            <w:pPr>
              <w:ind w:left="240"/>
              <w:spacing w:after="0" w:line="222" w:lineRule="exact"/>
              <w:rPr>
                <w:sz w:val="20"/>
                <w:szCs w:val="20"/>
                <w:color w:val="auto"/>
              </w:rPr>
            </w:pPr>
            <w:r>
              <w:rPr>
                <w:rFonts w:ascii="Times New Roman" w:cs="Times New Roman" w:eastAsia="Times New Roman" w:hAnsi="Times New Roman"/>
                <w:sz w:val="20"/>
                <w:szCs w:val="20"/>
                <w:color w:val="auto"/>
              </w:rPr>
              <w:t>be issued upon vesting on March 15, 2026 of previously awarded</w:t>
            </w:r>
          </w:p>
        </w:tc>
        <w:tc>
          <w:tcPr>
            <w:tcW w:w="14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-2687320</wp:posOffset>
            </wp:positionV>
            <wp:extent cx="6654800" cy="60356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6">
                      <a:extLst>
                        <a:ext uri="{28A0092B-C50C-407E-A947-70E740481C1C}"/>
                      </a:extLst>
                    </a:blip>
                    <a:srcRect/>
                    <a:stretch>
                      <a:fillRect/>
                    </a:stretch>
                  </pic:blipFill>
                  <pic:spPr bwMode="auto">
                    <a:xfrm>
                      <a:off x="0" y="0"/>
                      <a:ext cx="6654800" cy="6035675"/>
                    </a:xfrm>
                    <a:prstGeom prst="rect">
                      <a:avLst/>
                    </a:prstGeom>
                    <a:noFill/>
                  </pic:spPr>
                </pic:pic>
              </a:graphicData>
            </a:graphic>
          </wp:anchor>
        </w:drawing>
      </w:r>
    </w:p>
    <w:p>
      <w:pPr>
        <w:ind w:left="3540" w:right="1620"/>
        <w:spacing w:after="0" w:line="210" w:lineRule="auto"/>
        <w:rPr>
          <w:sz w:val="20"/>
          <w:szCs w:val="20"/>
          <w:color w:val="auto"/>
        </w:rPr>
      </w:pPr>
      <w:r>
        <w:rPr>
          <w:rFonts w:ascii="Times New Roman" w:cs="Times New Roman" w:eastAsia="Times New Roman" w:hAnsi="Times New Roman"/>
          <w:sz w:val="20"/>
          <w:szCs w:val="20"/>
          <w:color w:val="auto"/>
        </w:rPr>
        <w:t>restricted stock units, plus (ii) the number of shares issued upon vesting on March 15, 2026 in settlement of dividend equivalent rights in respect of the 6,229 shares subject to the restricted stock units that accrued during the award’s vesting period of March 15, 2023 - March 15, 2026, pursuant to the terms of the award agreement and determined on the vesting date, less (iii) the number of shares withheld for taxes, to be determined on the vesting date, plus (D)(i) 3,715 shares of Class A common stock to be issued upon vesting on March 15, 2026 of previously awarded restricted stock units, plus (ii) the number of shares issued upon vesting on March 15, 2026 in settlement of dividend equivalent rights in respect of the 3,715 shares subject to the restricted stock units that accrued during the award’s vesting period of March 15, 2024 - March 15, 2026, pursuant to the terms of the award agreement and determined on the vesting date, less (iii) the number of shares withheld for taxes, to be determined on the vesting date, plus (E)(i) 3,287 shares of Class A common stock to be issued upon vesting on March 17, 2026 of previously awarded restricted stock units, plus (ii) the number of shares issued upon vesting on March 17, 2026 in settlement of dividend equivalent rights in respect of the 3,287 shares subject to the restricted stock units that accrued during the award’s vesting period of March 17, 2025 - March 17, 2026, pursuant to the terms of the award agreement and determined on the vesting date, less (iii) the number of shares withheld for taxes, to be determined on the vesting date.</w:t>
      </w:r>
    </w:p>
    <w:p>
      <w:pPr>
        <w:sectPr>
          <w:pgSz w:w="12240" w:h="15840" w:orient="portrait"/>
          <w:cols w:equalWidth="0" w:num="1">
            <w:col w:w="10440"/>
          </w:cols>
          <w:pgMar w:left="900" w:top="9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162</w:t>
      </w:r>
    </w:p>
    <w:p>
      <w:pPr>
        <w:sectPr>
          <w:pgSz w:w="12240" w:h="15840" w:orient="portrait"/>
          <w:cols w:equalWidth="0" w:num="1">
            <w:col w:w="10440"/>
          </w:cols>
          <w:pgMar w:left="900" w:top="901" w:right="900" w:bottom="0"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192"/>
        </w:trPr>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Scheduled</w:t>
            </w:r>
          </w:p>
        </w:tc>
      </w:tr>
      <w:tr>
        <w:trPr>
          <w:trHeight w:val="217"/>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08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57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Aggregate Number of Securities to be Purchased or Sold</w:t>
            </w:r>
          </w:p>
        </w:tc>
        <w:tc>
          <w:tcPr>
            <w:tcW w:w="144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7"/>
              </w:rPr>
              <w:t xml:space="preserve">Expiration Date </w:t>
            </w:r>
            <w:r>
              <w:rPr>
                <w:rFonts w:ascii="Times New Roman" w:cs="Times New Roman" w:eastAsia="Times New Roman" w:hAnsi="Times New Roman"/>
                <w:sz w:val="20"/>
                <w:szCs w:val="20"/>
                <w:b w:val="1"/>
                <w:bCs w:val="1"/>
                <w:color w:val="auto"/>
                <w:w w:val="97"/>
                <w:vertAlign w:val="superscript"/>
              </w:rPr>
              <w:t>(1)</w:t>
            </w:r>
          </w:p>
        </w:tc>
      </w:tr>
      <w:tr>
        <w:trPr>
          <w:trHeight w:val="181"/>
        </w:trPr>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William Hult</w:t>
            </w: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Adoption</w:t>
            </w:r>
          </w:p>
        </w:tc>
        <w:tc>
          <w:tcPr>
            <w:tcW w:w="678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20"/>
                <w:szCs w:val="20"/>
                <w:color w:val="auto"/>
              </w:rPr>
              <w:t>November 3,  Sale of an amount equal to up to: (A) 144,900 shares of Class A</w:t>
            </w:r>
          </w:p>
        </w:tc>
        <w:tc>
          <w:tcPr>
            <w:tcW w:w="14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February 2,</w:t>
            </w: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2"/>
              </w:rPr>
              <w:t>Chief</w:t>
            </w:r>
          </w:p>
        </w:tc>
        <w:tc>
          <w:tcPr>
            <w:tcW w:w="940" w:type="dxa"/>
            <w:vAlign w:val="bottom"/>
          </w:tcPr>
          <w:p>
            <w:pPr>
              <w:spacing w:after="0"/>
              <w:rPr>
                <w:sz w:val="17"/>
                <w:szCs w:val="17"/>
                <w:color w:val="auto"/>
              </w:rPr>
            </w:pPr>
          </w:p>
        </w:tc>
        <w:tc>
          <w:tcPr>
            <w:tcW w:w="1080" w:type="dxa"/>
            <w:vAlign w:val="bottom"/>
          </w:tcPr>
          <w:p>
            <w:pPr>
              <w:jc w:val="right"/>
              <w:ind w:right="167"/>
              <w:spacing w:after="0" w:line="200" w:lineRule="exact"/>
              <w:rPr>
                <w:sz w:val="20"/>
                <w:szCs w:val="20"/>
                <w:color w:val="auto"/>
              </w:rPr>
            </w:pPr>
            <w:r>
              <w:rPr>
                <w:rFonts w:ascii="Times New Roman" w:cs="Times New Roman" w:eastAsia="Times New Roman" w:hAnsi="Times New Roman"/>
                <w:sz w:val="20"/>
                <w:szCs w:val="20"/>
                <w:color w:val="auto"/>
              </w:rPr>
              <w:t>2025</w:t>
            </w: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common stock to be issued upon the exercise of options in</w:t>
            </w:r>
          </w:p>
        </w:tc>
        <w:tc>
          <w:tcPr>
            <w:tcW w:w="14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2027</w:t>
            </w: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6"/>
              </w:rPr>
              <w:t>Executive</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accordance with the terms of the Rule 10b5-1 trading</w:t>
            </w:r>
          </w:p>
        </w:tc>
        <w:tc>
          <w:tcPr>
            <w:tcW w:w="1440" w:type="dxa"/>
            <w:vAlign w:val="bottom"/>
          </w:tcPr>
          <w:p>
            <w:pPr>
              <w:spacing w:after="0"/>
              <w:rPr>
                <w:sz w:val="17"/>
                <w:szCs w:val="17"/>
                <w:color w:val="auto"/>
              </w:rPr>
            </w:pP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8"/>
              </w:rPr>
              <w:t>Officer</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arrangement, (B)(i) 104,922 shares of Class A common stock to</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be issued upon vesting on January 1, 2026 of previously awarded</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performance-based stock units, plus (ii) the number of shares</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issued upon vesting on January 1, 2026 in settlement of dividend</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equivalent rights in respect of the 104,922 shares subject to the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performance-based stock units that accrued during the award’s</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vesting period of January 1, 2023 - January 1, 2026, pursuant to</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the terms of the award agreement and determined on the vesting</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date, less (iii) the number of shares withheld for taxes, to be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determined on the vesting date, plus (C)(i) 78,191 shares of Class</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 common stock to be issued upon vesting on January 1, 2026 of</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previously awarded performance-based restricted stock units, plus</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(ii) the number of shares issued upon vesting on January 1, 2026</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in settlement of dividend equivalent rights in respect of the 78,191</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shares subject to the performance-based restricted stock units that</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accrued during the award’s vesting period of January 1, 2023 -</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January 1, 2026, pursuant to the terms of the award agreement and</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determined on the vesting date, less (iii) the number of shares</w:t>
            </w:r>
          </w:p>
        </w:tc>
        <w:tc>
          <w:tcPr>
            <w:tcW w:w="1440" w:type="dxa"/>
            <w:vAlign w:val="bottom"/>
          </w:tcPr>
          <w:p>
            <w:pPr>
              <w:spacing w:after="0"/>
              <w:rPr>
                <w:sz w:val="17"/>
                <w:szCs w:val="17"/>
                <w:color w:val="auto"/>
              </w:rPr>
            </w:pPr>
          </w:p>
        </w:tc>
      </w:tr>
      <w:tr>
        <w:trPr>
          <w:trHeight w:val="260"/>
        </w:trPr>
        <w:tc>
          <w:tcPr>
            <w:tcW w:w="1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7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withheld for taxes, to be determined on the vesting date.</w:t>
            </w:r>
          </w:p>
        </w:tc>
        <w:tc>
          <w:tcPr>
            <w:tcW w:w="14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440"/>
          </w:cols>
          <w:pgMar w:left="900" w:top="9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163</w:t>
      </w:r>
    </w:p>
    <w:p>
      <w:pPr>
        <w:sectPr>
          <w:pgSz w:w="12240" w:h="15840" w:orient="portrait"/>
          <w:cols w:equalWidth="0" w:num="1">
            <w:col w:w="10440"/>
          </w:cols>
          <w:pgMar w:left="900" w:top="901" w:right="900" w:bottom="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192"/>
        </w:trPr>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Scheduled</w:t>
            </w:r>
          </w:p>
        </w:tc>
      </w:tr>
      <w:tr>
        <w:trPr>
          <w:trHeight w:val="217"/>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08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57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Aggregate Number of Securities to be Purchased or Sold</w:t>
            </w:r>
          </w:p>
        </w:tc>
        <w:tc>
          <w:tcPr>
            <w:tcW w:w="144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7"/>
              </w:rPr>
              <w:t xml:space="preserve">Expiration Date </w:t>
            </w:r>
            <w:r>
              <w:rPr>
                <w:rFonts w:ascii="Times New Roman" w:cs="Times New Roman" w:eastAsia="Times New Roman" w:hAnsi="Times New Roman"/>
                <w:sz w:val="20"/>
                <w:szCs w:val="20"/>
                <w:b w:val="1"/>
                <w:bCs w:val="1"/>
                <w:color w:val="auto"/>
                <w:w w:val="97"/>
                <w:vertAlign w:val="superscript"/>
              </w:rPr>
              <w:t>(1)</w:t>
            </w:r>
          </w:p>
        </w:tc>
      </w:tr>
      <w:tr>
        <w:trPr>
          <w:trHeight w:val="181"/>
        </w:trPr>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8"/>
              </w:rPr>
              <w:t>Justin</w:t>
            </w: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Adoption</w:t>
            </w:r>
          </w:p>
        </w:tc>
        <w:tc>
          <w:tcPr>
            <w:tcW w:w="678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20"/>
                <w:szCs w:val="20"/>
                <w:color w:val="auto"/>
              </w:rPr>
              <w:t>November 3,  Sale of an amount equal to up to: (A)(i) 24,890 shares of Class A</w:t>
            </w:r>
          </w:p>
        </w:tc>
        <w:tc>
          <w:tcPr>
            <w:tcW w:w="14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November 1,</w:t>
            </w: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Peterson</w:t>
            </w:r>
          </w:p>
        </w:tc>
        <w:tc>
          <w:tcPr>
            <w:tcW w:w="940" w:type="dxa"/>
            <w:vAlign w:val="bottom"/>
          </w:tcPr>
          <w:p>
            <w:pPr>
              <w:spacing w:after="0"/>
              <w:rPr>
                <w:sz w:val="17"/>
                <w:szCs w:val="17"/>
                <w:color w:val="auto"/>
              </w:rPr>
            </w:pPr>
          </w:p>
        </w:tc>
        <w:tc>
          <w:tcPr>
            <w:tcW w:w="1080" w:type="dxa"/>
            <w:vAlign w:val="bottom"/>
          </w:tcPr>
          <w:p>
            <w:pPr>
              <w:jc w:val="right"/>
              <w:ind w:right="167"/>
              <w:spacing w:after="0" w:line="200" w:lineRule="exact"/>
              <w:rPr>
                <w:sz w:val="20"/>
                <w:szCs w:val="20"/>
                <w:color w:val="auto"/>
              </w:rPr>
            </w:pPr>
            <w:r>
              <w:rPr>
                <w:rFonts w:ascii="Times New Roman" w:cs="Times New Roman" w:eastAsia="Times New Roman" w:hAnsi="Times New Roman"/>
                <w:sz w:val="20"/>
                <w:szCs w:val="20"/>
                <w:color w:val="auto"/>
              </w:rPr>
              <w:t>2025</w:t>
            </w: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common stock to be issued upon vesting on January 1, 2026 of</w:t>
            </w:r>
          </w:p>
        </w:tc>
        <w:tc>
          <w:tcPr>
            <w:tcW w:w="14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2026</w:t>
            </w: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2"/>
              </w:rPr>
              <w:t>Chief</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previously awarded performance-based restricted stock units, plus</w:t>
            </w:r>
          </w:p>
        </w:tc>
        <w:tc>
          <w:tcPr>
            <w:tcW w:w="1440" w:type="dxa"/>
            <w:vAlign w:val="bottom"/>
          </w:tcPr>
          <w:p>
            <w:pPr>
              <w:spacing w:after="0"/>
              <w:rPr>
                <w:sz w:val="17"/>
                <w:szCs w:val="17"/>
                <w:color w:val="auto"/>
              </w:rPr>
            </w:pP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7"/>
              </w:rPr>
              <w:t>Technology</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(ii) the number of shares issued upon vesting on January 1, 2026</w:t>
            </w:r>
          </w:p>
        </w:tc>
        <w:tc>
          <w:tcPr>
            <w:tcW w:w="1440" w:type="dxa"/>
            <w:vAlign w:val="bottom"/>
          </w:tcPr>
          <w:p>
            <w:pPr>
              <w:spacing w:after="0"/>
              <w:rPr>
                <w:sz w:val="17"/>
                <w:szCs w:val="17"/>
                <w:color w:val="auto"/>
              </w:rPr>
            </w:pPr>
          </w:p>
        </w:tc>
      </w:tr>
      <w:tr>
        <w:trPr>
          <w:trHeight w:val="200"/>
        </w:trPr>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i w:val="1"/>
                <w:iCs w:val="1"/>
                <w:color w:val="auto"/>
                <w:w w:val="98"/>
              </w:rPr>
              <w:t>Officer</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in settlement of dividend equivalent rights in respect of the 24,890</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shares subject to the performance-based restricted stock units that</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accrued during the award’s vesting period of January 1, 2023 -</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January 1, 2026, pursuant to the terms of the award agreement and</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determined on the vesting date, less (iii) the number of shares</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withheld for taxes, to be determined on the vesting date, plus</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(B)(i) 90,932 shares of Class A common stock to be issued upon</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vesting on January 1, 2026 of previously awarded performance-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based stock units, plus (ii) the number of shares issued upon</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vesting on January 1, 2026 in settlement of dividend equivalent</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rights in respect of the 90,932 shares subject to the performance-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based stock units that accrued during the award’s vesting period of</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January 1, 2023 - January 1, 2026, pursuant to the terms of the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award agreement and determined on the vesting date, less (iii) the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number of shares withheld for taxes, to be determined on the</w:t>
            </w:r>
          </w:p>
        </w:tc>
        <w:tc>
          <w:tcPr>
            <w:tcW w:w="1440" w:type="dxa"/>
            <w:vAlign w:val="bottom"/>
          </w:tcPr>
          <w:p>
            <w:pPr>
              <w:spacing w:after="0"/>
              <w:rPr>
                <w:sz w:val="17"/>
                <w:szCs w:val="17"/>
                <w:color w:val="auto"/>
              </w:rPr>
            </w:pPr>
          </w:p>
        </w:tc>
      </w:tr>
      <w:tr>
        <w:trPr>
          <w:trHeight w:val="200"/>
        </w:trPr>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0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vesting date, plus (C)(i) 4,576 shares of Class A common stock to</w:t>
            </w:r>
          </w:p>
        </w:tc>
        <w:tc>
          <w:tcPr>
            <w:tcW w:w="144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00" w:type="dxa"/>
            <w:vAlign w:val="bottom"/>
          </w:tcPr>
          <w:p>
            <w:pPr>
              <w:ind w:left="240"/>
              <w:spacing w:after="0" w:line="222" w:lineRule="exact"/>
              <w:rPr>
                <w:sz w:val="20"/>
                <w:szCs w:val="20"/>
                <w:color w:val="auto"/>
              </w:rPr>
            </w:pPr>
            <w:r>
              <w:rPr>
                <w:rFonts w:ascii="Times New Roman" w:cs="Times New Roman" w:eastAsia="Times New Roman" w:hAnsi="Times New Roman"/>
                <w:sz w:val="20"/>
                <w:szCs w:val="20"/>
                <w:color w:val="auto"/>
              </w:rPr>
              <w:t>be issued upon vesting on March 15, 2026 of previously awarded</w:t>
            </w:r>
          </w:p>
        </w:tc>
        <w:tc>
          <w:tcPr>
            <w:tcW w:w="14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-2687320</wp:posOffset>
            </wp:positionV>
            <wp:extent cx="6654800" cy="60356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7">
                      <a:extLst>
                        <a:ext uri="{28A0092B-C50C-407E-A947-70E740481C1C}"/>
                      </a:extLst>
                    </a:blip>
                    <a:srcRect/>
                    <a:stretch>
                      <a:fillRect/>
                    </a:stretch>
                  </pic:blipFill>
                  <pic:spPr bwMode="auto">
                    <a:xfrm>
                      <a:off x="0" y="0"/>
                      <a:ext cx="6654800" cy="6035675"/>
                    </a:xfrm>
                    <a:prstGeom prst="rect">
                      <a:avLst/>
                    </a:prstGeom>
                    <a:noFill/>
                  </pic:spPr>
                </pic:pic>
              </a:graphicData>
            </a:graphic>
          </wp:anchor>
        </w:drawing>
      </w:r>
    </w:p>
    <w:p>
      <w:pPr>
        <w:ind w:left="3540" w:right="1620"/>
        <w:spacing w:after="0" w:line="210" w:lineRule="auto"/>
        <w:rPr>
          <w:sz w:val="20"/>
          <w:szCs w:val="20"/>
          <w:color w:val="auto"/>
        </w:rPr>
      </w:pPr>
      <w:r>
        <w:rPr>
          <w:rFonts w:ascii="Times New Roman" w:cs="Times New Roman" w:eastAsia="Times New Roman" w:hAnsi="Times New Roman"/>
          <w:sz w:val="20"/>
          <w:szCs w:val="20"/>
          <w:color w:val="auto"/>
        </w:rPr>
        <w:t>restricted stock units, plus (ii) the number of shares issued upon vesting on March 15, 2026 in settlement of dividend equivalent rights in respect of the 4,576 shares subject to the restricted stock units that accrued during the award’s vesting period of March 15, 2023 - March 15, 2026, pursuant to the terms of the award agreement and determined on the vesting date, less (iii) the number of shares withheld for taxes, to be determined on the vesting date, plus (D)(i) 2,547 shares of Class A common stock to be issued upon vesting on March 15, 2026 of previously awarded restricted stock units, plus (ii) the number of shares issued upon vesting on March 15, 2026 in settlement of dividend equivalent rights in respect of the 2,547 shares subject to the restricted stock units that accrued during the award’s vesting period of March 15, 2024 - March 15, 2026, pursuant to the terms of the award agreement and determined on the vesting date, less (iii) the number of shares withheld for taxes, to be determined on the vesting date, plus (E)(i) 2,243 shares of Class A common stock to be issued upon vesting on March 17, 2026 of previously awarded restricted stock units, plus (ii) the number of shares issued upon vesting on March 17, 2026 in settlement of dividend equivalent rights in respect of the 2,243 shares subject to the restricted stock units that accrued during the award’s vesting period of March 17, 2025 - March 17, 2026, pursuant to the terms of the award agreement and determined on the vesting date, less (iii) the number of shares withheld for taxes, to be determined on the vesting date.</w:t>
      </w:r>
    </w:p>
    <w:p>
      <w:pPr>
        <w:spacing w:after="0" w:line="170" w:lineRule="exact"/>
        <w:rPr>
          <w:sz w:val="20"/>
          <w:szCs w:val="20"/>
          <w:color w:val="auto"/>
        </w:rPr>
      </w:pPr>
    </w:p>
    <w:p>
      <w:pPr>
        <w:ind w:left="360" w:right="240" w:hanging="360"/>
        <w:spacing w:after="0" w:line="282" w:lineRule="auto"/>
        <w:tabs>
          <w:tab w:leader="none" w:pos="3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 10b5-1 trading arrangement may also expire on such earlier date as all such transactions under the trading arrangement are completed or at such time as such trading arrangement is otherwise terminated in accordance with its terms.</w:t>
      </w:r>
    </w:p>
    <w:p>
      <w:pPr>
        <w:spacing w:after="0" w:line="14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auto"/>
        </w:rPr>
        <w:t>During the three months ended December 31, 2025, none of our directors or executive officers adopted, modified or terminated a non-Rule 10b5-1 trading arrangement (as defined in Item 408 of Regulation S-K).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440"/>
          </w:cols>
          <w:pgMar w:left="900" w:top="9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164</w:t>
      </w:r>
    </w:p>
    <w:p>
      <w:pPr>
        <w:sectPr>
          <w:pgSz w:w="12240" w:h="15840" w:orient="portrait"/>
          <w:cols w:equalWidth="0" w:num="1">
            <w:col w:w="10440"/>
          </w:cols>
          <w:pgMar w:left="900" w:top="901" w:right="900" w:bottom="0" w:gutter="0" w:footer="0" w:header="0"/>
          <w:type w:val="continuous"/>
        </w:sectPr>
      </w:pPr>
    </w:p>
    <w:bookmarkStart w:id="174" w:name="page175"/>
    <w:bookmarkEnd w:id="174"/>
    <w:p>
      <w:pPr>
        <w:ind w:left="48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information required by this item, including the information required by Item 408(b) of Regulation S-K related to our insider trading policies and procedures, will be included in our definitive proxy statement for the 2026 Annual Meeting of Stockholders and is incorporated herein by reference. We will file such definitive proxy statement with the SEC pursuant to Regulation 14A within 120 days after the fiscal year ended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1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2026 Annual Meeting of Stockholders and is incorporated herein by reference. We will file such definitive proxy statement with the SEC pursuant to Regulation 14A within 120 days after the fiscal year ended December 31, 2025.</w:t>
      </w:r>
    </w:p>
    <w:p>
      <w:pPr>
        <w:spacing w:after="0" w:line="14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SECURITIES OWNERSHIP OF CERTAIN BENEFICIAL OWNERS AND MANAGEMENT AND RELATED STOCKHOLDER MATTERS.</w:t>
      </w:r>
    </w:p>
    <w:p>
      <w:pPr>
        <w:spacing w:after="0" w:line="13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2026 Annual Meeting of Stockholders and is incorporated herein by reference. We will file such definitive proxy statement with the SEC pursuant to Regulation 14A within 120 days after the fiscal year ended December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1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2026 Annual Meeting of Stockholders and is incorporated herein by reference. We will file such definitive proxy statement with the SEC pursuant to Regulation 14A within 120 days after the fiscal year ended December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1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definitive proxy statement for the 2026 Annual Meeting of Stockholders and is incorporated herein by reference. We will file such definitive proxy statement with the SEC pursuant to Regulation 14A within 120 days after the fiscal year ended December 31, 2025.</w:t>
      </w:r>
    </w:p>
    <w:p>
      <w:pPr>
        <w:sectPr>
          <w:pgSz w:w="12240" w:h="15840" w:orient="portrait"/>
          <w:cols w:equalWidth="0" w:num="1">
            <w:col w:w="10340"/>
          </w:cols>
          <w:pgMar w:left="900" w:top="83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165</w:t>
      </w:r>
    </w:p>
    <w:p>
      <w:pPr>
        <w:sectPr>
          <w:pgSz w:w="12240" w:h="15840" w:orient="portrait"/>
          <w:cols w:equalWidth="0" w:num="1">
            <w:col w:w="10340"/>
          </w:cols>
          <w:pgMar w:left="900" w:top="831" w:right="1000" w:bottom="0" w:gutter="0" w:footer="0" w:header="0"/>
          <w:type w:val="continuous"/>
        </w:sectPr>
      </w:pPr>
    </w:p>
    <w:bookmarkStart w:id="175" w:name="page176"/>
    <w:bookmarkEnd w:id="175"/>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01010"/>
        </w:rPr>
        <w:t>ITEM 15. EXHIBITS AND FINANCIAL STATEMENT SCHEDULES.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01010"/>
        </w:rPr>
        <w:t>1. Financial Statements.</w:t>
      </w:r>
    </w:p>
    <w:p>
      <w:pPr>
        <w:spacing w:after="0" w:line="210"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101010"/>
        </w:rPr>
        <w:t>The financial statements are set forth under Part II, Item 8. – “Financial Statements and Supplementary Data” of this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01010"/>
        </w:rPr>
        <w:t>2. Financial Statement Schedules.</w:t>
      </w:r>
    </w:p>
    <w:p>
      <w:pPr>
        <w:spacing w:after="0" w:line="21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101010"/>
        </w:rPr>
        <w:t>Financial statement schedules have been omitted because they are not required, are not applicable or the required information is included in the financial statements or the notes thereto in Part II, Item 8. – “Financial Statements and Supplementary Data.”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01010"/>
        </w:rPr>
        <w:t>3. Exhibits.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01010"/>
        </w:rPr>
        <w:t>The following exhibits are filed or furnished as a part of this Annual Report on Form 10-K:</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80" w:type="dxa"/>
            <w:vAlign w:val="bottom"/>
            <w:gridSpan w:val="25"/>
          </w:tcPr>
          <w:p>
            <w:pPr>
              <w:ind w:left="13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Borders>
              <w:top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720" w:type="dxa"/>
            <w:vAlign w:val="bottom"/>
            <w:tcBorders>
              <w:top w:val="single" w:sz="8" w:color="auto"/>
              <w:bottom w:val="single" w:sz="8" w:color="282828"/>
            </w:tcBorders>
            <w:gridSpan w:val="16"/>
          </w:tcPr>
          <w:p>
            <w:pPr>
              <w:spacing w:after="0" w:line="198" w:lineRule="exact"/>
              <w:rPr>
                <w:sz w:val="20"/>
                <w:szCs w:val="20"/>
                <w:color w:val="auto"/>
              </w:rPr>
            </w:pPr>
            <w:r>
              <w:rPr>
                <w:rFonts w:ascii="Times New Roman" w:cs="Times New Roman" w:eastAsia="Times New Roman" w:hAnsi="Times New Roman"/>
                <w:sz w:val="20"/>
                <w:szCs w:val="20"/>
                <w:color w:val="282828"/>
              </w:rPr>
              <w:t>Purchase Agreement, dated April 5, 2024, by and between ICD Intermediate Holdco 1, LLC, ICD Holdings,</w:t>
            </w:r>
          </w:p>
        </w:tc>
        <w:tc>
          <w:tcPr>
            <w:tcW w:w="320" w:type="dxa"/>
            <w:vAlign w:val="bottom"/>
            <w:tcBorders>
              <w:top w:val="single" w:sz="8" w:color="auto"/>
            </w:tcBorders>
            <w:gridSpan w:val="1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tcBorders>
              <w:bottom w:val="single" w:sz="8" w:color="282828"/>
            </w:tcBorders>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LLC, Stellus Capital Investment Corporation, Parthenon Investors V ICD Holdco AIV, LP, SCIC - ICD Blocker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80" w:type="dxa"/>
            <w:vAlign w:val="bottom"/>
            <w:tcBorders>
              <w:bottom w:val="single" w:sz="8" w:color="282828"/>
            </w:tcBorders>
            <w:gridSpan w:val="21"/>
          </w:tcPr>
          <w:p>
            <w:pPr>
              <w:spacing w:after="0" w:line="220" w:lineRule="exact"/>
              <w:rPr>
                <w:sz w:val="20"/>
                <w:szCs w:val="20"/>
                <w:color w:val="auto"/>
              </w:rPr>
            </w:pPr>
            <w:r>
              <w:rPr>
                <w:rFonts w:ascii="Times New Roman" w:cs="Times New Roman" w:eastAsia="Times New Roman" w:hAnsi="Times New Roman"/>
                <w:sz w:val="20"/>
                <w:szCs w:val="20"/>
                <w:color w:val="282828"/>
              </w:rPr>
              <w:t>1, Inc., Parthenon Investors V ICD Blocker, Inc., Tradeweb Markets LLC, ICD Holdings, LLC, in its capacity</w:t>
            </w:r>
          </w:p>
        </w:tc>
        <w:tc>
          <w:tcPr>
            <w:tcW w:w="16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960" w:type="dxa"/>
            <w:vAlign w:val="bottom"/>
            <w:tcBorders>
              <w:bottom w:val="single" w:sz="8" w:color="282828"/>
            </w:tcBorders>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as the initial Seller Representative thereunder, and Tradeweb Markets Inc., solely for purposes of Section 10.21</w:t>
            </w: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900" w:type="dxa"/>
            <w:vAlign w:val="bottom"/>
            <w:tcBorders>
              <w:bottom w:val="single" w:sz="8" w:color="282828"/>
            </w:tcBorders>
            <w:gridSpan w:val="22"/>
          </w:tcPr>
          <w:p>
            <w:pPr>
              <w:spacing w:after="0" w:line="220" w:lineRule="exact"/>
              <w:rPr>
                <w:sz w:val="20"/>
                <w:szCs w:val="20"/>
                <w:color w:val="auto"/>
              </w:rPr>
            </w:pPr>
            <w:r>
              <w:rPr>
                <w:rFonts w:ascii="Times New Roman" w:cs="Times New Roman" w:eastAsia="Times New Roman" w:hAnsi="Times New Roman"/>
                <w:sz w:val="20"/>
                <w:szCs w:val="20"/>
                <w:color w:val="282828"/>
              </w:rPr>
              <w:t>thereof (incorporated by reference to Exhibit 2.1 to the Company’s Current Report on Form 8-K filed on April</w:t>
            </w:r>
          </w:p>
        </w:tc>
        <w:tc>
          <w:tcPr>
            <w:tcW w:w="14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8, 2024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282828"/>
          </w:tcPr>
          <w:p>
            <w:pPr>
              <w:spacing w:after="0" w:line="20" w:lineRule="exact"/>
              <w:rPr>
                <w:sz w:val="1"/>
                <w:szCs w:val="1"/>
                <w:color w:val="auto"/>
              </w:rPr>
            </w:pPr>
          </w:p>
        </w:tc>
        <w:tc>
          <w:tcPr>
            <w:tcW w:w="920" w:type="dxa"/>
            <w:vAlign w:val="bottom"/>
            <w:shd w:val="clear" w:color="auto" w:fill="282828"/>
          </w:tcPr>
          <w:p>
            <w:pPr>
              <w:spacing w:after="0" w:line="20" w:lineRule="exact"/>
              <w:rPr>
                <w:sz w:val="1"/>
                <w:szCs w:val="1"/>
                <w:color w:val="auto"/>
              </w:rPr>
            </w:pPr>
          </w:p>
        </w:tc>
        <w:tc>
          <w:tcPr>
            <w:tcW w:w="140" w:type="dxa"/>
            <w:vAlign w:val="bottom"/>
            <w:shd w:val="clear" w:color="auto" w:fill="28282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60" w:type="dxa"/>
            <w:vAlign w:val="bottom"/>
            <w:tcBorders>
              <w:bottom w:val="single" w:sz="8" w:color="282828"/>
            </w:tcBorders>
            <w:gridSpan w:val="15"/>
          </w:tcPr>
          <w:p>
            <w:pPr>
              <w:spacing w:after="0"/>
              <w:rPr>
                <w:sz w:val="20"/>
                <w:szCs w:val="20"/>
                <w:color w:val="auto"/>
              </w:rPr>
            </w:pPr>
            <w:r>
              <w:rPr>
                <w:rFonts w:ascii="Times New Roman" w:cs="Times New Roman" w:eastAsia="Times New Roman" w:hAnsi="Times New Roman"/>
                <w:sz w:val="20"/>
                <w:szCs w:val="20"/>
                <w:color w:val="282828"/>
              </w:rPr>
              <w:t>Amended and Restated Certificate of Incorporation of Tradeweb Markets Inc. (incorporated by reference to</w:t>
            </w:r>
          </w:p>
        </w:tc>
        <w:tc>
          <w:tcPr>
            <w:tcW w:w="380" w:type="dxa"/>
            <w:vAlign w:val="bottom"/>
            <w:gridSpan w:val="13"/>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Exhibit 3.1 to the Company’s Current Report on Form 8-K filed on April 9, 2019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282828"/>
          </w:tcPr>
          <w:p>
            <w:pPr>
              <w:spacing w:after="0" w:line="20" w:lineRule="exact"/>
              <w:rPr>
                <w:sz w:val="1"/>
                <w:szCs w:val="1"/>
                <w:color w:val="auto"/>
              </w:rPr>
            </w:pPr>
          </w:p>
        </w:tc>
        <w:tc>
          <w:tcPr>
            <w:tcW w:w="920" w:type="dxa"/>
            <w:vAlign w:val="bottom"/>
            <w:shd w:val="clear" w:color="auto" w:fill="282828"/>
          </w:tcPr>
          <w:p>
            <w:pPr>
              <w:spacing w:after="0" w:line="20" w:lineRule="exact"/>
              <w:rPr>
                <w:sz w:val="1"/>
                <w:szCs w:val="1"/>
                <w:color w:val="auto"/>
              </w:rPr>
            </w:pPr>
          </w:p>
        </w:tc>
        <w:tc>
          <w:tcPr>
            <w:tcW w:w="1500" w:type="dxa"/>
            <w:vAlign w:val="bottom"/>
            <w:gridSpan w:val="2"/>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420" w:type="dxa"/>
            <w:vAlign w:val="bottom"/>
            <w:shd w:val="clear" w:color="auto" w:fill="282828"/>
          </w:tcPr>
          <w:p>
            <w:pPr>
              <w:spacing w:after="0" w:line="20" w:lineRule="exact"/>
              <w:rPr>
                <w:sz w:val="1"/>
                <w:szCs w:val="1"/>
                <w:color w:val="auto"/>
              </w:rPr>
            </w:pPr>
          </w:p>
        </w:tc>
        <w:tc>
          <w:tcPr>
            <w:tcW w:w="980" w:type="dxa"/>
            <w:vAlign w:val="bottom"/>
            <w:shd w:val="clear" w:color="auto" w:fill="282828"/>
          </w:tcPr>
          <w:p>
            <w:pPr>
              <w:spacing w:after="0" w:line="20" w:lineRule="exact"/>
              <w:rPr>
                <w:sz w:val="1"/>
                <w:szCs w:val="1"/>
                <w:color w:val="auto"/>
              </w:rPr>
            </w:pPr>
          </w:p>
        </w:tc>
        <w:tc>
          <w:tcPr>
            <w:tcW w:w="1100" w:type="dxa"/>
            <w:vAlign w:val="bottom"/>
            <w:shd w:val="clear" w:color="auto" w:fill="282828"/>
          </w:tcPr>
          <w:p>
            <w:pPr>
              <w:spacing w:after="0" w:line="20" w:lineRule="exact"/>
              <w:rPr>
                <w:sz w:val="1"/>
                <w:szCs w:val="1"/>
                <w:color w:val="auto"/>
              </w:rPr>
            </w:pPr>
          </w:p>
        </w:tc>
        <w:tc>
          <w:tcPr>
            <w:tcW w:w="300" w:type="dxa"/>
            <w:vAlign w:val="bottom"/>
            <w:shd w:val="clear" w:color="auto" w:fill="282828"/>
          </w:tcPr>
          <w:p>
            <w:pPr>
              <w:spacing w:after="0" w:line="20" w:lineRule="exact"/>
              <w:rPr>
                <w:sz w:val="1"/>
                <w:szCs w:val="1"/>
                <w:color w:val="auto"/>
              </w:rPr>
            </w:pPr>
          </w:p>
        </w:tc>
        <w:tc>
          <w:tcPr>
            <w:tcW w:w="760" w:type="dxa"/>
            <w:vAlign w:val="bottom"/>
            <w:shd w:val="clear" w:color="auto" w:fill="282828"/>
          </w:tcPr>
          <w:p>
            <w:pPr>
              <w:spacing w:after="0" w:line="20" w:lineRule="exact"/>
              <w:rPr>
                <w:sz w:val="1"/>
                <w:szCs w:val="1"/>
                <w:color w:val="auto"/>
              </w:rPr>
            </w:pPr>
          </w:p>
        </w:tc>
        <w:tc>
          <w:tcPr>
            <w:tcW w:w="140" w:type="dxa"/>
            <w:vAlign w:val="bottom"/>
            <w:shd w:val="clear" w:color="auto" w:fill="282828"/>
          </w:tcPr>
          <w:p>
            <w:pPr>
              <w:spacing w:after="0" w:line="20" w:lineRule="exact"/>
              <w:rPr>
                <w:sz w:val="1"/>
                <w:szCs w:val="1"/>
                <w:color w:val="auto"/>
              </w:rPr>
            </w:pPr>
          </w:p>
        </w:tc>
        <w:tc>
          <w:tcPr>
            <w:tcW w:w="240" w:type="dxa"/>
            <w:vAlign w:val="bottom"/>
            <w:tcBorders>
              <w:right w:val="single" w:sz="8" w:color="282828"/>
            </w:tcBorders>
            <w:shd w:val="clear" w:color="auto" w:fill="28282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80" w:type="dxa"/>
            <w:vAlign w:val="bottom"/>
            <w:tcBorders>
              <w:bottom w:val="single" w:sz="8" w:color="282828"/>
            </w:tcBorders>
            <w:gridSpan w:val="13"/>
          </w:tcPr>
          <w:p>
            <w:pPr>
              <w:spacing w:after="0"/>
              <w:rPr>
                <w:sz w:val="20"/>
                <w:szCs w:val="20"/>
                <w:color w:val="auto"/>
              </w:rPr>
            </w:pPr>
            <w:r>
              <w:rPr>
                <w:rFonts w:ascii="Times New Roman" w:cs="Times New Roman" w:eastAsia="Times New Roman" w:hAnsi="Times New Roman"/>
                <w:sz w:val="20"/>
                <w:szCs w:val="20"/>
                <w:color w:val="282828"/>
              </w:rPr>
              <w:t>Amended and Restated Bylaws of Tradeweb Markets Inc. (incorporated by reference to Exhibit 3.2 to the</w:t>
            </w:r>
          </w:p>
        </w:tc>
        <w:tc>
          <w:tcPr>
            <w:tcW w:w="560" w:type="dxa"/>
            <w:vAlign w:val="bottom"/>
            <w:gridSpan w:val="15"/>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Company’s Current Report on Form 8-K filed on April 9, 2019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282828"/>
          </w:tcPr>
          <w:p>
            <w:pPr>
              <w:spacing w:after="0" w:line="20" w:lineRule="exact"/>
              <w:rPr>
                <w:sz w:val="1"/>
                <w:szCs w:val="1"/>
                <w:color w:val="auto"/>
              </w:rPr>
            </w:pPr>
          </w:p>
        </w:tc>
        <w:tc>
          <w:tcPr>
            <w:tcW w:w="920" w:type="dxa"/>
            <w:vAlign w:val="bottom"/>
            <w:shd w:val="clear" w:color="auto" w:fill="282828"/>
          </w:tcPr>
          <w:p>
            <w:pPr>
              <w:spacing w:after="0" w:line="20" w:lineRule="exact"/>
              <w:rPr>
                <w:sz w:val="1"/>
                <w:szCs w:val="1"/>
                <w:color w:val="auto"/>
              </w:rPr>
            </w:pPr>
          </w:p>
        </w:tc>
        <w:tc>
          <w:tcPr>
            <w:tcW w:w="1500" w:type="dxa"/>
            <w:vAlign w:val="bottom"/>
            <w:gridSpan w:val="2"/>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420" w:type="dxa"/>
            <w:vAlign w:val="bottom"/>
            <w:shd w:val="clear" w:color="auto" w:fill="282828"/>
          </w:tcPr>
          <w:p>
            <w:pPr>
              <w:spacing w:after="0" w:line="20" w:lineRule="exact"/>
              <w:rPr>
                <w:sz w:val="1"/>
                <w:szCs w:val="1"/>
                <w:color w:val="auto"/>
              </w:rPr>
            </w:pPr>
          </w:p>
        </w:tc>
        <w:tc>
          <w:tcPr>
            <w:tcW w:w="980" w:type="dxa"/>
            <w:vAlign w:val="bottom"/>
            <w:shd w:val="clear" w:color="auto" w:fill="282828"/>
          </w:tcPr>
          <w:p>
            <w:pPr>
              <w:spacing w:after="0" w:line="20" w:lineRule="exact"/>
              <w:rPr>
                <w:sz w:val="1"/>
                <w:szCs w:val="1"/>
                <w:color w:val="auto"/>
              </w:rPr>
            </w:pPr>
          </w:p>
        </w:tc>
        <w:tc>
          <w:tcPr>
            <w:tcW w:w="1100" w:type="dxa"/>
            <w:vAlign w:val="bottom"/>
            <w:shd w:val="clear" w:color="auto" w:fill="28282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60" w:type="dxa"/>
            <w:vAlign w:val="bottom"/>
            <w:tcBorders>
              <w:bottom w:val="single" w:sz="8" w:color="282828"/>
            </w:tcBorders>
            <w:gridSpan w:val="25"/>
          </w:tcPr>
          <w:p>
            <w:pPr>
              <w:spacing w:after="0"/>
              <w:rPr>
                <w:sz w:val="20"/>
                <w:szCs w:val="20"/>
                <w:color w:val="auto"/>
              </w:rPr>
            </w:pPr>
            <w:r>
              <w:rPr>
                <w:rFonts w:ascii="Times New Roman" w:cs="Times New Roman" w:eastAsia="Times New Roman" w:hAnsi="Times New Roman"/>
                <w:sz w:val="20"/>
                <w:szCs w:val="20"/>
                <w:color w:val="282828"/>
              </w:rPr>
              <w:t>Specimen Common Stock Certificate of Tradeweb Markets Inc. (incorporated by reference to Exhibit 4.1 to the</w:t>
            </w:r>
          </w:p>
        </w:tc>
        <w:tc>
          <w:tcPr>
            <w:tcW w:w="8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Company’s Registration Statement on Form S-1 (File No. 333-230115)).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282828"/>
          </w:tcPr>
          <w:p>
            <w:pPr>
              <w:spacing w:after="0" w:line="20" w:lineRule="exact"/>
              <w:rPr>
                <w:sz w:val="1"/>
                <w:szCs w:val="1"/>
                <w:color w:val="auto"/>
              </w:rPr>
            </w:pPr>
          </w:p>
        </w:tc>
        <w:tc>
          <w:tcPr>
            <w:tcW w:w="920" w:type="dxa"/>
            <w:vAlign w:val="bottom"/>
            <w:shd w:val="clear" w:color="auto" w:fill="282828"/>
          </w:tcPr>
          <w:p>
            <w:pPr>
              <w:spacing w:after="0" w:line="20" w:lineRule="exact"/>
              <w:rPr>
                <w:sz w:val="1"/>
                <w:szCs w:val="1"/>
                <w:color w:val="auto"/>
              </w:rPr>
            </w:pPr>
          </w:p>
        </w:tc>
        <w:tc>
          <w:tcPr>
            <w:tcW w:w="1500" w:type="dxa"/>
            <w:vAlign w:val="bottom"/>
            <w:gridSpan w:val="2"/>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420" w:type="dxa"/>
            <w:vAlign w:val="bottom"/>
            <w:shd w:val="clear" w:color="auto" w:fill="282828"/>
          </w:tcPr>
          <w:p>
            <w:pPr>
              <w:spacing w:after="0" w:line="20" w:lineRule="exact"/>
              <w:rPr>
                <w:sz w:val="1"/>
                <w:szCs w:val="1"/>
                <w:color w:val="auto"/>
              </w:rPr>
            </w:pPr>
          </w:p>
        </w:tc>
        <w:tc>
          <w:tcPr>
            <w:tcW w:w="980" w:type="dxa"/>
            <w:vAlign w:val="bottom"/>
            <w:shd w:val="clear" w:color="auto" w:fill="282828"/>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2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80" w:type="dxa"/>
            <w:vAlign w:val="bottom"/>
            <w:tcBorders>
              <w:bottom w:val="single" w:sz="8" w:color="282828"/>
            </w:tcBorders>
            <w:gridSpan w:val="10"/>
          </w:tcPr>
          <w:p>
            <w:pPr>
              <w:spacing w:after="0"/>
              <w:rPr>
                <w:sz w:val="20"/>
                <w:szCs w:val="20"/>
                <w:color w:val="auto"/>
              </w:rPr>
            </w:pPr>
            <w:r>
              <w:rPr>
                <w:rFonts w:ascii="Times New Roman" w:cs="Times New Roman" w:eastAsia="Times New Roman" w:hAnsi="Times New Roman"/>
                <w:sz w:val="20"/>
                <w:szCs w:val="20"/>
                <w:color w:val="282828"/>
              </w:rPr>
              <w:t>Description of Securities Registered Pursuant to Section 12 of the Securities Exchange Act of 1934</w:t>
            </w:r>
          </w:p>
        </w:tc>
        <w:tc>
          <w:tcPr>
            <w:tcW w:w="106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60" w:type="dxa"/>
            <w:vAlign w:val="bottom"/>
            <w:tcBorders>
              <w:bottom w:val="single" w:sz="8" w:color="282828"/>
            </w:tcBorders>
            <w:gridSpan w:val="20"/>
          </w:tcPr>
          <w:p>
            <w:pPr>
              <w:spacing w:after="0" w:line="220" w:lineRule="exact"/>
              <w:rPr>
                <w:sz w:val="20"/>
                <w:szCs w:val="20"/>
                <w:color w:val="auto"/>
              </w:rPr>
            </w:pPr>
            <w:r>
              <w:rPr>
                <w:rFonts w:ascii="Times New Roman" w:cs="Times New Roman" w:eastAsia="Times New Roman" w:hAnsi="Times New Roman"/>
                <w:sz w:val="20"/>
                <w:szCs w:val="20"/>
                <w:color w:val="282828"/>
              </w:rPr>
              <w:t>(incorporated by reference to Exhibit 4.2 to the Company’s Annual Report on Form 10-K/A filed on March 4,</w:t>
            </w:r>
          </w:p>
        </w:tc>
        <w:tc>
          <w:tcPr>
            <w:tcW w:w="18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282828"/>
            </w:tcBorders>
            <w:gridSpan w:val="2"/>
          </w:tcPr>
          <w:p>
            <w:pPr>
              <w:spacing w:after="0" w:line="220" w:lineRule="exact"/>
              <w:rPr>
                <w:sz w:val="20"/>
                <w:szCs w:val="20"/>
                <w:color w:val="auto"/>
              </w:rPr>
            </w:pPr>
            <w:r>
              <w:rPr>
                <w:rFonts w:ascii="Times New Roman" w:cs="Times New Roman" w:eastAsia="Times New Roman" w:hAnsi="Times New Roman"/>
                <w:sz w:val="20"/>
                <w:szCs w:val="20"/>
                <w:color w:val="282828"/>
              </w:rPr>
              <w:t>2020 (File No. 001-38860)).</w:t>
            </w:r>
          </w:p>
        </w:tc>
        <w:tc>
          <w:tcPr>
            <w:tcW w:w="6720" w:type="dxa"/>
            <w:vAlign w:val="bottom"/>
            <w:gridSpan w:val="2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40" w:type="dxa"/>
            <w:vAlign w:val="bottom"/>
            <w:tcBorders>
              <w:bottom w:val="single" w:sz="8" w:color="282828"/>
            </w:tcBorders>
            <w:gridSpan w:val="19"/>
          </w:tcPr>
          <w:p>
            <w:pPr>
              <w:spacing w:after="0"/>
              <w:rPr>
                <w:sz w:val="20"/>
                <w:szCs w:val="20"/>
                <w:color w:val="auto"/>
              </w:rPr>
            </w:pPr>
            <w:r>
              <w:rPr>
                <w:rFonts w:ascii="Times New Roman" w:cs="Times New Roman" w:eastAsia="Times New Roman" w:hAnsi="Times New Roman"/>
                <w:sz w:val="20"/>
                <w:szCs w:val="20"/>
                <w:color w:val="282828"/>
              </w:rPr>
              <w:t>Stockholders Agreement, dated as of April 8, 2019, by and among Tradeweb Markets Inc., Refinitiv US PME</w:t>
            </w:r>
          </w:p>
        </w:tc>
        <w:tc>
          <w:tcPr>
            <w:tcW w:w="20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tcBorders>
              <w:bottom w:val="single" w:sz="8" w:color="282828"/>
            </w:tcBorders>
            <w:gridSpan w:val="28"/>
          </w:tcPr>
          <w:p>
            <w:pPr>
              <w:spacing w:after="0" w:line="220" w:lineRule="exact"/>
              <w:rPr>
                <w:sz w:val="20"/>
                <w:szCs w:val="20"/>
                <w:color w:val="auto"/>
              </w:rPr>
            </w:pPr>
            <w:r>
              <w:rPr>
                <w:rFonts w:ascii="Times New Roman" w:cs="Times New Roman" w:eastAsia="Times New Roman" w:hAnsi="Times New Roman"/>
                <w:sz w:val="20"/>
                <w:szCs w:val="20"/>
                <w:color w:val="282828"/>
                <w:w w:val="99"/>
              </w:rPr>
              <w:t>LLC and Refinitiv Parent Limited (incorporated by reference to Exhibit 10.1 to the Company’s Quarterly Report</w:t>
            </w:r>
          </w:p>
        </w:tc>
        <w:tc>
          <w:tcPr>
            <w:tcW w:w="20" w:type="dxa"/>
            <w:vAlign w:val="bottom"/>
            <w:tcBorders>
              <w:bottom w:val="single" w:sz="8" w:color="28282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on Form 10-Q filed on May 20, 2019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282828"/>
          </w:tcPr>
          <w:p>
            <w:pPr>
              <w:spacing w:after="0" w:line="20" w:lineRule="exact"/>
              <w:rPr>
                <w:sz w:val="1"/>
                <w:szCs w:val="1"/>
                <w:color w:val="auto"/>
              </w:rPr>
            </w:pPr>
          </w:p>
        </w:tc>
        <w:tc>
          <w:tcPr>
            <w:tcW w:w="2420" w:type="dxa"/>
            <w:vAlign w:val="bottom"/>
            <w:gridSpan w:val="3"/>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420" w:type="dxa"/>
            <w:vAlign w:val="bottom"/>
            <w:shd w:val="clear" w:color="auto" w:fill="282828"/>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80" w:type="dxa"/>
            <w:vAlign w:val="bottom"/>
            <w:tcBorders>
              <w:bottom w:val="single" w:sz="8" w:color="282828"/>
            </w:tcBorders>
            <w:gridSpan w:val="21"/>
          </w:tcPr>
          <w:p>
            <w:pPr>
              <w:spacing w:after="0"/>
              <w:rPr>
                <w:sz w:val="20"/>
                <w:szCs w:val="20"/>
                <w:color w:val="auto"/>
              </w:rPr>
            </w:pPr>
            <w:r>
              <w:rPr>
                <w:rFonts w:ascii="Times New Roman" w:cs="Times New Roman" w:eastAsia="Times New Roman" w:hAnsi="Times New Roman"/>
                <w:sz w:val="20"/>
                <w:szCs w:val="20"/>
                <w:color w:val="282828"/>
              </w:rPr>
              <w:t>Registration Rights Agreement, dated as of April 8, 2019, by and among Tradeweb Markets Inc., the Refinitiv</w:t>
            </w:r>
          </w:p>
        </w:tc>
        <w:tc>
          <w:tcPr>
            <w:tcW w:w="160" w:type="dxa"/>
            <w:vAlign w:val="bottom"/>
            <w:gridSpan w:val="7"/>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360" w:type="dxa"/>
            <w:vAlign w:val="bottom"/>
            <w:tcBorders>
              <w:bottom w:val="single" w:sz="8" w:color="282828"/>
            </w:tcBorders>
            <w:gridSpan w:val="12"/>
          </w:tcPr>
          <w:p>
            <w:pPr>
              <w:spacing w:after="0" w:line="220" w:lineRule="exact"/>
              <w:rPr>
                <w:sz w:val="20"/>
                <w:szCs w:val="20"/>
                <w:color w:val="auto"/>
              </w:rPr>
            </w:pPr>
            <w:r>
              <w:rPr>
                <w:rFonts w:ascii="Times New Roman" w:cs="Times New Roman" w:eastAsia="Times New Roman" w:hAnsi="Times New Roman"/>
                <w:sz w:val="20"/>
                <w:szCs w:val="20"/>
                <w:color w:val="282828"/>
              </w:rPr>
              <w:t>Holders (as defined therein), the Bank Holders (as defined therein) and the other holders of Registrable</w:t>
            </w:r>
          </w:p>
        </w:tc>
        <w:tc>
          <w:tcPr>
            <w:tcW w:w="680" w:type="dxa"/>
            <w:vAlign w:val="bottom"/>
            <w:gridSpan w:val="1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80" w:type="dxa"/>
            <w:vAlign w:val="bottom"/>
            <w:tcBorders>
              <w:bottom w:val="single" w:sz="8" w:color="282828"/>
            </w:tcBorders>
            <w:gridSpan w:val="21"/>
          </w:tcPr>
          <w:p>
            <w:pPr>
              <w:spacing w:after="0" w:line="220" w:lineRule="exact"/>
              <w:rPr>
                <w:sz w:val="20"/>
                <w:szCs w:val="20"/>
                <w:color w:val="auto"/>
              </w:rPr>
            </w:pPr>
            <w:r>
              <w:rPr>
                <w:rFonts w:ascii="Times New Roman" w:cs="Times New Roman" w:eastAsia="Times New Roman" w:hAnsi="Times New Roman"/>
                <w:sz w:val="20"/>
                <w:szCs w:val="20"/>
                <w:color w:val="282828"/>
              </w:rPr>
              <w:t>Securities (as defined therein) party thereto from time to time (incorporated by reference to Exhibit 10.2 to the</w:t>
            </w:r>
          </w:p>
        </w:tc>
        <w:tc>
          <w:tcPr>
            <w:tcW w:w="16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Company’s Quarterly Report on Form 10-Q filed on May 20, 2019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282828"/>
          </w:tcPr>
          <w:p>
            <w:pPr>
              <w:spacing w:after="0" w:line="20" w:lineRule="exact"/>
              <w:rPr>
                <w:sz w:val="1"/>
                <w:szCs w:val="1"/>
                <w:color w:val="auto"/>
              </w:rPr>
            </w:pPr>
          </w:p>
        </w:tc>
        <w:tc>
          <w:tcPr>
            <w:tcW w:w="2420" w:type="dxa"/>
            <w:vAlign w:val="bottom"/>
            <w:gridSpan w:val="3"/>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2800" w:type="dxa"/>
            <w:vAlign w:val="bottom"/>
            <w:gridSpan w:val="4"/>
            <w:shd w:val="clear" w:color="auto" w:fill="282828"/>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2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rPr>
              <w:t>Fifth Amended and Restated LLC Agreement of Tradeweb Markets LLC (incorporated by reference to Exhibit</w:t>
            </w:r>
          </w:p>
        </w:tc>
        <w:tc>
          <w:tcPr>
            <w:tcW w:w="120" w:type="dxa"/>
            <w:vAlign w:val="bottom"/>
            <w:gridSpan w:val="5"/>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10.</w:t>
            </w:r>
            <w:r>
              <w:rPr>
                <w:rFonts w:ascii="Times New Roman" w:cs="Times New Roman" w:eastAsia="Times New Roman" w:hAnsi="Times New Roman"/>
                <w:sz w:val="20"/>
                <w:szCs w:val="20"/>
                <w:u w:val="single" w:color="auto"/>
                <w:color w:val="282828"/>
              </w:rPr>
              <w:t>3</w:t>
            </w:r>
            <w:r>
              <w:rPr>
                <w:rFonts w:ascii="Times New Roman" w:cs="Times New Roman" w:eastAsia="Times New Roman" w:hAnsi="Times New Roman"/>
                <w:sz w:val="20"/>
                <w:szCs w:val="20"/>
                <w:color w:val="282828"/>
              </w:rPr>
              <w:t xml:space="preserve"> to the Company’s Quarterly Report on Form 10-Q filed on May 20, 2019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282828"/>
          </w:tcPr>
          <w:p>
            <w:pPr>
              <w:spacing w:after="0" w:line="20" w:lineRule="exact"/>
              <w:rPr>
                <w:sz w:val="1"/>
                <w:szCs w:val="1"/>
                <w:color w:val="auto"/>
              </w:rPr>
            </w:pPr>
          </w:p>
        </w:tc>
        <w:tc>
          <w:tcPr>
            <w:tcW w:w="2420" w:type="dxa"/>
            <w:vAlign w:val="bottom"/>
            <w:gridSpan w:val="3"/>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3700" w:type="dxa"/>
            <w:vAlign w:val="bottom"/>
            <w:gridSpan w:val="6"/>
            <w:shd w:val="clear" w:color="auto" w:fill="282828"/>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40" w:type="dxa"/>
            <w:vAlign w:val="bottom"/>
            <w:tcBorders>
              <w:bottom w:val="single" w:sz="8" w:color="282828"/>
            </w:tcBorders>
            <w:gridSpan w:val="28"/>
          </w:tcPr>
          <w:p>
            <w:pPr>
              <w:spacing w:after="0"/>
              <w:rPr>
                <w:sz w:val="20"/>
                <w:szCs w:val="20"/>
                <w:color w:val="auto"/>
              </w:rPr>
            </w:pPr>
            <w:r>
              <w:rPr>
                <w:rFonts w:ascii="Times New Roman" w:cs="Times New Roman" w:eastAsia="Times New Roman" w:hAnsi="Times New Roman"/>
                <w:sz w:val="20"/>
                <w:szCs w:val="20"/>
                <w:color w:val="282828"/>
                <w:w w:val="99"/>
              </w:rPr>
              <w:t>Tax Receivable Agreement, dated as of April 8, 2019, by and among Tradeweb Markets Inc., Tradeweb Markets</w:t>
            </w:r>
          </w:p>
        </w:tc>
        <w:tc>
          <w:tcPr>
            <w:tcW w:w="20" w:type="dxa"/>
            <w:vAlign w:val="bottom"/>
            <w:tcBorders>
              <w:bottom w:val="single" w:sz="8" w:color="282828"/>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940" w:type="dxa"/>
            <w:vAlign w:val="bottom"/>
            <w:tcBorders>
              <w:bottom w:val="single" w:sz="8" w:color="282828"/>
            </w:tcBorders>
            <w:gridSpan w:val="24"/>
          </w:tcPr>
          <w:p>
            <w:pPr>
              <w:spacing w:after="0" w:line="220" w:lineRule="exact"/>
              <w:rPr>
                <w:sz w:val="20"/>
                <w:szCs w:val="20"/>
                <w:color w:val="auto"/>
              </w:rPr>
            </w:pPr>
            <w:r>
              <w:rPr>
                <w:rFonts w:ascii="Times New Roman" w:cs="Times New Roman" w:eastAsia="Times New Roman" w:hAnsi="Times New Roman"/>
                <w:sz w:val="20"/>
                <w:szCs w:val="20"/>
                <w:color w:val="282828"/>
              </w:rPr>
              <w:t>LLC and the members of Tradeweb Markets LLC from time to time party thereto (incorporated by reference to</w:t>
            </w:r>
          </w:p>
        </w:tc>
        <w:tc>
          <w:tcPr>
            <w:tcW w:w="10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Exhibit 10.4 to the Company’s Quarterly Report on Form 10-Q filed on May 20, 2019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40" w:type="dxa"/>
            <w:vAlign w:val="bottom"/>
            <w:tcBorders>
              <w:top w:val="single" w:sz="8" w:color="282828"/>
              <w:bottom w:val="single" w:sz="8" w:color="282828"/>
            </w:tcBorders>
            <w:gridSpan w:val="14"/>
          </w:tcPr>
          <w:p>
            <w:pPr>
              <w:spacing w:after="0"/>
              <w:rPr>
                <w:sz w:val="20"/>
                <w:szCs w:val="20"/>
                <w:color w:val="auto"/>
              </w:rPr>
            </w:pPr>
            <w:r>
              <w:rPr>
                <w:rFonts w:ascii="Times New Roman" w:cs="Times New Roman" w:eastAsia="Times New Roman" w:hAnsi="Times New Roman"/>
                <w:sz w:val="20"/>
                <w:szCs w:val="20"/>
                <w:color w:val="282828"/>
              </w:rPr>
              <w:t>Restrictive Covenant Agreement, dated as of April 8, 2019, by and among the Refinitiv Entities (as defined</w:t>
            </w:r>
          </w:p>
        </w:tc>
        <w:tc>
          <w:tcPr>
            <w:tcW w:w="120" w:type="dxa"/>
            <w:vAlign w:val="bottom"/>
            <w:tcBorders>
              <w:top w:val="single" w:sz="8" w:color="282828"/>
            </w:tcBorders>
            <w:gridSpan w:val="3"/>
          </w:tcPr>
          <w:p>
            <w:pPr>
              <w:spacing w:after="0"/>
              <w:rPr>
                <w:sz w:val="23"/>
                <w:szCs w:val="23"/>
                <w:color w:val="auto"/>
              </w:rPr>
            </w:pPr>
          </w:p>
        </w:tc>
        <w:tc>
          <w:tcPr>
            <w:tcW w:w="280" w:type="dxa"/>
            <w:vAlign w:val="bottom"/>
            <w:gridSpan w:val="11"/>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60" w:type="dxa"/>
            <w:vAlign w:val="bottom"/>
            <w:tcBorders>
              <w:bottom w:val="single" w:sz="8" w:color="282828"/>
            </w:tcBorders>
            <w:gridSpan w:val="20"/>
          </w:tcPr>
          <w:p>
            <w:pPr>
              <w:spacing w:after="0" w:line="220" w:lineRule="exact"/>
              <w:rPr>
                <w:sz w:val="20"/>
                <w:szCs w:val="20"/>
                <w:color w:val="auto"/>
              </w:rPr>
            </w:pPr>
            <w:r>
              <w:rPr>
                <w:rFonts w:ascii="Times New Roman" w:cs="Times New Roman" w:eastAsia="Times New Roman" w:hAnsi="Times New Roman"/>
                <w:sz w:val="20"/>
                <w:szCs w:val="20"/>
                <w:color w:val="282828"/>
              </w:rPr>
              <w:t>therein), Tradeweb Markets LLC and Tradeweb Markets Inc. (incorporated by reference to Exhibit 10.5 to the</w:t>
            </w:r>
          </w:p>
        </w:tc>
        <w:tc>
          <w:tcPr>
            <w:tcW w:w="18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Company’s Quarterly Report on Form 10-Q filed on May 20, 2019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282828"/>
          </w:tcPr>
          <w:p>
            <w:pPr>
              <w:spacing w:after="0" w:line="20" w:lineRule="exact"/>
              <w:rPr>
                <w:sz w:val="1"/>
                <w:szCs w:val="1"/>
                <w:color w:val="auto"/>
              </w:rPr>
            </w:pPr>
          </w:p>
        </w:tc>
        <w:tc>
          <w:tcPr>
            <w:tcW w:w="2420" w:type="dxa"/>
            <w:vAlign w:val="bottom"/>
            <w:gridSpan w:val="3"/>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2800" w:type="dxa"/>
            <w:vAlign w:val="bottom"/>
            <w:gridSpan w:val="4"/>
            <w:shd w:val="clear" w:color="auto" w:fill="282828"/>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10.6†</w:t>
            </w:r>
          </w:p>
        </w:tc>
        <w:tc>
          <w:tcPr>
            <w:tcW w:w="8980" w:type="dxa"/>
            <w:vAlign w:val="bottom"/>
            <w:tcBorders>
              <w:bottom w:val="single" w:sz="8" w:color="282828"/>
            </w:tcBorders>
            <w:gridSpan w:val="26"/>
          </w:tcPr>
          <w:p>
            <w:pPr>
              <w:spacing w:after="0"/>
              <w:rPr>
                <w:sz w:val="20"/>
                <w:szCs w:val="20"/>
                <w:color w:val="auto"/>
              </w:rPr>
            </w:pPr>
            <w:r>
              <w:rPr>
                <w:rFonts w:ascii="Times New Roman" w:cs="Times New Roman" w:eastAsia="Times New Roman" w:hAnsi="Times New Roman"/>
                <w:sz w:val="20"/>
                <w:szCs w:val="20"/>
                <w:color w:val="282828"/>
              </w:rPr>
              <w:t>Form of Indemnification Agreement (incorporated by reference to Exhibit 10.16 to the Company’s Registration</w:t>
            </w:r>
          </w:p>
        </w:tc>
        <w:tc>
          <w:tcPr>
            <w:tcW w:w="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28"/>
          </w:tcPr>
          <w:p>
            <w:pPr>
              <w:spacing w:after="0" w:line="220" w:lineRule="exact"/>
              <w:rPr>
                <w:sz w:val="20"/>
                <w:szCs w:val="20"/>
                <w:color w:val="auto"/>
              </w:rPr>
            </w:pPr>
            <w:r>
              <w:rPr>
                <w:rFonts w:ascii="Times New Roman" w:cs="Times New Roman" w:eastAsia="Times New Roman" w:hAnsi="Times New Roman"/>
                <w:sz w:val="20"/>
                <w:szCs w:val="20"/>
                <w:color w:val="282828"/>
              </w:rPr>
              <w:t>Statement on Form S-1 (File No. 333-230115)).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282828"/>
          </w:tcPr>
          <w:p>
            <w:pPr>
              <w:spacing w:after="0" w:line="20" w:lineRule="exact"/>
              <w:rPr>
                <w:sz w:val="1"/>
                <w:szCs w:val="1"/>
                <w:color w:val="auto"/>
              </w:rPr>
            </w:pPr>
          </w:p>
        </w:tc>
        <w:tc>
          <w:tcPr>
            <w:tcW w:w="2420" w:type="dxa"/>
            <w:vAlign w:val="bottom"/>
            <w:gridSpan w:val="3"/>
            <w:shd w:val="clear" w:color="auto" w:fill="28282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4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960" w:type="dxa"/>
            <w:vAlign w:val="bottom"/>
            <w:tcBorders>
              <w:bottom w:val="single" w:sz="8" w:color="282828"/>
            </w:tcBorders>
            <w:gridSpan w:val="25"/>
          </w:tcPr>
          <w:p>
            <w:pPr>
              <w:spacing w:after="0"/>
              <w:rPr>
                <w:sz w:val="20"/>
                <w:szCs w:val="20"/>
                <w:color w:val="auto"/>
              </w:rPr>
            </w:pPr>
            <w:r>
              <w:rPr>
                <w:rFonts w:ascii="Times New Roman" w:cs="Times New Roman" w:eastAsia="Times New Roman" w:hAnsi="Times New Roman"/>
                <w:sz w:val="20"/>
                <w:szCs w:val="20"/>
                <w:color w:val="282828"/>
              </w:rPr>
              <w:t>Master Data License Agreement, effective as of November 1, 2023, between Tradeweb Markets LLC, Refinitiv</w:t>
            </w:r>
          </w:p>
        </w:tc>
        <w:tc>
          <w:tcPr>
            <w:tcW w:w="8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20" w:type="dxa"/>
            <w:vAlign w:val="bottom"/>
            <w:tcBorders>
              <w:bottom w:val="single" w:sz="8" w:color="282828"/>
            </w:tcBorders>
            <w:gridSpan w:val="27"/>
          </w:tcPr>
          <w:p>
            <w:pPr>
              <w:spacing w:after="0" w:line="220" w:lineRule="exact"/>
              <w:rPr>
                <w:sz w:val="20"/>
                <w:szCs w:val="20"/>
                <w:color w:val="auto"/>
              </w:rPr>
            </w:pPr>
            <w:r>
              <w:rPr>
                <w:rFonts w:ascii="Times New Roman" w:cs="Times New Roman" w:eastAsia="Times New Roman" w:hAnsi="Times New Roman"/>
                <w:sz w:val="20"/>
                <w:szCs w:val="20"/>
                <w:color w:val="282828"/>
              </w:rPr>
              <w:t>US LLC and Refinitiv US Organization LLC and related Data Schedules, as of November 1, 2023 (incorporated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0" w:type="dxa"/>
            <w:vAlign w:val="bottom"/>
            <w:tcBorders>
              <w:bottom w:val="single" w:sz="8" w:color="282828"/>
            </w:tcBorders>
            <w:gridSpan w:val="18"/>
          </w:tcPr>
          <w:p>
            <w:pPr>
              <w:spacing w:after="0" w:line="220" w:lineRule="exact"/>
              <w:rPr>
                <w:sz w:val="20"/>
                <w:szCs w:val="20"/>
                <w:color w:val="auto"/>
              </w:rPr>
            </w:pPr>
            <w:r>
              <w:rPr>
                <w:rFonts w:ascii="Times New Roman" w:cs="Times New Roman" w:eastAsia="Times New Roman" w:hAnsi="Times New Roman"/>
                <w:sz w:val="20"/>
                <w:szCs w:val="20"/>
                <w:color w:val="282828"/>
              </w:rPr>
              <w:t>by reference to Exhibit 10.36 to the Company’s Annual Report on Form 10-K filed on February 9, 2024 (File</w:t>
            </w:r>
          </w:p>
        </w:tc>
        <w:tc>
          <w:tcPr>
            <w:tcW w:w="24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Borders>
              <w:bottom w:val="single" w:sz="8" w:color="282828"/>
            </w:tcBorders>
          </w:tcPr>
          <w:p>
            <w:pPr>
              <w:spacing w:after="0" w:line="220" w:lineRule="exact"/>
              <w:rPr>
                <w:sz w:val="20"/>
                <w:szCs w:val="20"/>
                <w:color w:val="auto"/>
              </w:rPr>
            </w:pPr>
            <w:r>
              <w:rPr>
                <w:rFonts w:ascii="Times New Roman" w:cs="Times New Roman" w:eastAsia="Times New Roman" w:hAnsi="Times New Roman"/>
                <w:sz w:val="20"/>
                <w:szCs w:val="20"/>
                <w:color w:val="282828"/>
                <w:w w:val="98"/>
              </w:rPr>
              <w:t>No. 001-38860)).</w:t>
            </w:r>
          </w:p>
        </w:tc>
        <w:tc>
          <w:tcPr>
            <w:tcW w:w="7640" w:type="dxa"/>
            <w:vAlign w:val="bottom"/>
            <w:gridSpan w:val="2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10.7(1)*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40" w:type="dxa"/>
            <w:vAlign w:val="bottom"/>
            <w:gridSpan w:val="28"/>
          </w:tcPr>
          <w:p>
            <w:pPr>
              <w:spacing w:after="0"/>
              <w:rPr>
                <w:sz w:val="20"/>
                <w:szCs w:val="20"/>
                <w:color w:val="auto"/>
              </w:rPr>
            </w:pPr>
            <w:r>
              <w:rPr>
                <w:rFonts w:ascii="Times New Roman" w:cs="Times New Roman" w:eastAsia="Times New Roman" w:hAnsi="Times New Roman"/>
                <w:sz w:val="20"/>
                <w:szCs w:val="20"/>
                <w:color w:val="282828"/>
              </w:rPr>
              <w:t>Notice for Master Data License Agreement, dated as of October 29, 2025 between Tradeweb Markets LLC,</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20" w:type="dxa"/>
            <w:vAlign w:val="bottom"/>
            <w:tcBorders>
              <w:top w:val="single" w:sz="8" w:color="282828"/>
              <w:bottom w:val="single" w:sz="8" w:color="282828"/>
            </w:tcBorders>
            <w:gridSpan w:val="5"/>
          </w:tcPr>
          <w:p>
            <w:pPr>
              <w:spacing w:after="0" w:line="180" w:lineRule="exact"/>
              <w:rPr>
                <w:sz w:val="20"/>
                <w:szCs w:val="20"/>
                <w:color w:val="auto"/>
              </w:rPr>
            </w:pPr>
            <w:r>
              <w:rPr>
                <w:rFonts w:ascii="Times New Roman" w:cs="Times New Roman" w:eastAsia="Times New Roman" w:hAnsi="Times New Roman"/>
                <w:sz w:val="20"/>
                <w:szCs w:val="20"/>
                <w:color w:val="282828"/>
                <w:w w:val="99"/>
              </w:rPr>
              <w:t>Refinitiv US LLC and Refinitiv US Organization LLC.</w:t>
            </w:r>
          </w:p>
        </w:tc>
        <w:tc>
          <w:tcPr>
            <w:tcW w:w="4240" w:type="dxa"/>
            <w:vAlign w:val="bottom"/>
            <w:tcBorders>
              <w:top w:val="single" w:sz="8" w:color="282828"/>
            </w:tcBorders>
            <w:gridSpan w:val="10"/>
          </w:tcPr>
          <w:p>
            <w:pPr>
              <w:spacing w:after="0"/>
              <w:rPr>
                <w:sz w:val="15"/>
                <w:szCs w:val="15"/>
                <w:color w:val="auto"/>
              </w:rPr>
            </w:pPr>
          </w:p>
        </w:tc>
        <w:tc>
          <w:tcPr>
            <w:tcW w:w="38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-6094095</wp:posOffset>
                </wp:positionV>
                <wp:extent cx="79057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0">
                          <a:solidFill>
                            <a:srgbClr val="10101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9.8499pt" to="62.25pt,-479.8499pt" o:allowincell="f" strokecolor="#101010" strokeweight="0pt"/>
            </w:pict>
          </mc:Fallback>
        </mc:AlternateContent>
        <mc:AlternateContent>
          <mc:Choice Requires="wps">
            <w:drawing>
              <wp:anchor simplePos="0" relativeHeight="251657728" behindDoc="1" locked="0" layoutInCell="0" allowOverlap="1">
                <wp:simplePos x="0" y="0"/>
                <wp:positionH relativeFrom="column">
                  <wp:posOffset>828675</wp:posOffset>
                </wp:positionH>
                <wp:positionV relativeFrom="paragraph">
                  <wp:posOffset>-6094095</wp:posOffset>
                </wp:positionV>
                <wp:extent cx="580072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00725" cy="4763"/>
                        </a:xfrm>
                        <a:prstGeom prst="line">
                          <a:avLst/>
                        </a:prstGeom>
                        <a:solidFill>
                          <a:srgbClr val="FFFFFF"/>
                        </a:solidFill>
                        <a:ln w="0">
                          <a:solidFill>
                            <a:srgbClr val="10101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25pt,-479.8499pt" to="522pt,-479.8499pt" o:allowincell="f" strokecolor="#101010" strokeweight="0pt"/>
            </w:pict>
          </mc:Fallback>
        </mc:AlternateContent>
      </w:r>
    </w:p>
    <w:p>
      <w:pPr>
        <w:sectPr>
          <w:pgSz w:w="12240" w:h="15840" w:orient="portrait"/>
          <w:cols w:equalWidth="0" w:num="1">
            <w:col w:w="10440"/>
          </w:cols>
          <w:pgMar w:left="900" w:top="831" w:right="90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166</w:t>
      </w:r>
    </w:p>
    <w:p>
      <w:pPr>
        <w:sectPr>
          <w:pgSz w:w="12240" w:h="15840" w:orient="portrait"/>
          <w:cols w:equalWidth="0" w:num="1">
            <w:col w:w="10440"/>
          </w:cols>
          <w:pgMar w:left="900" w:top="831" w:right="900" w:bottom="0" w:gutter="0" w:footer="0" w:header="0"/>
          <w:type w:val="continuous"/>
        </w:sectPr>
      </w:pPr>
    </w:p>
    <w:bookmarkStart w:id="176" w:name="page177"/>
    <w:bookmarkEnd w:id="176"/>
    <w:tbl>
      <w:tblPr>
        <w:tblLayout w:type="fixed"/>
        <w:tblInd w:w="0" w:type="dxa"/>
        <w:tblCellMar>
          <w:top w:w="0" w:type="dxa"/>
          <w:left w:w="0" w:type="dxa"/>
          <w:bottom w:w="0" w:type="dxa"/>
          <w:right w:w="0" w:type="dxa"/>
        </w:tblCellMar>
      </w:tblPr>
      <w:tr>
        <w:trPr>
          <w:trHeight w:val="217"/>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80" w:type="dxa"/>
            <w:vAlign w:val="bottom"/>
            <w:gridSpan w:val="35"/>
          </w:tcPr>
          <w:p>
            <w:pPr>
              <w:ind w:left="15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40" w:type="dxa"/>
            <w:vAlign w:val="bottom"/>
            <w:tcBorders>
              <w:top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10.7(2)*</w:t>
            </w: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40" w:type="dxa"/>
            <w:vAlign w:val="bottom"/>
            <w:tcBorders>
              <w:top w:val="single" w:sz="8" w:color="auto"/>
              <w:bottom w:val="single" w:sz="8" w:color="282828"/>
            </w:tcBorders>
            <w:gridSpan w:val="18"/>
          </w:tcPr>
          <w:p>
            <w:pPr>
              <w:spacing w:after="0" w:line="198" w:lineRule="exact"/>
              <w:rPr>
                <w:sz w:val="20"/>
                <w:szCs w:val="20"/>
                <w:color w:val="auto"/>
              </w:rPr>
            </w:pPr>
            <w:r>
              <w:rPr>
                <w:rFonts w:ascii="Times New Roman" w:cs="Times New Roman" w:eastAsia="Times New Roman" w:hAnsi="Times New Roman"/>
                <w:sz w:val="20"/>
                <w:szCs w:val="20"/>
                <w:color w:val="282828"/>
              </w:rPr>
              <w:t>Schedule of Agreed Amendments to Master Data License Agreement, effective as of November 1, 2025,</w:t>
            </w:r>
          </w:p>
        </w:tc>
        <w:tc>
          <w:tcPr>
            <w:tcW w:w="600" w:type="dxa"/>
            <w:vAlign w:val="bottom"/>
            <w:tcBorders>
              <w:top w:val="single" w:sz="8" w:color="auto"/>
            </w:tcBorders>
            <w:gridSpan w:val="19"/>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37"/>
          </w:tcPr>
          <w:p>
            <w:pPr>
              <w:spacing w:after="0" w:line="220" w:lineRule="exact"/>
              <w:rPr>
                <w:sz w:val="20"/>
                <w:szCs w:val="20"/>
                <w:color w:val="auto"/>
              </w:rPr>
            </w:pPr>
            <w:r>
              <w:rPr>
                <w:rFonts w:ascii="Times New Roman" w:cs="Times New Roman" w:eastAsia="Times New Roman" w:hAnsi="Times New Roman"/>
                <w:sz w:val="20"/>
                <w:szCs w:val="20"/>
                <w:color w:val="282828"/>
              </w:rPr>
              <w:t>between Tradeweb Markets LLC, Refinitiv US LLC and Refinitiv US Organization LLC.</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282828"/>
          </w:tcPr>
          <w:p>
            <w:pPr>
              <w:spacing w:after="0" w:line="20" w:lineRule="exact"/>
              <w:rPr>
                <w:sz w:val="1"/>
                <w:szCs w:val="1"/>
                <w:color w:val="auto"/>
              </w:rPr>
            </w:pPr>
          </w:p>
        </w:tc>
        <w:tc>
          <w:tcPr>
            <w:tcW w:w="1120" w:type="dxa"/>
            <w:vAlign w:val="bottom"/>
            <w:shd w:val="clear" w:color="auto" w:fill="282828"/>
          </w:tcPr>
          <w:p>
            <w:pPr>
              <w:spacing w:after="0" w:line="20" w:lineRule="exact"/>
              <w:rPr>
                <w:sz w:val="1"/>
                <w:szCs w:val="1"/>
                <w:color w:val="auto"/>
              </w:rPr>
            </w:pPr>
          </w:p>
        </w:tc>
        <w:tc>
          <w:tcPr>
            <w:tcW w:w="186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440" w:type="dxa"/>
            <w:vAlign w:val="bottom"/>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240" w:type="dxa"/>
            <w:vAlign w:val="bottom"/>
            <w:shd w:val="clear" w:color="auto" w:fill="282828"/>
          </w:tcPr>
          <w:p>
            <w:pPr>
              <w:spacing w:after="0" w:line="20" w:lineRule="exact"/>
              <w:rPr>
                <w:sz w:val="1"/>
                <w:szCs w:val="1"/>
                <w:color w:val="auto"/>
              </w:rPr>
            </w:pPr>
          </w:p>
        </w:tc>
        <w:tc>
          <w:tcPr>
            <w:tcW w:w="60" w:type="dxa"/>
            <w:vAlign w:val="bottom"/>
            <w:shd w:val="clear" w:color="auto" w:fill="282828"/>
          </w:tcPr>
          <w:p>
            <w:pPr>
              <w:spacing w:after="0" w:line="20" w:lineRule="exact"/>
              <w:rPr>
                <w:sz w:val="1"/>
                <w:szCs w:val="1"/>
                <w:color w:val="auto"/>
              </w:rPr>
            </w:pPr>
          </w:p>
        </w:tc>
        <w:tc>
          <w:tcPr>
            <w:tcW w:w="760" w:type="dxa"/>
            <w:vAlign w:val="bottom"/>
            <w:shd w:val="clear" w:color="auto" w:fill="282828"/>
          </w:tcPr>
          <w:p>
            <w:pPr>
              <w:spacing w:after="0" w:line="20" w:lineRule="exact"/>
              <w:rPr>
                <w:sz w:val="1"/>
                <w:szCs w:val="1"/>
                <w:color w:val="auto"/>
              </w:rPr>
            </w:pPr>
          </w:p>
        </w:tc>
        <w:tc>
          <w:tcPr>
            <w:tcW w:w="900" w:type="dxa"/>
            <w:vAlign w:val="bottom"/>
            <w:shd w:val="clear" w:color="auto" w:fill="28282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10.7(3)*+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80" w:type="dxa"/>
            <w:vAlign w:val="bottom"/>
            <w:tcBorders>
              <w:bottom w:val="single" w:sz="8" w:color="282828"/>
            </w:tcBorders>
            <w:gridSpan w:val="30"/>
          </w:tcPr>
          <w:p>
            <w:pPr>
              <w:spacing w:after="0"/>
              <w:rPr>
                <w:sz w:val="20"/>
                <w:szCs w:val="20"/>
                <w:color w:val="auto"/>
              </w:rPr>
            </w:pPr>
            <w:r>
              <w:rPr>
                <w:rFonts w:ascii="Times New Roman" w:cs="Times New Roman" w:eastAsia="Times New Roman" w:hAnsi="Times New Roman"/>
                <w:sz w:val="20"/>
                <w:szCs w:val="20"/>
                <w:color w:val="282828"/>
              </w:rPr>
              <w:t>Amended and Restated Data Schedules to Master Data License Agreement, effective as of November 1, 2025,</w:t>
            </w:r>
          </w:p>
        </w:tc>
        <w:tc>
          <w:tcPr>
            <w:tcW w:w="160" w:type="dxa"/>
            <w:vAlign w:val="bottom"/>
            <w:gridSpan w:val="7"/>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37"/>
          </w:tcPr>
          <w:p>
            <w:pPr>
              <w:spacing w:after="0" w:line="220" w:lineRule="exact"/>
              <w:rPr>
                <w:sz w:val="20"/>
                <w:szCs w:val="20"/>
                <w:color w:val="auto"/>
              </w:rPr>
            </w:pPr>
            <w:r>
              <w:rPr>
                <w:rFonts w:ascii="Times New Roman" w:cs="Times New Roman" w:eastAsia="Times New Roman" w:hAnsi="Times New Roman"/>
                <w:sz w:val="20"/>
                <w:szCs w:val="20"/>
                <w:color w:val="282828"/>
              </w:rPr>
              <w:t>between Tradeweb Markets LLC, Refinitiv US LLC and Refinitiv US Organization LLC.</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282828"/>
          </w:tcPr>
          <w:p>
            <w:pPr>
              <w:spacing w:after="0" w:line="20" w:lineRule="exact"/>
              <w:rPr>
                <w:sz w:val="1"/>
                <w:szCs w:val="1"/>
                <w:color w:val="auto"/>
              </w:rPr>
            </w:pPr>
          </w:p>
        </w:tc>
        <w:tc>
          <w:tcPr>
            <w:tcW w:w="1120" w:type="dxa"/>
            <w:vAlign w:val="bottom"/>
            <w:shd w:val="clear" w:color="auto" w:fill="282828"/>
          </w:tcPr>
          <w:p>
            <w:pPr>
              <w:spacing w:after="0" w:line="20" w:lineRule="exact"/>
              <w:rPr>
                <w:sz w:val="1"/>
                <w:szCs w:val="1"/>
                <w:color w:val="auto"/>
              </w:rPr>
            </w:pPr>
          </w:p>
        </w:tc>
        <w:tc>
          <w:tcPr>
            <w:tcW w:w="186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440" w:type="dxa"/>
            <w:vAlign w:val="bottom"/>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240" w:type="dxa"/>
            <w:vAlign w:val="bottom"/>
            <w:shd w:val="clear" w:color="auto" w:fill="282828"/>
          </w:tcPr>
          <w:p>
            <w:pPr>
              <w:spacing w:after="0" w:line="20" w:lineRule="exact"/>
              <w:rPr>
                <w:sz w:val="1"/>
                <w:szCs w:val="1"/>
                <w:color w:val="auto"/>
              </w:rPr>
            </w:pPr>
          </w:p>
        </w:tc>
        <w:tc>
          <w:tcPr>
            <w:tcW w:w="60" w:type="dxa"/>
            <w:vAlign w:val="bottom"/>
            <w:shd w:val="clear" w:color="auto" w:fill="282828"/>
          </w:tcPr>
          <w:p>
            <w:pPr>
              <w:spacing w:after="0" w:line="20" w:lineRule="exact"/>
              <w:rPr>
                <w:sz w:val="1"/>
                <w:szCs w:val="1"/>
                <w:color w:val="auto"/>
              </w:rPr>
            </w:pPr>
          </w:p>
        </w:tc>
        <w:tc>
          <w:tcPr>
            <w:tcW w:w="760" w:type="dxa"/>
            <w:vAlign w:val="bottom"/>
            <w:shd w:val="clear" w:color="auto" w:fill="282828"/>
          </w:tcPr>
          <w:p>
            <w:pPr>
              <w:spacing w:after="0" w:line="20" w:lineRule="exact"/>
              <w:rPr>
                <w:sz w:val="1"/>
                <w:szCs w:val="1"/>
                <w:color w:val="auto"/>
              </w:rPr>
            </w:pPr>
          </w:p>
        </w:tc>
        <w:tc>
          <w:tcPr>
            <w:tcW w:w="900" w:type="dxa"/>
            <w:vAlign w:val="bottom"/>
            <w:shd w:val="clear" w:color="auto" w:fill="28282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740" w:type="dxa"/>
            <w:vAlign w:val="bottom"/>
            <w:tcBorders>
              <w:bottom w:val="single" w:sz="8" w:color="282828"/>
            </w:tcBorders>
            <w:gridSpan w:val="25"/>
          </w:tcPr>
          <w:p>
            <w:pPr>
              <w:spacing w:after="0"/>
              <w:rPr>
                <w:sz w:val="20"/>
                <w:szCs w:val="20"/>
                <w:color w:val="auto"/>
              </w:rPr>
            </w:pPr>
            <w:r>
              <w:rPr>
                <w:rFonts w:ascii="Times New Roman" w:cs="Times New Roman" w:eastAsia="Times New Roman" w:hAnsi="Times New Roman"/>
                <w:sz w:val="20"/>
                <w:szCs w:val="20"/>
                <w:color w:val="282828"/>
              </w:rPr>
              <w:t>Credit Agreement, dated as of November 21, 2023, by and among Tradeweb Markets LLC, the lenders party</w:t>
            </w:r>
          </w:p>
        </w:tc>
        <w:tc>
          <w:tcPr>
            <w:tcW w:w="300" w:type="dxa"/>
            <w:vAlign w:val="bottom"/>
            <w:gridSpan w:val="1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80" w:type="dxa"/>
            <w:vAlign w:val="bottom"/>
            <w:tcBorders>
              <w:bottom w:val="single" w:sz="8" w:color="282828"/>
            </w:tcBorders>
            <w:gridSpan w:val="19"/>
          </w:tcPr>
          <w:p>
            <w:pPr>
              <w:spacing w:after="0" w:line="220" w:lineRule="exact"/>
              <w:rPr>
                <w:sz w:val="20"/>
                <w:szCs w:val="20"/>
                <w:color w:val="auto"/>
              </w:rPr>
            </w:pPr>
            <w:r>
              <w:rPr>
                <w:rFonts w:ascii="Times New Roman" w:cs="Times New Roman" w:eastAsia="Times New Roman" w:hAnsi="Times New Roman"/>
                <w:sz w:val="20"/>
                <w:szCs w:val="20"/>
                <w:color w:val="282828"/>
              </w:rPr>
              <w:t>thereto, Citibank, N.A., as administrative agent, issuing bank and swing line lender, and Citigroup Global</w:t>
            </w:r>
          </w:p>
        </w:tc>
        <w:tc>
          <w:tcPr>
            <w:tcW w:w="560" w:type="dxa"/>
            <w:vAlign w:val="bottom"/>
            <w:gridSpan w:val="1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60" w:type="dxa"/>
            <w:vAlign w:val="bottom"/>
            <w:tcBorders>
              <w:bottom w:val="single" w:sz="8" w:color="282828"/>
            </w:tcBorders>
            <w:gridSpan w:val="29"/>
          </w:tcPr>
          <w:p>
            <w:pPr>
              <w:spacing w:after="0" w:line="220" w:lineRule="exact"/>
              <w:rPr>
                <w:sz w:val="20"/>
                <w:szCs w:val="20"/>
                <w:color w:val="auto"/>
              </w:rPr>
            </w:pPr>
            <w:r>
              <w:rPr>
                <w:rFonts w:ascii="Times New Roman" w:cs="Times New Roman" w:eastAsia="Times New Roman" w:hAnsi="Times New Roman"/>
                <w:sz w:val="20"/>
                <w:szCs w:val="20"/>
                <w:color w:val="282828"/>
              </w:rPr>
              <w:t>Markets Inc., J.P. Morgan Chase Bank, N.A. and Morgan Stanley Senior Funding, Inc., as joint lead arrangers</w:t>
            </w:r>
          </w:p>
        </w:tc>
        <w:tc>
          <w:tcPr>
            <w:tcW w:w="18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tcBorders>
              <w:bottom w:val="single" w:sz="8" w:color="282828"/>
            </w:tcBorders>
            <w:gridSpan w:val="37"/>
          </w:tcPr>
          <w:p>
            <w:pPr>
              <w:spacing w:after="0" w:line="220" w:lineRule="exact"/>
              <w:rPr>
                <w:sz w:val="20"/>
                <w:szCs w:val="20"/>
                <w:color w:val="auto"/>
              </w:rPr>
            </w:pPr>
            <w:r>
              <w:rPr>
                <w:rFonts w:ascii="Times New Roman" w:cs="Times New Roman" w:eastAsia="Times New Roman" w:hAnsi="Times New Roman"/>
                <w:sz w:val="20"/>
                <w:szCs w:val="20"/>
                <w:color w:val="282828"/>
              </w:rPr>
              <w:t>and joint bookrunners (incorporated by reference to Exhibit 10.1 to the Company’s Current Report on Form 8-K</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140" w:type="dxa"/>
            <w:vAlign w:val="bottom"/>
            <w:tcBorders>
              <w:bottom w:val="single" w:sz="8" w:color="282828"/>
            </w:tcBorders>
            <w:gridSpan w:val="4"/>
          </w:tcPr>
          <w:p>
            <w:pPr>
              <w:spacing w:after="0" w:line="220" w:lineRule="exact"/>
              <w:rPr>
                <w:sz w:val="20"/>
                <w:szCs w:val="20"/>
                <w:color w:val="auto"/>
              </w:rPr>
            </w:pPr>
            <w:r>
              <w:rPr>
                <w:rFonts w:ascii="Times New Roman" w:cs="Times New Roman" w:eastAsia="Times New Roman" w:hAnsi="Times New Roman"/>
                <w:sz w:val="20"/>
                <w:szCs w:val="20"/>
                <w:color w:val="282828"/>
                <w:w w:val="99"/>
              </w:rPr>
              <w:t>filed on November 21, 2023 (File No. 001-38860)).</w:t>
            </w:r>
          </w:p>
        </w:tc>
        <w:tc>
          <w:tcPr>
            <w:tcW w:w="4900" w:type="dxa"/>
            <w:vAlign w:val="bottom"/>
            <w:gridSpan w:val="3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10.9†</w:t>
            </w:r>
          </w:p>
        </w:tc>
        <w:tc>
          <w:tcPr>
            <w:tcW w:w="8780" w:type="dxa"/>
            <w:vAlign w:val="bottom"/>
            <w:tcBorders>
              <w:bottom w:val="single" w:sz="8" w:color="282828"/>
            </w:tcBorders>
            <w:gridSpan w:val="27"/>
          </w:tcPr>
          <w:p>
            <w:pPr>
              <w:spacing w:after="0"/>
              <w:rPr>
                <w:sz w:val="20"/>
                <w:szCs w:val="20"/>
                <w:color w:val="auto"/>
              </w:rPr>
            </w:pPr>
            <w:r>
              <w:rPr>
                <w:rFonts w:ascii="Times New Roman" w:cs="Times New Roman" w:eastAsia="Times New Roman" w:hAnsi="Times New Roman"/>
                <w:sz w:val="20"/>
                <w:szCs w:val="20"/>
                <w:color w:val="282828"/>
              </w:rPr>
              <w:t>Amended and Restated Tradeweb Markets Inc. 2018 Share Option Plan (incorporated by reference to Exhibit</w:t>
            </w:r>
          </w:p>
        </w:tc>
        <w:tc>
          <w:tcPr>
            <w:tcW w:w="260" w:type="dxa"/>
            <w:vAlign w:val="bottom"/>
            <w:gridSpan w:val="10"/>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37"/>
          </w:tcPr>
          <w:p>
            <w:pPr>
              <w:spacing w:after="0" w:line="220" w:lineRule="exact"/>
              <w:rPr>
                <w:sz w:val="20"/>
                <w:szCs w:val="20"/>
                <w:color w:val="auto"/>
              </w:rPr>
            </w:pPr>
            <w:r>
              <w:rPr>
                <w:rFonts w:ascii="Times New Roman" w:cs="Times New Roman" w:eastAsia="Times New Roman" w:hAnsi="Times New Roman"/>
                <w:sz w:val="20"/>
                <w:szCs w:val="20"/>
                <w:color w:val="282828"/>
              </w:rPr>
              <w:t>10.</w:t>
            </w:r>
            <w:r>
              <w:rPr>
                <w:rFonts w:ascii="Times New Roman" w:cs="Times New Roman" w:eastAsia="Times New Roman" w:hAnsi="Times New Roman"/>
                <w:sz w:val="20"/>
                <w:szCs w:val="20"/>
                <w:u w:val="single" w:color="auto"/>
                <w:color w:val="282828"/>
              </w:rPr>
              <w:t>8</w:t>
            </w:r>
            <w:r>
              <w:rPr>
                <w:rFonts w:ascii="Times New Roman" w:cs="Times New Roman" w:eastAsia="Times New Roman" w:hAnsi="Times New Roman"/>
                <w:sz w:val="20"/>
                <w:szCs w:val="20"/>
                <w:color w:val="282828"/>
              </w:rPr>
              <w:t xml:space="preserve"> to the Company’s Quarterly Report on Form 10-Q filed on May 20, 2019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282828"/>
          </w:tcPr>
          <w:p>
            <w:pPr>
              <w:spacing w:after="0" w:line="20" w:lineRule="exact"/>
              <w:rPr>
                <w:sz w:val="1"/>
                <w:szCs w:val="1"/>
                <w:color w:val="auto"/>
              </w:rPr>
            </w:pPr>
          </w:p>
        </w:tc>
        <w:tc>
          <w:tcPr>
            <w:tcW w:w="1120" w:type="dxa"/>
            <w:vAlign w:val="bottom"/>
            <w:shd w:val="clear" w:color="auto" w:fill="282828"/>
          </w:tcPr>
          <w:p>
            <w:pPr>
              <w:spacing w:after="0" w:line="20" w:lineRule="exact"/>
              <w:rPr>
                <w:sz w:val="1"/>
                <w:szCs w:val="1"/>
                <w:color w:val="auto"/>
              </w:rPr>
            </w:pPr>
          </w:p>
        </w:tc>
        <w:tc>
          <w:tcPr>
            <w:tcW w:w="1860" w:type="dxa"/>
            <w:vAlign w:val="bottom"/>
            <w:shd w:val="clear" w:color="auto" w:fill="282828"/>
          </w:tcPr>
          <w:p>
            <w:pPr>
              <w:spacing w:after="0" w:line="20" w:lineRule="exact"/>
              <w:rPr>
                <w:sz w:val="1"/>
                <w:szCs w:val="1"/>
                <w:color w:val="auto"/>
              </w:rPr>
            </w:pPr>
          </w:p>
        </w:tc>
        <w:tc>
          <w:tcPr>
            <w:tcW w:w="40" w:type="dxa"/>
            <w:vAlign w:val="bottom"/>
            <w:gridSpan w:val="2"/>
            <w:shd w:val="clear" w:color="auto" w:fill="282828"/>
          </w:tcPr>
          <w:p>
            <w:pPr>
              <w:spacing w:after="0" w:line="20" w:lineRule="exact"/>
              <w:rPr>
                <w:sz w:val="1"/>
                <w:szCs w:val="1"/>
                <w:color w:val="auto"/>
              </w:rPr>
            </w:pPr>
          </w:p>
        </w:tc>
        <w:tc>
          <w:tcPr>
            <w:tcW w:w="440" w:type="dxa"/>
            <w:vAlign w:val="bottom"/>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240" w:type="dxa"/>
            <w:vAlign w:val="bottom"/>
            <w:shd w:val="clear" w:color="auto" w:fill="282828"/>
          </w:tcPr>
          <w:p>
            <w:pPr>
              <w:spacing w:after="0" w:line="20" w:lineRule="exact"/>
              <w:rPr>
                <w:sz w:val="1"/>
                <w:szCs w:val="1"/>
                <w:color w:val="auto"/>
              </w:rPr>
            </w:pPr>
          </w:p>
        </w:tc>
        <w:tc>
          <w:tcPr>
            <w:tcW w:w="60" w:type="dxa"/>
            <w:vAlign w:val="bottom"/>
            <w:shd w:val="clear" w:color="auto" w:fill="282828"/>
          </w:tcPr>
          <w:p>
            <w:pPr>
              <w:spacing w:after="0" w:line="20" w:lineRule="exact"/>
              <w:rPr>
                <w:sz w:val="1"/>
                <w:szCs w:val="1"/>
                <w:color w:val="auto"/>
              </w:rPr>
            </w:pPr>
          </w:p>
        </w:tc>
        <w:tc>
          <w:tcPr>
            <w:tcW w:w="760" w:type="dxa"/>
            <w:vAlign w:val="bottom"/>
            <w:shd w:val="clear" w:color="auto" w:fill="282828"/>
          </w:tcPr>
          <w:p>
            <w:pPr>
              <w:spacing w:after="0" w:line="20" w:lineRule="exact"/>
              <w:rPr>
                <w:sz w:val="1"/>
                <w:szCs w:val="1"/>
                <w:color w:val="auto"/>
              </w:rPr>
            </w:pPr>
          </w:p>
        </w:tc>
        <w:tc>
          <w:tcPr>
            <w:tcW w:w="960" w:type="dxa"/>
            <w:vAlign w:val="bottom"/>
            <w:gridSpan w:val="2"/>
            <w:shd w:val="clear" w:color="auto" w:fill="282828"/>
          </w:tcPr>
          <w:p>
            <w:pPr>
              <w:spacing w:after="0" w:line="20" w:lineRule="exact"/>
              <w:rPr>
                <w:sz w:val="1"/>
                <w:szCs w:val="1"/>
                <w:color w:val="auto"/>
              </w:rPr>
            </w:pPr>
          </w:p>
        </w:tc>
        <w:tc>
          <w:tcPr>
            <w:tcW w:w="60" w:type="dxa"/>
            <w:vAlign w:val="bottom"/>
            <w:shd w:val="clear" w:color="auto" w:fill="282828"/>
          </w:tcPr>
          <w:p>
            <w:pPr>
              <w:spacing w:after="0" w:line="20" w:lineRule="exact"/>
              <w:rPr>
                <w:sz w:val="1"/>
                <w:szCs w:val="1"/>
                <w:color w:val="auto"/>
              </w:rPr>
            </w:pPr>
          </w:p>
        </w:tc>
        <w:tc>
          <w:tcPr>
            <w:tcW w:w="840" w:type="dxa"/>
            <w:vAlign w:val="bottom"/>
            <w:shd w:val="clear" w:color="auto" w:fill="28282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10.10†</w:t>
            </w:r>
          </w:p>
        </w:tc>
        <w:tc>
          <w:tcPr>
            <w:tcW w:w="8820" w:type="dxa"/>
            <w:vAlign w:val="bottom"/>
            <w:tcBorders>
              <w:bottom w:val="single" w:sz="8" w:color="282828"/>
            </w:tcBorders>
            <w:gridSpan w:val="28"/>
          </w:tcPr>
          <w:p>
            <w:pPr>
              <w:spacing w:after="0"/>
              <w:rPr>
                <w:sz w:val="20"/>
                <w:szCs w:val="20"/>
                <w:color w:val="auto"/>
              </w:rPr>
            </w:pPr>
            <w:r>
              <w:rPr>
                <w:rFonts w:ascii="Times New Roman" w:cs="Times New Roman" w:eastAsia="Times New Roman" w:hAnsi="Times New Roman"/>
                <w:sz w:val="20"/>
                <w:szCs w:val="20"/>
                <w:color w:val="282828"/>
              </w:rPr>
              <w:t>Form of Option Agreement under the Amended and Restated Tradeweb Markets Inc. 2018 Share Option Plan</w:t>
            </w:r>
          </w:p>
        </w:tc>
        <w:tc>
          <w:tcPr>
            <w:tcW w:w="220" w:type="dxa"/>
            <w:vAlign w:val="bottom"/>
            <w:gridSpan w:val="9"/>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37"/>
          </w:tcPr>
          <w:p>
            <w:pPr>
              <w:spacing w:after="0" w:line="220" w:lineRule="exact"/>
              <w:rPr>
                <w:sz w:val="20"/>
                <w:szCs w:val="20"/>
                <w:color w:val="auto"/>
              </w:rPr>
            </w:pPr>
            <w:r>
              <w:rPr>
                <w:rFonts w:ascii="Times New Roman" w:cs="Times New Roman" w:eastAsia="Times New Roman" w:hAnsi="Times New Roman"/>
                <w:sz w:val="20"/>
                <w:szCs w:val="20"/>
                <w:color w:val="282828"/>
              </w:rPr>
              <w:t>(incorporated by reference to Exhibit 10.11 to the Company’s Registration Statement on Form S-1 (File No.</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Borders>
              <w:top w:val="single" w:sz="8" w:color="282828"/>
              <w:bottom w:val="single" w:sz="8" w:color="282828"/>
            </w:tcBorders>
          </w:tcPr>
          <w:p>
            <w:pPr>
              <w:spacing w:after="0" w:line="220" w:lineRule="exact"/>
              <w:rPr>
                <w:sz w:val="20"/>
                <w:szCs w:val="20"/>
                <w:color w:val="auto"/>
              </w:rPr>
            </w:pPr>
            <w:r>
              <w:rPr>
                <w:rFonts w:ascii="Times New Roman" w:cs="Times New Roman" w:eastAsia="Times New Roman" w:hAnsi="Times New Roman"/>
                <w:sz w:val="20"/>
                <w:szCs w:val="20"/>
                <w:color w:val="282828"/>
                <w:w w:val="97"/>
              </w:rPr>
              <w:t>333-230115)).</w:t>
            </w:r>
          </w:p>
        </w:tc>
        <w:tc>
          <w:tcPr>
            <w:tcW w:w="1120" w:type="dxa"/>
            <w:vAlign w:val="bottom"/>
            <w:tcBorders>
              <w:top w:val="single" w:sz="8" w:color="282828"/>
            </w:tcBorders>
          </w:tcPr>
          <w:p>
            <w:pPr>
              <w:spacing w:after="0"/>
              <w:rPr>
                <w:sz w:val="19"/>
                <w:szCs w:val="19"/>
                <w:color w:val="auto"/>
              </w:rPr>
            </w:pPr>
          </w:p>
        </w:tc>
        <w:tc>
          <w:tcPr>
            <w:tcW w:w="186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440" w:type="dxa"/>
            <w:vAlign w:val="bottom"/>
            <w:tcBorders>
              <w:top w:val="single" w:sz="8" w:color="282828"/>
            </w:tcBorders>
          </w:tcPr>
          <w:p>
            <w:pPr>
              <w:spacing w:after="0"/>
              <w:rPr>
                <w:sz w:val="19"/>
                <w:szCs w:val="19"/>
                <w:color w:val="auto"/>
              </w:rPr>
            </w:pPr>
          </w:p>
        </w:tc>
        <w:tc>
          <w:tcPr>
            <w:tcW w:w="600" w:type="dxa"/>
            <w:vAlign w:val="bottom"/>
            <w:tcBorders>
              <w:top w:val="single" w:sz="8" w:color="282828"/>
            </w:tcBorders>
          </w:tcPr>
          <w:p>
            <w:pPr>
              <w:spacing w:after="0"/>
              <w:rPr>
                <w:sz w:val="19"/>
                <w:szCs w:val="19"/>
                <w:color w:val="auto"/>
              </w:rPr>
            </w:pPr>
          </w:p>
        </w:tc>
        <w:tc>
          <w:tcPr>
            <w:tcW w:w="240" w:type="dxa"/>
            <w:vAlign w:val="bottom"/>
            <w:tcBorders>
              <w:top w:val="single" w:sz="8" w:color="282828"/>
            </w:tcBorders>
          </w:tcPr>
          <w:p>
            <w:pPr>
              <w:spacing w:after="0"/>
              <w:rPr>
                <w:sz w:val="19"/>
                <w:szCs w:val="19"/>
                <w:color w:val="auto"/>
              </w:rPr>
            </w:pPr>
          </w:p>
        </w:tc>
        <w:tc>
          <w:tcPr>
            <w:tcW w:w="60" w:type="dxa"/>
            <w:vAlign w:val="bottom"/>
            <w:tcBorders>
              <w:top w:val="single" w:sz="8" w:color="282828"/>
            </w:tcBorders>
          </w:tcPr>
          <w:p>
            <w:pPr>
              <w:spacing w:after="0"/>
              <w:rPr>
                <w:sz w:val="19"/>
                <w:szCs w:val="19"/>
                <w:color w:val="auto"/>
              </w:rPr>
            </w:pPr>
          </w:p>
        </w:tc>
        <w:tc>
          <w:tcPr>
            <w:tcW w:w="760" w:type="dxa"/>
            <w:vAlign w:val="bottom"/>
            <w:tcBorders>
              <w:top w:val="single" w:sz="8" w:color="282828"/>
            </w:tcBorders>
          </w:tcPr>
          <w:p>
            <w:pPr>
              <w:spacing w:after="0"/>
              <w:rPr>
                <w:sz w:val="19"/>
                <w:szCs w:val="19"/>
                <w:color w:val="auto"/>
              </w:rPr>
            </w:pPr>
          </w:p>
        </w:tc>
        <w:tc>
          <w:tcPr>
            <w:tcW w:w="900" w:type="dxa"/>
            <w:vAlign w:val="bottom"/>
            <w:tcBorders>
              <w:top w:val="single" w:sz="8" w:color="282828"/>
            </w:tcBorders>
          </w:tcPr>
          <w:p>
            <w:pPr>
              <w:spacing w:after="0"/>
              <w:rPr>
                <w:sz w:val="19"/>
                <w:szCs w:val="19"/>
                <w:color w:val="auto"/>
              </w:rPr>
            </w:pPr>
          </w:p>
        </w:tc>
        <w:tc>
          <w:tcPr>
            <w:tcW w:w="60" w:type="dxa"/>
            <w:vAlign w:val="bottom"/>
            <w:tcBorders>
              <w:top w:val="single" w:sz="8" w:color="282828"/>
            </w:tcBorders>
          </w:tcPr>
          <w:p>
            <w:pPr>
              <w:spacing w:after="0"/>
              <w:rPr>
                <w:sz w:val="19"/>
                <w:szCs w:val="19"/>
                <w:color w:val="auto"/>
              </w:rPr>
            </w:pPr>
          </w:p>
        </w:tc>
        <w:tc>
          <w:tcPr>
            <w:tcW w:w="60" w:type="dxa"/>
            <w:vAlign w:val="bottom"/>
            <w:tcBorders>
              <w:top w:val="single" w:sz="8" w:color="282828"/>
            </w:tcBorders>
          </w:tcPr>
          <w:p>
            <w:pPr>
              <w:spacing w:after="0"/>
              <w:rPr>
                <w:sz w:val="19"/>
                <w:szCs w:val="19"/>
                <w:color w:val="auto"/>
              </w:rPr>
            </w:pPr>
          </w:p>
        </w:tc>
        <w:tc>
          <w:tcPr>
            <w:tcW w:w="840" w:type="dxa"/>
            <w:vAlign w:val="bottom"/>
            <w:tcBorders>
              <w:top w:val="single" w:sz="8" w:color="282828"/>
            </w:tcBorders>
          </w:tcPr>
          <w:p>
            <w:pPr>
              <w:spacing w:after="0"/>
              <w:rPr>
                <w:sz w:val="19"/>
                <w:szCs w:val="19"/>
                <w:color w:val="auto"/>
              </w:rPr>
            </w:pPr>
          </w:p>
        </w:tc>
        <w:tc>
          <w:tcPr>
            <w:tcW w:w="200" w:type="dxa"/>
            <w:vAlign w:val="bottom"/>
            <w:tcBorders>
              <w:top w:val="single" w:sz="8" w:color="282828"/>
            </w:tcBorders>
          </w:tcPr>
          <w:p>
            <w:pPr>
              <w:spacing w:after="0"/>
              <w:rPr>
                <w:sz w:val="19"/>
                <w:szCs w:val="19"/>
                <w:color w:val="auto"/>
              </w:rPr>
            </w:pPr>
          </w:p>
        </w:tc>
        <w:tc>
          <w:tcPr>
            <w:tcW w:w="8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4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100" w:type="dxa"/>
            <w:vAlign w:val="bottom"/>
            <w:tcBorders>
              <w:top w:val="single" w:sz="8" w:color="282828"/>
            </w:tcBorders>
          </w:tcPr>
          <w:p>
            <w:pPr>
              <w:spacing w:after="0"/>
              <w:rPr>
                <w:sz w:val="19"/>
                <w:szCs w:val="19"/>
                <w:color w:val="auto"/>
              </w:rPr>
            </w:pPr>
          </w:p>
        </w:tc>
        <w:tc>
          <w:tcPr>
            <w:tcW w:w="6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10.11†</w:t>
            </w:r>
          </w:p>
        </w:tc>
        <w:tc>
          <w:tcPr>
            <w:tcW w:w="8940" w:type="dxa"/>
            <w:vAlign w:val="bottom"/>
            <w:tcBorders>
              <w:bottom w:val="single" w:sz="8" w:color="282828"/>
            </w:tcBorders>
            <w:gridSpan w:val="32"/>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(incorporated by reference to Exhibit 10.10 to the</w:t>
            </w:r>
          </w:p>
        </w:tc>
        <w:tc>
          <w:tcPr>
            <w:tcW w:w="100" w:type="dxa"/>
            <w:vAlign w:val="bottom"/>
            <w:gridSpan w:val="5"/>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37"/>
          </w:tcPr>
          <w:p>
            <w:pPr>
              <w:spacing w:after="0" w:line="220" w:lineRule="exact"/>
              <w:rPr>
                <w:sz w:val="20"/>
                <w:szCs w:val="20"/>
                <w:color w:val="auto"/>
              </w:rPr>
            </w:pPr>
            <w:r>
              <w:rPr>
                <w:rFonts w:ascii="Times New Roman" w:cs="Times New Roman" w:eastAsia="Times New Roman" w:hAnsi="Times New Roman"/>
                <w:sz w:val="20"/>
                <w:szCs w:val="20"/>
                <w:color w:val="282828"/>
              </w:rPr>
              <w:t>Company’s Quarterly Report on Form 10-Q filed on May 20, 2019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2"/>
            <w:shd w:val="clear" w:color="auto" w:fill="282828"/>
          </w:tcPr>
          <w:p>
            <w:pPr>
              <w:spacing w:after="0" w:line="20" w:lineRule="exact"/>
              <w:rPr>
                <w:sz w:val="1"/>
                <w:szCs w:val="1"/>
                <w:color w:val="auto"/>
              </w:rPr>
            </w:pPr>
          </w:p>
        </w:tc>
        <w:tc>
          <w:tcPr>
            <w:tcW w:w="1860" w:type="dxa"/>
            <w:vAlign w:val="bottom"/>
            <w:shd w:val="clear" w:color="auto" w:fill="282828"/>
          </w:tcPr>
          <w:p>
            <w:pPr>
              <w:spacing w:after="0" w:line="20" w:lineRule="exact"/>
              <w:rPr>
                <w:sz w:val="1"/>
                <w:szCs w:val="1"/>
                <w:color w:val="auto"/>
              </w:rPr>
            </w:pPr>
          </w:p>
        </w:tc>
        <w:tc>
          <w:tcPr>
            <w:tcW w:w="40" w:type="dxa"/>
            <w:vAlign w:val="bottom"/>
            <w:gridSpan w:val="2"/>
            <w:shd w:val="clear" w:color="auto" w:fill="282828"/>
          </w:tcPr>
          <w:p>
            <w:pPr>
              <w:spacing w:after="0" w:line="20" w:lineRule="exact"/>
              <w:rPr>
                <w:sz w:val="1"/>
                <w:szCs w:val="1"/>
                <w:color w:val="auto"/>
              </w:rPr>
            </w:pPr>
          </w:p>
        </w:tc>
        <w:tc>
          <w:tcPr>
            <w:tcW w:w="440" w:type="dxa"/>
            <w:vAlign w:val="bottom"/>
            <w:shd w:val="clear" w:color="auto" w:fill="282828"/>
          </w:tcPr>
          <w:p>
            <w:pPr>
              <w:spacing w:after="0" w:line="20" w:lineRule="exact"/>
              <w:rPr>
                <w:sz w:val="1"/>
                <w:szCs w:val="1"/>
                <w:color w:val="auto"/>
              </w:rPr>
            </w:pPr>
          </w:p>
        </w:tc>
        <w:tc>
          <w:tcPr>
            <w:tcW w:w="600" w:type="dxa"/>
            <w:vAlign w:val="bottom"/>
            <w:shd w:val="clear" w:color="auto" w:fill="282828"/>
          </w:tcPr>
          <w:p>
            <w:pPr>
              <w:spacing w:after="0" w:line="20" w:lineRule="exact"/>
              <w:rPr>
                <w:sz w:val="1"/>
                <w:szCs w:val="1"/>
                <w:color w:val="auto"/>
              </w:rPr>
            </w:pPr>
          </w:p>
        </w:tc>
        <w:tc>
          <w:tcPr>
            <w:tcW w:w="240" w:type="dxa"/>
            <w:vAlign w:val="bottom"/>
            <w:shd w:val="clear" w:color="auto" w:fill="282828"/>
          </w:tcPr>
          <w:p>
            <w:pPr>
              <w:spacing w:after="0" w:line="20" w:lineRule="exact"/>
              <w:rPr>
                <w:sz w:val="1"/>
                <w:szCs w:val="1"/>
                <w:color w:val="auto"/>
              </w:rPr>
            </w:pPr>
          </w:p>
        </w:tc>
        <w:tc>
          <w:tcPr>
            <w:tcW w:w="60" w:type="dxa"/>
            <w:vAlign w:val="bottom"/>
            <w:shd w:val="clear" w:color="auto" w:fill="282828"/>
          </w:tcPr>
          <w:p>
            <w:pPr>
              <w:spacing w:after="0" w:line="20" w:lineRule="exact"/>
              <w:rPr>
                <w:sz w:val="1"/>
                <w:szCs w:val="1"/>
                <w:color w:val="auto"/>
              </w:rPr>
            </w:pPr>
          </w:p>
        </w:tc>
        <w:tc>
          <w:tcPr>
            <w:tcW w:w="760" w:type="dxa"/>
            <w:vAlign w:val="bottom"/>
            <w:shd w:val="clear" w:color="auto" w:fill="282828"/>
          </w:tcPr>
          <w:p>
            <w:pPr>
              <w:spacing w:after="0" w:line="20" w:lineRule="exact"/>
              <w:rPr>
                <w:sz w:val="1"/>
                <w:szCs w:val="1"/>
                <w:color w:val="auto"/>
              </w:rPr>
            </w:pPr>
          </w:p>
        </w:tc>
        <w:tc>
          <w:tcPr>
            <w:tcW w:w="960" w:type="dxa"/>
            <w:vAlign w:val="bottom"/>
            <w:gridSpan w:val="2"/>
            <w:shd w:val="clear" w:color="auto" w:fill="28282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10.12†</w:t>
            </w:r>
          </w:p>
        </w:tc>
        <w:tc>
          <w:tcPr>
            <w:tcW w:w="8320" w:type="dxa"/>
            <w:vAlign w:val="bottom"/>
            <w:tcBorders>
              <w:bottom w:val="single" w:sz="8" w:color="282828"/>
            </w:tcBorders>
            <w:gridSpan w:val="15"/>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PRSU Award Agreement (Form of PRSU</w:t>
            </w:r>
          </w:p>
        </w:tc>
        <w:tc>
          <w:tcPr>
            <w:tcW w:w="720" w:type="dxa"/>
            <w:vAlign w:val="bottom"/>
            <w:gridSpan w:val="2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tcBorders>
              <w:bottom w:val="single" w:sz="8" w:color="282828"/>
            </w:tcBorders>
            <w:gridSpan w:val="37"/>
          </w:tcPr>
          <w:p>
            <w:pPr>
              <w:spacing w:after="0" w:line="220" w:lineRule="exact"/>
              <w:rPr>
                <w:sz w:val="20"/>
                <w:szCs w:val="20"/>
                <w:color w:val="auto"/>
              </w:rPr>
            </w:pPr>
            <w:r>
              <w:rPr>
                <w:rFonts w:ascii="Times New Roman" w:cs="Times New Roman" w:eastAsia="Times New Roman" w:hAnsi="Times New Roman"/>
                <w:sz w:val="20"/>
                <w:szCs w:val="20"/>
                <w:color w:val="282828"/>
                <w:w w:val="99"/>
              </w:rPr>
              <w:t>Agreement for Mr. Hult) (incorporated by reference to Exhibit 10.3 to the Company’s Quarterly Report on Form</w:t>
            </w:r>
          </w:p>
        </w:tc>
        <w:tc>
          <w:tcPr>
            <w:tcW w:w="20" w:type="dxa"/>
            <w:vAlign w:val="bottom"/>
            <w:tcBorders>
              <w:bottom w:val="single" w:sz="8" w:color="28282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120" w:type="dxa"/>
            <w:vAlign w:val="bottom"/>
            <w:tcBorders>
              <w:bottom w:val="single" w:sz="8" w:color="282828"/>
            </w:tcBorders>
            <w:gridSpan w:val="3"/>
          </w:tcPr>
          <w:p>
            <w:pPr>
              <w:spacing w:after="0" w:line="220" w:lineRule="exact"/>
              <w:rPr>
                <w:sz w:val="20"/>
                <w:szCs w:val="20"/>
                <w:color w:val="auto"/>
              </w:rPr>
            </w:pPr>
            <w:r>
              <w:rPr>
                <w:rFonts w:ascii="Times New Roman" w:cs="Times New Roman" w:eastAsia="Times New Roman" w:hAnsi="Times New Roman"/>
                <w:sz w:val="20"/>
                <w:szCs w:val="20"/>
                <w:color w:val="282828"/>
                <w:w w:val="99"/>
              </w:rPr>
              <w:t>10-Q filed on May 12, 2020 (File No. 001-38860)).</w:t>
            </w:r>
          </w:p>
        </w:tc>
        <w:tc>
          <w:tcPr>
            <w:tcW w:w="4920" w:type="dxa"/>
            <w:vAlign w:val="bottom"/>
            <w:gridSpan w:val="3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10.13†</w:t>
            </w:r>
          </w:p>
        </w:tc>
        <w:tc>
          <w:tcPr>
            <w:tcW w:w="8320" w:type="dxa"/>
            <w:vAlign w:val="bottom"/>
            <w:tcBorders>
              <w:bottom w:val="single" w:sz="8" w:color="282828"/>
            </w:tcBorders>
            <w:gridSpan w:val="15"/>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PRSU Award Agreement (Form of PRSU</w:t>
            </w:r>
          </w:p>
        </w:tc>
        <w:tc>
          <w:tcPr>
            <w:tcW w:w="720" w:type="dxa"/>
            <w:vAlign w:val="bottom"/>
            <w:gridSpan w:val="2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20" w:type="dxa"/>
            <w:vAlign w:val="bottom"/>
            <w:tcBorders>
              <w:bottom w:val="single" w:sz="8" w:color="282828"/>
            </w:tcBorders>
            <w:gridSpan w:val="36"/>
          </w:tcPr>
          <w:p>
            <w:pPr>
              <w:spacing w:after="0" w:line="220" w:lineRule="exact"/>
              <w:rPr>
                <w:sz w:val="20"/>
                <w:szCs w:val="20"/>
                <w:color w:val="auto"/>
              </w:rPr>
            </w:pPr>
            <w:r>
              <w:rPr>
                <w:rFonts w:ascii="Times New Roman" w:cs="Times New Roman" w:eastAsia="Times New Roman" w:hAnsi="Times New Roman"/>
                <w:sz w:val="20"/>
                <w:szCs w:val="20"/>
                <w:color w:val="282828"/>
              </w:rPr>
              <w:t>Agreement for other Executive Officers) (incorporated by reference to Exhibit 10.4 to the Company’s Quarterly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40" w:type="dxa"/>
            <w:vAlign w:val="bottom"/>
            <w:tcBorders>
              <w:bottom w:val="single" w:sz="8" w:color="282828"/>
            </w:tcBorders>
            <w:gridSpan w:val="8"/>
          </w:tcPr>
          <w:p>
            <w:pPr>
              <w:spacing w:after="0" w:line="220" w:lineRule="exact"/>
              <w:rPr>
                <w:sz w:val="20"/>
                <w:szCs w:val="20"/>
                <w:color w:val="auto"/>
              </w:rPr>
            </w:pPr>
            <w:r>
              <w:rPr>
                <w:rFonts w:ascii="Times New Roman" w:cs="Times New Roman" w:eastAsia="Times New Roman" w:hAnsi="Times New Roman"/>
                <w:sz w:val="20"/>
                <w:szCs w:val="20"/>
                <w:color w:val="282828"/>
                <w:w w:val="99"/>
              </w:rPr>
              <w:t>Report on Form 10-Q filed on May 12, 2020 (File No. 001-38860)).</w:t>
            </w:r>
          </w:p>
        </w:tc>
        <w:tc>
          <w:tcPr>
            <w:tcW w:w="3600" w:type="dxa"/>
            <w:vAlign w:val="bottom"/>
            <w:gridSpan w:val="29"/>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10.14†</w:t>
            </w:r>
          </w:p>
        </w:tc>
        <w:tc>
          <w:tcPr>
            <w:tcW w:w="8520" w:type="dxa"/>
            <w:vAlign w:val="bottom"/>
            <w:tcBorders>
              <w:bottom w:val="single" w:sz="8" w:color="282828"/>
            </w:tcBorders>
            <w:gridSpan w:val="21"/>
          </w:tcPr>
          <w:p>
            <w:pPr>
              <w:spacing w:after="0"/>
              <w:rPr>
                <w:sz w:val="20"/>
                <w:szCs w:val="20"/>
                <w:color w:val="auto"/>
              </w:rPr>
            </w:pPr>
            <w:r>
              <w:rPr>
                <w:rFonts w:ascii="Times New Roman" w:cs="Times New Roman" w:eastAsia="Times New Roman" w:hAnsi="Times New Roman"/>
                <w:sz w:val="20"/>
                <w:szCs w:val="20"/>
                <w:color w:val="282828"/>
              </w:rPr>
              <w:t>Form of Director RSU Agreement under the Tradeweb Markets Inc. 2019 Omnibus Equity Incentive Plan</w:t>
            </w:r>
          </w:p>
        </w:tc>
        <w:tc>
          <w:tcPr>
            <w:tcW w:w="520" w:type="dxa"/>
            <w:vAlign w:val="bottom"/>
            <w:gridSpan w:val="16"/>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40" w:type="dxa"/>
            <w:vAlign w:val="bottom"/>
            <w:gridSpan w:val="37"/>
          </w:tcPr>
          <w:p>
            <w:pPr>
              <w:spacing w:after="0" w:line="180" w:lineRule="exact"/>
              <w:rPr>
                <w:sz w:val="20"/>
                <w:szCs w:val="20"/>
                <w:color w:val="auto"/>
              </w:rPr>
            </w:pPr>
            <w:r>
              <w:rPr>
                <w:rFonts w:ascii="Times New Roman" w:cs="Times New Roman" w:eastAsia="Times New Roman" w:hAnsi="Times New Roman"/>
                <w:sz w:val="20"/>
                <w:szCs w:val="20"/>
                <w:color w:val="282828"/>
              </w:rPr>
              <w:t>(incorporated by reference to Exhibit 10.11 to the Company’s Quarterly Report on Form 10-Q filed on May 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960" w:type="dxa"/>
            <w:vAlign w:val="bottom"/>
            <w:tcBorders>
              <w:top w:val="single" w:sz="8" w:color="282828"/>
            </w:tcBorders>
            <w:gridSpan w:val="33"/>
          </w:tcPr>
          <w:p>
            <w:pPr>
              <w:spacing w:after="0" w:line="180" w:lineRule="exact"/>
              <w:rPr>
                <w:sz w:val="20"/>
                <w:szCs w:val="20"/>
                <w:color w:val="auto"/>
              </w:rPr>
            </w:pPr>
            <w:r>
              <w:rPr>
                <w:rFonts w:ascii="Times New Roman" w:cs="Times New Roman" w:eastAsia="Times New Roman" w:hAnsi="Times New Roman"/>
                <w:sz w:val="20"/>
                <w:szCs w:val="20"/>
                <w:color w:val="282828"/>
              </w:rPr>
              <w:t>2019 (File No. 001-38860)).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10.15†</w:t>
            </w:r>
          </w:p>
        </w:tc>
        <w:tc>
          <w:tcPr>
            <w:tcW w:w="2260" w:type="dxa"/>
            <w:vAlign w:val="bottom"/>
            <w:gridSpan w:val="2"/>
            <w:shd w:val="clear" w:color="auto" w:fill="282828"/>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60" w:type="dxa"/>
            <w:vAlign w:val="bottom"/>
            <w:gridSpan w:val="3"/>
            <w:vMerge w:val="continue"/>
          </w:tcPr>
          <w:p>
            <w:pPr>
              <w:spacing w:after="0"/>
              <w:rPr>
                <w:sz w:val="22"/>
                <w:szCs w:val="22"/>
                <w:color w:val="auto"/>
              </w:rPr>
            </w:pPr>
          </w:p>
        </w:tc>
        <w:tc>
          <w:tcPr>
            <w:tcW w:w="9040" w:type="dxa"/>
            <w:vAlign w:val="bottom"/>
            <w:gridSpan w:val="37"/>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Restricted Stock Unit Award Agreement (Form of</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tcBorders>
              <w:top w:val="single" w:sz="8" w:color="282828"/>
              <w:bottom w:val="single" w:sz="8" w:color="282828"/>
            </w:tcBorders>
            <w:gridSpan w:val="35"/>
          </w:tcPr>
          <w:p>
            <w:pPr>
              <w:spacing w:after="0" w:line="180" w:lineRule="exact"/>
              <w:rPr>
                <w:sz w:val="20"/>
                <w:szCs w:val="20"/>
                <w:color w:val="auto"/>
              </w:rPr>
            </w:pPr>
            <w:r>
              <w:rPr>
                <w:rFonts w:ascii="Times New Roman" w:cs="Times New Roman" w:eastAsia="Times New Roman" w:hAnsi="Times New Roman"/>
                <w:sz w:val="20"/>
                <w:szCs w:val="20"/>
                <w:color w:val="282828"/>
              </w:rPr>
              <w:t>RSU Agreement for Mr. Hult) (incorporated by reference to Exhibit 10.1 to the Company’s Quarterly Report on</w:t>
            </w:r>
          </w:p>
        </w:tc>
        <w:tc>
          <w:tcPr>
            <w:tcW w:w="20" w:type="dxa"/>
            <w:vAlign w:val="bottom"/>
            <w:tcBorders>
              <w:bottom w:val="single" w:sz="8" w:color="282828"/>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0" w:type="dxa"/>
            <w:vAlign w:val="bottom"/>
            <w:tcBorders>
              <w:bottom w:val="single" w:sz="8" w:color="282828"/>
            </w:tcBorders>
            <w:gridSpan w:val="6"/>
          </w:tcPr>
          <w:p>
            <w:pPr>
              <w:spacing w:after="0" w:line="180" w:lineRule="exact"/>
              <w:rPr>
                <w:sz w:val="20"/>
                <w:szCs w:val="20"/>
                <w:color w:val="auto"/>
              </w:rPr>
            </w:pPr>
            <w:r>
              <w:rPr>
                <w:rFonts w:ascii="Times New Roman" w:cs="Times New Roman" w:eastAsia="Times New Roman" w:hAnsi="Times New Roman"/>
                <w:sz w:val="20"/>
                <w:szCs w:val="20"/>
                <w:color w:val="282828"/>
                <w:w w:val="99"/>
              </w:rPr>
              <w:t>Form 10-Q filed on May 12, 2020 (File No. 001-38860)).</w:t>
            </w:r>
          </w:p>
        </w:tc>
        <w:tc>
          <w:tcPr>
            <w:tcW w:w="4420" w:type="dxa"/>
            <w:vAlign w:val="bottom"/>
            <w:gridSpan w:val="3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10.16†</w:t>
            </w:r>
          </w:p>
        </w:tc>
        <w:tc>
          <w:tcPr>
            <w:tcW w:w="9040" w:type="dxa"/>
            <w:vAlign w:val="bottom"/>
            <w:gridSpan w:val="37"/>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Restricted Stock Unit Award Agreement (Form of</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tcBorders>
              <w:top w:val="single" w:sz="8" w:color="282828"/>
            </w:tcBorders>
            <w:gridSpan w:val="35"/>
          </w:tcPr>
          <w:p>
            <w:pPr>
              <w:spacing w:after="0" w:line="180" w:lineRule="exact"/>
              <w:rPr>
                <w:sz w:val="20"/>
                <w:szCs w:val="20"/>
                <w:color w:val="auto"/>
              </w:rPr>
            </w:pPr>
            <w:r>
              <w:rPr>
                <w:rFonts w:ascii="Times New Roman" w:cs="Times New Roman" w:eastAsia="Times New Roman" w:hAnsi="Times New Roman"/>
                <w:sz w:val="20"/>
                <w:szCs w:val="20"/>
                <w:color w:val="282828"/>
              </w:rPr>
              <w:t>RSU Agreement for other Executive Officers) (incorporated by reference to Exhibit 10.2 to the Company’s</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60" w:type="dxa"/>
            <w:vAlign w:val="bottom"/>
            <w:tcBorders>
              <w:top w:val="single" w:sz="8" w:color="282828"/>
              <w:bottom w:val="single" w:sz="8" w:color="282828"/>
            </w:tcBorders>
            <w:gridSpan w:val="10"/>
          </w:tcPr>
          <w:p>
            <w:pPr>
              <w:spacing w:after="0" w:line="180" w:lineRule="exact"/>
              <w:rPr>
                <w:sz w:val="20"/>
                <w:szCs w:val="20"/>
                <w:color w:val="auto"/>
              </w:rPr>
            </w:pPr>
            <w:r>
              <w:rPr>
                <w:rFonts w:ascii="Times New Roman" w:cs="Times New Roman" w:eastAsia="Times New Roman" w:hAnsi="Times New Roman"/>
                <w:sz w:val="20"/>
                <w:szCs w:val="20"/>
                <w:color w:val="282828"/>
                <w:w w:val="99"/>
              </w:rPr>
              <w:t>Quarterly Report on Form 10-Q filed on May 12, 2020 (File No. 001-38860)).</w:t>
            </w:r>
          </w:p>
        </w:tc>
        <w:tc>
          <w:tcPr>
            <w:tcW w:w="2360" w:type="dxa"/>
            <w:vAlign w:val="bottom"/>
            <w:tcBorders>
              <w:top w:val="single" w:sz="8" w:color="282828"/>
            </w:tcBorders>
            <w:gridSpan w:val="1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10.17†</w:t>
            </w:r>
          </w:p>
        </w:tc>
        <w:tc>
          <w:tcPr>
            <w:tcW w:w="9040" w:type="dxa"/>
            <w:vAlign w:val="bottom"/>
            <w:gridSpan w:val="37"/>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Performance Stock Unit Award Agreement (Form</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980" w:type="dxa"/>
            <w:vAlign w:val="bottom"/>
            <w:tcBorders>
              <w:top w:val="single" w:sz="8" w:color="282828"/>
            </w:tcBorders>
            <w:gridSpan w:val="34"/>
          </w:tcPr>
          <w:p>
            <w:pPr>
              <w:spacing w:after="0" w:line="180" w:lineRule="exact"/>
              <w:rPr>
                <w:sz w:val="20"/>
                <w:szCs w:val="20"/>
                <w:color w:val="auto"/>
              </w:rPr>
            </w:pPr>
            <w:r>
              <w:rPr>
                <w:rFonts w:ascii="Times New Roman" w:cs="Times New Roman" w:eastAsia="Times New Roman" w:hAnsi="Times New Roman"/>
                <w:sz w:val="20"/>
                <w:szCs w:val="20"/>
                <w:color w:val="282828"/>
              </w:rPr>
              <w:t>of PSU Agreement for Mr. Hult) (incorporated by reference to Exhibit 10.31 to the Company’s Annual Report</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900" w:type="dxa"/>
            <w:vAlign w:val="bottom"/>
            <w:tcBorders>
              <w:top w:val="single" w:sz="8" w:color="282828"/>
            </w:tcBorders>
            <w:gridSpan w:val="31"/>
          </w:tcPr>
          <w:p>
            <w:pPr>
              <w:spacing w:after="0" w:line="180" w:lineRule="exact"/>
              <w:rPr>
                <w:sz w:val="20"/>
                <w:szCs w:val="20"/>
                <w:color w:val="auto"/>
              </w:rPr>
            </w:pPr>
            <w:r>
              <w:rPr>
                <w:rFonts w:ascii="Times New Roman" w:cs="Times New Roman" w:eastAsia="Times New Roman" w:hAnsi="Times New Roman"/>
                <w:sz w:val="20"/>
                <w:szCs w:val="20"/>
                <w:color w:val="282828"/>
              </w:rPr>
              <w:t>on Form 10-K filed on February 24, 2023 (File No. 001-38860)).</w:t>
            </w:r>
          </w:p>
        </w:tc>
        <w:tc>
          <w:tcPr>
            <w:tcW w:w="4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10.18†</w:t>
            </w:r>
          </w:p>
        </w:tc>
        <w:tc>
          <w:tcPr>
            <w:tcW w:w="4160" w:type="dxa"/>
            <w:vAlign w:val="bottom"/>
            <w:gridSpan w:val="5"/>
            <w:shd w:val="clear" w:color="auto" w:fill="282828"/>
          </w:tcPr>
          <w:p>
            <w:pPr>
              <w:spacing w:after="0" w:line="20" w:lineRule="exact"/>
              <w:rPr>
                <w:sz w:val="1"/>
                <w:szCs w:val="1"/>
                <w:color w:val="auto"/>
              </w:rPr>
            </w:pPr>
          </w:p>
        </w:tc>
        <w:tc>
          <w:tcPr>
            <w:tcW w:w="1040" w:type="dxa"/>
            <w:vAlign w:val="bottom"/>
            <w:gridSpan w:val="2"/>
            <w:shd w:val="clear" w:color="auto" w:fill="28282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60" w:type="dxa"/>
            <w:vAlign w:val="bottom"/>
            <w:gridSpan w:val="3"/>
            <w:vMerge w:val="continue"/>
          </w:tcPr>
          <w:p>
            <w:pPr>
              <w:spacing w:after="0"/>
              <w:rPr>
                <w:sz w:val="22"/>
                <w:szCs w:val="22"/>
                <w:color w:val="auto"/>
              </w:rPr>
            </w:pPr>
          </w:p>
        </w:tc>
        <w:tc>
          <w:tcPr>
            <w:tcW w:w="9040" w:type="dxa"/>
            <w:vAlign w:val="bottom"/>
            <w:gridSpan w:val="37"/>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2023 Performance Stock Unit Award Agreement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80" w:type="dxa"/>
            <w:vAlign w:val="bottom"/>
            <w:tcBorders>
              <w:top w:val="single" w:sz="8" w:color="282828"/>
            </w:tcBorders>
            <w:gridSpan w:val="30"/>
          </w:tcPr>
          <w:p>
            <w:pPr>
              <w:spacing w:after="0" w:line="180" w:lineRule="exact"/>
              <w:rPr>
                <w:sz w:val="20"/>
                <w:szCs w:val="20"/>
                <w:color w:val="auto"/>
              </w:rPr>
            </w:pPr>
            <w:r>
              <w:rPr>
                <w:rFonts w:ascii="Times New Roman" w:cs="Times New Roman" w:eastAsia="Times New Roman" w:hAnsi="Times New Roman"/>
                <w:sz w:val="20"/>
                <w:szCs w:val="20"/>
                <w:color w:val="282828"/>
              </w:rPr>
              <w:t>(Form of PSU Agreement for other Executive Officers) (incorporated by reference to Exhibit 10.4 to the</w:t>
            </w:r>
          </w:p>
        </w:tc>
        <w:tc>
          <w:tcPr>
            <w:tcW w:w="6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0" w:type="dxa"/>
            <w:vAlign w:val="bottom"/>
            <w:tcBorders>
              <w:top w:val="single" w:sz="8" w:color="282828"/>
            </w:tcBorders>
            <w:gridSpan w:val="16"/>
          </w:tcPr>
          <w:p>
            <w:pPr>
              <w:spacing w:after="0" w:line="180" w:lineRule="exact"/>
              <w:rPr>
                <w:sz w:val="20"/>
                <w:szCs w:val="20"/>
                <w:color w:val="auto"/>
              </w:rPr>
            </w:pPr>
            <w:r>
              <w:rPr>
                <w:rFonts w:ascii="Times New Roman" w:cs="Times New Roman" w:eastAsia="Times New Roman" w:hAnsi="Times New Roman"/>
                <w:sz w:val="20"/>
                <w:szCs w:val="20"/>
                <w:color w:val="282828"/>
              </w:rPr>
              <w:t>Company’s Quarterly Report on Form 10-Q filed on April 27, 2023 (File No. 001-38860)).</w:t>
            </w: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8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180" w:type="dxa"/>
            <w:vAlign w:val="bottom"/>
            <w:gridSpan w:val="6"/>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gridSpan w:val="5"/>
            <w:shd w:val="clear" w:color="auto" w:fill="282828"/>
          </w:tcPr>
          <w:p>
            <w:pPr>
              <w:spacing w:after="0" w:line="20" w:lineRule="exact"/>
              <w:rPr>
                <w:sz w:val="1"/>
                <w:szCs w:val="1"/>
                <w:color w:val="auto"/>
              </w:rPr>
            </w:pPr>
          </w:p>
        </w:tc>
        <w:tc>
          <w:tcPr>
            <w:tcW w:w="1340" w:type="dxa"/>
            <w:vAlign w:val="bottom"/>
            <w:gridSpan w:val="4"/>
            <w:shd w:val="clear" w:color="auto" w:fill="282828"/>
          </w:tcPr>
          <w:p>
            <w:pPr>
              <w:spacing w:after="0" w:line="20" w:lineRule="exact"/>
              <w:rPr>
                <w:sz w:val="1"/>
                <w:szCs w:val="1"/>
                <w:color w:val="auto"/>
              </w:rPr>
            </w:pPr>
          </w:p>
        </w:tc>
        <w:tc>
          <w:tcPr>
            <w:tcW w:w="1780" w:type="dxa"/>
            <w:vAlign w:val="bottom"/>
            <w:gridSpan w:val="4"/>
            <w:shd w:val="clear" w:color="auto" w:fill="282828"/>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10.19†</w:t>
            </w:r>
          </w:p>
        </w:tc>
        <w:tc>
          <w:tcPr>
            <w:tcW w:w="8760" w:type="dxa"/>
            <w:vAlign w:val="bottom"/>
            <w:tcBorders>
              <w:bottom w:val="single" w:sz="8" w:color="282828"/>
            </w:tcBorders>
            <w:gridSpan w:val="26"/>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2023 PRSU Award Agreement (Form of PRSU</w:t>
            </w:r>
          </w:p>
        </w:tc>
        <w:tc>
          <w:tcPr>
            <w:tcW w:w="280" w:type="dxa"/>
            <w:vAlign w:val="bottom"/>
            <w:gridSpan w:val="11"/>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tcBorders>
              <w:bottom w:val="single" w:sz="8" w:color="282828"/>
            </w:tcBorders>
            <w:gridSpan w:val="37"/>
          </w:tcPr>
          <w:p>
            <w:pPr>
              <w:spacing w:after="0" w:line="220" w:lineRule="exact"/>
              <w:rPr>
                <w:sz w:val="20"/>
                <w:szCs w:val="20"/>
                <w:color w:val="auto"/>
              </w:rPr>
            </w:pPr>
            <w:r>
              <w:rPr>
                <w:rFonts w:ascii="Times New Roman" w:cs="Times New Roman" w:eastAsia="Times New Roman" w:hAnsi="Times New Roman"/>
                <w:sz w:val="20"/>
                <w:szCs w:val="20"/>
                <w:color w:val="282828"/>
                <w:w w:val="99"/>
              </w:rPr>
              <w:t>Agreement for Mr. Hult) (incorporated by reference to Exhibit 10.5 to the Company’s Quarterly Report on Form</w:t>
            </w:r>
          </w:p>
        </w:tc>
        <w:tc>
          <w:tcPr>
            <w:tcW w:w="20" w:type="dxa"/>
            <w:vAlign w:val="bottom"/>
            <w:tcBorders>
              <w:bottom w:val="single" w:sz="8" w:color="28282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37"/>
          </w:tcPr>
          <w:p>
            <w:pPr>
              <w:spacing w:after="0" w:line="220" w:lineRule="exact"/>
              <w:rPr>
                <w:sz w:val="20"/>
                <w:szCs w:val="20"/>
                <w:color w:val="auto"/>
              </w:rPr>
            </w:pPr>
            <w:r>
              <w:rPr>
                <w:rFonts w:ascii="Times New Roman" w:cs="Times New Roman" w:eastAsia="Times New Roman" w:hAnsi="Times New Roman"/>
                <w:sz w:val="20"/>
                <w:szCs w:val="20"/>
                <w:color w:val="282828"/>
              </w:rPr>
              <w:t>10-Q filed on April 27, 2023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gridSpan w:val="5"/>
            <w:shd w:val="clear" w:color="auto" w:fill="282828"/>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92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10.20†</w:t>
            </w:r>
          </w:p>
        </w:tc>
        <w:tc>
          <w:tcPr>
            <w:tcW w:w="8760" w:type="dxa"/>
            <w:vAlign w:val="bottom"/>
            <w:tcBorders>
              <w:bottom w:val="single" w:sz="8" w:color="282828"/>
            </w:tcBorders>
            <w:gridSpan w:val="26"/>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2023 PRSU Award Agreement (Form of PRSU</w:t>
            </w:r>
          </w:p>
        </w:tc>
        <w:tc>
          <w:tcPr>
            <w:tcW w:w="280" w:type="dxa"/>
            <w:vAlign w:val="bottom"/>
            <w:gridSpan w:val="11"/>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20" w:type="dxa"/>
            <w:vAlign w:val="bottom"/>
            <w:tcBorders>
              <w:bottom w:val="single" w:sz="8" w:color="282828"/>
            </w:tcBorders>
            <w:gridSpan w:val="36"/>
          </w:tcPr>
          <w:p>
            <w:pPr>
              <w:spacing w:after="0" w:line="220" w:lineRule="exact"/>
              <w:rPr>
                <w:sz w:val="20"/>
                <w:szCs w:val="20"/>
                <w:color w:val="auto"/>
              </w:rPr>
            </w:pPr>
            <w:r>
              <w:rPr>
                <w:rFonts w:ascii="Times New Roman" w:cs="Times New Roman" w:eastAsia="Times New Roman" w:hAnsi="Times New Roman"/>
                <w:sz w:val="20"/>
                <w:szCs w:val="20"/>
                <w:color w:val="282828"/>
              </w:rPr>
              <w:t>Agreement for other Executive Officers) (incorporated by reference to Exhibit 10.6 to the Company’s Quarterly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00" w:type="dxa"/>
            <w:vAlign w:val="bottom"/>
            <w:tcBorders>
              <w:bottom w:val="single" w:sz="8" w:color="282828"/>
            </w:tcBorders>
            <w:gridSpan w:val="9"/>
          </w:tcPr>
          <w:p>
            <w:pPr>
              <w:spacing w:after="0" w:line="220" w:lineRule="exact"/>
              <w:rPr>
                <w:sz w:val="20"/>
                <w:szCs w:val="20"/>
                <w:color w:val="auto"/>
              </w:rPr>
            </w:pPr>
            <w:r>
              <w:rPr>
                <w:rFonts w:ascii="Times New Roman" w:cs="Times New Roman" w:eastAsia="Times New Roman" w:hAnsi="Times New Roman"/>
                <w:sz w:val="20"/>
                <w:szCs w:val="20"/>
                <w:color w:val="282828"/>
                <w:w w:val="99"/>
              </w:rPr>
              <w:t>Report on Form 10-Q filed on April 27, 2023 (File No. 001-38860)).</w:t>
            </w:r>
          </w:p>
        </w:tc>
        <w:tc>
          <w:tcPr>
            <w:tcW w:w="3540" w:type="dxa"/>
            <w:vAlign w:val="bottom"/>
            <w:gridSpan w:val="2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10.21†</w:t>
            </w:r>
          </w:p>
        </w:tc>
        <w:tc>
          <w:tcPr>
            <w:tcW w:w="868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2023 Restricted Stock Unit Award Agreement</w:t>
            </w:r>
          </w:p>
        </w:tc>
        <w:tc>
          <w:tcPr>
            <w:tcW w:w="360" w:type="dxa"/>
            <w:vAlign w:val="bottom"/>
            <w:gridSpan w:val="14"/>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940" w:type="dxa"/>
            <w:vAlign w:val="bottom"/>
            <w:tcBorders>
              <w:bottom w:val="single" w:sz="8" w:color="282828"/>
            </w:tcBorders>
            <w:gridSpan w:val="32"/>
          </w:tcPr>
          <w:p>
            <w:pPr>
              <w:spacing w:after="0" w:line="220" w:lineRule="exact"/>
              <w:rPr>
                <w:sz w:val="20"/>
                <w:szCs w:val="20"/>
                <w:color w:val="auto"/>
              </w:rPr>
            </w:pPr>
            <w:r>
              <w:rPr>
                <w:rFonts w:ascii="Times New Roman" w:cs="Times New Roman" w:eastAsia="Times New Roman" w:hAnsi="Times New Roman"/>
                <w:sz w:val="20"/>
                <w:szCs w:val="20"/>
                <w:color w:val="282828"/>
              </w:rPr>
              <w:t>(Form of RSU Agreement for Mr. Hult) (incorporated by reference to Exhibit 10.7 to the Company’s Quarterly</w:t>
            </w:r>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00" w:type="dxa"/>
            <w:vAlign w:val="bottom"/>
            <w:tcBorders>
              <w:bottom w:val="single" w:sz="8" w:color="282828"/>
            </w:tcBorders>
            <w:gridSpan w:val="9"/>
          </w:tcPr>
          <w:p>
            <w:pPr>
              <w:spacing w:after="0" w:line="220" w:lineRule="exact"/>
              <w:rPr>
                <w:sz w:val="20"/>
                <w:szCs w:val="20"/>
                <w:color w:val="auto"/>
              </w:rPr>
            </w:pPr>
            <w:r>
              <w:rPr>
                <w:rFonts w:ascii="Times New Roman" w:cs="Times New Roman" w:eastAsia="Times New Roman" w:hAnsi="Times New Roman"/>
                <w:sz w:val="20"/>
                <w:szCs w:val="20"/>
                <w:color w:val="282828"/>
                <w:w w:val="99"/>
              </w:rPr>
              <w:t>Report on Form 10-Q filed on April 27, 2023 (File No. 001-38860)).</w:t>
            </w:r>
          </w:p>
        </w:tc>
        <w:tc>
          <w:tcPr>
            <w:tcW w:w="3540" w:type="dxa"/>
            <w:vAlign w:val="bottom"/>
            <w:gridSpan w:val="2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10.22†</w:t>
            </w:r>
          </w:p>
        </w:tc>
        <w:tc>
          <w:tcPr>
            <w:tcW w:w="868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2023 Restricted Stock Unit Award Agreement</w:t>
            </w:r>
          </w:p>
        </w:tc>
        <w:tc>
          <w:tcPr>
            <w:tcW w:w="360" w:type="dxa"/>
            <w:vAlign w:val="bottom"/>
            <w:gridSpan w:val="14"/>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20" w:type="dxa"/>
            <w:vAlign w:val="bottom"/>
            <w:tcBorders>
              <w:bottom w:val="single" w:sz="8" w:color="282828"/>
            </w:tcBorders>
            <w:gridSpan w:val="17"/>
          </w:tcPr>
          <w:p>
            <w:pPr>
              <w:spacing w:after="0" w:line="220" w:lineRule="exact"/>
              <w:rPr>
                <w:sz w:val="20"/>
                <w:szCs w:val="20"/>
                <w:color w:val="auto"/>
              </w:rPr>
            </w:pPr>
            <w:r>
              <w:rPr>
                <w:rFonts w:ascii="Times New Roman" w:cs="Times New Roman" w:eastAsia="Times New Roman" w:hAnsi="Times New Roman"/>
                <w:sz w:val="20"/>
                <w:szCs w:val="20"/>
                <w:color w:val="282828"/>
              </w:rPr>
              <w:t>(Form of RSU Agreement for other Executive Officers) (incorporated by reference to Exhibit 10.8 to the</w:t>
            </w:r>
          </w:p>
        </w:tc>
        <w:tc>
          <w:tcPr>
            <w:tcW w:w="620" w:type="dxa"/>
            <w:vAlign w:val="bottom"/>
            <w:gridSpan w:val="20"/>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37"/>
          </w:tcPr>
          <w:p>
            <w:pPr>
              <w:spacing w:after="0" w:line="220" w:lineRule="exact"/>
              <w:rPr>
                <w:sz w:val="20"/>
                <w:szCs w:val="20"/>
                <w:color w:val="auto"/>
              </w:rPr>
            </w:pPr>
            <w:r>
              <w:rPr>
                <w:rFonts w:ascii="Times New Roman" w:cs="Times New Roman" w:eastAsia="Times New Roman" w:hAnsi="Times New Roman"/>
                <w:sz w:val="20"/>
                <w:szCs w:val="20"/>
                <w:color w:val="282828"/>
              </w:rPr>
              <w:t>Company’s Quarterly Report on Form 10-Q filed on April 27, 2023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80" w:type="dxa"/>
            <w:vAlign w:val="bottom"/>
            <w:gridSpan w:val="13"/>
            <w:shd w:val="clear" w:color="auto" w:fill="282828"/>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10.23†</w:t>
            </w:r>
          </w:p>
        </w:tc>
        <w:tc>
          <w:tcPr>
            <w:tcW w:w="8500" w:type="dxa"/>
            <w:vAlign w:val="bottom"/>
            <w:tcBorders>
              <w:bottom w:val="single" w:sz="8" w:color="282828"/>
            </w:tcBorders>
            <w:gridSpan w:val="20"/>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PSU Award Agreement (Form of PSU</w:t>
            </w:r>
          </w:p>
        </w:tc>
        <w:tc>
          <w:tcPr>
            <w:tcW w:w="540" w:type="dxa"/>
            <w:vAlign w:val="bottom"/>
            <w:gridSpan w:val="17"/>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tcBorders>
              <w:bottom w:val="single" w:sz="8" w:color="282828"/>
            </w:tcBorders>
            <w:gridSpan w:val="37"/>
          </w:tcPr>
          <w:p>
            <w:pPr>
              <w:spacing w:after="0" w:line="220" w:lineRule="exact"/>
              <w:rPr>
                <w:sz w:val="20"/>
                <w:szCs w:val="20"/>
                <w:color w:val="auto"/>
              </w:rPr>
            </w:pPr>
            <w:r>
              <w:rPr>
                <w:rFonts w:ascii="Times New Roman" w:cs="Times New Roman" w:eastAsia="Times New Roman" w:hAnsi="Times New Roman"/>
                <w:sz w:val="20"/>
                <w:szCs w:val="20"/>
                <w:color w:val="282828"/>
                <w:w w:val="99"/>
              </w:rPr>
              <w:t>Agreement for Mr. Hult) (incorporated by reference to Exhibit 10.1 to the Company’s Quarterly Report on Form</w:t>
            </w:r>
          </w:p>
        </w:tc>
        <w:tc>
          <w:tcPr>
            <w:tcW w:w="20" w:type="dxa"/>
            <w:vAlign w:val="bottom"/>
            <w:tcBorders>
              <w:bottom w:val="single" w:sz="8" w:color="282828"/>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37"/>
          </w:tcPr>
          <w:p>
            <w:pPr>
              <w:spacing w:after="0" w:line="220" w:lineRule="exact"/>
              <w:rPr>
                <w:sz w:val="20"/>
                <w:szCs w:val="20"/>
                <w:color w:val="auto"/>
              </w:rPr>
            </w:pPr>
            <w:r>
              <w:rPr>
                <w:rFonts w:ascii="Times New Roman" w:cs="Times New Roman" w:eastAsia="Times New Roman" w:hAnsi="Times New Roman"/>
                <w:sz w:val="20"/>
                <w:szCs w:val="20"/>
                <w:color w:val="282828"/>
              </w:rPr>
              <w:t>10-Q filed on April 25, 2024 (File No. 001-38860)).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gridSpan w:val="5"/>
            <w:shd w:val="clear" w:color="auto" w:fill="282828"/>
          </w:tcPr>
          <w:p>
            <w:pPr>
              <w:spacing w:after="0" w:line="20" w:lineRule="exact"/>
              <w:rPr>
                <w:sz w:val="1"/>
                <w:szCs w:val="1"/>
                <w:color w:val="auto"/>
              </w:rPr>
            </w:pPr>
          </w:p>
        </w:tc>
        <w:tc>
          <w:tcPr>
            <w:tcW w:w="4880" w:type="dxa"/>
            <w:vAlign w:val="bottom"/>
            <w:gridSpan w:val="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10.24†</w:t>
            </w:r>
          </w:p>
        </w:tc>
        <w:tc>
          <w:tcPr>
            <w:tcW w:w="8500" w:type="dxa"/>
            <w:vAlign w:val="bottom"/>
            <w:tcBorders>
              <w:bottom w:val="single" w:sz="8" w:color="282828"/>
            </w:tcBorders>
            <w:gridSpan w:val="20"/>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PSU Award Agreement (Form of PSU</w:t>
            </w:r>
          </w:p>
        </w:tc>
        <w:tc>
          <w:tcPr>
            <w:tcW w:w="540" w:type="dxa"/>
            <w:vAlign w:val="bottom"/>
            <w:gridSpan w:val="17"/>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20" w:type="dxa"/>
            <w:vAlign w:val="bottom"/>
            <w:tcBorders>
              <w:bottom w:val="single" w:sz="8" w:color="282828"/>
            </w:tcBorders>
            <w:gridSpan w:val="36"/>
          </w:tcPr>
          <w:p>
            <w:pPr>
              <w:spacing w:after="0" w:line="220" w:lineRule="exact"/>
              <w:rPr>
                <w:sz w:val="20"/>
                <w:szCs w:val="20"/>
                <w:color w:val="auto"/>
              </w:rPr>
            </w:pPr>
            <w:r>
              <w:rPr>
                <w:rFonts w:ascii="Times New Roman" w:cs="Times New Roman" w:eastAsia="Times New Roman" w:hAnsi="Times New Roman"/>
                <w:sz w:val="20"/>
                <w:szCs w:val="20"/>
                <w:color w:val="282828"/>
              </w:rPr>
              <w:t>Agreement for other Executive Officers) (incorporated by reference to Exhibit 10.2 to the Company’s Quarterly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00" w:type="dxa"/>
            <w:vAlign w:val="bottom"/>
            <w:tcBorders>
              <w:bottom w:val="single" w:sz="8" w:color="282828"/>
            </w:tcBorders>
            <w:gridSpan w:val="9"/>
          </w:tcPr>
          <w:p>
            <w:pPr>
              <w:spacing w:after="0" w:line="220" w:lineRule="exact"/>
              <w:rPr>
                <w:sz w:val="20"/>
                <w:szCs w:val="20"/>
                <w:color w:val="auto"/>
              </w:rPr>
            </w:pPr>
            <w:r>
              <w:rPr>
                <w:rFonts w:ascii="Times New Roman" w:cs="Times New Roman" w:eastAsia="Times New Roman" w:hAnsi="Times New Roman"/>
                <w:sz w:val="20"/>
                <w:szCs w:val="20"/>
                <w:color w:val="282828"/>
                <w:w w:val="99"/>
              </w:rPr>
              <w:t>Report on Form 10-Q filed on April 25, 2024 (File No. 001-38860)).</w:t>
            </w:r>
          </w:p>
        </w:tc>
        <w:tc>
          <w:tcPr>
            <w:tcW w:w="3540" w:type="dxa"/>
            <w:vAlign w:val="bottom"/>
            <w:gridSpan w:val="28"/>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440"/>
          </w:cols>
          <w:pgMar w:left="900" w:top="913" w:right="900" w:bottom="0" w:gutter="0" w:footer="0" w:header="0"/>
        </w:sect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167</w:t>
      </w:r>
    </w:p>
    <w:p>
      <w:pPr>
        <w:sectPr>
          <w:pgSz w:w="12240" w:h="15840" w:orient="portrait"/>
          <w:cols w:equalWidth="0" w:num="1">
            <w:col w:w="10440"/>
          </w:cols>
          <w:pgMar w:left="900" w:top="913" w:right="900" w:bottom="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17"/>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0" w:type="dxa"/>
            <w:vAlign w:val="bottom"/>
            <w:gridSpan w:val="16"/>
          </w:tcPr>
          <w:p>
            <w:pPr>
              <w:ind w:left="150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20" w:type="dxa"/>
            <w:vAlign w:val="bottom"/>
          </w:tcPr>
          <w:p>
            <w:pPr>
              <w:spacing w:after="0"/>
              <w:rPr>
                <w:sz w:val="18"/>
                <w:szCs w:val="18"/>
                <w:color w:val="auto"/>
              </w:rPr>
            </w:pPr>
          </w:p>
        </w:tc>
      </w:tr>
      <w:tr>
        <w:trPr>
          <w:trHeight w:val="198"/>
        </w:trPr>
        <w:tc>
          <w:tcPr>
            <w:tcW w:w="1240" w:type="dxa"/>
            <w:vAlign w:val="bottom"/>
            <w:tcBorders>
              <w:top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10.25†+</w:t>
            </w: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780" w:type="dxa"/>
            <w:vAlign w:val="bottom"/>
            <w:tcBorders>
              <w:top w:val="single" w:sz="8" w:color="auto"/>
              <w:bottom w:val="single" w:sz="8" w:color="282828"/>
            </w:tcBorders>
            <w:gridSpan w:val="14"/>
          </w:tcPr>
          <w:p>
            <w:pPr>
              <w:spacing w:after="0" w:line="198" w:lineRule="exact"/>
              <w:rPr>
                <w:sz w:val="20"/>
                <w:szCs w:val="20"/>
                <w:color w:val="auto"/>
              </w:rPr>
            </w:pPr>
            <w:r>
              <w:rPr>
                <w:rFonts w:ascii="Times New Roman" w:cs="Times New Roman" w:eastAsia="Times New Roman" w:hAnsi="Times New Roman"/>
                <w:sz w:val="20"/>
                <w:szCs w:val="20"/>
                <w:color w:val="282828"/>
              </w:rPr>
              <w:t>Tradeweb Markets Inc. 2019 Omnibus Equity Incentive Plan 2024 PRSU Award Agreement (Form of PRSU</w:t>
            </w:r>
          </w:p>
        </w:tc>
        <w:tc>
          <w:tcPr>
            <w:tcW w:w="280" w:type="dxa"/>
            <w:vAlign w:val="bottom"/>
            <w:tcBorders>
              <w:top w:val="single" w:sz="8" w:color="auto"/>
            </w:tcBorders>
            <w:gridSpan w:val="5"/>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60" w:type="dxa"/>
            <w:vAlign w:val="bottom"/>
            <w:tcBorders>
              <w:bottom w:val="single" w:sz="8" w:color="282828"/>
            </w:tcBorders>
            <w:gridSpan w:val="19"/>
          </w:tcPr>
          <w:p>
            <w:pPr>
              <w:spacing w:after="0" w:line="220" w:lineRule="exact"/>
              <w:rPr>
                <w:sz w:val="20"/>
                <w:szCs w:val="20"/>
                <w:color w:val="auto"/>
              </w:rPr>
            </w:pPr>
            <w:r>
              <w:rPr>
                <w:rFonts w:ascii="Times New Roman" w:cs="Times New Roman" w:eastAsia="Times New Roman" w:hAnsi="Times New Roman"/>
                <w:sz w:val="20"/>
                <w:szCs w:val="20"/>
                <w:color w:val="282828"/>
              </w:rPr>
              <w:t>Agreement for Mr. Hult) (incorporated by reference to Exhibit 10.3 to the Company’s Quarterly Report on Form</w:t>
            </w: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60" w:type="dxa"/>
            <w:vAlign w:val="bottom"/>
            <w:gridSpan w:val="19"/>
          </w:tcPr>
          <w:p>
            <w:pPr>
              <w:spacing w:after="0" w:line="220" w:lineRule="exact"/>
              <w:rPr>
                <w:sz w:val="20"/>
                <w:szCs w:val="20"/>
                <w:color w:val="auto"/>
              </w:rPr>
            </w:pPr>
            <w:r>
              <w:rPr>
                <w:rFonts w:ascii="Times New Roman" w:cs="Times New Roman" w:eastAsia="Times New Roman" w:hAnsi="Times New Roman"/>
                <w:sz w:val="20"/>
                <w:szCs w:val="20"/>
                <w:color w:val="282828"/>
              </w:rPr>
              <w:t>10-Q filed on April 25, 2024 (File No. 001-38860)).</w:t>
            </w: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282828"/>
          </w:tcPr>
          <w:p>
            <w:pPr>
              <w:spacing w:after="0" w:line="20" w:lineRule="exact"/>
              <w:rPr>
                <w:sz w:val="1"/>
                <w:szCs w:val="1"/>
                <w:color w:val="auto"/>
              </w:rPr>
            </w:pPr>
          </w:p>
        </w:tc>
        <w:tc>
          <w:tcPr>
            <w:tcW w:w="1000" w:type="dxa"/>
            <w:vAlign w:val="bottom"/>
            <w:shd w:val="clear" w:color="auto" w:fill="282828"/>
          </w:tcPr>
          <w:p>
            <w:pPr>
              <w:spacing w:after="0" w:line="20" w:lineRule="exact"/>
              <w:rPr>
                <w:sz w:val="1"/>
                <w:szCs w:val="1"/>
                <w:color w:val="auto"/>
              </w:rPr>
            </w:pPr>
          </w:p>
        </w:tc>
        <w:tc>
          <w:tcPr>
            <w:tcW w:w="220" w:type="dxa"/>
            <w:vAlign w:val="bottom"/>
            <w:shd w:val="clear" w:color="auto" w:fill="282828"/>
          </w:tcPr>
          <w:p>
            <w:pPr>
              <w:spacing w:after="0" w:line="20" w:lineRule="exact"/>
              <w:rPr>
                <w:sz w:val="1"/>
                <w:szCs w:val="1"/>
                <w:color w:val="auto"/>
              </w:rPr>
            </w:pPr>
          </w:p>
        </w:tc>
        <w:tc>
          <w:tcPr>
            <w:tcW w:w="1900" w:type="dxa"/>
            <w:vAlign w:val="bottom"/>
            <w:shd w:val="clear" w:color="auto" w:fill="28282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10.26†+</w:t>
            </w:r>
          </w:p>
        </w:tc>
        <w:tc>
          <w:tcPr>
            <w:tcW w:w="8780" w:type="dxa"/>
            <w:vAlign w:val="bottom"/>
            <w:tcBorders>
              <w:bottom w:val="single" w:sz="8" w:color="282828"/>
            </w:tcBorders>
            <w:gridSpan w:val="14"/>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PRSU Award Agreement (Form of PRSU</w:t>
            </w:r>
          </w:p>
        </w:tc>
        <w:tc>
          <w:tcPr>
            <w:tcW w:w="280" w:type="dxa"/>
            <w:vAlign w:val="bottom"/>
            <w:gridSpan w:val="5"/>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0" w:type="dxa"/>
            <w:vAlign w:val="bottom"/>
            <w:tcBorders>
              <w:bottom w:val="single" w:sz="8" w:color="282828"/>
            </w:tcBorders>
            <w:gridSpan w:val="18"/>
          </w:tcPr>
          <w:p>
            <w:pPr>
              <w:spacing w:after="0" w:line="220" w:lineRule="exact"/>
              <w:rPr>
                <w:sz w:val="20"/>
                <w:szCs w:val="20"/>
                <w:color w:val="auto"/>
              </w:rPr>
            </w:pPr>
            <w:r>
              <w:rPr>
                <w:rFonts w:ascii="Times New Roman" w:cs="Times New Roman" w:eastAsia="Times New Roman" w:hAnsi="Times New Roman"/>
                <w:sz w:val="20"/>
                <w:szCs w:val="20"/>
                <w:color w:val="282828"/>
              </w:rPr>
              <w:t>Agreement for other Executive Officers) (incorporated by reference to Exhibit 10.4 to the Company’s Quarterly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00" w:type="dxa"/>
            <w:vAlign w:val="bottom"/>
            <w:tcBorders>
              <w:bottom w:val="single" w:sz="8" w:color="282828"/>
            </w:tcBorders>
            <w:gridSpan w:val="7"/>
          </w:tcPr>
          <w:p>
            <w:pPr>
              <w:spacing w:after="0" w:line="220" w:lineRule="exact"/>
              <w:rPr>
                <w:sz w:val="20"/>
                <w:szCs w:val="20"/>
                <w:color w:val="auto"/>
              </w:rPr>
            </w:pPr>
            <w:r>
              <w:rPr>
                <w:rFonts w:ascii="Times New Roman" w:cs="Times New Roman" w:eastAsia="Times New Roman" w:hAnsi="Times New Roman"/>
                <w:sz w:val="20"/>
                <w:szCs w:val="20"/>
                <w:color w:val="282828"/>
                <w:w w:val="99"/>
              </w:rPr>
              <w:t>Report on Form 10-Q filed on April 25, 2024 (File No. 001-38860)).</w:t>
            </w:r>
          </w:p>
        </w:tc>
        <w:tc>
          <w:tcPr>
            <w:tcW w:w="3560" w:type="dxa"/>
            <w:vAlign w:val="bottom"/>
            <w:gridSpan w:val="12"/>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10.27†</w:t>
            </w:r>
          </w:p>
        </w:tc>
        <w:tc>
          <w:tcPr>
            <w:tcW w:w="8540" w:type="dxa"/>
            <w:vAlign w:val="bottom"/>
            <w:tcBorders>
              <w:bottom w:val="single" w:sz="8" w:color="282828"/>
            </w:tcBorders>
            <w:gridSpan w:val="12"/>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RSU Award Agreement (Form of RSU</w:t>
            </w:r>
          </w:p>
        </w:tc>
        <w:tc>
          <w:tcPr>
            <w:tcW w:w="520" w:type="dxa"/>
            <w:vAlign w:val="bottom"/>
            <w:gridSpan w:val="7"/>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60" w:type="dxa"/>
            <w:vAlign w:val="bottom"/>
            <w:tcBorders>
              <w:bottom w:val="single" w:sz="8" w:color="282828"/>
            </w:tcBorders>
            <w:gridSpan w:val="19"/>
          </w:tcPr>
          <w:p>
            <w:pPr>
              <w:spacing w:after="0" w:line="220" w:lineRule="exact"/>
              <w:rPr>
                <w:sz w:val="20"/>
                <w:szCs w:val="20"/>
                <w:color w:val="auto"/>
              </w:rPr>
            </w:pPr>
            <w:r>
              <w:rPr>
                <w:rFonts w:ascii="Times New Roman" w:cs="Times New Roman" w:eastAsia="Times New Roman" w:hAnsi="Times New Roman"/>
                <w:sz w:val="20"/>
                <w:szCs w:val="20"/>
                <w:color w:val="282828"/>
              </w:rPr>
              <w:t>Agreement for Mr. Hult) (incorporated by reference to Exhibit 10.5 to the Company’s Quarterly Report on Form</w:t>
            </w: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60" w:type="dxa"/>
            <w:vAlign w:val="bottom"/>
            <w:gridSpan w:val="19"/>
          </w:tcPr>
          <w:p>
            <w:pPr>
              <w:spacing w:after="0" w:line="220" w:lineRule="exact"/>
              <w:rPr>
                <w:sz w:val="20"/>
                <w:szCs w:val="20"/>
                <w:color w:val="auto"/>
              </w:rPr>
            </w:pPr>
            <w:r>
              <w:rPr>
                <w:rFonts w:ascii="Times New Roman" w:cs="Times New Roman" w:eastAsia="Times New Roman" w:hAnsi="Times New Roman"/>
                <w:sz w:val="20"/>
                <w:szCs w:val="20"/>
                <w:color w:val="282828"/>
              </w:rPr>
              <w:t>10-Q filed on April 25, 2024 (File No. 001-38860)).</w:t>
            </w: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282828"/>
          </w:tcPr>
          <w:p>
            <w:pPr>
              <w:spacing w:after="0" w:line="20" w:lineRule="exact"/>
              <w:rPr>
                <w:sz w:val="1"/>
                <w:szCs w:val="1"/>
                <w:color w:val="auto"/>
              </w:rPr>
            </w:pPr>
          </w:p>
        </w:tc>
        <w:tc>
          <w:tcPr>
            <w:tcW w:w="1000" w:type="dxa"/>
            <w:vAlign w:val="bottom"/>
            <w:shd w:val="clear" w:color="auto" w:fill="282828"/>
          </w:tcPr>
          <w:p>
            <w:pPr>
              <w:spacing w:after="0" w:line="20" w:lineRule="exact"/>
              <w:rPr>
                <w:sz w:val="1"/>
                <w:szCs w:val="1"/>
                <w:color w:val="auto"/>
              </w:rPr>
            </w:pPr>
          </w:p>
        </w:tc>
        <w:tc>
          <w:tcPr>
            <w:tcW w:w="220" w:type="dxa"/>
            <w:vAlign w:val="bottom"/>
            <w:shd w:val="clear" w:color="auto" w:fill="282828"/>
          </w:tcPr>
          <w:p>
            <w:pPr>
              <w:spacing w:after="0" w:line="20" w:lineRule="exact"/>
              <w:rPr>
                <w:sz w:val="1"/>
                <w:szCs w:val="1"/>
                <w:color w:val="auto"/>
              </w:rPr>
            </w:pPr>
          </w:p>
        </w:tc>
        <w:tc>
          <w:tcPr>
            <w:tcW w:w="1900" w:type="dxa"/>
            <w:vAlign w:val="bottom"/>
            <w:shd w:val="clear" w:color="auto" w:fill="28282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10.28†</w:t>
            </w:r>
          </w:p>
        </w:tc>
        <w:tc>
          <w:tcPr>
            <w:tcW w:w="8540" w:type="dxa"/>
            <w:vAlign w:val="bottom"/>
            <w:tcBorders>
              <w:bottom w:val="single" w:sz="8" w:color="282828"/>
            </w:tcBorders>
            <w:gridSpan w:val="12"/>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RSU Award Agreement (Form of RSU</w:t>
            </w:r>
          </w:p>
        </w:tc>
        <w:tc>
          <w:tcPr>
            <w:tcW w:w="520" w:type="dxa"/>
            <w:vAlign w:val="bottom"/>
            <w:gridSpan w:val="7"/>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0" w:type="dxa"/>
            <w:vAlign w:val="bottom"/>
            <w:tcBorders>
              <w:bottom w:val="single" w:sz="8" w:color="282828"/>
            </w:tcBorders>
            <w:gridSpan w:val="18"/>
          </w:tcPr>
          <w:p>
            <w:pPr>
              <w:spacing w:after="0" w:line="220" w:lineRule="exact"/>
              <w:rPr>
                <w:sz w:val="20"/>
                <w:szCs w:val="20"/>
                <w:color w:val="auto"/>
              </w:rPr>
            </w:pPr>
            <w:r>
              <w:rPr>
                <w:rFonts w:ascii="Times New Roman" w:cs="Times New Roman" w:eastAsia="Times New Roman" w:hAnsi="Times New Roman"/>
                <w:sz w:val="20"/>
                <w:szCs w:val="20"/>
                <w:color w:val="282828"/>
              </w:rPr>
              <w:t>Agreement for other Executive Officers) (incorporated by reference to Exhibit 10.6 to the Company’s Quarterly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60" w:type="dxa"/>
            <w:vAlign w:val="bottom"/>
            <w:gridSpan w:val="19"/>
          </w:tcPr>
          <w:p>
            <w:pPr>
              <w:spacing w:after="0" w:line="220" w:lineRule="exact"/>
              <w:rPr>
                <w:sz w:val="20"/>
                <w:szCs w:val="20"/>
                <w:color w:val="auto"/>
              </w:rPr>
            </w:pPr>
            <w:r>
              <w:rPr>
                <w:rFonts w:ascii="Times New Roman" w:cs="Times New Roman" w:eastAsia="Times New Roman" w:hAnsi="Times New Roman"/>
                <w:sz w:val="20"/>
                <w:szCs w:val="20"/>
                <w:color w:val="282828"/>
              </w:rPr>
              <w:t>Report on Form 10-Q filed on April 25, 2024(File No. 001-38860)).</w:t>
            </w: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282828"/>
          </w:tcPr>
          <w:p>
            <w:pPr>
              <w:spacing w:after="0" w:line="20" w:lineRule="exact"/>
              <w:rPr>
                <w:sz w:val="1"/>
                <w:szCs w:val="1"/>
                <w:color w:val="auto"/>
              </w:rPr>
            </w:pPr>
          </w:p>
        </w:tc>
        <w:tc>
          <w:tcPr>
            <w:tcW w:w="1000" w:type="dxa"/>
            <w:vAlign w:val="bottom"/>
            <w:shd w:val="clear" w:color="auto" w:fill="282828"/>
          </w:tcPr>
          <w:p>
            <w:pPr>
              <w:spacing w:after="0" w:line="20" w:lineRule="exact"/>
              <w:rPr>
                <w:sz w:val="1"/>
                <w:szCs w:val="1"/>
                <w:color w:val="auto"/>
              </w:rPr>
            </w:pPr>
          </w:p>
        </w:tc>
        <w:tc>
          <w:tcPr>
            <w:tcW w:w="220" w:type="dxa"/>
            <w:vAlign w:val="bottom"/>
            <w:shd w:val="clear" w:color="auto" w:fill="282828"/>
          </w:tcPr>
          <w:p>
            <w:pPr>
              <w:spacing w:after="0" w:line="20" w:lineRule="exact"/>
              <w:rPr>
                <w:sz w:val="1"/>
                <w:szCs w:val="1"/>
                <w:color w:val="auto"/>
              </w:rPr>
            </w:pPr>
          </w:p>
        </w:tc>
        <w:tc>
          <w:tcPr>
            <w:tcW w:w="2700" w:type="dxa"/>
            <w:vAlign w:val="bottom"/>
            <w:gridSpan w:val="2"/>
            <w:shd w:val="clear" w:color="auto" w:fill="282828"/>
          </w:tcPr>
          <w:p>
            <w:pPr>
              <w:spacing w:after="0" w:line="20" w:lineRule="exact"/>
              <w:rPr>
                <w:sz w:val="1"/>
                <w:szCs w:val="1"/>
                <w:color w:val="auto"/>
              </w:rPr>
            </w:pPr>
          </w:p>
        </w:tc>
        <w:tc>
          <w:tcPr>
            <w:tcW w:w="480" w:type="dxa"/>
            <w:vAlign w:val="bottom"/>
            <w:shd w:val="clear" w:color="auto" w:fill="282828"/>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10.29†</w:t>
            </w:r>
          </w:p>
        </w:tc>
        <w:tc>
          <w:tcPr>
            <w:tcW w:w="8060" w:type="dxa"/>
            <w:vAlign w:val="bottom"/>
            <w:tcBorders>
              <w:bottom w:val="single" w:sz="8" w:color="282828"/>
            </w:tcBorders>
            <w:gridSpan w:val="9"/>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2024 Director RSU Award Agreement</w:t>
            </w:r>
          </w:p>
        </w:tc>
        <w:tc>
          <w:tcPr>
            <w:tcW w:w="1000" w:type="dxa"/>
            <w:vAlign w:val="bottom"/>
            <w:gridSpan w:val="10"/>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40" w:type="dxa"/>
            <w:vAlign w:val="bottom"/>
            <w:tcBorders>
              <w:bottom w:val="single" w:sz="8" w:color="282828"/>
            </w:tcBorders>
            <w:gridSpan w:val="16"/>
          </w:tcPr>
          <w:p>
            <w:pPr>
              <w:spacing w:after="0" w:line="220" w:lineRule="exact"/>
              <w:rPr>
                <w:sz w:val="20"/>
                <w:szCs w:val="20"/>
                <w:color w:val="auto"/>
              </w:rPr>
            </w:pPr>
            <w:r>
              <w:rPr>
                <w:rFonts w:ascii="Times New Roman" w:cs="Times New Roman" w:eastAsia="Times New Roman" w:hAnsi="Times New Roman"/>
                <w:sz w:val="20"/>
                <w:szCs w:val="20"/>
                <w:color w:val="282828"/>
              </w:rPr>
              <w:t>(incorporated by reference to Exhibit 10.1 to the Company’s Quarterly Report on Form 10-Q filed on July 25,</w:t>
            </w:r>
          </w:p>
        </w:tc>
        <w:tc>
          <w:tcPr>
            <w:tcW w:w="2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60" w:type="dxa"/>
            <w:vAlign w:val="bottom"/>
            <w:gridSpan w:val="19"/>
          </w:tcPr>
          <w:p>
            <w:pPr>
              <w:spacing w:after="0" w:line="220" w:lineRule="exact"/>
              <w:rPr>
                <w:sz w:val="20"/>
                <w:szCs w:val="20"/>
                <w:color w:val="auto"/>
              </w:rPr>
            </w:pPr>
            <w:r>
              <w:rPr>
                <w:rFonts w:ascii="Times New Roman" w:cs="Times New Roman" w:eastAsia="Times New Roman" w:hAnsi="Times New Roman"/>
                <w:sz w:val="20"/>
                <w:szCs w:val="20"/>
                <w:color w:val="282828"/>
              </w:rPr>
              <w:t>2024 (File No. 001-38860)).</w:t>
            </w:r>
          </w:p>
        </w:tc>
        <w:tc>
          <w:tcPr>
            <w:tcW w:w="2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282828"/>
          </w:tcPr>
          <w:p>
            <w:pPr>
              <w:spacing w:after="0" w:line="20" w:lineRule="exact"/>
              <w:rPr>
                <w:sz w:val="1"/>
                <w:szCs w:val="1"/>
                <w:color w:val="auto"/>
              </w:rPr>
            </w:pPr>
          </w:p>
        </w:tc>
        <w:tc>
          <w:tcPr>
            <w:tcW w:w="1000" w:type="dxa"/>
            <w:vAlign w:val="bottom"/>
            <w:shd w:val="clear" w:color="auto" w:fill="282828"/>
          </w:tcPr>
          <w:p>
            <w:pPr>
              <w:spacing w:after="0" w:line="20" w:lineRule="exact"/>
              <w:rPr>
                <w:sz w:val="1"/>
                <w:szCs w:val="1"/>
                <w:color w:val="auto"/>
              </w:rPr>
            </w:pPr>
          </w:p>
        </w:tc>
        <w:tc>
          <w:tcPr>
            <w:tcW w:w="220" w:type="dxa"/>
            <w:vAlign w:val="bottom"/>
            <w:shd w:val="clear" w:color="auto" w:fill="282828"/>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10.30†</w:t>
            </w:r>
          </w:p>
        </w:tc>
        <w:tc>
          <w:tcPr>
            <w:tcW w:w="9060" w:type="dxa"/>
            <w:vAlign w:val="bottom"/>
            <w:tcBorders>
              <w:bottom w:val="single" w:sz="8" w:color="282828"/>
            </w:tcBorders>
            <w:gridSpan w:val="19"/>
          </w:tcPr>
          <w:p>
            <w:pPr>
              <w:spacing w:after="0"/>
              <w:rPr>
                <w:sz w:val="20"/>
                <w:szCs w:val="20"/>
                <w:color w:val="auto"/>
              </w:rPr>
            </w:pPr>
            <w:r>
              <w:rPr>
                <w:rFonts w:ascii="Times New Roman" w:cs="Times New Roman" w:eastAsia="Times New Roman" w:hAnsi="Times New Roman"/>
                <w:sz w:val="20"/>
                <w:szCs w:val="20"/>
                <w:color w:val="282828"/>
              </w:rPr>
              <w:t>Employment Offer Letter by and between Sara Furber and Tradeweb Markets LLC (incorporated by reference to</w:t>
            </w:r>
          </w:p>
        </w:tc>
        <w:tc>
          <w:tcPr>
            <w:tcW w:w="20" w:type="dxa"/>
            <w:vAlign w:val="bottom"/>
            <w:tcBorders>
              <w:bottom w:val="single" w:sz="8" w:color="282828"/>
            </w:tcBorders>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60" w:type="dxa"/>
            <w:vAlign w:val="bottom"/>
            <w:gridSpan w:val="19"/>
          </w:tcPr>
          <w:p>
            <w:pPr>
              <w:spacing w:after="0" w:line="220" w:lineRule="exact"/>
              <w:rPr>
                <w:sz w:val="20"/>
                <w:szCs w:val="20"/>
                <w:color w:val="auto"/>
              </w:rPr>
            </w:pPr>
            <w:r>
              <w:rPr>
                <w:rFonts w:ascii="Times New Roman" w:cs="Times New Roman" w:eastAsia="Times New Roman" w:hAnsi="Times New Roman"/>
                <w:sz w:val="20"/>
                <w:szCs w:val="20"/>
                <w:color w:val="282828"/>
              </w:rPr>
              <w:t>Exhibit 10.22 to the Company’s Quarterly Report on Form 10-Q filed on October 29, 2021 (File No.</w:t>
            </w: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top w:val="single" w:sz="8" w:color="282828"/>
              <w:bottom w:val="single" w:sz="8" w:color="282828"/>
            </w:tcBorders>
          </w:tcPr>
          <w:p>
            <w:pPr>
              <w:spacing w:after="0" w:line="220" w:lineRule="exact"/>
              <w:rPr>
                <w:sz w:val="20"/>
                <w:szCs w:val="20"/>
                <w:color w:val="auto"/>
              </w:rPr>
            </w:pPr>
            <w:r>
              <w:rPr>
                <w:rFonts w:ascii="Times New Roman" w:cs="Times New Roman" w:eastAsia="Times New Roman" w:hAnsi="Times New Roman"/>
                <w:sz w:val="20"/>
                <w:szCs w:val="20"/>
                <w:color w:val="282828"/>
                <w:w w:val="97"/>
              </w:rPr>
              <w:t>001-38860)).</w:t>
            </w:r>
          </w:p>
        </w:tc>
        <w:tc>
          <w:tcPr>
            <w:tcW w:w="1000" w:type="dxa"/>
            <w:vAlign w:val="bottom"/>
            <w:tcBorders>
              <w:top w:val="single" w:sz="8" w:color="282828"/>
            </w:tcBorders>
          </w:tcPr>
          <w:p>
            <w:pPr>
              <w:spacing w:after="0"/>
              <w:rPr>
                <w:sz w:val="19"/>
                <w:szCs w:val="19"/>
                <w:color w:val="auto"/>
              </w:rPr>
            </w:pPr>
          </w:p>
        </w:tc>
        <w:tc>
          <w:tcPr>
            <w:tcW w:w="220" w:type="dxa"/>
            <w:vAlign w:val="bottom"/>
            <w:tcBorders>
              <w:top w:val="single" w:sz="8" w:color="282828"/>
            </w:tcBorders>
          </w:tcPr>
          <w:p>
            <w:pPr>
              <w:spacing w:after="0"/>
              <w:rPr>
                <w:sz w:val="19"/>
                <w:szCs w:val="19"/>
                <w:color w:val="auto"/>
              </w:rPr>
            </w:pPr>
          </w:p>
        </w:tc>
        <w:tc>
          <w:tcPr>
            <w:tcW w:w="1900" w:type="dxa"/>
            <w:vAlign w:val="bottom"/>
            <w:tcBorders>
              <w:top w:val="single" w:sz="8" w:color="282828"/>
            </w:tcBorders>
          </w:tcPr>
          <w:p>
            <w:pPr>
              <w:spacing w:after="0"/>
              <w:rPr>
                <w:sz w:val="19"/>
                <w:szCs w:val="19"/>
                <w:color w:val="auto"/>
              </w:rPr>
            </w:pPr>
          </w:p>
        </w:tc>
        <w:tc>
          <w:tcPr>
            <w:tcW w:w="800" w:type="dxa"/>
            <w:vAlign w:val="bottom"/>
            <w:tcBorders>
              <w:top w:val="single" w:sz="8" w:color="282828"/>
            </w:tcBorders>
          </w:tcPr>
          <w:p>
            <w:pPr>
              <w:spacing w:after="0"/>
              <w:rPr>
                <w:sz w:val="19"/>
                <w:szCs w:val="19"/>
                <w:color w:val="auto"/>
              </w:rPr>
            </w:pPr>
          </w:p>
        </w:tc>
        <w:tc>
          <w:tcPr>
            <w:tcW w:w="480" w:type="dxa"/>
            <w:vAlign w:val="bottom"/>
            <w:tcBorders>
              <w:top w:val="single" w:sz="8" w:color="282828"/>
            </w:tcBorders>
          </w:tcPr>
          <w:p>
            <w:pPr>
              <w:spacing w:after="0"/>
              <w:rPr>
                <w:sz w:val="19"/>
                <w:szCs w:val="19"/>
                <w:color w:val="auto"/>
              </w:rPr>
            </w:pPr>
          </w:p>
        </w:tc>
        <w:tc>
          <w:tcPr>
            <w:tcW w:w="60" w:type="dxa"/>
            <w:vAlign w:val="bottom"/>
            <w:tcBorders>
              <w:top w:val="single" w:sz="8" w:color="282828"/>
            </w:tcBorders>
          </w:tcPr>
          <w:p>
            <w:pPr>
              <w:spacing w:after="0"/>
              <w:rPr>
                <w:sz w:val="19"/>
                <w:szCs w:val="19"/>
                <w:color w:val="auto"/>
              </w:rPr>
            </w:pPr>
          </w:p>
        </w:tc>
        <w:tc>
          <w:tcPr>
            <w:tcW w:w="1160" w:type="dxa"/>
            <w:vAlign w:val="bottom"/>
            <w:tcBorders>
              <w:top w:val="single" w:sz="8" w:color="282828"/>
            </w:tcBorders>
          </w:tcPr>
          <w:p>
            <w:pPr>
              <w:spacing w:after="0"/>
              <w:rPr>
                <w:sz w:val="19"/>
                <w:szCs w:val="19"/>
                <w:color w:val="auto"/>
              </w:rPr>
            </w:pPr>
          </w:p>
        </w:tc>
        <w:tc>
          <w:tcPr>
            <w:tcW w:w="1400" w:type="dxa"/>
            <w:vAlign w:val="bottom"/>
            <w:tcBorders>
              <w:top w:val="single" w:sz="8" w:color="282828"/>
            </w:tcBorders>
          </w:tcPr>
          <w:p>
            <w:pPr>
              <w:spacing w:after="0"/>
              <w:rPr>
                <w:sz w:val="19"/>
                <w:szCs w:val="19"/>
                <w:color w:val="auto"/>
              </w:rPr>
            </w:pPr>
          </w:p>
        </w:tc>
        <w:tc>
          <w:tcPr>
            <w:tcW w:w="40" w:type="dxa"/>
            <w:vAlign w:val="bottom"/>
            <w:tcBorders>
              <w:top w:val="single" w:sz="8" w:color="282828"/>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10.31†</w:t>
            </w:r>
          </w:p>
        </w:tc>
        <w:tc>
          <w:tcPr>
            <w:tcW w:w="8880" w:type="dxa"/>
            <w:vAlign w:val="bottom"/>
            <w:tcBorders>
              <w:bottom w:val="single" w:sz="8" w:color="282828"/>
            </w:tcBorders>
            <w:gridSpan w:val="17"/>
          </w:tcPr>
          <w:p>
            <w:pPr>
              <w:spacing w:after="0"/>
              <w:rPr>
                <w:sz w:val="20"/>
                <w:szCs w:val="20"/>
                <w:color w:val="auto"/>
              </w:rPr>
            </w:pPr>
            <w:r>
              <w:rPr>
                <w:rFonts w:ascii="Times New Roman" w:cs="Times New Roman" w:eastAsia="Times New Roman" w:hAnsi="Times New Roman"/>
                <w:sz w:val="20"/>
                <w:szCs w:val="20"/>
                <w:color w:val="282828"/>
              </w:rPr>
              <w:t>Amended and Restated Employment Agreement, dated as of February 21, 2023, by and between William Hult</w:t>
            </w:r>
          </w:p>
        </w:tc>
        <w:tc>
          <w:tcPr>
            <w:tcW w:w="1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0" w:type="dxa"/>
            <w:vAlign w:val="bottom"/>
            <w:tcBorders>
              <w:bottom w:val="single" w:sz="8" w:color="282828"/>
            </w:tcBorders>
            <w:gridSpan w:val="15"/>
          </w:tcPr>
          <w:p>
            <w:pPr>
              <w:spacing w:after="0" w:line="220" w:lineRule="exact"/>
              <w:rPr>
                <w:sz w:val="20"/>
                <w:szCs w:val="20"/>
                <w:color w:val="auto"/>
              </w:rPr>
            </w:pPr>
            <w:r>
              <w:rPr>
                <w:rFonts w:ascii="Times New Roman" w:cs="Times New Roman" w:eastAsia="Times New Roman" w:hAnsi="Times New Roman"/>
                <w:sz w:val="20"/>
                <w:szCs w:val="20"/>
                <w:color w:val="282828"/>
              </w:rPr>
              <w:t>and Tradeweb Markets LLC (incorporated by reference to Exhibit 10.30 to the Company’s Annual Report on</w:t>
            </w:r>
          </w:p>
        </w:tc>
        <w:tc>
          <w:tcPr>
            <w:tcW w:w="2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60" w:type="dxa"/>
            <w:vAlign w:val="bottom"/>
            <w:tcBorders>
              <w:bottom w:val="single" w:sz="8" w:color="282828"/>
            </w:tcBorders>
            <w:gridSpan w:val="5"/>
          </w:tcPr>
          <w:p>
            <w:pPr>
              <w:spacing w:after="0" w:line="220" w:lineRule="exact"/>
              <w:rPr>
                <w:sz w:val="20"/>
                <w:szCs w:val="20"/>
                <w:color w:val="auto"/>
              </w:rPr>
            </w:pPr>
            <w:r>
              <w:rPr>
                <w:rFonts w:ascii="Times New Roman" w:cs="Times New Roman" w:eastAsia="Times New Roman" w:hAnsi="Times New Roman"/>
                <w:sz w:val="20"/>
                <w:szCs w:val="20"/>
                <w:color w:val="282828"/>
                <w:w w:val="99"/>
              </w:rPr>
              <w:t>Form 10-K filed on February 24, 2023 (File No. 001-38860)).</w:t>
            </w:r>
          </w:p>
        </w:tc>
        <w:tc>
          <w:tcPr>
            <w:tcW w:w="4100" w:type="dxa"/>
            <w:vAlign w:val="bottom"/>
            <w:gridSpan w:val="14"/>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10.32†</w:t>
            </w:r>
          </w:p>
        </w:tc>
        <w:tc>
          <w:tcPr>
            <w:tcW w:w="9060" w:type="dxa"/>
            <w:vAlign w:val="bottom"/>
            <w:gridSpan w:val="19"/>
          </w:tcPr>
          <w:p>
            <w:pPr>
              <w:spacing w:after="0"/>
              <w:rPr>
                <w:sz w:val="20"/>
                <w:szCs w:val="20"/>
                <w:color w:val="auto"/>
              </w:rPr>
            </w:pPr>
            <w:r>
              <w:rPr>
                <w:rFonts w:ascii="Times New Roman" w:cs="Times New Roman" w:eastAsia="Times New Roman" w:hAnsi="Times New Roman"/>
                <w:sz w:val="20"/>
                <w:szCs w:val="20"/>
                <w:color w:val="282828"/>
              </w:rPr>
              <w:t>Form of Tradeweb Markets Inc. 2019 Omnibus Equity Incentive Plan 2025 Director RSU Award Agreement</w:t>
            </w:r>
          </w:p>
        </w:tc>
        <w:tc>
          <w:tcPr>
            <w:tcW w:w="20" w:type="dxa"/>
            <w:vAlign w:val="bottom"/>
          </w:tcPr>
          <w:p>
            <w:pPr>
              <w:spacing w:after="0"/>
              <w:rPr>
                <w:sz w:val="23"/>
                <w:szCs w:val="23"/>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760" w:type="dxa"/>
            <w:vAlign w:val="bottom"/>
            <w:tcBorders>
              <w:top w:val="single" w:sz="8" w:color="282828"/>
            </w:tcBorders>
            <w:gridSpan w:val="13"/>
          </w:tcPr>
          <w:p>
            <w:pPr>
              <w:spacing w:after="0" w:line="180" w:lineRule="exact"/>
              <w:rPr>
                <w:sz w:val="20"/>
                <w:szCs w:val="20"/>
                <w:color w:val="auto"/>
              </w:rPr>
            </w:pPr>
            <w:r>
              <w:rPr>
                <w:rFonts w:ascii="Times New Roman" w:cs="Times New Roman" w:eastAsia="Times New Roman" w:hAnsi="Times New Roman"/>
                <w:sz w:val="20"/>
                <w:szCs w:val="20"/>
                <w:color w:val="282828"/>
                <w:w w:val="99"/>
              </w:rPr>
              <w:t>(incorporated by reference to Exhibit 10.1 to the Company’s Quarterly Report on Form 10-Q filed on July 30,</w:t>
            </w:r>
          </w:p>
        </w:tc>
        <w:tc>
          <w:tcPr>
            <w:tcW w:w="30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40" w:type="dxa"/>
            <w:vAlign w:val="bottom"/>
            <w:tcBorders>
              <w:top w:val="single" w:sz="8" w:color="282828"/>
            </w:tcBorders>
            <w:gridSpan w:val="16"/>
          </w:tcPr>
          <w:p>
            <w:pPr>
              <w:spacing w:after="0" w:line="180" w:lineRule="exact"/>
              <w:rPr>
                <w:sz w:val="20"/>
                <w:szCs w:val="20"/>
                <w:color w:val="auto"/>
              </w:rPr>
            </w:pPr>
            <w:r>
              <w:rPr>
                <w:rFonts w:ascii="Times New Roman" w:cs="Times New Roman" w:eastAsia="Times New Roman" w:hAnsi="Times New Roman"/>
                <w:sz w:val="20"/>
                <w:szCs w:val="20"/>
                <w:color w:val="282828"/>
              </w:rPr>
              <w:t>2025 (File No. 001-38860)).</w:t>
            </w: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2"/>
            <w:shd w:val="clear" w:color="auto" w:fill="282828"/>
          </w:tcPr>
          <w:p>
            <w:pPr>
              <w:spacing w:after="0" w:line="20" w:lineRule="exact"/>
              <w:rPr>
                <w:sz w:val="1"/>
                <w:szCs w:val="1"/>
                <w:color w:val="auto"/>
              </w:rPr>
            </w:pPr>
          </w:p>
        </w:tc>
        <w:tc>
          <w:tcPr>
            <w:tcW w:w="220" w:type="dxa"/>
            <w:vAlign w:val="bottom"/>
            <w:shd w:val="clear" w:color="auto" w:fill="282828"/>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10.33*†+</w:t>
            </w:r>
          </w:p>
        </w:tc>
        <w:tc>
          <w:tcPr>
            <w:tcW w:w="9060" w:type="dxa"/>
            <w:vAlign w:val="bottom"/>
            <w:gridSpan w:val="19"/>
          </w:tcPr>
          <w:p>
            <w:pPr>
              <w:spacing w:after="0"/>
              <w:rPr>
                <w:sz w:val="20"/>
                <w:szCs w:val="20"/>
                <w:color w:val="auto"/>
              </w:rPr>
            </w:pPr>
            <w:r>
              <w:rPr>
                <w:rFonts w:ascii="Times New Roman" w:cs="Times New Roman" w:eastAsia="Times New Roman" w:hAnsi="Times New Roman"/>
                <w:sz w:val="20"/>
                <w:szCs w:val="20"/>
                <w:color w:val="282828"/>
              </w:rPr>
              <w:t>Employment Offer Letter by and between Troy Dixon and Tradeweb Markets LLC</w:t>
            </w:r>
            <w:r>
              <w:rPr>
                <w:rFonts w:ascii="Times New Roman" w:cs="Times New Roman" w:eastAsia="Times New Roman" w:hAnsi="Times New Roman"/>
                <w:sz w:val="20"/>
                <w:szCs w:val="20"/>
                <w:color w:val="000000"/>
              </w:rPr>
              <w:t>.</w:t>
            </w:r>
          </w:p>
        </w:tc>
        <w:tc>
          <w:tcPr>
            <w:tcW w:w="2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2"/>
            <w:shd w:val="clear" w:color="auto" w:fill="282828"/>
          </w:tcPr>
          <w:p>
            <w:pPr>
              <w:spacing w:after="0" w:line="20" w:lineRule="exact"/>
              <w:rPr>
                <w:sz w:val="1"/>
                <w:szCs w:val="1"/>
                <w:color w:val="auto"/>
              </w:rPr>
            </w:pPr>
          </w:p>
        </w:tc>
        <w:tc>
          <w:tcPr>
            <w:tcW w:w="4620" w:type="dxa"/>
            <w:vAlign w:val="bottom"/>
            <w:gridSpan w:val="6"/>
            <w:shd w:val="clear" w:color="auto" w:fill="282828"/>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10.34*†+</w:t>
            </w:r>
          </w:p>
        </w:tc>
        <w:tc>
          <w:tcPr>
            <w:tcW w:w="8780" w:type="dxa"/>
            <w:vAlign w:val="bottom"/>
            <w:tcBorders>
              <w:bottom w:val="single" w:sz="8" w:color="282828"/>
            </w:tcBorders>
            <w:gridSpan w:val="14"/>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2026 PRSU Award Agreement (Form of PRSU</w:t>
            </w:r>
          </w:p>
        </w:tc>
        <w:tc>
          <w:tcPr>
            <w:tcW w:w="280" w:type="dxa"/>
            <w:vAlign w:val="bottom"/>
            <w:gridSpan w:val="5"/>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tcBorders>
              <w:bottom w:val="single" w:sz="8" w:color="282828"/>
            </w:tcBorders>
            <w:gridSpan w:val="2"/>
          </w:tcPr>
          <w:p>
            <w:pPr>
              <w:spacing w:after="0" w:line="220" w:lineRule="exact"/>
              <w:rPr>
                <w:sz w:val="20"/>
                <w:szCs w:val="20"/>
                <w:color w:val="auto"/>
              </w:rPr>
            </w:pPr>
            <w:r>
              <w:rPr>
                <w:rFonts w:ascii="Times New Roman" w:cs="Times New Roman" w:eastAsia="Times New Roman" w:hAnsi="Times New Roman"/>
                <w:sz w:val="20"/>
                <w:szCs w:val="20"/>
                <w:color w:val="282828"/>
                <w:w w:val="99"/>
              </w:rPr>
              <w:t>Agreement for Mr. Hult).</w:t>
            </w:r>
          </w:p>
        </w:tc>
        <w:tc>
          <w:tcPr>
            <w:tcW w:w="7020" w:type="dxa"/>
            <w:vAlign w:val="bottom"/>
            <w:gridSpan w:val="17"/>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10.35*†</w:t>
            </w:r>
          </w:p>
        </w:tc>
        <w:tc>
          <w:tcPr>
            <w:tcW w:w="8500" w:type="dxa"/>
            <w:vAlign w:val="bottom"/>
            <w:tcBorders>
              <w:bottom w:val="single" w:sz="8" w:color="282828"/>
            </w:tcBorders>
            <w:gridSpan w:val="11"/>
          </w:tcPr>
          <w:p>
            <w:pPr>
              <w:spacing w:after="0"/>
              <w:rPr>
                <w:sz w:val="20"/>
                <w:szCs w:val="20"/>
                <w:color w:val="auto"/>
              </w:rPr>
            </w:pPr>
            <w:r>
              <w:rPr>
                <w:rFonts w:ascii="Times New Roman" w:cs="Times New Roman" w:eastAsia="Times New Roman" w:hAnsi="Times New Roman"/>
                <w:sz w:val="20"/>
                <w:szCs w:val="20"/>
                <w:color w:val="282828"/>
              </w:rPr>
              <w:t>Tradeweb Markets Inc. 2019 Omnibus Equity Incentive Plan 2026 PSU Award Agreement (Form of PSU</w:t>
            </w:r>
          </w:p>
        </w:tc>
        <w:tc>
          <w:tcPr>
            <w:tcW w:w="560" w:type="dxa"/>
            <w:vAlign w:val="bottom"/>
            <w:gridSpan w:val="8"/>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tcBorders>
              <w:bottom w:val="single" w:sz="8" w:color="282828"/>
            </w:tcBorders>
            <w:gridSpan w:val="2"/>
          </w:tcPr>
          <w:p>
            <w:pPr>
              <w:spacing w:after="0" w:line="220" w:lineRule="exact"/>
              <w:rPr>
                <w:sz w:val="20"/>
                <w:szCs w:val="20"/>
                <w:color w:val="auto"/>
              </w:rPr>
            </w:pPr>
            <w:r>
              <w:rPr>
                <w:rFonts w:ascii="Times New Roman" w:cs="Times New Roman" w:eastAsia="Times New Roman" w:hAnsi="Times New Roman"/>
                <w:sz w:val="20"/>
                <w:szCs w:val="20"/>
                <w:color w:val="282828"/>
                <w:w w:val="99"/>
              </w:rPr>
              <w:t>Agreement for Mr. Hult).</w:t>
            </w:r>
          </w:p>
        </w:tc>
        <w:tc>
          <w:tcPr>
            <w:tcW w:w="7020" w:type="dxa"/>
            <w:vAlign w:val="bottom"/>
            <w:gridSpan w:val="17"/>
          </w:tcPr>
          <w:p>
            <w:pPr>
              <w:spacing w:after="0"/>
              <w:rPr>
                <w:sz w:val="19"/>
                <w:szCs w:val="19"/>
                <w:color w:val="auto"/>
              </w:rPr>
            </w:pPr>
          </w:p>
        </w:tc>
        <w:tc>
          <w:tcPr>
            <w:tcW w:w="20" w:type="dxa"/>
            <w:vAlign w:val="bottom"/>
          </w:tcPr>
          <w:p>
            <w:pPr>
              <w:spacing w:after="0"/>
              <w:rPr>
                <w:sz w:val="19"/>
                <w:szCs w:val="19"/>
                <w:color w:val="auto"/>
              </w:rPr>
            </w:pPr>
          </w:p>
        </w:tc>
      </w:tr>
    </w:tbl>
    <w:p>
      <w:pPr>
        <w:spacing w:after="0" w:line="58" w:lineRule="exact"/>
        <w:rPr>
          <w:sz w:val="20"/>
          <w:szCs w:val="20"/>
          <w:color w:val="auto"/>
        </w:rPr>
      </w:pPr>
    </w:p>
    <w:p>
      <w:pPr>
        <w:sectPr>
          <w:pgSz w:w="12240" w:h="15840" w:orient="portrait"/>
          <w:cols w:equalWidth="0" w:num="1">
            <w:col w:w="10440"/>
          </w:cols>
          <w:pgMar w:left="900" w:top="913" w:right="900" w:bottom="0" w:gutter="0" w:footer="0" w:header="0"/>
        </w:sectPr>
      </w:pPr>
    </w:p>
    <w:p>
      <w:pPr>
        <w:ind w:left="60"/>
        <w:spacing w:after="0"/>
        <w:rPr>
          <w:sz w:val="20"/>
          <w:szCs w:val="20"/>
          <w:color w:val="auto"/>
        </w:rPr>
      </w:pPr>
      <w:r>
        <w:rPr>
          <w:rFonts w:ascii="Times New Roman" w:cs="Times New Roman" w:eastAsia="Times New Roman" w:hAnsi="Times New Roman"/>
          <w:sz w:val="20"/>
          <w:szCs w:val="20"/>
          <w:color w:val="auto"/>
        </w:rPr>
        <w:t>10.36*†</w:t>
      </w: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10.37*†+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580"/>
        <w:spacing w:after="0" w:line="263" w:lineRule="auto"/>
        <w:rPr>
          <w:sz w:val="20"/>
          <w:szCs w:val="20"/>
          <w:color w:val="auto"/>
        </w:rPr>
      </w:pPr>
      <w:r>
        <w:rPr>
          <w:rFonts w:ascii="Times New Roman" w:cs="Times New Roman" w:eastAsia="Times New Roman" w:hAnsi="Times New Roman"/>
          <w:sz w:val="20"/>
          <w:szCs w:val="20"/>
          <w:u w:val="single" w:color="auto"/>
          <w:color w:val="282828"/>
        </w:rPr>
        <w:t>Tradeweb Markets Inc. 2019 Omnibus Equity Incentive Plan 2026 RSU Award Agreement (Form of RSU Agreement for Mr. Hult).</w:t>
      </w:r>
    </w:p>
    <w:p>
      <w:pPr>
        <w:ind w:right="360"/>
        <w:spacing w:after="0" w:line="273" w:lineRule="auto"/>
        <w:rPr>
          <w:sz w:val="20"/>
          <w:szCs w:val="20"/>
          <w:color w:val="auto"/>
        </w:rPr>
      </w:pPr>
      <w:r>
        <w:rPr>
          <w:rFonts w:ascii="Times New Roman" w:cs="Times New Roman" w:eastAsia="Times New Roman" w:hAnsi="Times New Roman"/>
          <w:sz w:val="20"/>
          <w:szCs w:val="20"/>
          <w:u w:val="single" w:color="auto"/>
          <w:color w:val="282828"/>
        </w:rPr>
        <w:t>Tradeweb Markets Inc. 2019 Omnibus Equity Incentive Plan 2026 PRSU Award Agreement (Form of PRSU Agreement for other Executive Officers).</w:t>
      </w:r>
    </w:p>
    <w:p>
      <w:pPr>
        <w:spacing w:after="0" w:line="2" w:lineRule="exact"/>
        <w:rPr>
          <w:sz w:val="20"/>
          <w:szCs w:val="20"/>
          <w:color w:val="auto"/>
        </w:rPr>
      </w:pPr>
    </w:p>
    <w:p>
      <w:pPr>
        <w:sectPr>
          <w:pgSz w:w="12240" w:h="15840" w:orient="portrait"/>
          <w:cols w:equalWidth="0" w:num="2">
            <w:col w:w="820" w:space="540"/>
            <w:col w:w="9080"/>
          </w:cols>
          <w:pgMar w:left="900" w:top="913" w:right="900" w:bottom="0" w:gutter="0" w:footer="0" w:header="0"/>
          <w:type w:val="continuous"/>
        </w:sectPr>
      </w:pPr>
    </w:p>
    <w:p>
      <w:pPr>
        <w:ind w:left="1360" w:right="620" w:hanging="1304"/>
        <w:spacing w:after="0" w:line="273" w:lineRule="auto"/>
        <w:tabs>
          <w:tab w:leader="none" w:pos="1340" w:val="left"/>
        </w:tabs>
        <w:rPr>
          <w:sz w:val="20"/>
          <w:szCs w:val="20"/>
          <w:color w:val="auto"/>
        </w:rPr>
      </w:pPr>
      <w:r>
        <w:rPr>
          <w:rFonts w:ascii="Times New Roman" w:cs="Times New Roman" w:eastAsia="Times New Roman" w:hAnsi="Times New Roman"/>
          <w:sz w:val="20"/>
          <w:szCs w:val="20"/>
          <w:color w:val="auto"/>
        </w:rPr>
        <w:t>10.38*†</w:t>
      </w:r>
      <w:r>
        <w:rPr>
          <w:sz w:val="20"/>
          <w:szCs w:val="20"/>
          <w:color w:val="auto"/>
        </w:rPr>
        <w:tab/>
      </w:r>
      <w:r>
        <w:rPr>
          <w:rFonts w:ascii="Times New Roman" w:cs="Times New Roman" w:eastAsia="Times New Roman" w:hAnsi="Times New Roman"/>
          <w:sz w:val="20"/>
          <w:szCs w:val="20"/>
          <w:u w:val="single" w:color="auto"/>
          <w:color w:val="282828"/>
        </w:rPr>
        <w:t>Tradeweb Markets Inc. 2019 Omnibus Equity Incentive Plan 2026 PSU Award Agreement (Form of PSU Agreement for other Executive Officers).</w:t>
      </w:r>
    </w:p>
    <w:p>
      <w:pPr>
        <w:sectPr>
          <w:pgSz w:w="12240" w:h="15840" w:orient="portrait"/>
          <w:cols w:equalWidth="0" w:num="1">
            <w:col w:w="10440"/>
          </w:cols>
          <w:pgMar w:left="900" w:top="913" w:right="900" w:bottom="0" w:gutter="0" w:footer="0" w:header="0"/>
          <w:type w:val="continuous"/>
        </w:sectPr>
      </w:pP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10.39*†</w:t>
      </w: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10.40*†</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10.41*†</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10.42*†</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10.43†</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20"/>
          <w:szCs w:val="20"/>
          <w:u w:val="single" w:color="auto"/>
          <w:color w:val="282828"/>
        </w:rPr>
        <w:t>Tradeweb Markets Inc. 2019 Omnibus Equity Incentive Plan 2026 RSU Award Agreement (Form of RSU Agreement for other Executive Officers).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82828"/>
        </w:rPr>
        <w:t>Tradeweb Markets Inc. Amendment to Prior Awards (Form of Amendment for Mr. Hult).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82828"/>
        </w:rPr>
        <w:t>Tradeweb Markets Inc. Amendment to Prior Awards (Form of Amendment for other Executive Officers).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82828"/>
        </w:rPr>
        <w:t>Tradeweb Markets Inc. Amended and Restated Executive Severance Policy, effective as of February 5, 2026.</w:t>
      </w:r>
    </w:p>
    <w:p>
      <w:pPr>
        <w:spacing w:after="0" w:line="5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u w:val="single" w:color="auto"/>
          <w:color w:val="282828"/>
        </w:rPr>
        <w:t>Employment Offer Letter by and between Amy Clack and Tradeweb Markets LLC, dated as of May 9, 2024 (incorporated by reference to Exhibit 10.1 to the Company’s Quarterly Report on Form 10-Q filed on April 30, 2025 (File No. 001-38860)).</w:t>
      </w:r>
    </w:p>
    <w:p>
      <w:pPr>
        <w:spacing w:after="0" w:line="1" w:lineRule="exact"/>
        <w:rPr>
          <w:sz w:val="20"/>
          <w:szCs w:val="20"/>
          <w:color w:val="auto"/>
        </w:rPr>
      </w:pPr>
    </w:p>
    <w:p>
      <w:pPr>
        <w:sectPr>
          <w:pgSz w:w="12240" w:h="15840" w:orient="portrait"/>
          <w:cols w:equalWidth="0" w:num="2">
            <w:col w:w="700" w:space="660"/>
            <w:col w:w="9080"/>
          </w:cols>
          <w:pgMar w:left="900" w:top="913" w:right="900" w:bottom="0" w:gutter="0" w:footer="0" w:header="0"/>
          <w:type w:val="continuous"/>
        </w:sectPr>
      </w:pPr>
    </w:p>
    <w:tbl>
      <w:tblPr>
        <w:tblLayout w:type="fixed"/>
        <w:tblInd w:w="60" w:type="dxa"/>
        <w:tblCellMar>
          <w:top w:w="0" w:type="dxa"/>
          <w:left w:w="0" w:type="dxa"/>
          <w:bottom w:w="0" w:type="dxa"/>
          <w:right w:w="0" w:type="dxa"/>
        </w:tblCellMar>
      </w:tblPr>
      <w:tr>
        <w:trPr>
          <w:trHeight w:val="217"/>
        </w:trPr>
        <w:tc>
          <w:tcPr>
            <w:tcW w:w="130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19.1*</w:t>
            </w:r>
          </w:p>
        </w:tc>
        <w:tc>
          <w:tcPr>
            <w:tcW w:w="6740" w:type="dxa"/>
            <w:vAlign w:val="bottom"/>
            <w:tcBorders>
              <w:bottom w:val="single" w:sz="8" w:color="282828"/>
            </w:tcBorders>
            <w:gridSpan w:val="4"/>
          </w:tcPr>
          <w:p>
            <w:pPr>
              <w:spacing w:after="0" w:line="217" w:lineRule="exact"/>
              <w:rPr>
                <w:sz w:val="20"/>
                <w:szCs w:val="20"/>
                <w:color w:val="auto"/>
              </w:rPr>
            </w:pPr>
            <w:r>
              <w:rPr>
                <w:rFonts w:ascii="Times New Roman" w:cs="Times New Roman" w:eastAsia="Times New Roman" w:hAnsi="Times New Roman"/>
                <w:sz w:val="20"/>
                <w:szCs w:val="20"/>
                <w:color w:val="282828"/>
                <w:w w:val="99"/>
              </w:rPr>
              <w:t>Tradeweb Markets Inc. Securities Trading Policy, effective as of December 9, 2025.</w:t>
            </w:r>
          </w:p>
        </w:tc>
        <w:tc>
          <w:tcPr>
            <w:tcW w:w="2280" w:type="dxa"/>
            <w:vAlign w:val="bottom"/>
            <w:gridSpan w:val="3"/>
          </w:tcPr>
          <w:p>
            <w:pPr>
              <w:spacing w:after="0"/>
              <w:rPr>
                <w:sz w:val="18"/>
                <w:szCs w:val="18"/>
                <w:color w:val="auto"/>
              </w:rPr>
            </w:pPr>
          </w:p>
        </w:tc>
      </w:tr>
      <w:tr>
        <w:trPr>
          <w:trHeight w:val="265"/>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3680" w:type="dxa"/>
            <w:vAlign w:val="bottom"/>
            <w:tcBorders>
              <w:bottom w:val="single" w:sz="8" w:color="282828"/>
            </w:tcBorders>
            <w:gridSpan w:val="3"/>
          </w:tcPr>
          <w:p>
            <w:pPr>
              <w:spacing w:after="0"/>
              <w:rPr>
                <w:sz w:val="20"/>
                <w:szCs w:val="20"/>
                <w:color w:val="auto"/>
              </w:rPr>
            </w:pPr>
            <w:r>
              <w:rPr>
                <w:rFonts w:ascii="Times New Roman" w:cs="Times New Roman" w:eastAsia="Times New Roman" w:hAnsi="Times New Roman"/>
                <w:sz w:val="20"/>
                <w:szCs w:val="20"/>
                <w:color w:val="282828"/>
                <w:w w:val="99"/>
              </w:rPr>
              <w:t>List of Subsidiaries of Tradeweb Markets Inc.</w:t>
            </w:r>
          </w:p>
        </w:tc>
        <w:tc>
          <w:tcPr>
            <w:tcW w:w="5340" w:type="dxa"/>
            <w:vAlign w:val="bottom"/>
            <w:gridSpan w:val="4"/>
          </w:tcPr>
          <w:p>
            <w:pPr>
              <w:spacing w:after="0"/>
              <w:rPr>
                <w:sz w:val="23"/>
                <w:szCs w:val="23"/>
                <w:color w:val="auto"/>
              </w:rPr>
            </w:pPr>
          </w:p>
        </w:tc>
      </w:tr>
      <w:tr>
        <w:trPr>
          <w:trHeight w:val="265"/>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2880" w:type="dxa"/>
            <w:vAlign w:val="bottom"/>
            <w:tcBorders>
              <w:bottom w:val="single" w:sz="8" w:color="282828"/>
            </w:tcBorders>
            <w:gridSpan w:val="2"/>
          </w:tcPr>
          <w:p>
            <w:pPr>
              <w:spacing w:after="0"/>
              <w:rPr>
                <w:sz w:val="20"/>
                <w:szCs w:val="20"/>
                <w:color w:val="auto"/>
              </w:rPr>
            </w:pPr>
            <w:r>
              <w:rPr>
                <w:rFonts w:ascii="Times New Roman" w:cs="Times New Roman" w:eastAsia="Times New Roman" w:hAnsi="Times New Roman"/>
                <w:sz w:val="20"/>
                <w:szCs w:val="20"/>
                <w:color w:val="282828"/>
                <w:w w:val="99"/>
              </w:rPr>
              <w:t>Consent of Deloitte &amp; Touche LLP.</w:t>
            </w:r>
          </w:p>
        </w:tc>
        <w:tc>
          <w:tcPr>
            <w:tcW w:w="6140" w:type="dxa"/>
            <w:vAlign w:val="bottom"/>
            <w:gridSpan w:val="5"/>
          </w:tcPr>
          <w:p>
            <w:pPr>
              <w:spacing w:after="0"/>
              <w:rPr>
                <w:sz w:val="23"/>
                <w:szCs w:val="23"/>
                <w:color w:val="auto"/>
              </w:rPr>
            </w:pPr>
          </w:p>
        </w:tc>
      </w:tr>
      <w:tr>
        <w:trPr>
          <w:trHeight w:val="265"/>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020" w:type="dxa"/>
            <w:vAlign w:val="bottom"/>
            <w:tcBorders>
              <w:bottom w:val="single" w:sz="8" w:color="282828"/>
            </w:tcBorders>
            <w:gridSpan w:val="7"/>
          </w:tcPr>
          <w:p>
            <w:pPr>
              <w:spacing w:after="0"/>
              <w:rPr>
                <w:sz w:val="20"/>
                <w:szCs w:val="20"/>
                <w:color w:val="auto"/>
              </w:rPr>
            </w:pPr>
            <w:r>
              <w:rPr>
                <w:rFonts w:ascii="Times New Roman" w:cs="Times New Roman" w:eastAsia="Times New Roman" w:hAnsi="Times New Roman"/>
                <w:sz w:val="20"/>
                <w:szCs w:val="20"/>
                <w:color w:val="282828"/>
              </w:rPr>
              <w:t>Certification of Chief Executive Officer pursuant to Rule 13a-14(a) or 15d-14(a) of the Securities Exchange Act</w:t>
            </w:r>
          </w:p>
        </w:tc>
      </w:tr>
      <w:tr>
        <w:trPr>
          <w:trHeight w:val="220"/>
        </w:trPr>
        <w:tc>
          <w:tcPr>
            <w:tcW w:w="1300" w:type="dxa"/>
            <w:vAlign w:val="bottom"/>
          </w:tcPr>
          <w:p>
            <w:pPr>
              <w:spacing w:after="0"/>
              <w:rPr>
                <w:sz w:val="19"/>
                <w:szCs w:val="19"/>
                <w:color w:val="auto"/>
              </w:rPr>
            </w:pPr>
          </w:p>
        </w:tc>
        <w:tc>
          <w:tcPr>
            <w:tcW w:w="7440" w:type="dxa"/>
            <w:vAlign w:val="bottom"/>
            <w:tcBorders>
              <w:bottom w:val="single" w:sz="8" w:color="282828"/>
            </w:tcBorders>
            <w:gridSpan w:val="5"/>
          </w:tcPr>
          <w:p>
            <w:pPr>
              <w:spacing w:after="0" w:line="220" w:lineRule="exact"/>
              <w:rPr>
                <w:sz w:val="20"/>
                <w:szCs w:val="20"/>
                <w:color w:val="auto"/>
              </w:rPr>
            </w:pPr>
            <w:r>
              <w:rPr>
                <w:rFonts w:ascii="Times New Roman" w:cs="Times New Roman" w:eastAsia="Times New Roman" w:hAnsi="Times New Roman"/>
                <w:sz w:val="20"/>
                <w:szCs w:val="20"/>
                <w:color w:val="282828"/>
                <w:w w:val="99"/>
              </w:rPr>
              <w:t>of 1934, as amended, as adopted pursuant to Section 302 of the Sarbanes-Oxley Act of 2002.</w:t>
            </w:r>
          </w:p>
        </w:tc>
        <w:tc>
          <w:tcPr>
            <w:tcW w:w="1580" w:type="dxa"/>
            <w:vAlign w:val="bottom"/>
            <w:gridSpan w:val="2"/>
          </w:tcPr>
          <w:p>
            <w:pPr>
              <w:spacing w:after="0"/>
              <w:rPr>
                <w:sz w:val="19"/>
                <w:szCs w:val="19"/>
                <w:color w:val="auto"/>
              </w:rPr>
            </w:pPr>
          </w:p>
        </w:tc>
      </w:tr>
      <w:tr>
        <w:trPr>
          <w:trHeight w:val="265"/>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960" w:type="dxa"/>
            <w:vAlign w:val="bottom"/>
            <w:tcBorders>
              <w:bottom w:val="single" w:sz="8" w:color="282828"/>
            </w:tcBorders>
            <w:gridSpan w:val="6"/>
          </w:tcPr>
          <w:p>
            <w:pPr>
              <w:spacing w:after="0"/>
              <w:rPr>
                <w:sz w:val="20"/>
                <w:szCs w:val="20"/>
                <w:color w:val="auto"/>
              </w:rPr>
            </w:pPr>
            <w:r>
              <w:rPr>
                <w:rFonts w:ascii="Times New Roman" w:cs="Times New Roman" w:eastAsia="Times New Roman" w:hAnsi="Times New Roman"/>
                <w:sz w:val="20"/>
                <w:szCs w:val="20"/>
                <w:color w:val="282828"/>
              </w:rPr>
              <w:t>Certification of Chief Financial Officer pursuant to Rule 13a</w:t>
            </w:r>
            <w:r>
              <w:rPr>
                <w:rFonts w:ascii="Arial" w:cs="Arial" w:eastAsia="Arial" w:hAnsi="Arial"/>
                <w:sz w:val="20"/>
                <w:szCs w:val="20"/>
                <w:b w:val="1"/>
                <w:bCs w:val="1"/>
                <w:color w:val="282828"/>
              </w:rPr>
              <w:t>-</w:t>
            </w:r>
            <w:r>
              <w:rPr>
                <w:rFonts w:ascii="Times New Roman" w:cs="Times New Roman" w:eastAsia="Times New Roman" w:hAnsi="Times New Roman"/>
                <w:sz w:val="20"/>
                <w:szCs w:val="20"/>
                <w:color w:val="282828"/>
              </w:rPr>
              <w:t>14(a) or 15d</w:t>
            </w:r>
            <w:r>
              <w:rPr>
                <w:rFonts w:ascii="Arial" w:cs="Arial" w:eastAsia="Arial" w:hAnsi="Arial"/>
                <w:sz w:val="20"/>
                <w:szCs w:val="20"/>
                <w:b w:val="1"/>
                <w:bCs w:val="1"/>
                <w:color w:val="282828"/>
              </w:rPr>
              <w:t>-</w:t>
            </w:r>
            <w:r>
              <w:rPr>
                <w:rFonts w:ascii="Times New Roman" w:cs="Times New Roman" w:eastAsia="Times New Roman" w:hAnsi="Times New Roman"/>
                <w:sz w:val="20"/>
                <w:szCs w:val="20"/>
                <w:color w:val="282828"/>
              </w:rPr>
              <w:t>14(a) of the Securities Exchange Act</w:t>
            </w:r>
          </w:p>
        </w:tc>
        <w:tc>
          <w:tcPr>
            <w:tcW w:w="60" w:type="dxa"/>
            <w:vAlign w:val="bottom"/>
          </w:tcPr>
          <w:p>
            <w:pPr>
              <w:spacing w:after="0"/>
              <w:rPr>
                <w:sz w:val="23"/>
                <w:szCs w:val="23"/>
                <w:color w:val="auto"/>
              </w:rPr>
            </w:pPr>
          </w:p>
        </w:tc>
      </w:tr>
      <w:tr>
        <w:trPr>
          <w:trHeight w:val="220"/>
        </w:trPr>
        <w:tc>
          <w:tcPr>
            <w:tcW w:w="1300" w:type="dxa"/>
            <w:vAlign w:val="bottom"/>
          </w:tcPr>
          <w:p>
            <w:pPr>
              <w:spacing w:after="0"/>
              <w:rPr>
                <w:sz w:val="19"/>
                <w:szCs w:val="19"/>
                <w:color w:val="auto"/>
              </w:rPr>
            </w:pPr>
          </w:p>
        </w:tc>
        <w:tc>
          <w:tcPr>
            <w:tcW w:w="7440" w:type="dxa"/>
            <w:vAlign w:val="bottom"/>
            <w:tcBorders>
              <w:bottom w:val="single" w:sz="8" w:color="282828"/>
            </w:tcBorders>
            <w:gridSpan w:val="5"/>
          </w:tcPr>
          <w:p>
            <w:pPr>
              <w:spacing w:after="0" w:line="220" w:lineRule="exact"/>
              <w:rPr>
                <w:sz w:val="20"/>
                <w:szCs w:val="20"/>
                <w:color w:val="auto"/>
              </w:rPr>
            </w:pPr>
            <w:r>
              <w:rPr>
                <w:rFonts w:ascii="Times New Roman" w:cs="Times New Roman" w:eastAsia="Times New Roman" w:hAnsi="Times New Roman"/>
                <w:sz w:val="20"/>
                <w:szCs w:val="20"/>
                <w:color w:val="282828"/>
                <w:w w:val="99"/>
              </w:rPr>
              <w:t>of 1934, as amended, as adopted pursuant to Section 302 of the Sarbanes-Oxley Act of 2002.</w:t>
            </w:r>
          </w:p>
        </w:tc>
        <w:tc>
          <w:tcPr>
            <w:tcW w:w="1580" w:type="dxa"/>
            <w:vAlign w:val="bottom"/>
            <w:gridSpan w:val="2"/>
          </w:tcPr>
          <w:p>
            <w:pPr>
              <w:spacing w:after="0"/>
              <w:rPr>
                <w:sz w:val="19"/>
                <w:szCs w:val="19"/>
                <w:color w:val="auto"/>
              </w:rPr>
            </w:pPr>
          </w:p>
        </w:tc>
      </w:tr>
      <w:tr>
        <w:trPr>
          <w:trHeight w:val="265"/>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020" w:type="dxa"/>
            <w:vAlign w:val="bottom"/>
            <w:tcBorders>
              <w:bottom w:val="single" w:sz="8" w:color="282828"/>
            </w:tcBorders>
            <w:gridSpan w:val="7"/>
          </w:tcPr>
          <w:p>
            <w:pPr>
              <w:spacing w:after="0"/>
              <w:rPr>
                <w:sz w:val="20"/>
                <w:szCs w:val="20"/>
                <w:color w:val="auto"/>
              </w:rPr>
            </w:pPr>
            <w:r>
              <w:rPr>
                <w:rFonts w:ascii="Times New Roman" w:cs="Times New Roman" w:eastAsia="Times New Roman" w:hAnsi="Times New Roman"/>
                <w:sz w:val="20"/>
                <w:szCs w:val="20"/>
                <w:color w:val="282828"/>
              </w:rPr>
              <w:t>Certification of Chief Executive Officer pursuant to 18 U.S.C. Section 1350, as adopted pursuant to Section 906</w:t>
            </w:r>
          </w:p>
        </w:tc>
      </w:tr>
      <w:tr>
        <w:trPr>
          <w:trHeight w:val="220"/>
        </w:trPr>
        <w:tc>
          <w:tcPr>
            <w:tcW w:w="1300" w:type="dxa"/>
            <w:vAlign w:val="bottom"/>
          </w:tcPr>
          <w:p>
            <w:pPr>
              <w:spacing w:after="0"/>
              <w:rPr>
                <w:sz w:val="19"/>
                <w:szCs w:val="19"/>
                <w:color w:val="auto"/>
              </w:rPr>
            </w:pPr>
          </w:p>
        </w:tc>
        <w:tc>
          <w:tcPr>
            <w:tcW w:w="2840" w:type="dxa"/>
            <w:vAlign w:val="bottom"/>
            <w:tcBorders>
              <w:bottom w:val="single" w:sz="8" w:color="282828"/>
            </w:tcBorders>
          </w:tcPr>
          <w:p>
            <w:pPr>
              <w:spacing w:after="0" w:line="220" w:lineRule="exact"/>
              <w:rPr>
                <w:sz w:val="20"/>
                <w:szCs w:val="20"/>
                <w:color w:val="auto"/>
              </w:rPr>
            </w:pPr>
            <w:r>
              <w:rPr>
                <w:rFonts w:ascii="Times New Roman" w:cs="Times New Roman" w:eastAsia="Times New Roman" w:hAnsi="Times New Roman"/>
                <w:sz w:val="20"/>
                <w:szCs w:val="20"/>
                <w:color w:val="282828"/>
                <w:w w:val="99"/>
              </w:rPr>
              <w:t>of the Sarbanes-Oxley Act of 2002.</w:t>
            </w:r>
          </w:p>
        </w:tc>
        <w:tc>
          <w:tcPr>
            <w:tcW w:w="6180" w:type="dxa"/>
            <w:vAlign w:val="bottom"/>
            <w:gridSpan w:val="6"/>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10440"/>
          </w:cols>
          <w:pgMar w:left="900" w:top="913" w:right="900" w:bottom="0" w:gutter="0" w:footer="0" w:header="0"/>
          <w:type w:val="continuous"/>
        </w:sect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168</w:t>
      </w:r>
    </w:p>
    <w:p>
      <w:pPr>
        <w:sectPr>
          <w:pgSz w:w="12240" w:h="15840" w:orient="portrait"/>
          <w:cols w:equalWidth="0" w:num="1">
            <w:col w:w="10440"/>
          </w:cols>
          <w:pgMar w:left="900" w:top="913" w:right="900" w:bottom="0" w:gutter="0" w:footer="0" w:header="0"/>
          <w:type w:val="continuous"/>
        </w:sectPr>
      </w:pPr>
    </w:p>
    <w:bookmarkStart w:id="178" w:name="page179"/>
    <w:bookmarkEnd w:id="178"/>
    <w:tbl>
      <w:tblPr>
        <w:tblLayout w:type="fixed"/>
        <w:tblInd w:w="0" w:type="dxa"/>
        <w:tblCellMar>
          <w:top w:w="0" w:type="dxa"/>
          <w:left w:w="0" w:type="dxa"/>
          <w:bottom w:w="0" w:type="dxa"/>
          <w:right w:w="0" w:type="dxa"/>
        </w:tblCellMar>
      </w:tblPr>
      <w:tr>
        <w:trPr>
          <w:trHeight w:val="217"/>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840" w:type="dxa"/>
            <w:vAlign w:val="bottom"/>
          </w:tcPr>
          <w:p>
            <w:pPr>
              <w:spacing w:after="0"/>
              <w:rPr>
                <w:sz w:val="18"/>
                <w:szCs w:val="18"/>
                <w:color w:val="auto"/>
              </w:rPr>
            </w:pPr>
          </w:p>
        </w:tc>
        <w:tc>
          <w:tcPr>
            <w:tcW w:w="620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40" w:type="dxa"/>
            <w:vAlign w:val="bottom"/>
          </w:tcPr>
          <w:p>
            <w:pPr>
              <w:spacing w:after="0"/>
              <w:rPr>
                <w:sz w:val="18"/>
                <w:szCs w:val="18"/>
                <w:color w:val="auto"/>
              </w:rPr>
            </w:pPr>
          </w:p>
        </w:tc>
      </w:tr>
      <w:tr>
        <w:trPr>
          <w:trHeight w:val="198"/>
        </w:trPr>
        <w:tc>
          <w:tcPr>
            <w:tcW w:w="1240" w:type="dxa"/>
            <w:vAlign w:val="bottom"/>
            <w:tcBorders>
              <w:top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960" w:type="dxa"/>
            <w:vAlign w:val="bottom"/>
            <w:tcBorders>
              <w:top w:val="single" w:sz="8" w:color="auto"/>
              <w:bottom w:val="single" w:sz="8" w:color="282828"/>
            </w:tcBorders>
            <w:gridSpan w:val="3"/>
          </w:tcPr>
          <w:p>
            <w:pPr>
              <w:spacing w:after="0" w:line="198" w:lineRule="exact"/>
              <w:rPr>
                <w:sz w:val="20"/>
                <w:szCs w:val="20"/>
                <w:color w:val="auto"/>
              </w:rPr>
            </w:pPr>
            <w:r>
              <w:rPr>
                <w:rFonts w:ascii="Times New Roman" w:cs="Times New Roman" w:eastAsia="Times New Roman" w:hAnsi="Times New Roman"/>
                <w:sz w:val="20"/>
                <w:szCs w:val="20"/>
                <w:color w:val="282828"/>
              </w:rPr>
              <w:t>Certification of Chief Financial Officer pursuant to 18 U.S.C. Section 1350, as adopted pursuant to Section 906</w:t>
            </w: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40" w:type="dxa"/>
            <w:vAlign w:val="bottom"/>
            <w:tcBorders>
              <w:bottom w:val="single" w:sz="8" w:color="282828"/>
            </w:tcBorders>
          </w:tcPr>
          <w:p>
            <w:pPr>
              <w:spacing w:after="0" w:line="220" w:lineRule="exact"/>
              <w:rPr>
                <w:sz w:val="20"/>
                <w:szCs w:val="20"/>
                <w:color w:val="auto"/>
              </w:rPr>
            </w:pPr>
            <w:r>
              <w:rPr>
                <w:rFonts w:ascii="Times New Roman" w:cs="Times New Roman" w:eastAsia="Times New Roman" w:hAnsi="Times New Roman"/>
                <w:sz w:val="20"/>
                <w:szCs w:val="20"/>
                <w:color w:val="282828"/>
                <w:w w:val="99"/>
              </w:rPr>
              <w:t>of the Sarbanes-Oxley Act of 2002.</w:t>
            </w:r>
          </w:p>
        </w:tc>
        <w:tc>
          <w:tcPr>
            <w:tcW w:w="620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r>
      <w:tr>
        <w:trPr>
          <w:trHeight w:val="26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97.1†</w:t>
            </w:r>
          </w:p>
        </w:tc>
        <w:tc>
          <w:tcPr>
            <w:tcW w:w="9040" w:type="dxa"/>
            <w:vAlign w:val="bottom"/>
            <w:tcBorders>
              <w:bottom w:val="single" w:sz="8" w:color="282828"/>
            </w:tcBorders>
            <w:gridSpan w:val="4"/>
          </w:tcPr>
          <w:p>
            <w:pPr>
              <w:spacing w:after="0"/>
              <w:rPr>
                <w:sz w:val="20"/>
                <w:szCs w:val="20"/>
                <w:color w:val="auto"/>
              </w:rPr>
            </w:pPr>
            <w:r>
              <w:rPr>
                <w:rFonts w:ascii="Times New Roman" w:cs="Times New Roman" w:eastAsia="Times New Roman" w:hAnsi="Times New Roman"/>
                <w:sz w:val="20"/>
                <w:szCs w:val="20"/>
                <w:color w:val="282828"/>
              </w:rPr>
              <w:t>Tradeweb Markets Inc. Omnibus Clawback Policy, effective as of October 2, 2023 (incorporated by reference to</w:t>
            </w:r>
          </w:p>
        </w:tc>
        <w:tc>
          <w:tcPr>
            <w:tcW w:w="40" w:type="dxa"/>
            <w:vAlign w:val="bottom"/>
          </w:tcPr>
          <w:p>
            <w:pPr>
              <w:spacing w:after="0"/>
              <w:rPr>
                <w:sz w:val="23"/>
                <w:szCs w:val="23"/>
                <w:color w:val="auto"/>
              </w:rPr>
            </w:pPr>
          </w:p>
        </w:tc>
      </w:tr>
      <w:tr>
        <w:trPr>
          <w:trHeight w:val="220"/>
        </w:trPr>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282828"/>
              </w:rPr>
              <w:t>Exhibit 97.1 to the Company’s Annual Report on Form 10-K filed on February 9, 2024 (File No. 001-38860)).</w:t>
            </w:r>
          </w:p>
        </w:tc>
        <w:tc>
          <w:tcPr>
            <w:tcW w:w="40" w:type="dxa"/>
            <w:vAlign w:val="bottom"/>
          </w:tcPr>
          <w:p>
            <w:pPr>
              <w:spacing w:after="0"/>
              <w:rPr>
                <w:sz w:val="19"/>
                <w:szCs w:val="19"/>
                <w:color w:val="auto"/>
              </w:rPr>
            </w:pPr>
          </w:p>
        </w:tc>
      </w:tr>
      <w:tr>
        <w:trPr>
          <w:trHeight w:val="288"/>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101.INS*</w:t>
            </w:r>
          </w:p>
        </w:tc>
        <w:tc>
          <w:tcPr>
            <w:tcW w:w="8840" w:type="dxa"/>
            <w:vAlign w:val="bottom"/>
            <w:tcBorders>
              <w:top w:val="single" w:sz="8" w:color="282828"/>
            </w:tcBorders>
            <w:gridSpan w:val="2"/>
          </w:tcPr>
          <w:p>
            <w:pPr>
              <w:spacing w:after="0"/>
              <w:rPr>
                <w:sz w:val="20"/>
                <w:szCs w:val="20"/>
                <w:color w:val="auto"/>
              </w:rPr>
            </w:pPr>
            <w:r>
              <w:rPr>
                <w:rFonts w:ascii="Times New Roman" w:cs="Times New Roman" w:eastAsia="Times New Roman" w:hAnsi="Times New Roman"/>
                <w:sz w:val="20"/>
                <w:szCs w:val="20"/>
                <w:color w:val="auto"/>
              </w:rPr>
              <w:t>XBRL Instance Document - the instance document does not appear in the Interactive Data File because its</w:t>
            </w:r>
          </w:p>
        </w:tc>
        <w:tc>
          <w:tcPr>
            <w:tcW w:w="2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260"/>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XBRL tags are embedded within the Inline XBRL Document.</w:t>
            </w:r>
          </w:p>
        </w:tc>
        <w:tc>
          <w:tcPr>
            <w:tcW w:w="40" w:type="dxa"/>
            <w:vAlign w:val="bottom"/>
          </w:tcPr>
          <w:p>
            <w:pPr>
              <w:spacing w:after="0"/>
              <w:rPr>
                <w:sz w:val="22"/>
                <w:szCs w:val="22"/>
                <w:color w:val="auto"/>
              </w:rPr>
            </w:pPr>
          </w:p>
        </w:tc>
      </w:tr>
      <w:tr>
        <w:trPr>
          <w:trHeight w:val="28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101.SCH*</w:t>
            </w:r>
          </w:p>
        </w:tc>
        <w:tc>
          <w:tcPr>
            <w:tcW w:w="9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40" w:type="dxa"/>
            <w:vAlign w:val="bottom"/>
          </w:tcPr>
          <w:p>
            <w:pPr>
              <w:spacing w:after="0"/>
              <w:rPr>
                <w:sz w:val="24"/>
                <w:szCs w:val="24"/>
                <w:color w:val="auto"/>
              </w:rPr>
            </w:pPr>
          </w:p>
        </w:tc>
      </w:tr>
      <w:tr>
        <w:trPr>
          <w:trHeight w:val="28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101.CAL*</w:t>
            </w:r>
          </w:p>
        </w:tc>
        <w:tc>
          <w:tcPr>
            <w:tcW w:w="9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40" w:type="dxa"/>
            <w:vAlign w:val="bottom"/>
          </w:tcPr>
          <w:p>
            <w:pPr>
              <w:spacing w:after="0"/>
              <w:rPr>
                <w:sz w:val="24"/>
                <w:szCs w:val="24"/>
                <w:color w:val="auto"/>
              </w:rPr>
            </w:pPr>
          </w:p>
        </w:tc>
      </w:tr>
      <w:tr>
        <w:trPr>
          <w:trHeight w:val="28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101.DEF*</w:t>
            </w:r>
          </w:p>
        </w:tc>
        <w:tc>
          <w:tcPr>
            <w:tcW w:w="9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40" w:type="dxa"/>
            <w:vAlign w:val="bottom"/>
          </w:tcPr>
          <w:p>
            <w:pPr>
              <w:spacing w:after="0"/>
              <w:rPr>
                <w:sz w:val="24"/>
                <w:szCs w:val="24"/>
                <w:color w:val="auto"/>
              </w:rPr>
            </w:pPr>
          </w:p>
        </w:tc>
      </w:tr>
      <w:tr>
        <w:trPr>
          <w:trHeight w:val="28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101.LAB*</w:t>
            </w:r>
          </w:p>
        </w:tc>
        <w:tc>
          <w:tcPr>
            <w:tcW w:w="9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40" w:type="dxa"/>
            <w:vAlign w:val="bottom"/>
          </w:tcPr>
          <w:p>
            <w:pPr>
              <w:spacing w:after="0"/>
              <w:rPr>
                <w:sz w:val="24"/>
                <w:szCs w:val="24"/>
                <w:color w:val="auto"/>
              </w:rPr>
            </w:pPr>
          </w:p>
        </w:tc>
      </w:tr>
      <w:tr>
        <w:trPr>
          <w:trHeight w:val="285"/>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101.PRE*</w:t>
            </w:r>
          </w:p>
        </w:tc>
        <w:tc>
          <w:tcPr>
            <w:tcW w:w="9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40" w:type="dxa"/>
            <w:vAlign w:val="bottom"/>
          </w:tcPr>
          <w:p>
            <w:pPr>
              <w:spacing w:after="0"/>
              <w:rPr>
                <w:sz w:val="24"/>
                <w:szCs w:val="24"/>
                <w:color w:val="auto"/>
              </w:rPr>
            </w:pPr>
          </w:p>
        </w:tc>
      </w:tr>
      <w:tr>
        <w:trPr>
          <w:trHeight w:val="285"/>
        </w:trPr>
        <w:tc>
          <w:tcPr>
            <w:tcW w:w="1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c>
          <w:tcPr>
            <w:tcW w:w="40" w:type="dxa"/>
            <w:vAlign w:val="bottom"/>
          </w:tcPr>
          <w:p>
            <w:pPr>
              <w:spacing w:after="0"/>
              <w:rPr>
                <w:sz w:val="24"/>
                <w:szCs w:val="24"/>
                <w:color w:val="auto"/>
              </w:rPr>
            </w:pPr>
          </w:p>
        </w:tc>
      </w:tr>
    </w:tbl>
    <w:p>
      <w:pPr>
        <w:spacing w:after="0" w:line="272" w:lineRule="exact"/>
        <w:rPr>
          <w:sz w:val="20"/>
          <w:szCs w:val="20"/>
          <w:color w:val="auto"/>
        </w:rPr>
      </w:pPr>
    </w:p>
    <w:p>
      <w:pPr>
        <w:ind w:left="360" w:hanging="360"/>
        <w:spacing w:after="0"/>
        <w:tabs>
          <w:tab w:leader="none" w:pos="360" w:val="left"/>
        </w:tabs>
        <w:numPr>
          <w:ilvl w:val="0"/>
          <w:numId w:val="110"/>
        </w:numPr>
        <w:rPr>
          <w:rFonts w:ascii="Times New Roman" w:cs="Times New Roman" w:eastAsia="Times New Roman" w:hAnsi="Times New Roman"/>
          <w:sz w:val="20"/>
          <w:szCs w:val="20"/>
          <w:color w:val="101010"/>
        </w:rPr>
      </w:pPr>
      <w:r>
        <w:rPr>
          <w:rFonts w:ascii="Times New Roman" w:cs="Times New Roman" w:eastAsia="Times New Roman" w:hAnsi="Times New Roman"/>
          <w:sz w:val="20"/>
          <w:szCs w:val="20"/>
          <w:color w:val="101010"/>
        </w:rPr>
        <w:t>Filed herewith.</w:t>
      </w:r>
    </w:p>
    <w:p>
      <w:pPr>
        <w:spacing w:after="0" w:line="2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101010"/>
        </w:rPr>
        <w:t>**</w:t>
      </w:r>
      <w:r>
        <w:rPr>
          <w:sz w:val="20"/>
          <w:szCs w:val="20"/>
          <w:color w:val="auto"/>
        </w:rPr>
        <w:tab/>
      </w:r>
      <w:r>
        <w:rPr>
          <w:rFonts w:ascii="Times New Roman" w:cs="Times New Roman" w:eastAsia="Times New Roman" w:hAnsi="Times New Roman"/>
          <w:sz w:val="19"/>
          <w:szCs w:val="19"/>
          <w:color w:val="101010"/>
        </w:rPr>
        <w:t>Furnished herewith.</w:t>
      </w:r>
    </w:p>
    <w:p>
      <w:pPr>
        <w:spacing w:after="0" w:line="210" w:lineRule="exact"/>
        <w:rPr>
          <w:sz w:val="20"/>
          <w:szCs w:val="20"/>
          <w:color w:val="auto"/>
        </w:rPr>
      </w:pPr>
    </w:p>
    <w:p>
      <w:pPr>
        <w:ind w:left="360" w:hanging="360"/>
        <w:spacing w:after="0"/>
        <w:tabs>
          <w:tab w:leader="none" w:pos="3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101010"/>
        </w:rPr>
        <w:t>Indicates a management contract or compensatory plan or arrangement.</w:t>
      </w:r>
    </w:p>
    <w:p>
      <w:pPr>
        <w:spacing w:after="0" w:line="210" w:lineRule="exact"/>
        <w:rPr>
          <w:sz w:val="20"/>
          <w:szCs w:val="20"/>
          <w:color w:val="auto"/>
        </w:rPr>
      </w:pPr>
    </w:p>
    <w:p>
      <w:pPr>
        <w:ind w:left="360" w:hanging="360"/>
        <w:spacing w:after="0"/>
        <w:tabs>
          <w:tab w:leader="none" w:pos="360" w:val="left"/>
        </w:tabs>
        <w:numPr>
          <w:ilvl w:val="0"/>
          <w:numId w:val="112"/>
        </w:numPr>
        <w:rPr>
          <w:rFonts w:ascii="Times New Roman" w:cs="Times New Roman" w:eastAsia="Times New Roman" w:hAnsi="Times New Roman"/>
          <w:sz w:val="20"/>
          <w:szCs w:val="20"/>
          <w:color w:val="101010"/>
        </w:rPr>
      </w:pPr>
      <w:r>
        <w:rPr>
          <w:rFonts w:ascii="Times New Roman" w:cs="Times New Roman" w:eastAsia="Times New Roman" w:hAnsi="Times New Roman"/>
          <w:sz w:val="20"/>
          <w:szCs w:val="20"/>
          <w:color w:val="101010"/>
        </w:rPr>
        <w:t>Portions of this exhibit have been redacted in compliance with Regulation S-K Item 601(b)(10).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440"/>
          </w:cols>
          <w:pgMar w:left="900" w:top="91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169</w:t>
      </w:r>
    </w:p>
    <w:p>
      <w:pPr>
        <w:sectPr>
          <w:pgSz w:w="12240" w:h="15840" w:orient="portrait"/>
          <w:cols w:equalWidth="0" w:num="1">
            <w:col w:w="10440"/>
          </w:cols>
          <w:pgMar w:left="900" w:top="913" w:right="900" w:bottom="0" w:gutter="0" w:footer="0" w:header="0"/>
          <w:type w:val="continuous"/>
        </w:sectPr>
      </w:pPr>
    </w:p>
    <w:bookmarkStart w:id="179" w:name="page180"/>
    <w:bookmarkEnd w:id="179"/>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7"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64"/>
        </w:trPr>
        <w:tc>
          <w:tcPr>
            <w:tcW w:w="5300" w:type="dxa"/>
            <w:vAlign w:val="bottom"/>
          </w:tcPr>
          <w:p>
            <w:pPr>
              <w:spacing w:after="0"/>
              <w:rPr>
                <w:sz w:val="22"/>
                <w:szCs w:val="22"/>
                <w:color w:val="auto"/>
              </w:rPr>
            </w:pPr>
          </w:p>
        </w:tc>
        <w:tc>
          <w:tcPr>
            <w:tcW w:w="48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TRADEWEB MARKETS INC.</w:t>
            </w:r>
          </w:p>
        </w:tc>
      </w:tr>
      <w:tr>
        <w:trPr>
          <w:trHeight w:val="717"/>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February 5, 2026</w:t>
            </w:r>
          </w:p>
        </w:tc>
        <w:tc>
          <w:tcPr>
            <w:tcW w:w="4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 William Hult</w:t>
            </w:r>
          </w:p>
        </w:tc>
      </w:tr>
      <w:tr>
        <w:trPr>
          <w:trHeight w:val="260"/>
        </w:trPr>
        <w:tc>
          <w:tcPr>
            <w:tcW w:w="5300" w:type="dxa"/>
            <w:vAlign w:val="bottom"/>
          </w:tcPr>
          <w:p>
            <w:pPr>
              <w:spacing w:after="0"/>
              <w:rPr>
                <w:sz w:val="22"/>
                <w:szCs w:val="22"/>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William Hult</w:t>
            </w:r>
          </w:p>
        </w:tc>
      </w:tr>
      <w:tr>
        <w:trPr>
          <w:trHeight w:val="281"/>
        </w:trPr>
        <w:tc>
          <w:tcPr>
            <w:tcW w:w="5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327"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this report has been signed below by the following persons on behalf of the registrant and in the capacities and on the dates indicated.</w:t>
      </w:r>
    </w:p>
    <w:p>
      <w:pPr>
        <w:ind w:left="1380"/>
        <w:spacing w:after="0"/>
        <w:tabs>
          <w:tab w:leader="none" w:pos="5900" w:val="left"/>
          <w:tab w:leader="none" w:pos="9340" w:val="left"/>
        </w:tabs>
        <w:rPr>
          <w:sz w:val="20"/>
          <w:szCs w:val="20"/>
          <w:color w:val="auto"/>
        </w:rPr>
      </w:pPr>
      <w:r>
        <w:rPr>
          <w:rFonts w:ascii="Times New Roman" w:cs="Times New Roman" w:eastAsia="Times New Roman" w:hAnsi="Times New Roman"/>
          <w:sz w:val="20"/>
          <w:szCs w:val="20"/>
          <w:b w:val="1"/>
          <w:bCs w:val="1"/>
          <w:color w:val="auto"/>
        </w:rPr>
        <w:t>Signature</w:t>
      </w:r>
      <w:r>
        <w:rPr>
          <w:sz w:val="20"/>
          <w:szCs w:val="20"/>
          <w:color w:val="auto"/>
        </w:rPr>
        <w:tab/>
      </w:r>
      <w:r>
        <w:rPr>
          <w:rFonts w:ascii="Times New Roman" w:cs="Times New Roman" w:eastAsia="Times New Roman" w:hAnsi="Times New Roman"/>
          <w:sz w:val="20"/>
          <w:szCs w:val="20"/>
          <w:b w:val="1"/>
          <w:bCs w:val="1"/>
          <w:color w:val="auto"/>
        </w:rPr>
        <w:t>Title</w:t>
      </w:r>
      <w:r>
        <w:rPr>
          <w:sz w:val="20"/>
          <w:szCs w:val="20"/>
          <w:color w:val="auto"/>
        </w:rPr>
        <w:tab/>
      </w: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45085</wp:posOffset>
                </wp:positionV>
                <wp:extent cx="227647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5pt" to="179.25pt,3.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2343150</wp:posOffset>
                </wp:positionH>
                <wp:positionV relativeFrom="paragraph">
                  <wp:posOffset>45085</wp:posOffset>
                </wp:positionV>
                <wp:extent cx="309562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956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5pt,3.55pt" to="428.25pt,3.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5505450</wp:posOffset>
                </wp:positionH>
                <wp:positionV relativeFrom="paragraph">
                  <wp:posOffset>45085</wp:posOffset>
                </wp:positionV>
                <wp:extent cx="112395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39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5pt,3.55pt" to="522pt,3.55pt" o:allowincell="f" strokecolor="#000000" strokeweight="1pt"/>
            </w:pict>
          </mc:Fallback>
        </mc:AlternateContent>
      </w:r>
    </w:p>
    <w:p>
      <w:pPr>
        <w:sectPr>
          <w:pgSz w:w="12240" w:h="15840" w:orient="portrait"/>
          <w:cols w:equalWidth="0" w:num="1">
            <w:col w:w="10600"/>
          </w:cols>
          <w:pgMar w:left="900" w:top="831" w:right="74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/s/ William Hult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27647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179.25pt,2.15pt" o:allowincell="f" strokecolor="#000000" strokeweight="1pt"/>
            </w:pict>
          </mc:Fallback>
        </mc:AlternateContent>
      </w:r>
    </w:p>
    <w:p>
      <w:pPr>
        <w:spacing w:after="0" w:line="1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William Hult</w:t>
      </w:r>
    </w:p>
    <w:p>
      <w:pPr>
        <w:spacing w:after="0" w:line="2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/s/ Sara Furber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27647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179.25pt,2.15pt" o:allowincell="f" strokecolor="#000000" strokeweight="1pt"/>
            </w:pict>
          </mc:Fallback>
        </mc:AlternateContent>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Sara Furber</w:t>
      </w:r>
    </w:p>
    <w:p>
      <w:pPr>
        <w:spacing w:after="0" w:line="21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/s/ Jacques Aigrain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27647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179.25pt,2.15pt" o:allowincell="f" strokecolor="#000000" strokeweight="1pt"/>
            </w:pict>
          </mc:Fallback>
        </mc:AlternateContent>
      </w:r>
    </w:p>
    <w:p>
      <w:pPr>
        <w:spacing w:after="0" w:line="1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Jacques Aigrain</w:t>
      </w:r>
    </w:p>
    <w:p>
      <w:pPr>
        <w:spacing w:after="0" w:line="2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/s/ Balbir Bakhshi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27647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179.25pt,2.15pt" o:allowincell="f" strokecolor="#000000" strokeweight="1pt"/>
            </w:pict>
          </mc:Fallback>
        </mc:AlternateConten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Balbir Bakhshi</w:t>
      </w:r>
    </w:p>
    <w:p>
      <w:pPr>
        <w:spacing w:after="0" w:line="21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/s/ Steven Berns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27647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179.25pt,2.15pt" o:allowincell="f" strokecolor="#000000" strokeweight="1pt"/>
            </w:pict>
          </mc:Fallback>
        </mc:AlternateContent>
      </w:r>
    </w:p>
    <w:p>
      <w:pPr>
        <w:spacing w:after="0" w:line="1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Steven Berns</w:t>
      </w:r>
    </w:p>
    <w:p>
      <w:pPr>
        <w:spacing w:after="0" w:line="21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/s/ Scott C. Ganeles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27647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179.25pt,2.15pt" o:allowincell="f" strokecolor="#000000" strokeweight="1pt"/>
            </w:pict>
          </mc:Fallback>
        </mc:AlternateContent>
      </w:r>
    </w:p>
    <w:p>
      <w:pPr>
        <w:spacing w:after="0" w:line="1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Scott C. Ganeles</w:t>
      </w:r>
    </w:p>
    <w:p>
      <w:pPr>
        <w:spacing w:after="0" w:line="21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Catherine Johnson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34290</wp:posOffset>
                </wp:positionV>
                <wp:extent cx="227647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pt" to="179.25pt,2.7pt" o:allowincell="f" strokecolor="#000000" strokeweight="1pt"/>
            </w:pict>
          </mc:Fallback>
        </mc:AlternateContent>
      </w:r>
    </w:p>
    <w:p>
      <w:pPr>
        <w:spacing w:after="0" w:line="2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Catherine Johnson</w:t>
      </w:r>
    </w:p>
    <w:p>
      <w:pPr>
        <w:spacing w:after="0" w:line="21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/s/ Paula B. Madoff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27647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179.25pt,2.15pt" o:allowincell="f" strokecolor="#000000" strokeweight="1pt"/>
            </w:pict>
          </mc:Fallback>
        </mc:AlternateContent>
      </w:r>
    </w:p>
    <w:p>
      <w:pPr>
        <w:spacing w:after="0" w:line="1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Paula B. Madoff</w:t>
      </w:r>
    </w:p>
    <w:p>
      <w:pPr>
        <w:spacing w:after="0" w:line="21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/s/ Daniel Maguire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27647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179.25pt,2.15pt" o:allowincell="f" strokecolor="#000000" strokeweight="1pt"/>
            </w:pict>
          </mc:Fallback>
        </mc:AlternateContent>
      </w:r>
    </w:p>
    <w:p>
      <w:pPr>
        <w:spacing w:after="0" w:line="1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Daniel Maguire</w:t>
      </w:r>
    </w:p>
    <w:p>
      <w:pPr>
        <w:spacing w:after="0" w:line="21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/s/ Lisa Opoku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27647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179.25pt,2.15pt" o:allowincell="f" strokecolor="#000000" strokeweight="1pt"/>
            </w:pict>
          </mc:Fallback>
        </mc:AlternateContent>
      </w:r>
    </w:p>
    <w:p>
      <w:pPr>
        <w:spacing w:after="0" w:line="1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Lisa Opoku</w:t>
      </w:r>
    </w:p>
    <w:p>
      <w:pPr>
        <w:spacing w:after="0" w:line="21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/s/ Richard Repetto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27647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179.25pt,2.15pt" o:allowincell="f" strokecolor="#000000" strokeweight="1pt"/>
            </w:pict>
          </mc:Fallback>
        </mc:AlternateContent>
      </w:r>
    </w:p>
    <w:p>
      <w:pPr>
        <w:spacing w:after="0" w:line="1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Richard Repetto</w:t>
      </w:r>
    </w:p>
    <w:p>
      <w:pPr>
        <w:spacing w:after="0" w:line="211"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/s/ Rana Yared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wp:posOffset>
                </wp:positionV>
                <wp:extent cx="227647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179.25pt,2.15pt" o:allowincell="f" strokecolor="#000000" strokeweight="1pt"/>
            </w:pict>
          </mc:Fallback>
        </mc:AlternateContent>
      </w:r>
    </w:p>
    <w:p>
      <w:pPr>
        <w:spacing w:after="0" w:line="1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Rana Yared</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(Principal Executive Officer) and</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r>
        <w:trPr>
          <w:trHeight w:val="26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(Principal Financial Officer and</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r>
        <w:trPr>
          <w:trHeight w:val="26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1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95"/>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r>
        <w:trPr>
          <w:trHeight w:val="705"/>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r>
        <w:trPr>
          <w:trHeight w:val="705"/>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r>
        <w:trPr>
          <w:trHeight w:val="705"/>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r>
        <w:trPr>
          <w:trHeight w:val="705"/>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r>
        <w:trPr>
          <w:trHeight w:val="705"/>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r>
        <w:trPr>
          <w:trHeight w:val="705"/>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r>
        <w:trPr>
          <w:trHeight w:val="705"/>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r>
        <w:trPr>
          <w:trHeight w:val="705"/>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r>
        <w:trPr>
          <w:trHeight w:val="705"/>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5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February 5, 2026</w:t>
            </w:r>
          </w:p>
        </w:tc>
        <w:tc>
          <w:tcPr>
            <w:tcW w:w="0" w:type="dxa"/>
            <w:vAlign w:val="bottom"/>
          </w:tcPr>
          <w:p>
            <w:pPr>
              <w:spacing w:after="0"/>
              <w:rPr>
                <w:sz w:val="1"/>
                <w:szCs w:val="1"/>
                <w:color w:val="auto"/>
              </w:rPr>
            </w:pPr>
          </w:p>
        </w:tc>
      </w:tr>
    </w:tbl>
    <w:p>
      <w:pPr>
        <w:spacing w:after="0" w:line="369" w:lineRule="exact"/>
        <w:rPr>
          <w:sz w:val="20"/>
          <w:szCs w:val="20"/>
          <w:color w:val="auto"/>
        </w:rPr>
      </w:pPr>
    </w:p>
    <w:p>
      <w:pPr>
        <w:sectPr>
          <w:pgSz w:w="12240" w:h="15840" w:orient="portrait"/>
          <w:cols w:equalWidth="0" w:num="2">
            <w:col w:w="3020" w:space="720"/>
            <w:col w:w="6860"/>
          </w:cols>
          <w:pgMar w:left="900" w:top="831" w:right="7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170</w:t>
      </w:r>
    </w:p>
    <w:p>
      <w:pPr>
        <w:sectPr>
          <w:pgSz w:w="12240" w:h="15840" w:orient="portrait"/>
          <w:cols w:equalWidth="0" w:num="1">
            <w:col w:w="10600"/>
          </w:cols>
          <w:pgMar w:left="900" w:top="831" w:right="740" w:bottom="0" w:gutter="0" w:footer="0" w:header="0"/>
          <w:type w:val="continuous"/>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82" w:name="page183"/>
    <w:bookmarkEnd w:id="182"/>
    <w:p>
      <w:pPr>
        <w:spacing w:after="0" w:line="223"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-3810</wp:posOffset>
                </wp:positionH>
                <wp:positionV relativeFrom="page">
                  <wp:posOffset>0</wp:posOffset>
                </wp:positionV>
                <wp:extent cx="762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2999pt,0pt" to="0.3pt,0pt" o:allowincell="f" strokecolor="#FFFFFF" strokeweight="0.625pt">
                <w10:wrap anchorx="page" anchory="page"/>
              </v:line>
            </w:pict>
          </mc:Fallback>
        </mc:AlternateContent>
        <mc:AlternateContent>
          <mc:Choice Requires="wps">
            <w:drawing>
              <wp:anchor simplePos="0" relativeHeight="251657728" behindDoc="1" locked="0" layoutInCell="0" allowOverlap="1">
                <wp:simplePos x="0" y="0"/>
                <wp:positionH relativeFrom="page">
                  <wp:posOffset>-635</wp:posOffset>
                </wp:positionH>
                <wp:positionV relativeFrom="page">
                  <wp:posOffset>0</wp:posOffset>
                </wp:positionV>
                <wp:extent cx="127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499pt,0pt" to="0.05pt,0pt" o:allowincell="f" strokecolor="#000000" strokeweight="0.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7767955</wp:posOffset>
                </wp:positionH>
                <wp:positionV relativeFrom="page">
                  <wp:posOffset>0</wp:posOffset>
                </wp:positionV>
                <wp:extent cx="825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65pt,0pt" to="612.3pt,0pt" o:allowincell="f" strokecolor="#FFFFFF" strokeweight="0.6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7771130</wp:posOffset>
                </wp:positionH>
                <wp:positionV relativeFrom="page">
                  <wp:posOffset>0</wp:posOffset>
                </wp:positionV>
                <wp:extent cx="190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9pt,0pt" to="612.05pt,0pt" o:allowincell="f" strokecolor="#000000" strokeweight="0.125pt">
                <w10:wrap anchorx="page" anchory="page"/>
              </v:line>
            </w:pict>
          </mc:Fallback>
        </mc:AlternateContent>
      </w:r>
    </w:p>
    <w:p>
      <w:pPr>
        <w:ind w:left="360"/>
        <w:spacing w:after="0"/>
        <w:rPr>
          <w:sz w:val="20"/>
          <w:szCs w:val="20"/>
          <w:color w:val="auto"/>
        </w:rPr>
      </w:pPr>
      <w:r>
        <w:rPr>
          <w:rFonts w:ascii="Arial" w:cs="Arial" w:eastAsia="Arial" w:hAnsi="Arial"/>
          <w:sz w:val="22"/>
          <w:szCs w:val="22"/>
          <w:color w:val="00568F"/>
        </w:rPr>
        <w:t>INVESTOR RELATIONS CONTACTS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ASHLEY SERRAO</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Managing Director, Head of Treasury,</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FP&amp;A and Investor Relations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Ashley.Serrao@tradeweb.com</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+1 646 430 6027</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SAMEER MURUKUTLA</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Managing Director, Investor Relations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Sameer.Murukutla@tradeweb.com</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+1 646 767 4864</w:t>
      </w:r>
    </w:p>
    <w:p>
      <w:pPr>
        <w:spacing w:after="0" w:line="391" w:lineRule="exact"/>
        <w:rPr>
          <w:sz w:val="20"/>
          <w:szCs w:val="20"/>
          <w:color w:val="auto"/>
        </w:rPr>
      </w:pPr>
    </w:p>
    <w:p>
      <w:pPr>
        <w:ind w:left="360"/>
        <w:spacing w:after="0"/>
        <w:rPr>
          <w:sz w:val="20"/>
          <w:szCs w:val="20"/>
          <w:color w:val="auto"/>
        </w:rPr>
      </w:pPr>
      <w:r>
        <w:rPr>
          <w:rFonts w:ascii="Arial" w:cs="Arial" w:eastAsia="Arial" w:hAnsi="Arial"/>
          <w:sz w:val="22"/>
          <w:szCs w:val="22"/>
          <w:color w:val="00568F"/>
        </w:rPr>
        <w:t>CORPORATE HEADQUARTERS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TRADEWEB MARKETS INC.</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245 Park Avenue</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New York, NY 10167</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+1 646 430 6000</w:t>
      </w:r>
    </w:p>
    <w:p>
      <w:pPr>
        <w:spacing w:after="0" w:line="391" w:lineRule="exact"/>
        <w:rPr>
          <w:sz w:val="20"/>
          <w:szCs w:val="20"/>
          <w:color w:val="auto"/>
        </w:rPr>
      </w:pPr>
    </w:p>
    <w:p>
      <w:pPr>
        <w:ind w:left="360"/>
        <w:spacing w:after="0"/>
        <w:rPr>
          <w:sz w:val="20"/>
          <w:szCs w:val="20"/>
          <w:color w:val="auto"/>
        </w:rPr>
      </w:pPr>
      <w:r>
        <w:rPr>
          <w:rFonts w:ascii="Arial" w:cs="Arial" w:eastAsia="Arial" w:hAnsi="Arial"/>
          <w:sz w:val="22"/>
          <w:szCs w:val="22"/>
          <w:color w:val="00568F"/>
        </w:rPr>
        <w:t>TRANSFER AGENT AND REGISTRAR</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EQUINITI TRUST COMPANY, LLC</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+1 718 921 8157</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help@astfinancial.com</w:t>
      </w:r>
    </w:p>
    <w:p>
      <w:pPr>
        <w:spacing w:after="0" w:line="391" w:lineRule="exact"/>
        <w:rPr>
          <w:sz w:val="20"/>
          <w:szCs w:val="20"/>
          <w:color w:val="auto"/>
        </w:rPr>
      </w:pPr>
    </w:p>
    <w:p>
      <w:pPr>
        <w:ind w:left="360"/>
        <w:spacing w:after="0"/>
        <w:rPr>
          <w:sz w:val="20"/>
          <w:szCs w:val="20"/>
          <w:color w:val="auto"/>
        </w:rPr>
      </w:pPr>
      <w:r>
        <w:rPr>
          <w:rFonts w:ascii="Arial" w:cs="Arial" w:eastAsia="Arial" w:hAnsi="Arial"/>
          <w:sz w:val="22"/>
          <w:szCs w:val="22"/>
          <w:color w:val="00568F"/>
        </w:rPr>
        <w:t>ANNUAL MEETING INFORMATION</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Date: Tuesday, May 19, 2026</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Time: 9:00 AM (Eastern Time)</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Virtual Meeting: www.virtualshareholdermeeting.com/TW2026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2339975</wp:posOffset>
            </wp:positionV>
            <wp:extent cx="3445510" cy="1048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8">
                      <a:extLst>
                        <a:ext uri="{28A0092B-C50C-407E-A947-70E740481C1C}"/>
                      </a:extLst>
                    </a:blip>
                    <a:srcRect/>
                    <a:stretch>
                      <a:fillRect/>
                    </a:stretch>
                  </pic:blipFill>
                  <pic:spPr bwMode="auto">
                    <a:xfrm>
                      <a:off x="0" y="0"/>
                      <a:ext cx="3445510" cy="1048385"/>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1681480</wp:posOffset>
            </wp:positionV>
            <wp:extent cx="970915" cy="4400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49">
                      <a:extLst>
                        <a:ext uri="{28A0092B-C50C-407E-A947-70E740481C1C}"/>
                      </a:extLst>
                    </a:blip>
                    <a:srcRect/>
                    <a:stretch>
                      <a:fillRect/>
                    </a:stretch>
                  </pic:blipFill>
                  <pic:spPr bwMode="auto">
                    <a:xfrm>
                      <a:off x="0" y="0"/>
                      <a:ext cx="970915" cy="440055"/>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50">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980"/>
        <w:spacing w:after="0"/>
        <w:rPr>
          <w:sz w:val="20"/>
          <w:szCs w:val="20"/>
          <w:color w:val="auto"/>
        </w:rPr>
      </w:pPr>
      <w:r>
        <w:rPr>
          <w:rFonts w:ascii="Arial" w:cs="Arial" w:eastAsia="Arial" w:hAnsi="Arial"/>
          <w:sz w:val="25"/>
          <w:szCs w:val="25"/>
          <w:color w:val="FFFFFF"/>
        </w:rPr>
        <w:t>TRADEWEB.COM</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1."/>
      <w:numFmt w:val="decimal"/>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endash "/>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lvl w:ilvl="1">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lvl w:ilvl="1">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1)"/>
      <w:numFmt w:val="lowerRoman"/>
      <w:start w:val="3"/>
    </w:lvl>
  </w:abstractNum>
  <w:abstractNum w:abstractNumId="19">
    <w:nsid w:val="1DBABF00"/>
    <w:multiLevelType w:val="hybridMultilevel"/>
    <w:lvl w:ilvl="0">
      <w:lvlJc w:val="left"/>
      <w:lvlText w:val="%1"/>
      <w:numFmt w:val="upperLetter"/>
      <w:start w:val="37"/>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1)"/>
      <w:numFmt w:val="lowerRoman"/>
      <w:start w:val="4"/>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1)"/>
      <w:numFmt w:val="lowerRoman"/>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1)"/>
      <w:numFmt w:val="decimal"/>
      <w:start w:val="1"/>
    </w:lvl>
  </w:abstractNum>
  <w:abstractNum w:abstractNumId="48">
    <w:nsid w:val="4962813B"/>
    <w:multiLevelType w:val="hybridMultilevel"/>
    <w:lvl w:ilvl="0">
      <w:lvlJc w:val="left"/>
      <w:lvlText w:val="(%1)"/>
      <w:numFmt w:val="decimal"/>
      <w:start w:val="1"/>
    </w:lvl>
  </w:abstractNum>
  <w:abstractNum w:abstractNumId="49">
    <w:nsid w:val="60B6DF70"/>
    <w:multiLevelType w:val="hybridMultilevel"/>
    <w:lvl w:ilvl="0">
      <w:lvlJc w:val="left"/>
      <w:lvlText w:val="(%1)"/>
      <w:numFmt w:val="decimal"/>
      <w:start w:val="1"/>
    </w:lvl>
  </w:abstractNum>
  <w:abstractNum w:abstractNumId="50">
    <w:nsid w:val="6A5EE64"/>
    <w:multiLevelType w:val="hybridMultilevel"/>
    <w:lvl w:ilvl="0">
      <w:lvlJc w:val="left"/>
      <w:lvlText w:val="(%1)"/>
      <w:numFmt w:val="decimal"/>
      <w:start w:val="1"/>
    </w:lvl>
  </w:abstractNum>
  <w:abstractNum w:abstractNumId="51">
    <w:nsid w:val="14330624"/>
    <w:multiLevelType w:val="hybridMultilevel"/>
    <w:lvl w:ilvl="0">
      <w:lvlJc w:val="left"/>
      <w:lvlText w:val="(%1)"/>
      <w:numFmt w:val="decimal"/>
      <w:start w:val="1"/>
    </w:lvl>
  </w:abstractNum>
  <w:abstractNum w:abstractNumId="52">
    <w:nsid w:val="7FFFCA11"/>
    <w:multiLevelType w:val="hybridMultilevel"/>
    <w:lvl w:ilvl="0">
      <w:lvlJc w:val="left"/>
      <w:lvlText w:val="(%1)"/>
      <w:numFmt w:val="decimal"/>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1)"/>
      <w:numFmt w:val="decimal"/>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1)"/>
      <w:numFmt w:val="decimal"/>
      <w:start w:val="1"/>
    </w:lvl>
  </w:abstractNum>
  <w:abstractNum w:abstractNumId="59">
    <w:nsid w:val="94211F2"/>
    <w:multiLevelType w:val="hybridMultilevel"/>
    <w:lvl w:ilvl="0">
      <w:lvlJc w:val="left"/>
      <w:lvlText w:val="%1."/>
      <w:numFmt w:val="decimal"/>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1."/>
      <w:numFmt w:val="decimal"/>
      <w:start w:val="2"/>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1)"/>
      <w:numFmt w:val="decimal"/>
      <w:start w:val="3"/>
    </w:lvl>
  </w:abstractNum>
  <w:abstractNum w:abstractNumId="67">
    <w:nsid w:val="68EBC550"/>
    <w:multiLevelType w:val="hybridMultilevel"/>
    <w:lvl w:ilvl="0">
      <w:lvlJc w:val="left"/>
      <w:lvlText w:val="%1."/>
      <w:numFmt w:val="decimal"/>
      <w:start w:val="3"/>
    </w:lvl>
  </w:abstractNum>
  <w:abstractNum w:abstractNumId="68">
    <w:nsid w:val="2DF6D648"/>
    <w:multiLevelType w:val="hybridMultilevel"/>
    <w:lvl w:ilvl="0">
      <w:lvlJc w:val="left"/>
      <w:lvlText w:val="%1."/>
      <w:numFmt w:val="decimal"/>
      <w:start w:val="4"/>
    </w:lvl>
  </w:abstractNum>
  <w:abstractNum w:abstractNumId="69">
    <w:nsid w:val="46B7D447"/>
    <w:multiLevelType w:val="hybridMultilevel"/>
    <w:lvl w:ilvl="0">
      <w:lvlJc w:val="left"/>
      <w:lvlText w:val="%1."/>
      <w:numFmt w:val="decimal"/>
      <w:start w:val="5"/>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1."/>
      <w:numFmt w:val="decimal"/>
      <w:start w:val="6"/>
    </w:lvl>
  </w:abstractNum>
  <w:abstractNum w:abstractNumId="72">
    <w:nsid w:val="57FC4FBB"/>
    <w:multiLevelType w:val="hybridMultilevel"/>
    <w:lvl w:ilvl="0">
      <w:lvlJc w:val="left"/>
      <w:lvlText w:val="$"/>
      <w:numFmt w:val="bullet"/>
      <w:start w:val="1"/>
    </w:lvl>
    <w:lvl w:ilvl="1">
      <w:lvlJc w:val="left"/>
      <w:lvlText w:val="\emdash "/>
      <w:numFmt w:val="bullet"/>
      <w:start w:val="1"/>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1."/>
      <w:numFmt w:val="decimal"/>
      <w:start w:val="7"/>
    </w:lvl>
  </w:abstractNum>
  <w:abstractNum w:abstractNumId="77">
    <w:nsid w:val="7F01579B"/>
    <w:multiLevelType w:val="hybridMultilevel"/>
    <w:lvl w:ilvl="0">
      <w:lvlJc w:val="left"/>
      <w:lvlText w:val="%1."/>
      <w:numFmt w:val="decimal"/>
      <w:start w:val="8"/>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1)"/>
      <w:numFmt w:val="decimal"/>
      <w:start w:val="1"/>
    </w:lvl>
  </w:abstractNum>
  <w:abstractNum w:abstractNumId="80">
    <w:nsid w:val="5FB8370B"/>
    <w:multiLevelType w:val="hybridMultilevel"/>
    <w:lvl w:ilvl="0">
      <w:lvlJc w:val="left"/>
      <w:lvlText w:val="%1."/>
      <w:numFmt w:val="decimal"/>
      <w:start w:val="9"/>
    </w:lvl>
  </w:abstractNum>
  <w:abstractNum w:abstractNumId="81">
    <w:nsid w:val="50801EE1"/>
    <w:multiLevelType w:val="hybridMultilevel"/>
    <w:lvl w:ilvl="0">
      <w:lvlJc w:val="left"/>
      <w:lvlText w:val="(%1)"/>
      <w:numFmt w:val="decimal"/>
      <w:start w:val="1"/>
    </w:lvl>
  </w:abstractNum>
  <w:abstractNum w:abstractNumId="82">
    <w:nsid w:val="488AC1A"/>
    <w:multiLevelType w:val="hybridMultilevel"/>
    <w:lvl w:ilvl="0">
      <w:lvlJc w:val="left"/>
      <w:lvlText w:val="(%1)"/>
      <w:numFmt w:val="decimal"/>
      <w:start w:val="1"/>
    </w:lvl>
  </w:abstractNum>
  <w:abstractNum w:abstractNumId="83">
    <w:nsid w:val="5FB8011C"/>
    <w:multiLevelType w:val="hybridMultilevel"/>
    <w:lvl w:ilvl="0">
      <w:lvlJc w:val="left"/>
      <w:lvlText w:val="%1."/>
      <w:numFmt w:val="decimal"/>
      <w:start w:val="10"/>
    </w:lvl>
  </w:abstractNum>
  <w:abstractNum w:abstractNumId="84">
    <w:nsid w:val="6AA78F7F"/>
    <w:multiLevelType w:val="hybridMultilevel"/>
    <w:lvl w:ilvl="0">
      <w:lvlJc w:val="left"/>
      <w:lvlText w:val="%1."/>
      <w:numFmt w:val="decimal"/>
      <w:start w:val="11"/>
    </w:lvl>
  </w:abstractNum>
  <w:abstractNum w:abstractNumId="85">
    <w:nsid w:val="7672BD23"/>
    <w:multiLevelType w:val="hybridMultilevel"/>
    <w:lvl w:ilvl="0">
      <w:lvlJc w:val="left"/>
      <w:lvlText w:val="(%1)"/>
      <w:numFmt w:val="decimal"/>
      <w:start w:val="1"/>
    </w:lvl>
  </w:abstractNum>
  <w:abstractNum w:abstractNumId="86">
    <w:nsid w:val="6FC75AF8"/>
    <w:multiLevelType w:val="hybridMultilevel"/>
    <w:lvl w:ilvl="0">
      <w:lvlJc w:val="left"/>
      <w:lvlText w:val="%1."/>
      <w:numFmt w:val="decimal"/>
      <w:start w:val="12"/>
    </w:lvl>
  </w:abstractNum>
  <w:abstractNum w:abstractNumId="87">
    <w:nsid w:val="6A5F7029"/>
    <w:multiLevelType w:val="hybridMultilevel"/>
    <w:lvl w:ilvl="0">
      <w:lvlJc w:val="left"/>
      <w:lvlText w:val="%1."/>
      <w:numFmt w:val="decimal"/>
      <w:start w:val="13"/>
    </w:lvl>
  </w:abstractNum>
  <w:abstractNum w:abstractNumId="88">
    <w:nsid w:val="7D5E18F8"/>
    <w:multiLevelType w:val="hybridMultilevel"/>
    <w:lvl w:ilvl="0">
      <w:lvlJc w:val="left"/>
      <w:lvlText w:val="(%1)"/>
      <w:numFmt w:val="decimal"/>
      <w:start w:val="1"/>
    </w:lvl>
  </w:abstractNum>
  <w:abstractNum w:abstractNumId="89">
    <w:nsid w:val="5F3534A4"/>
    <w:multiLevelType w:val="hybridMultilevel"/>
    <w:lvl w:ilvl="0">
      <w:lvlJc w:val="left"/>
      <w:lvlText w:val="%1."/>
      <w:numFmt w:val="decimal"/>
      <w:start w:val="14"/>
    </w:lvl>
  </w:abstractNum>
  <w:abstractNum w:abstractNumId="90">
    <w:nsid w:val="73A1821B"/>
    <w:multiLevelType w:val="hybridMultilevel"/>
    <w:lvl w:ilvl="0">
      <w:lvlJc w:val="left"/>
      <w:lvlText w:val="(%1)"/>
      <w:numFmt w:val="decimal"/>
      <w:start w:val="1"/>
    </w:lvl>
  </w:abstractNum>
  <w:abstractNum w:abstractNumId="91">
    <w:nsid w:val="7DE67713"/>
    <w:multiLevelType w:val="hybridMultilevel"/>
    <w:lvl w:ilvl="0">
      <w:lvlJc w:val="left"/>
      <w:lvlText w:val="(%1)"/>
      <w:numFmt w:val="decimal"/>
      <w:start w:val="1"/>
    </w:lvl>
  </w:abstractNum>
  <w:abstractNum w:abstractNumId="92">
    <w:nsid w:val="555C55B5"/>
    <w:multiLevelType w:val="hybridMultilevel"/>
    <w:lvl w:ilvl="0">
      <w:lvlJc w:val="left"/>
      <w:lvlText w:val="%1."/>
      <w:numFmt w:val="decimal"/>
      <w:start w:val="15"/>
    </w:lvl>
  </w:abstractNum>
  <w:abstractNum w:abstractNumId="93">
    <w:nsid w:val="3FA62ACA"/>
    <w:multiLevelType w:val="hybridMultilevel"/>
    <w:lvl w:ilvl="0">
      <w:lvlJc w:val="left"/>
      <w:lvlText w:val="(%1)"/>
      <w:numFmt w:val="decimal"/>
      <w:start w:val="1"/>
    </w:lvl>
  </w:abstractNum>
  <w:abstractNum w:abstractNumId="94">
    <w:nsid w:val="14FCE74E"/>
    <w:multiLevelType w:val="hybridMultilevel"/>
    <w:lvl w:ilvl="0">
      <w:lvlJc w:val="left"/>
      <w:lvlText w:val="(%1)"/>
      <w:numFmt w:val="decimal"/>
      <w:start w:val="1"/>
    </w:lvl>
  </w:abstractNum>
  <w:abstractNum w:abstractNumId="95">
    <w:nsid w:val="6A3DD3E8"/>
    <w:multiLevelType w:val="hybridMultilevel"/>
    <w:lvl w:ilvl="0">
      <w:lvlJc w:val="left"/>
      <w:lvlText w:val="(%1)"/>
      <w:numFmt w:val="decimal"/>
      <w:start w:val="1"/>
    </w:lvl>
  </w:abstractNum>
  <w:abstractNum w:abstractNumId="96">
    <w:nsid w:val="71C91298"/>
    <w:multiLevelType w:val="hybridMultilevel"/>
    <w:lvl w:ilvl="0">
      <w:lvlJc w:val="left"/>
      <w:lvlText w:val="(%1)"/>
      <w:numFmt w:val="decimal"/>
      <w:start w:val="1"/>
    </w:lvl>
  </w:abstractNum>
  <w:abstractNum w:abstractNumId="97">
    <w:nsid w:val="9DAF632"/>
    <w:multiLevelType w:val="hybridMultilevel"/>
    <w:lvl w:ilvl="0">
      <w:lvlJc w:val="left"/>
      <w:lvlText w:val="%1."/>
      <w:numFmt w:val="decimal"/>
      <w:start w:val="16"/>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1."/>
      <w:numFmt w:val="decimal"/>
      <w:start w:val="17"/>
    </w:lvl>
  </w:abstractNum>
  <w:abstractNum w:abstractNumId="100">
    <w:nsid w:val="5092CA79"/>
    <w:multiLevelType w:val="hybridMultilevel"/>
    <w:lvl w:ilvl="0">
      <w:lvlJc w:val="left"/>
      <w:lvlText w:val="%1."/>
      <w:numFmt w:val="decimal"/>
      <w:start w:val="18"/>
    </w:lvl>
  </w:abstractNum>
  <w:abstractNum w:abstractNumId="101">
    <w:nsid w:val="1D545C4D"/>
    <w:multiLevelType w:val="hybridMultilevel"/>
    <w:lvl w:ilvl="0">
      <w:lvlJc w:val="left"/>
      <w:lvlText w:val="(%1)"/>
      <w:numFmt w:val="decimal"/>
      <w:start w:val="1"/>
    </w:lvl>
  </w:abstractNum>
  <w:abstractNum w:abstractNumId="102">
    <w:nsid w:val="59ADEA3D"/>
    <w:multiLevelType w:val="hybridMultilevel"/>
    <w:lvl w:ilvl="0">
      <w:lvlJc w:val="left"/>
      <w:lvlText w:val="%1."/>
      <w:numFmt w:val="decimal"/>
      <w:start w:val="19"/>
    </w:lvl>
  </w:abstractNum>
  <w:abstractNum w:abstractNumId="103">
    <w:nsid w:val="288F1A34"/>
    <w:multiLevelType w:val="hybridMultilevel"/>
    <w:lvl w:ilvl="0">
      <w:lvlJc w:val="left"/>
      <w:lvlText w:val="%1."/>
      <w:numFmt w:val="decimal"/>
      <w:start w:val="20"/>
    </w:lvl>
  </w:abstractNum>
  <w:abstractNum w:abstractNumId="104">
    <w:nsid w:val="2A155DBC"/>
    <w:multiLevelType w:val="hybridMultilevel"/>
    <w:lvl w:ilvl="0">
      <w:lvlJc w:val="left"/>
      <w:lvlText w:val="(%1)"/>
      <w:numFmt w:val="decimal"/>
      <w:start w:val="1"/>
    </w:lvl>
  </w:abstractNum>
  <w:abstractNum w:abstractNumId="105">
    <w:nsid w:val="1D9F6E5F"/>
    <w:multiLevelType w:val="hybridMultilevel"/>
    <w:lvl w:ilvl="0">
      <w:lvlJc w:val="left"/>
      <w:lvlText w:val="%1."/>
      <w:numFmt w:val="decimal"/>
      <w:start w:val="21"/>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lowerLetter"/>
      <w:start w:val="2"/>
    </w:lvl>
  </w:abstractNum>
  <w:abstractNum w:abstractNumId="108">
    <w:nsid w:val="1CA0C5FA"/>
    <w:multiLevelType w:val="hybridMultilevel"/>
    <w:lvl w:ilvl="0">
      <w:lvlJc w:val="left"/>
      <w:lvlText w:val="(%1)"/>
      <w:numFmt w:val="decimal"/>
      <w:start w:val="1"/>
    </w:lvl>
  </w:abstractNum>
  <w:abstractNum w:abstractNumId="109">
    <w:nsid w:val="53584BCB"/>
    <w:multiLevelType w:val="hybridMultilevel"/>
    <w:lvl w:ilvl="0">
      <w:lvlJc w:val="left"/>
      <w:lvlText w:val="*"/>
      <w:numFmt w:val="bullet"/>
      <w:start w:val="1"/>
    </w:lvl>
  </w:abstractNum>
  <w:abstractNum w:abstractNumId="110">
    <w:nsid w:val="415E286C"/>
    <w:multiLevelType w:val="hybridMultilevel"/>
    <w:lvl w:ilvl="0">
      <w:lvlJc w:val="left"/>
      <w:lvlText w:val="†"/>
      <w:numFmt w:val="bullet"/>
      <w:start w:val="1"/>
    </w:lvl>
  </w:abstractNum>
  <w:abstractNum w:abstractNumId="111">
    <w:nsid w:val="7C58FD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2026-03-29T01:53:16Z</dcterms:created>
  <dcterms:modified xsi:type="dcterms:W3CDTF">2026-03-29T01:53:16Z</dcterms:modified>
</cp:coreProperties>
</file>