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950810.xml.htm"/>
      <w:bookmarkStart w:id="1" w:name="kswkform4_17739508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Furber Sara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TRADEWEB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Tradeweb Markets Inc.</w:t>
              </w:r>
            </w:hyperlink>
            <w:r>
              <w:rPr/>
              <w:t xml:space="preserve"> [ </w:t>
            </w:r>
            <w:r>
              <w:rPr>
                <w:rFonts w:ascii="Times;serif" w:hAnsi="Times;serif"/>
                <w:color w:val="0000FF"/>
                <w:sz w:val="24"/>
                <w:shd w:fill="FFFFFF" w:val="clear"/>
              </w:rPr>
              <w:t>TW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7"/>
        <w:gridCol w:w="904"/>
        <w:gridCol w:w="773"/>
        <w:gridCol w:w="600"/>
        <w:gridCol w:w="349"/>
        <w:gridCol w:w="847"/>
        <w:gridCol w:w="456"/>
        <w:gridCol w:w="840"/>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1,679</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126.17</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28,783</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(3)</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28,789</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to satisfy the tax withholding obligation associated with the settlement of restricted stock units ("RSUs") in respect of the issuer's Class A common stock ("Class A Common Stock")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amount includes (i) 3,716 unvested RSUs in respect of Class A Common Stock that are scheduled on March 15, 2027, (ii) 6,573 unvested RSUs in respect of Class A Common Stock that are scheduled to vest in equal installments on March 17, 2027 and March 17, 2028 and (iii) 11,975 unvested RSUs in respect of Class A Common Stock that are scheduled to vest in equal installments on March 15, 2027, March 15, 2028 and March 15, 2029, in each case, subject to the reporting person's continued employment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Friedman, Attorney-in-Fact for Sara Furber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3180" TargetMode="External"/><Relationship Id="rId5" Type="http://schemas.openxmlformats.org/officeDocument/2006/relationships/hyperlink" Target="http://www.sec.gov/cgi-bin/browse-edgar?action=getcompany&amp;CIK=0001758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766</Words>
  <Characters>4070</Characters>
  <CharactersWithSpaces>4769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